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058C3F56" w14:textId="77777777">
      <w:pPr>
        <w:spacing w:after="0" w:line="240" w:lineRule="auto"/>
        <w:jc w:val="center"/>
        <w:rPr>
          <w:rFonts w:ascii="Helvetica" w:hAnsi="Helvetica" w:eastAsia="Times New Roman" w:cs="Times New Roman"/>
          <w:b/>
          <w:bCs/>
          <w:spacing w:val="20"/>
          <w:kern w:val="0"/>
          <w:sz w:val="26"/>
          <w:szCs w:val="20"/>
          <w14:ligatures w14:val="none"/>
        </w:rPr>
      </w:pPr>
      <w:r>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A76F4A" w:rsidRDefault="00A76F4A" w14:paraId="251C27BE" w14:textId="77777777">
      <w:pPr>
        <w:suppressAutoHyphens/>
        <w:spacing w:after="0" w:line="240" w:lineRule="auto"/>
        <w:rPr>
          <w:rFonts w:ascii="Palatino" w:hAnsi="Palatino" w:eastAsia="Times New Roman" w:cs="Times New Roman"/>
          <w:kern w:val="0"/>
          <w:sz w:val="26"/>
          <w:szCs w:val="20"/>
          <w14:ligatures w14:val="none"/>
        </w:rPr>
      </w:pPr>
    </w:p>
    <w:p w:rsidR="00D64B9A" w:rsidP="00A76F4A" w:rsidRDefault="00D64B9A" w14:paraId="3712A28F" w14:textId="77000A61">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t>Item #15 (Rev. 1)</w:t>
      </w:r>
    </w:p>
    <w:p w:rsidRPr="002C034E" w:rsidR="00A76F4A" w:rsidP="00A76F4A" w:rsidRDefault="00A76F4A" w14:paraId="442D765F" w14:textId="1B1CB32E">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Pr="002C034E">
        <w:rPr>
          <w:rFonts w:ascii="Palatino Linotype" w:hAnsi="Palatino Linotype" w:eastAsia="Times New Roman" w:cs="Times New Roman"/>
          <w:b/>
          <w:kern w:val="0"/>
          <w14:ligatures w14:val="none"/>
        </w:rPr>
        <w:t>Agenda ID #</w:t>
      </w:r>
      <w:r w:rsidR="001B5F0A">
        <w:rPr>
          <w:rFonts w:ascii="Palatino Linotype" w:hAnsi="Palatino Linotype" w:eastAsia="Times New Roman" w:cs="Times New Roman"/>
          <w:b/>
          <w:kern w:val="0"/>
          <w14:ligatures w14:val="none"/>
        </w:rPr>
        <w:t>24504</w:t>
      </w:r>
    </w:p>
    <w:p w:rsidRPr="0051493D" w:rsidR="00A76F4A" w:rsidP="00B015BA" w:rsidRDefault="00204B1B" w14:paraId="1F22E5E4" w14:textId="51158CCC">
      <w:pPr>
        <w:tabs>
          <w:tab w:val="right" w:pos="8820"/>
        </w:tabs>
        <w:spacing w:after="0" w:line="240" w:lineRule="auto"/>
        <w:ind w:left="360"/>
        <w:rPr>
          <w:rFonts w:ascii="Palatino Linotype" w:hAnsi="Palatino Linotype" w:eastAsia="Palatino Linotype" w:cs="Times New Roman"/>
          <w:b/>
          <w:bCs/>
          <w:kern w:val="0"/>
          <w:highlight w:val="yellow"/>
          <w14:ligatures w14:val="none"/>
        </w:rPr>
      </w:pPr>
      <w:r w:rsidRPr="12C3C18E">
        <w:rPr>
          <w:rFonts w:ascii="Palatino Linotype" w:hAnsi="Palatino Linotype" w:eastAsia="Palatino Linotype" w:cs="Times New Roman"/>
          <w:b/>
          <w:bCs/>
          <w:kern w:val="0"/>
          <w14:ligatures w14:val="none"/>
        </w:rPr>
        <w:t>ENERGY DIVISION</w:t>
      </w:r>
      <w:r>
        <w:rPr>
          <w:rFonts w:ascii="Palatino Linotype" w:hAnsi="Palatino Linotype" w:eastAsia="Times New Roman" w:cs="Times New Roman"/>
          <w:b/>
          <w:kern w:val="0"/>
          <w14:ligatures w14:val="none"/>
        </w:rPr>
        <w:tab/>
      </w:r>
      <w:r w:rsidRPr="4AF0E80B">
        <w:rPr>
          <w:rFonts w:ascii="Palatino Linotype" w:hAnsi="Palatino Linotype" w:eastAsia="Palatino Linotype" w:cs="Times New Roman"/>
          <w:b/>
          <w:bCs/>
          <w:kern w:val="0"/>
          <w14:ligatures w14:val="none"/>
        </w:rPr>
        <w:t xml:space="preserve">      </w:t>
      </w:r>
      <w:r w:rsidRPr="4AF0E80B">
        <w:rPr>
          <w:rFonts w:ascii="Palatino Linotype" w:hAnsi="Palatino Linotype" w:eastAsia="Palatino Linotype" w:cs="Times New Roman"/>
          <w:b/>
          <w:bCs/>
        </w:rPr>
        <w:t xml:space="preserve"> RESOLUTION </w:t>
      </w:r>
      <w:r w:rsidRPr="4AF0E80B" w:rsidR="5A1074C4">
        <w:rPr>
          <w:rFonts w:ascii="Palatino Linotype" w:hAnsi="Palatino Linotype" w:eastAsia="Palatino Linotype" w:cs="Times New Roman"/>
          <w:b/>
          <w:bCs/>
        </w:rPr>
        <w:t>E-5483</w:t>
      </w:r>
    </w:p>
    <w:p w:rsidRPr="001942D0" w:rsidR="00A76F4A" w:rsidP="00300174" w:rsidRDefault="00B015BA" w14:paraId="6267DA39" w14:textId="51AC42FE">
      <w:pPr>
        <w:tabs>
          <w:tab w:val="right" w:pos="8820"/>
        </w:tabs>
        <w:spacing w:after="0" w:line="240" w:lineRule="auto"/>
        <w:rPr>
          <w:rFonts w:ascii="Palatino" w:hAnsi="Palatino" w:eastAsia="Times New Roman" w:cs="Times New Roman"/>
          <w:b/>
          <w:kern w:val="0"/>
          <w:szCs w:val="20"/>
          <w14:ligatures w14:val="none"/>
        </w:rPr>
      </w:pPr>
      <w:r>
        <w:rPr>
          <w:rFonts w:ascii="Palatino Linotype" w:hAnsi="Palatino Linotype" w:eastAsia="Times New Roman" w:cs="Times New Roman"/>
          <w:b/>
          <w:bCs/>
        </w:rPr>
        <w:tab/>
      </w:r>
      <w:r w:rsidRPr="4AF0E80B" w:rsidR="6E67C380">
        <w:rPr>
          <w:rFonts w:ascii="Palatino Linotype" w:hAnsi="Palatino Linotype" w:eastAsia="Times New Roman" w:cs="Times New Roman"/>
          <w:b/>
          <w:bCs/>
        </w:rPr>
        <w:t xml:space="preserve">October </w:t>
      </w:r>
      <w:r w:rsidR="00FA6630">
        <w:rPr>
          <w:rFonts w:ascii="Palatino Linotype" w:hAnsi="Palatino Linotype" w:eastAsia="Times New Roman" w:cs="Times New Roman"/>
          <w:b/>
          <w:bCs/>
        </w:rPr>
        <w:t>8</w:t>
      </w:r>
      <w:r w:rsidRPr="4AF0E80B" w:rsidR="6E67C380">
        <w:rPr>
          <w:rFonts w:ascii="Palatino Linotype" w:hAnsi="Palatino Linotype" w:eastAsia="Times New Roman" w:cs="Times New Roman"/>
          <w:b/>
          <w:bCs/>
        </w:rPr>
        <w:t>, 2026</w:t>
      </w:r>
      <w:r w:rsidR="00A76F4A">
        <w:br/>
      </w:r>
    </w:p>
    <w:p w:rsidRPr="001942D0" w:rsidR="00A76F4A" w:rsidP="00A76F4A" w:rsidRDefault="00A76F4A" w14:paraId="452BA3F5"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363DD362" w14:textId="77777777">
      <w:pPr>
        <w:spacing w:after="0" w:line="240" w:lineRule="auto"/>
        <w:rPr>
          <w:rFonts w:ascii="Palatino" w:hAnsi="Palatino" w:eastAsia="Palatino Linotype" w:cs="Times New Roman"/>
          <w:kern w:val="0"/>
          <w:sz w:val="26"/>
          <w:szCs w:val="20"/>
          <w14:ligatures w14:val="none"/>
        </w:rPr>
      </w:pPr>
    </w:p>
    <w:p w:rsidR="0033702C" w:rsidP="005E5EFA" w:rsidRDefault="00000000" w14:paraId="7CE32739" w14:textId="5A024C95">
      <w:pPr>
        <w:spacing w:after="0" w:line="240" w:lineRule="auto"/>
        <w:ind w:left="270" w:right="27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w:t>
      </w:r>
      <w:r w:rsidRPr="12C3C18E" w:rsidR="6E426036">
        <w:rPr>
          <w:rFonts w:ascii="Palatino Linotype" w:hAnsi="Palatino Linotype" w:eastAsia="Times New Roman" w:cs="Times New Roman"/>
        </w:rPr>
        <w:t>5483</w:t>
      </w:r>
      <w:r w:rsidRPr="12C3C18E">
        <w:rPr>
          <w:rFonts w:ascii="Palatino Linotype" w:hAnsi="Palatino Linotype" w:eastAsia="Times New Roman" w:cs="Times New Roman"/>
        </w:rPr>
        <w:t>. Pacific Gas and Electric Company Diablo Canyon Power Plant Extended Operations Balancing Account True-Up for the 2023-2025 Record Period.</w:t>
      </w:r>
    </w:p>
    <w:p w:rsidRPr="001942D0" w:rsidR="00A76F4A" w:rsidP="00B2542C" w:rsidRDefault="00A76F4A" w14:paraId="3164A0A2" w14:textId="77777777">
      <w:pPr>
        <w:spacing w:after="0" w:line="240" w:lineRule="auto"/>
        <w:ind w:left="270" w:right="270" w:firstLine="90"/>
        <w:rPr>
          <w:rFonts w:ascii="Palatino Linotype" w:hAnsi="Palatino Linotype" w:eastAsia="Times New Roman" w:cs="Times New Roman"/>
          <w:kern w:val="0"/>
          <w14:ligatures w14:val="none"/>
        </w:rPr>
      </w:pPr>
    </w:p>
    <w:p w:rsidRPr="001942D0" w:rsidR="00A76F4A" w:rsidP="00B2542C" w:rsidRDefault="00A76F4A" w14:paraId="67F0CCBC" w14:textId="77777777">
      <w:pPr>
        <w:spacing w:after="0" w:line="240" w:lineRule="auto"/>
        <w:ind w:left="270" w:right="270" w:firstLine="9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3702C" w:rsidP="00B2542C" w:rsidRDefault="00000000" w14:paraId="1BEB419C" w14:textId="6FDB23B3">
      <w:pPr>
        <w:numPr>
          <w:ilvl w:val="0"/>
          <w:numId w:val="5"/>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Pacific Gas and Electric Company's (PG&amp;E) Advice Letter 7860-E, which provides the true-up of PG&amp;E's recorded Diablo Canyon Power Plant (DCPP) extended operations costs and market revenues, pursuant to Senate Bill 846 and Decision 23-12-036, for the September 1, </w:t>
      </w:r>
      <w:proofErr w:type="gramStart"/>
      <w:r>
        <w:rPr>
          <w:rFonts w:ascii="Palatino Linotype" w:hAnsi="Palatino Linotype" w:eastAsia="Times New Roman" w:cs="Times New Roman"/>
          <w:kern w:val="0"/>
          <w14:ligatures w14:val="none"/>
        </w:rPr>
        <w:t>2023</w:t>
      </w:r>
      <w:proofErr w:type="gramEnd"/>
      <w:r>
        <w:rPr>
          <w:rFonts w:ascii="Palatino Linotype" w:hAnsi="Palatino Linotype" w:eastAsia="Times New Roman" w:cs="Times New Roman"/>
          <w:kern w:val="0"/>
          <w14:ligatures w14:val="none"/>
        </w:rPr>
        <w:t xml:space="preserve"> through December 31, </w:t>
      </w:r>
      <w:proofErr w:type="gramStart"/>
      <w:r>
        <w:rPr>
          <w:rFonts w:ascii="Palatino Linotype" w:hAnsi="Palatino Linotype" w:eastAsia="Times New Roman" w:cs="Times New Roman"/>
          <w:kern w:val="0"/>
          <w14:ligatures w14:val="none"/>
        </w:rPr>
        <w:t>2025</w:t>
      </w:r>
      <w:proofErr w:type="gramEnd"/>
      <w:r>
        <w:rPr>
          <w:rFonts w:ascii="Palatino Linotype" w:hAnsi="Palatino Linotype" w:eastAsia="Times New Roman" w:cs="Times New Roman"/>
          <w:kern w:val="0"/>
          <w14:ligatures w14:val="none"/>
        </w:rPr>
        <w:t xml:space="preserve"> record period, and confirms that PG&amp;E's recorded costs are below 115 percent of the Commission-adopted forecast </w:t>
      </w:r>
      <w:r w:rsidR="00316934">
        <w:rPr>
          <w:rFonts w:ascii="Palatino Linotype" w:hAnsi="Palatino Linotype" w:eastAsia="Times New Roman" w:cs="Times New Roman"/>
          <w:kern w:val="0"/>
          <w14:ligatures w14:val="none"/>
        </w:rPr>
        <w:t>and</w:t>
      </w:r>
      <w:r>
        <w:rPr>
          <w:rFonts w:ascii="Palatino Linotype" w:hAnsi="Palatino Linotype" w:eastAsia="Times New Roman" w:cs="Times New Roman"/>
          <w:kern w:val="0"/>
          <w14:ligatures w14:val="none"/>
        </w:rPr>
        <w:t xml:space="preserve"> that no further reasonableness review of those costs is required.</w:t>
      </w:r>
    </w:p>
    <w:p w:rsidR="0033702C" w:rsidP="00B2542C" w:rsidRDefault="00000000" w14:paraId="2B40B412" w14:textId="22DABF04">
      <w:pPr>
        <w:numPr>
          <w:ilvl w:val="0"/>
          <w:numId w:val="5"/>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Denies the protest filed by The Utility Reform Network (TURN) to </w:t>
      </w:r>
      <w:r w:rsidRPr="5920CFFC">
        <w:rPr>
          <w:rFonts w:ascii="Palatino Linotype" w:hAnsi="Palatino Linotype" w:eastAsia="Times New Roman" w:cs="Times New Roman"/>
        </w:rPr>
        <w:t>Advice Letter 7860-E.</w:t>
      </w:r>
    </w:p>
    <w:p w:rsidRPr="001942D0" w:rsidR="00A76F4A" w:rsidP="00B2542C" w:rsidRDefault="00A76F4A" w14:paraId="6C48EB6E" w14:textId="77777777">
      <w:pPr>
        <w:spacing w:after="0" w:line="240" w:lineRule="auto"/>
        <w:ind w:left="270" w:right="270" w:firstLine="90"/>
        <w:rPr>
          <w:rFonts w:ascii="Palatino" w:hAnsi="Palatino" w:eastAsia="Palatino Linotype" w:cs="Times New Roman"/>
          <w:kern w:val="0"/>
          <w:sz w:val="26"/>
          <w:szCs w:val="20"/>
          <w14:ligatures w14:val="none"/>
        </w:rPr>
      </w:pPr>
    </w:p>
    <w:p w:rsidRPr="001942D0" w:rsidR="00A76F4A" w:rsidP="00B2542C" w:rsidRDefault="00A76F4A" w14:paraId="447CD372" w14:textId="77777777">
      <w:pPr>
        <w:spacing w:after="0" w:line="240" w:lineRule="auto"/>
        <w:ind w:left="270" w:right="270" w:firstLine="9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3702C" w:rsidP="00B2542C" w:rsidRDefault="00000000" w14:paraId="03C89941" w14:textId="77777777">
      <w:pPr>
        <w:numPr>
          <w:ilvl w:val="0"/>
          <w:numId w:val="4"/>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Pr="001942D0" w:rsidR="00A76F4A" w:rsidP="00B2542C" w:rsidRDefault="00A76F4A" w14:paraId="41AC081D" w14:textId="77777777">
      <w:pPr>
        <w:spacing w:after="0" w:line="240" w:lineRule="auto"/>
        <w:ind w:left="270" w:right="270" w:firstLine="90"/>
        <w:rPr>
          <w:rFonts w:ascii="Palatino Linotype" w:hAnsi="Palatino Linotype" w:eastAsia="Palatino Linotype" w:cs="Times New Roman"/>
          <w:kern w:val="0"/>
          <w14:ligatures w14:val="none"/>
        </w:rPr>
      </w:pPr>
    </w:p>
    <w:p w:rsidRPr="001942D0" w:rsidR="00A76F4A" w:rsidP="00B2542C" w:rsidRDefault="00A76F4A" w14:paraId="7FC00E88" w14:textId="77777777">
      <w:pPr>
        <w:spacing w:after="0" w:line="240" w:lineRule="auto"/>
        <w:ind w:left="270" w:right="270" w:firstLine="9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3702C" w:rsidP="00B2542C" w:rsidRDefault="00000000" w14:paraId="05FA7AFC" w14:textId="061312C3">
      <w:pPr>
        <w:numPr>
          <w:ilvl w:val="0"/>
          <w:numId w:val="4"/>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Pacific Gas and Electric Company (PG&amp;E) recorded </w:t>
      </w:r>
      <w:r w:rsidRPr="5920CFFC">
        <w:rPr>
          <w:rFonts w:ascii="Palatino Linotype" w:hAnsi="Palatino Linotype" w:eastAsia="Times New Roman" w:cs="Times New Roman"/>
        </w:rPr>
        <w:t xml:space="preserve">$1,224 million in Diablo Canyon Power Plant extended operations costs to the Diablo Canyon Extended Operations Balancing Account (DCEOBA) for the 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w:t>
      </w:r>
      <w:proofErr w:type="gramStart"/>
      <w:r w:rsidRPr="5920CFFC">
        <w:rPr>
          <w:rFonts w:ascii="Palatino Linotype" w:hAnsi="Palatino Linotype" w:eastAsia="Times New Roman" w:cs="Times New Roman"/>
        </w:rPr>
        <w:t>2025</w:t>
      </w:r>
      <w:proofErr w:type="gramEnd"/>
      <w:r w:rsidRPr="5920CFFC">
        <w:rPr>
          <w:rFonts w:ascii="Palatino Linotype" w:hAnsi="Palatino Linotype" w:eastAsia="Times New Roman" w:cs="Times New Roman"/>
        </w:rPr>
        <w:t xml:space="preserve"> record period. These costs are recovered from the ratepayers of PG&amp;E, Southern California Edison, and San Diego Gas &amp; Electric through non-</w:t>
      </w:r>
      <w:proofErr w:type="spellStart"/>
      <w:r w:rsidRPr="5920CFFC">
        <w:rPr>
          <w:rFonts w:ascii="Palatino Linotype" w:hAnsi="Palatino Linotype" w:eastAsia="Times New Roman" w:cs="Times New Roman"/>
        </w:rPr>
        <w:t>bypassable</w:t>
      </w:r>
      <w:proofErr w:type="spellEnd"/>
      <w:r w:rsidRPr="5920CFFC">
        <w:rPr>
          <w:rFonts w:ascii="Palatino Linotype" w:hAnsi="Palatino Linotype" w:eastAsia="Times New Roman" w:cs="Times New Roman"/>
        </w:rPr>
        <w:t xml:space="preserve"> charge rates approved in Decision 24-12-033 and in effect since </w:t>
      </w:r>
      <w:r w:rsidR="00B2542C">
        <w:rPr>
          <w:rFonts w:ascii="Palatino Linotype" w:hAnsi="Palatino Linotype" w:eastAsia="Times New Roman" w:cs="Times New Roman"/>
        </w:rPr>
        <w:br/>
      </w:r>
      <w:r w:rsidRPr="5920CFFC">
        <w:rPr>
          <w:rFonts w:ascii="Palatino Linotype" w:hAnsi="Palatino Linotype" w:eastAsia="Times New Roman" w:cs="Times New Roman"/>
        </w:rPr>
        <w:t>January 1, 2025.</w:t>
      </w:r>
    </w:p>
    <w:p w:rsidR="0033702C" w:rsidP="00B2542C" w:rsidRDefault="00000000" w14:paraId="754CC785" w14:textId="77777777">
      <w:pPr>
        <w:numPr>
          <w:ilvl w:val="0"/>
          <w:numId w:val="4"/>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does not itself authorize any new or additional rate increase. Any future over- or under-collection in the DCEOBA will continue to be trued up in rates in subsequent years under the mechanism adopted in Decision 23-12-036.</w:t>
      </w:r>
    </w:p>
    <w:p w:rsidRPr="001942D0" w:rsidR="00A76F4A" w:rsidP="00B2542C" w:rsidRDefault="00A76F4A" w14:paraId="1D8F3F71" w14:textId="77777777">
      <w:pPr>
        <w:spacing w:after="0" w:line="240" w:lineRule="auto"/>
        <w:ind w:left="270" w:right="270" w:firstLine="90"/>
        <w:rPr>
          <w:rFonts w:ascii="Palatino Linotype" w:hAnsi="Palatino Linotype" w:eastAsia="Times New Roman" w:cs="Times New Roman"/>
          <w:kern w:val="0"/>
          <w14:ligatures w14:val="none"/>
        </w:rPr>
      </w:pPr>
    </w:p>
    <w:p w:rsidR="0033702C" w:rsidP="00B2542C" w:rsidRDefault="00000000" w14:paraId="53BB5467" w14:textId="77777777">
      <w:p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By Advice Letter 7860-E, filed on March 18, 2026.</w:t>
      </w:r>
    </w:p>
    <w:p w:rsidRPr="001942D0" w:rsidR="00A76F4A" w:rsidP="00A76F4A" w:rsidRDefault="00A76F4A" w14:paraId="54A1D6FF" w14:textId="77777777">
      <w:pPr>
        <w:spacing w:after="0" w:line="240" w:lineRule="auto"/>
        <w:jc w:val="cente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5FC1DDD6" w14:textId="77777777">
      <w:pPr>
        <w:spacing w:after="0" w:line="240" w:lineRule="auto"/>
        <w:rPr>
          <w:rFonts w:ascii="Palatino Linotype" w:hAnsi="Palatino Linotype" w:eastAsia="Palatino Linotype" w:cs="Times New Roman"/>
          <w:b/>
          <w:kern w:val="0"/>
          <w14:ligatures w14:val="none"/>
        </w:rPr>
      </w:pPr>
    </w:p>
    <w:p w:rsidRPr="001942D0" w:rsidR="00A76F4A" w:rsidP="00A76F4A" w:rsidRDefault="00A76F4A" w14:paraId="2B68357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Summary</w:t>
      </w:r>
      <w:bookmarkEnd w:id="0"/>
    </w:p>
    <w:p w:rsidR="0033702C" w:rsidRDefault="00000000" w14:paraId="57D8883F" w14:textId="722FA58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This Resolution approves Pacific Gas and Electric Company's (PG&amp;E) Advice Letter (AL) 7860-E, the Diablo Canyon Extended Operations Balancing Account (DCEOBA) True-Up Advice Letter filed pursuant to Senate Bill (SB) 846 and Decision </w:t>
      </w:r>
      <w:r w:rsidR="00BB03C2">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(D.) 23-12-036, and denies the protest filed by The Utility Reform Network (TURN). </w:t>
      </w:r>
      <w:r w:rsidRPr="5920CFFC" w:rsidR="41F53BAD">
        <w:rPr>
          <w:rFonts w:ascii="Palatino Linotype" w:hAnsi="Palatino Linotype" w:eastAsia="Times New Roman" w:cs="Times New Roman"/>
        </w:rPr>
        <w:t xml:space="preserve">PG&amp;E </w:t>
      </w:r>
      <w:r w:rsidRPr="5920CFFC">
        <w:rPr>
          <w:rFonts w:ascii="Palatino Linotype" w:hAnsi="Palatino Linotype" w:eastAsia="Times New Roman" w:cs="Times New Roman"/>
        </w:rPr>
        <w:t>AL 7860-E true</w:t>
      </w:r>
      <w:r w:rsidRPr="5920CFFC" w:rsidR="4A4C1F1E">
        <w:rPr>
          <w:rFonts w:ascii="Palatino Linotype" w:hAnsi="Palatino Linotype" w:eastAsia="Times New Roman" w:cs="Times New Roman"/>
        </w:rPr>
        <w:t>s</w:t>
      </w:r>
      <w:r w:rsidRPr="5920CFFC">
        <w:rPr>
          <w:rFonts w:ascii="Palatino Linotype" w:hAnsi="Palatino Linotype" w:eastAsia="Times New Roman" w:cs="Times New Roman"/>
        </w:rPr>
        <w:t xml:space="preserve">-up PG&amp;E's recorded Diablo Canyon Power Plant (DCPP) extended operations costs and market revenues to the Commission-adopted forecast for the record period 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2025. This Resolution finds that PG&amp;E's recorded DCEOBA costs, totaling approximately $1,224.1 million, are below 115 percent of the approximately $1,325.4 million forecast approved in </w:t>
      </w:r>
      <w:r w:rsidR="00E11C4D">
        <w:rPr>
          <w:rFonts w:ascii="Palatino Linotype" w:hAnsi="Palatino Linotype" w:eastAsia="Times New Roman" w:cs="Times New Roman"/>
        </w:rPr>
        <w:br/>
      </w:r>
      <w:r w:rsidRPr="5920CFFC">
        <w:rPr>
          <w:rFonts w:ascii="Palatino Linotype" w:hAnsi="Palatino Linotype" w:eastAsia="Times New Roman" w:cs="Times New Roman"/>
        </w:rPr>
        <w:t>D.24-12-033, so that no further reasonableness review of those costs is required under Public Utilities Code Section 712.8(h)(1). This Resolution also finds that TURN's proposal to apply the 115 percent threshold separately to each individual cost category, rather than to PG&amp;E's total recorded costs, is not supported by the statute.</w:t>
      </w:r>
    </w:p>
    <w:p w:rsidRPr="001942D0" w:rsidR="00A76F4A" w:rsidP="00A76F4A" w:rsidRDefault="00A76F4A" w14:paraId="28EFCD8D"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12AD6CF2"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Background</w:t>
      </w:r>
    </w:p>
    <w:p w:rsidR="0033702C" w:rsidP="202192C6" w:rsidRDefault="00000000" w14:paraId="223947C6" w14:textId="07AC3079">
      <w:pPr>
        <w:spacing w:after="0" w:line="240" w:lineRule="auto"/>
        <w:rPr>
          <w:rFonts w:ascii="Palatino Linotype" w:hAnsi="Palatino Linotype" w:eastAsia="Times New Roman" w:cs="Times New Roman"/>
        </w:rPr>
      </w:pPr>
      <w:r>
        <w:rPr>
          <w:rFonts w:ascii="Palatino Linotype" w:hAnsi="Palatino Linotype" w:eastAsia="Times New Roman" w:cs="Times New Roman"/>
          <w:kern w:val="0"/>
          <w14:ligatures w14:val="none"/>
        </w:rPr>
        <w:t>In September 2022, the Governor</w:t>
      </w:r>
      <w:r w:rsidR="00316934">
        <w:rPr>
          <w:rFonts w:ascii="Palatino Linotype" w:hAnsi="Palatino Linotype" w:eastAsia="Times New Roman" w:cs="Times New Roman"/>
          <w:kern w:val="0"/>
          <w14:ligatures w14:val="none"/>
        </w:rPr>
        <w:t xml:space="preserve"> of California</w:t>
      </w:r>
      <w:r>
        <w:rPr>
          <w:rFonts w:ascii="Palatino Linotype" w:hAnsi="Palatino Linotype" w:eastAsia="Times New Roman" w:cs="Times New Roman"/>
          <w:kern w:val="0"/>
          <w14:ligatures w14:val="none"/>
        </w:rPr>
        <w:t xml:space="preserve"> signed Senate Bill (SB) 846, which directed the Commission to </w:t>
      </w:r>
      <w:r w:rsidRPr="202192C6">
        <w:rPr>
          <w:rFonts w:ascii="Palatino Linotype" w:hAnsi="Palatino Linotype" w:eastAsia="Times New Roman" w:cs="Times New Roman"/>
        </w:rPr>
        <w:t xml:space="preserve">establish a cost recovery mechanism for the extended operations of the </w:t>
      </w:r>
      <w:r w:rsidRPr="202192C6" w:rsidR="76BCC761">
        <w:rPr>
          <w:rFonts w:ascii="Palatino Linotype" w:hAnsi="Palatino Linotype" w:eastAsia="Times New Roman" w:cs="Times New Roman"/>
        </w:rPr>
        <w:t>DCPP</w:t>
      </w:r>
      <w:r w:rsidRPr="202192C6">
        <w:rPr>
          <w:rFonts w:ascii="Palatino Linotype" w:hAnsi="Palatino Linotype" w:eastAsia="Times New Roman" w:cs="Times New Roman"/>
        </w:rPr>
        <w:t xml:space="preserve">, operated by </w:t>
      </w:r>
      <w:r w:rsidRPr="202192C6" w:rsidR="271E4E04">
        <w:rPr>
          <w:rFonts w:ascii="Palatino Linotype" w:hAnsi="Palatino Linotype" w:eastAsia="Times New Roman" w:cs="Times New Roman"/>
        </w:rPr>
        <w:t>PG&amp;E</w:t>
      </w:r>
      <w:r w:rsidRPr="202192C6">
        <w:rPr>
          <w:rFonts w:ascii="Palatino Linotype" w:hAnsi="Palatino Linotype" w:eastAsia="Times New Roman" w:cs="Times New Roman"/>
        </w:rPr>
        <w:t>, beyond DCPP's previously planned retirement dates. SB 846 directed that the mechanism be structured similarly to the Energy Resource Recovery Account proceedings, with a Commission-approved forecast and a subsequent true-up to actual costs and market revenues for the prior calendar year through an expedited Tier 3 advice letter process. Public Utilities Code Section 712.8(h)(1)</w:t>
      </w:r>
      <w:r w:rsidRPr="202192C6">
        <w:rPr>
          <w:rStyle w:val="FootnoteReference"/>
          <w:rFonts w:ascii="Palatino Linotype" w:hAnsi="Palatino Linotype" w:eastAsia="Times New Roman" w:cs="Times New Roman"/>
        </w:rPr>
        <w:footnoteReference w:id="2"/>
      </w:r>
      <w:r w:rsidRPr="202192C6">
        <w:rPr>
          <w:rFonts w:ascii="Palatino Linotype" w:hAnsi="Palatino Linotype" w:eastAsia="Times New Roman" w:cs="Times New Roman"/>
        </w:rPr>
        <w:t xml:space="preserve"> provides that there shall be no further review of the reasonableness of costs incurred if actual costs are below 115 percent of the forecasted costs.</w:t>
      </w:r>
    </w:p>
    <w:p w:rsidR="0033702C" w:rsidRDefault="0033702C" w14:paraId="0A8331D4" w14:textId="77777777">
      <w:pPr>
        <w:spacing w:after="0" w:line="240" w:lineRule="auto"/>
        <w:rPr>
          <w:rFonts w:ascii="Palatino Linotype" w:hAnsi="Palatino Linotype" w:eastAsia="Times New Roman" w:cs="Times New Roman"/>
          <w:kern w:val="0"/>
          <w14:ligatures w14:val="none"/>
        </w:rPr>
      </w:pPr>
    </w:p>
    <w:p w:rsidR="0033702C" w:rsidP="70A937C4" w:rsidRDefault="00000000" w14:paraId="661B3CA6" w14:textId="28EEA5C8">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Decision (D.) 23-12-036, the Commission implemented SB 846 by adopting an Energy Resource Recovery Account-like </w:t>
      </w:r>
      <w:r w:rsidRPr="70A937C4" w:rsidR="7D0C9455">
        <w:rPr>
          <w:rFonts w:ascii="Palatino Linotype" w:hAnsi="Palatino Linotype" w:eastAsia="Times New Roman" w:cs="Times New Roman"/>
        </w:rPr>
        <w:t>review process</w:t>
      </w:r>
      <w:r w:rsidRPr="202192C6">
        <w:rPr>
          <w:rFonts w:ascii="Palatino Linotype" w:hAnsi="Palatino Linotype" w:eastAsia="Times New Roman" w:cs="Times New Roman"/>
        </w:rPr>
        <w:t>, establishing the D</w:t>
      </w:r>
      <w:r w:rsidRPr="202192C6" w:rsidR="143694EB">
        <w:rPr>
          <w:rFonts w:ascii="Palatino Linotype" w:hAnsi="Palatino Linotype" w:eastAsia="Times New Roman" w:cs="Times New Roman"/>
        </w:rPr>
        <w:t>CEOBA</w:t>
      </w:r>
      <w:r w:rsidRPr="202192C6">
        <w:rPr>
          <w:rFonts w:ascii="Palatino Linotype" w:hAnsi="Palatino Linotype" w:eastAsia="Times New Roman" w:cs="Times New Roman"/>
        </w:rPr>
        <w:t xml:space="preserve"> to record DCPP extended operations costs</w:t>
      </w:r>
      <w:r w:rsidRPr="202192C6" w:rsidR="24067B68">
        <w:rPr>
          <w:rFonts w:ascii="Palatino Linotype" w:hAnsi="Palatino Linotype" w:eastAsia="Times New Roman" w:cs="Times New Roman"/>
        </w:rPr>
        <w:t>, and requiring an annual true-up to actual costs and market revenues by advice letter</w:t>
      </w:r>
      <w:r w:rsidRPr="202192C6">
        <w:rPr>
          <w:rFonts w:ascii="Palatino Linotype" w:hAnsi="Palatino Linotype" w:eastAsia="Times New Roman" w:cs="Times New Roman"/>
        </w:rPr>
        <w:t xml:space="preserve">. D.24-12-033 subsequently approved PG&amp;E's forecast of DCPP extended operations costs, authorizing PG&amp;E to recover a </w:t>
      </w:r>
      <w:r w:rsidRPr="202192C6" w:rsidR="4C93377C">
        <w:rPr>
          <w:rFonts w:ascii="Palatino Linotype" w:hAnsi="Palatino Linotype" w:eastAsia="Times New Roman" w:cs="Times New Roman"/>
        </w:rPr>
        <w:t xml:space="preserve">net </w:t>
      </w:r>
      <w:r w:rsidRPr="202192C6">
        <w:rPr>
          <w:rFonts w:ascii="Palatino Linotype" w:hAnsi="Palatino Linotype" w:eastAsia="Times New Roman" w:cs="Times New Roman"/>
        </w:rPr>
        <w:t xml:space="preserve">revenue </w:t>
      </w:r>
      <w:r w:rsidRPr="202192C6">
        <w:rPr>
          <w:rFonts w:ascii="Palatino Linotype" w:hAnsi="Palatino Linotype" w:eastAsia="Times New Roman" w:cs="Times New Roman"/>
        </w:rPr>
        <w:lastRenderedPageBreak/>
        <w:t xml:space="preserve">requirement of $711 million for the period September 1, </w:t>
      </w:r>
      <w:proofErr w:type="gramStart"/>
      <w:r w:rsidRPr="202192C6">
        <w:rPr>
          <w:rFonts w:ascii="Palatino Linotype" w:hAnsi="Palatino Linotype" w:eastAsia="Times New Roman" w:cs="Times New Roman"/>
        </w:rPr>
        <w:t>2023</w:t>
      </w:r>
      <w:proofErr w:type="gramEnd"/>
      <w:r w:rsidRPr="202192C6">
        <w:rPr>
          <w:rFonts w:ascii="Palatino Linotype" w:hAnsi="Palatino Linotype" w:eastAsia="Times New Roman" w:cs="Times New Roman"/>
        </w:rPr>
        <w:t xml:space="preserve"> through </w:t>
      </w:r>
      <w:r w:rsidR="00E11C4D">
        <w:rPr>
          <w:rFonts w:ascii="Palatino Linotype" w:hAnsi="Palatino Linotype" w:eastAsia="Times New Roman" w:cs="Times New Roman"/>
        </w:rPr>
        <w:br/>
      </w:r>
      <w:r w:rsidRPr="202192C6">
        <w:rPr>
          <w:rFonts w:ascii="Palatino Linotype" w:hAnsi="Palatino Linotype" w:eastAsia="Times New Roman" w:cs="Times New Roman"/>
        </w:rPr>
        <w:t>December 31, 2025.</w:t>
      </w:r>
      <w:r w:rsidRPr="202192C6">
        <w:rPr>
          <w:rStyle w:val="FootnoteReference"/>
          <w:rFonts w:ascii="Palatino Linotype" w:hAnsi="Palatino Linotype" w:eastAsia="Times New Roman" w:cs="Times New Roman"/>
        </w:rPr>
        <w:footnoteReference w:id="3"/>
      </w:r>
    </w:p>
    <w:p w:rsidR="0033702C" w:rsidRDefault="0033702C" w14:paraId="3DF293B5" w14:textId="77777777">
      <w:pPr>
        <w:spacing w:after="0" w:line="240" w:lineRule="auto"/>
        <w:rPr>
          <w:rFonts w:ascii="Palatino Linotype" w:hAnsi="Palatino Linotype" w:eastAsia="Times New Roman" w:cs="Times New Roman"/>
          <w:kern w:val="0"/>
          <w14:ligatures w14:val="none"/>
        </w:rPr>
      </w:pPr>
    </w:p>
    <w:p w:rsidR="0033702C" w:rsidRDefault="00000000" w14:paraId="1E1953B5" w14:textId="09484FB1">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On March 18, 2026, PG&amp;E filed Advice Letter (AL) 7860-E, a Tier 3 true-up advice letter, to true-up its recorded DCEOBA costs and market revenues against the Commission-adopted forecast for the 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w:t>
      </w:r>
      <w:proofErr w:type="gramStart"/>
      <w:r w:rsidRPr="5920CFFC">
        <w:rPr>
          <w:rFonts w:ascii="Palatino Linotype" w:hAnsi="Palatino Linotype" w:eastAsia="Times New Roman" w:cs="Times New Roman"/>
        </w:rPr>
        <w:t>2025</w:t>
      </w:r>
      <w:proofErr w:type="gramEnd"/>
      <w:r w:rsidRPr="5920CFFC">
        <w:rPr>
          <w:rFonts w:ascii="Palatino Linotype" w:hAnsi="Palatino Linotype" w:eastAsia="Times New Roman" w:cs="Times New Roman"/>
        </w:rPr>
        <w:t xml:space="preserve"> record period, consistent with SB 846, D.23-12-036, and D.24-12-033.</w:t>
      </w:r>
      <w:r w:rsidRPr="5920CFFC" w:rsidR="6FD90EB9">
        <w:rPr>
          <w:rFonts w:ascii="Palatino Linotype" w:hAnsi="Palatino Linotype" w:eastAsia="Times New Roman" w:cs="Times New Roman"/>
        </w:rPr>
        <w:t xml:space="preserve"> PG&amp;E</w:t>
      </w:r>
      <w:r w:rsidRPr="5920CFFC">
        <w:rPr>
          <w:rFonts w:ascii="Palatino Linotype" w:hAnsi="Palatino Linotype" w:eastAsia="Times New Roman" w:cs="Times New Roman"/>
        </w:rPr>
        <w:t xml:space="preserve"> AL 7860-E also reports </w:t>
      </w:r>
      <w:r w:rsidRPr="5920CFFC" w:rsidR="12046103">
        <w:rPr>
          <w:rFonts w:ascii="Palatino Linotype" w:hAnsi="Palatino Linotype" w:eastAsia="Times New Roman" w:cs="Times New Roman"/>
        </w:rPr>
        <w:t>the company’s</w:t>
      </w:r>
      <w:r w:rsidRPr="5920CFFC">
        <w:rPr>
          <w:rFonts w:ascii="Palatino Linotype" w:hAnsi="Palatino Linotype" w:eastAsia="Times New Roman" w:cs="Times New Roman"/>
        </w:rPr>
        <w:t xml:space="preserve"> 2025 allocation of DCPP's greenhouse gas-free energy attributes to eligible </w:t>
      </w:r>
      <w:proofErr w:type="gramStart"/>
      <w:r w:rsidRPr="5920CFFC">
        <w:rPr>
          <w:rFonts w:ascii="Palatino Linotype" w:hAnsi="Palatino Linotype" w:eastAsia="Times New Roman" w:cs="Times New Roman"/>
        </w:rPr>
        <w:t>load</w:t>
      </w:r>
      <w:proofErr w:type="gramEnd"/>
      <w:r w:rsidRPr="5920CFFC">
        <w:rPr>
          <w:rFonts w:ascii="Palatino Linotype" w:hAnsi="Palatino Linotype" w:eastAsia="Times New Roman" w:cs="Times New Roman"/>
        </w:rPr>
        <w:t>-serving entities, as directed by D.23-12-036. This Resolution disposes of AL 7860-E.</w:t>
      </w:r>
    </w:p>
    <w:p w:rsidR="002403DE" w:rsidRDefault="002403DE" w14:paraId="344BCB8E" w14:textId="77777777">
      <w:pPr>
        <w:spacing w:after="0" w:line="240" w:lineRule="auto"/>
        <w:rPr>
          <w:rFonts w:ascii="Palatino Linotype" w:hAnsi="Palatino Linotype" w:eastAsia="Times New Roman" w:cs="Times New Roman"/>
          <w:kern w:val="0"/>
          <w14:ligatures w14:val="none"/>
        </w:rPr>
      </w:pPr>
    </w:p>
    <w:p w:rsidR="002403DE" w:rsidRDefault="002403DE" w14:paraId="00350E00" w14:textId="6347B61B">
      <w:pPr>
        <w:spacing w:after="0" w:line="240" w:lineRule="auto"/>
        <w:rPr>
          <w:rFonts w:ascii="Palatino Linotype" w:hAnsi="Palatino Linotype" w:eastAsia="Times New Roman" w:cs="Times New Roman"/>
          <w:kern w:val="0"/>
          <w14:ligatures w14:val="none"/>
        </w:rPr>
      </w:pPr>
      <w:r w:rsidRPr="5920CFFC">
        <w:rPr>
          <w:rFonts w:ascii="Palatino Linotype" w:hAnsi="Palatino Linotype" w:eastAsia="Times New Roman" w:cs="Times New Roman"/>
        </w:rPr>
        <w:t xml:space="preserve">On August 5, 2026, PG&amp;E filed substitute sheets for AL </w:t>
      </w:r>
      <w:r w:rsidRPr="5920CFFC" w:rsidR="00920A3D">
        <w:rPr>
          <w:rFonts w:ascii="Palatino Linotype" w:hAnsi="Palatino Linotype" w:eastAsia="Times New Roman" w:cs="Times New Roman"/>
        </w:rPr>
        <w:t>7860-E to correct minor and non</w:t>
      </w:r>
      <w:r w:rsidRPr="5920CFFC" w:rsidR="3BE93529">
        <w:rPr>
          <w:rFonts w:ascii="Palatino Linotype" w:hAnsi="Palatino Linotype" w:eastAsia="Times New Roman" w:cs="Times New Roman"/>
        </w:rPr>
        <w:t>-</w:t>
      </w:r>
      <w:r w:rsidRPr="5920CFFC" w:rsidR="00920A3D">
        <w:rPr>
          <w:rFonts w:ascii="Palatino Linotype" w:hAnsi="Palatino Linotype" w:eastAsia="Times New Roman" w:cs="Times New Roman"/>
        </w:rPr>
        <w:t xml:space="preserve">substantive errors appearing on pages 19, 20 and 21 of the advice </w:t>
      </w:r>
      <w:proofErr w:type="gramStart"/>
      <w:r w:rsidRPr="5920CFFC" w:rsidR="00920A3D">
        <w:rPr>
          <w:rFonts w:ascii="Palatino Linotype" w:hAnsi="Palatino Linotype" w:eastAsia="Times New Roman" w:cs="Times New Roman"/>
        </w:rPr>
        <w:t>letter</w:t>
      </w:r>
      <w:proofErr w:type="gramEnd"/>
      <w:r w:rsidRPr="5920CFFC" w:rsidR="00920A3D">
        <w:rPr>
          <w:rFonts w:ascii="Palatino Linotype" w:hAnsi="Palatino Linotype" w:eastAsia="Times New Roman" w:cs="Times New Roman"/>
        </w:rPr>
        <w:t>. The correction of these errors, which were largely headings for various tables</w:t>
      </w:r>
      <w:r w:rsidRPr="5920CFFC" w:rsidR="3C91B8A3">
        <w:rPr>
          <w:rFonts w:ascii="Palatino Linotype" w:hAnsi="Palatino Linotype" w:eastAsia="Times New Roman" w:cs="Times New Roman"/>
        </w:rPr>
        <w:t>,</w:t>
      </w:r>
      <w:r w:rsidRPr="5920CFFC" w:rsidR="00920A3D">
        <w:rPr>
          <w:rFonts w:ascii="Palatino Linotype" w:hAnsi="Palatino Linotype" w:eastAsia="Times New Roman" w:cs="Times New Roman"/>
        </w:rPr>
        <w:t xml:space="preserve"> do not change the ratemaking or other substantive elements of the advice letter. </w:t>
      </w:r>
      <w:r>
        <w:br/>
      </w:r>
    </w:p>
    <w:p w:rsidRPr="00D03563" w:rsidR="00A76F4A" w:rsidP="00D03563" w:rsidRDefault="00A76F4A" w14:paraId="262A7707" w14:textId="66E177E6">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Notice</w:t>
      </w:r>
    </w:p>
    <w:p w:rsidRPr="00D03563" w:rsidR="00A76F4A" w:rsidP="00A76F4A" w:rsidRDefault="00000000" w14:paraId="78650DD0" w14:textId="4493B589">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Notice of </w:t>
      </w:r>
      <w:r w:rsidRPr="5920CFFC" w:rsidR="43F0CC22">
        <w:rPr>
          <w:rFonts w:ascii="Palatino Linotype" w:hAnsi="Palatino Linotype" w:eastAsia="Times New Roman" w:cs="Times New Roman"/>
        </w:rPr>
        <w:t xml:space="preserve">PG&amp;E </w:t>
      </w:r>
      <w:r w:rsidRPr="5920CFFC">
        <w:rPr>
          <w:rFonts w:ascii="Palatino Linotype" w:hAnsi="Palatino Linotype" w:eastAsia="Times New Roman" w:cs="Times New Roman"/>
        </w:rPr>
        <w:t>AL 7860-E was made by publication in the Commission's Daily Calendar. P</w:t>
      </w:r>
      <w:r w:rsidRPr="5920CFFC" w:rsidR="061439CB">
        <w:rPr>
          <w:rFonts w:ascii="Palatino Linotype" w:hAnsi="Palatino Linotype" w:eastAsia="Times New Roman" w:cs="Times New Roman"/>
        </w:rPr>
        <w:t xml:space="preserve">G&amp;E </w:t>
      </w:r>
      <w:r w:rsidRPr="5920CFFC">
        <w:rPr>
          <w:rFonts w:ascii="Palatino Linotype" w:hAnsi="Palatino Linotype" w:eastAsia="Times New Roman" w:cs="Times New Roman"/>
        </w:rPr>
        <w:t>states that a copy of the Advice Letter was mailed and distributed in accordance with Section 4 of General Order 96-B.</w:t>
      </w:r>
      <w:r>
        <w:br/>
      </w:r>
    </w:p>
    <w:p w:rsidRPr="00D03563" w:rsidR="0033702C" w:rsidP="00D03563" w:rsidRDefault="00A76F4A" w14:paraId="5C4BD32D" w14:textId="2B98F198">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Protests</w:t>
      </w:r>
    </w:p>
    <w:p w:rsidR="0033702C" w:rsidRDefault="1675BED3" w14:paraId="63F13EA9" w14:textId="506E743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PG&amp;E</w:t>
      </w:r>
      <w:r w:rsidRPr="5920CFFC">
        <w:rPr>
          <w:rFonts w:ascii="Palatino Linotype" w:hAnsi="Palatino Linotype" w:eastAsia="Times New Roman" w:cs="Times New Roman"/>
        </w:rPr>
        <w:t>'s A</w:t>
      </w:r>
      <w:r w:rsidRPr="5920CFFC" w:rsidR="41CF3D9E">
        <w:rPr>
          <w:rFonts w:ascii="Palatino Linotype" w:hAnsi="Palatino Linotype" w:eastAsia="Times New Roman" w:cs="Times New Roman"/>
        </w:rPr>
        <w:t>L</w:t>
      </w:r>
      <w:r w:rsidRPr="5920CFFC">
        <w:rPr>
          <w:rFonts w:ascii="Palatino Linotype" w:hAnsi="Palatino Linotype" w:eastAsia="Times New Roman" w:cs="Times New Roman"/>
        </w:rPr>
        <w:t xml:space="preserve"> 7860-E was timely protested by T</w:t>
      </w:r>
      <w:r w:rsidRPr="5920CFFC" w:rsidR="2FB4447E">
        <w:rPr>
          <w:rFonts w:ascii="Palatino Linotype" w:hAnsi="Palatino Linotype" w:eastAsia="Times New Roman" w:cs="Times New Roman"/>
        </w:rPr>
        <w:t>URN</w:t>
      </w:r>
      <w:r w:rsidRPr="5920CFFC">
        <w:rPr>
          <w:rFonts w:ascii="Palatino Linotype" w:hAnsi="Palatino Linotype" w:eastAsia="Times New Roman" w:cs="Times New Roman"/>
        </w:rPr>
        <w:t xml:space="preserve"> on April 7, 2026.</w:t>
      </w:r>
    </w:p>
    <w:p w:rsidR="0033702C" w:rsidRDefault="0033702C" w14:paraId="38FDC704" w14:textId="77777777">
      <w:pPr>
        <w:spacing w:after="0" w:line="240" w:lineRule="auto"/>
        <w:rPr>
          <w:rFonts w:ascii="Palatino Linotype" w:hAnsi="Palatino Linotype" w:eastAsia="Times New Roman" w:cs="Times New Roman"/>
          <w:kern w:val="0"/>
          <w14:ligatures w14:val="none"/>
        </w:rPr>
      </w:pPr>
    </w:p>
    <w:p w:rsidR="0033702C" w:rsidRDefault="00000000" w14:paraId="7AC8B453" w14:textId="54AC8C71">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TURN's protest does not dispute PG&amp;E's underlying recorded costs or revenues. Rather, TURN argues that PG&amp;E's approach of comparing its total recorded DCEOBA costs to its total Commission-adopted forecast to determine whether the 115 percent threshold in </w:t>
      </w:r>
      <w:r w:rsidRPr="202192C6">
        <w:rPr>
          <w:rFonts w:ascii="Palatino Linotype" w:hAnsi="Palatino Linotype" w:eastAsia="Times New Roman" w:cs="Times New Roman"/>
        </w:rPr>
        <w:t xml:space="preserve">Section 712.8(h)(1) has been exceeded is inconsistent with the statute, and that the threshold should instead be applied separately to each individual cost category. TURN contends that PG&amp;E's aggregate approach masks a 10 percent overspend in PG&amp;E's operations and maintenance costs and plant equipment and improvement costs, and that the overall favorable variance PG&amp;E reports is driven largely by a $132.2 million reduction in Resource Adequacy substitution capacity costs resulting from the Commission's separate modification of the Resource Adequacy Market Price </w:t>
      </w:r>
      <w:r w:rsidRPr="202192C6">
        <w:rPr>
          <w:rFonts w:ascii="Palatino Linotype" w:hAnsi="Palatino Linotype" w:eastAsia="Times New Roman" w:cs="Times New Roman"/>
        </w:rPr>
        <w:lastRenderedPageBreak/>
        <w:t xml:space="preserve">Benchmark methodology in D.25-06-049, rather than from any action by PG&amp;E. TURN further argues that costs such as the Liquidated Damages Fund and Fixed Management Fee, which are statutorily fixed or largely non-variable, should not be included in an aggregate comparison because they create additional headroom that could mask overspending on costs within PG&amp;E's control. TURN presented three illustrative scenarios in which operations and maintenance costs exceed the forecast by 30 to </w:t>
      </w:r>
      <w:r w:rsidR="00B20408">
        <w:rPr>
          <w:rFonts w:ascii="Palatino Linotype" w:hAnsi="Palatino Linotype" w:eastAsia="Times New Roman" w:cs="Times New Roman"/>
        </w:rPr>
        <w:br/>
      </w:r>
      <w:r w:rsidRPr="202192C6">
        <w:rPr>
          <w:rFonts w:ascii="Palatino Linotype" w:hAnsi="Palatino Linotype" w:eastAsia="Times New Roman" w:cs="Times New Roman"/>
        </w:rPr>
        <w:t>65 percent, yet the total recorded-to-forecast variance remains below the 115 percent threshold, which TURN argues shows that PG&amp;E's aggregate approach could allow significant imprudent overspending to escape reasonableness review in future years.</w:t>
      </w:r>
    </w:p>
    <w:p w:rsidR="0033702C" w:rsidRDefault="0033702C" w14:paraId="00BAC61F" w14:textId="77777777">
      <w:pPr>
        <w:spacing w:after="0" w:line="240" w:lineRule="auto"/>
        <w:rPr>
          <w:rFonts w:ascii="Palatino Linotype" w:hAnsi="Palatino Linotype" w:eastAsia="Times New Roman" w:cs="Times New Roman"/>
          <w:kern w:val="0"/>
          <w14:ligatures w14:val="none"/>
        </w:rPr>
      </w:pPr>
    </w:p>
    <w:p w:rsidR="0033702C" w:rsidRDefault="00000000" w14:paraId="184F5161" w14:textId="5472AD4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w:t>
      </w:r>
      <w:r w:rsidRPr="5920CFFC" w:rsidR="43C27B0B">
        <w:rPr>
          <w:rFonts w:ascii="Palatino Linotype" w:hAnsi="Palatino Linotype" w:eastAsia="Times New Roman" w:cs="Times New Roman"/>
        </w:rPr>
        <w:t>G&amp;E</w:t>
      </w:r>
      <w:r w:rsidRPr="5920CFFC">
        <w:rPr>
          <w:rFonts w:ascii="Palatino Linotype" w:hAnsi="Palatino Linotype" w:eastAsia="Times New Roman" w:cs="Times New Roman"/>
        </w:rPr>
        <w:t xml:space="preserve"> responded to </w:t>
      </w:r>
      <w:r w:rsidRPr="5920CFFC" w:rsidR="00920A3D">
        <w:rPr>
          <w:rFonts w:ascii="Palatino Linotype" w:hAnsi="Palatino Linotype" w:eastAsia="Times New Roman" w:cs="Times New Roman"/>
        </w:rPr>
        <w:t xml:space="preserve">TURN’s protest on </w:t>
      </w:r>
      <w:r w:rsidRPr="5920CFFC">
        <w:rPr>
          <w:rFonts w:ascii="Palatino Linotype" w:hAnsi="Palatino Linotype" w:eastAsia="Times New Roman" w:cs="Times New Roman"/>
        </w:rPr>
        <w:t>April 14, 2026.</w:t>
      </w:r>
    </w:p>
    <w:p w:rsidR="0033702C" w:rsidRDefault="0033702C" w14:paraId="35F1BFF8" w14:textId="77777777">
      <w:pPr>
        <w:spacing w:after="0" w:line="240" w:lineRule="auto"/>
        <w:rPr>
          <w:rFonts w:ascii="Palatino Linotype" w:hAnsi="Palatino Linotype" w:eastAsia="Times New Roman" w:cs="Times New Roman"/>
          <w:kern w:val="0"/>
          <w14:ligatures w14:val="none"/>
        </w:rPr>
      </w:pPr>
    </w:p>
    <w:p w:rsidR="0033702C" w:rsidRDefault="00000000" w14:paraId="165E683F" w14:textId="4FF6211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its reply, PG&amp;E </w:t>
      </w:r>
      <w:r w:rsidRPr="70A937C4">
        <w:rPr>
          <w:rFonts w:ascii="Palatino Linotype" w:hAnsi="Palatino Linotype" w:eastAsia="Times New Roman" w:cs="Times New Roman"/>
        </w:rPr>
        <w:t xml:space="preserve">maintains that Section 712.8(h)(1) establishes a single threshold based on a comparison of total actual costs to total forecasted costs, and that the statute does not require or authorize a category-by-category application of the 115 percent threshold. PG&amp;E states that even under TURN's proposed category-by-category approach, PG&amp;E's recorded costs remain below the relevant threshold levels for this record period. PG&amp;E further explains that TURN's concern regarding the Resource Adequacy Market Price Benchmark modification is addressed because Advice Letter 7860-E separately demonstrates, using the updated final Market Price Benchmark that is the subject of a pending Petition for Modification in Application 24-03-018, that PG&amp;E's recorded costs remain below the 115 percent threshold. PG&amp;E also argues that an aggregate comparison of total recorded </w:t>
      </w:r>
      <w:r w:rsidRPr="70A937C4" w:rsidR="23C54852">
        <w:rPr>
          <w:rFonts w:ascii="Palatino Linotype" w:hAnsi="Palatino Linotype" w:eastAsia="Times New Roman" w:cs="Times New Roman"/>
        </w:rPr>
        <w:t xml:space="preserve">costs </w:t>
      </w:r>
      <w:r w:rsidRPr="70A937C4">
        <w:rPr>
          <w:rFonts w:ascii="Palatino Linotype" w:hAnsi="Palatino Linotype" w:eastAsia="Times New Roman" w:cs="Times New Roman"/>
        </w:rPr>
        <w:t>to total forecasted costs is consistent with the plain statutory language and with Commission practice in other balancing account mechanisms with reasonableness thresholds, such as the Hydro Licensing Balancing Account.</w:t>
      </w:r>
    </w:p>
    <w:p w:rsidR="0033702C" w:rsidRDefault="0033702C" w14:paraId="3ED1FE45" w14:textId="77777777">
      <w:pPr>
        <w:spacing w:after="0" w:line="240" w:lineRule="auto"/>
        <w:rPr>
          <w:rFonts w:ascii="Palatino Linotype" w:hAnsi="Palatino Linotype" w:eastAsia="Times New Roman" w:cs="Times New Roman"/>
          <w:kern w:val="0"/>
          <w14:ligatures w14:val="none"/>
        </w:rPr>
      </w:pPr>
    </w:p>
    <w:p w:rsidRPr="001942D0" w:rsidR="00A76F4A" w:rsidP="00A76F4A" w:rsidRDefault="00A76F4A" w14:paraId="19147E8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Discussion</w:t>
      </w:r>
    </w:p>
    <w:p w:rsidR="0033702C" w:rsidRDefault="00000000" w14:paraId="4247A6C3" w14:textId="067E8F58">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has reviewed Advice Letter 7860-E, </w:t>
      </w:r>
      <w:r w:rsidRPr="5920CFFC" w:rsidR="715994BF">
        <w:rPr>
          <w:rFonts w:ascii="Palatino Linotype" w:hAnsi="Palatino Linotype" w:eastAsia="Times New Roman" w:cs="Times New Roman"/>
        </w:rPr>
        <w:t>TURN’s protest</w:t>
      </w:r>
      <w:r w:rsidRPr="5920CFFC">
        <w:rPr>
          <w:rFonts w:ascii="Palatino Linotype" w:hAnsi="Palatino Linotype" w:eastAsia="Times New Roman" w:cs="Times New Roman"/>
        </w:rPr>
        <w:t xml:space="preserve">, the reply of </w:t>
      </w:r>
      <w:r w:rsidRPr="5920CFFC" w:rsidR="66AC8688">
        <w:rPr>
          <w:rFonts w:ascii="Palatino Linotype" w:hAnsi="Palatino Linotype" w:eastAsia="Times New Roman" w:cs="Times New Roman"/>
        </w:rPr>
        <w:t>PG&amp;E</w:t>
      </w:r>
      <w:r w:rsidRPr="5920CFFC">
        <w:rPr>
          <w:rFonts w:ascii="Palatino Linotype" w:hAnsi="Palatino Linotype" w:eastAsia="Times New Roman" w:cs="Times New Roman"/>
        </w:rPr>
        <w:t xml:space="preserve">, and finds </w:t>
      </w:r>
      <w:r w:rsidRPr="5920CFFC" w:rsidR="00316934">
        <w:rPr>
          <w:rFonts w:ascii="Palatino Linotype" w:hAnsi="Palatino Linotype" w:eastAsia="Times New Roman" w:cs="Times New Roman"/>
        </w:rPr>
        <w:t>the following:</w:t>
      </w:r>
    </w:p>
    <w:p w:rsidR="0033702C" w:rsidRDefault="0033702C" w14:paraId="51D561E1" w14:textId="77777777">
      <w:pPr>
        <w:spacing w:after="0" w:line="240" w:lineRule="auto"/>
        <w:rPr>
          <w:rFonts w:ascii="Palatino Linotype" w:hAnsi="Palatino Linotype" w:eastAsia="Times New Roman" w:cs="Times New Roman"/>
          <w:kern w:val="0"/>
          <w14:ligatures w14:val="none"/>
        </w:rPr>
      </w:pPr>
    </w:p>
    <w:p w:rsidR="0033702C" w:rsidRDefault="00000000" w14:paraId="0218C2D1" w14:textId="7A94BEF6">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Public Utilities Code Section 712.8(h)(1) directs </w:t>
      </w:r>
      <w:proofErr w:type="gramStart"/>
      <w:r>
        <w:rPr>
          <w:rFonts w:ascii="Palatino Linotype" w:hAnsi="Palatino Linotype" w:eastAsia="Times New Roman" w:cs="Times New Roman"/>
          <w:kern w:val="0"/>
          <w14:ligatures w14:val="none"/>
        </w:rPr>
        <w:t>that DCPP extended operations costs</w:t>
      </w:r>
      <w:proofErr w:type="gramEnd"/>
      <w:r>
        <w:rPr>
          <w:rFonts w:ascii="Palatino Linotype" w:hAnsi="Palatino Linotype" w:eastAsia="Times New Roman" w:cs="Times New Roman"/>
          <w:kern w:val="0"/>
          <w14:ligatures w14:val="none"/>
        </w:rPr>
        <w:t xml:space="preserve"> be trued up annually through an expedited advice letter </w:t>
      </w:r>
      <w:proofErr w:type="gramStart"/>
      <w:r>
        <w:rPr>
          <w:rFonts w:ascii="Palatino Linotype" w:hAnsi="Palatino Linotype" w:eastAsia="Times New Roman" w:cs="Times New Roman"/>
          <w:kern w:val="0"/>
          <w14:ligatures w14:val="none"/>
        </w:rPr>
        <w:t>process, and</w:t>
      </w:r>
      <w:proofErr w:type="gramEnd"/>
      <w:r>
        <w:rPr>
          <w:rFonts w:ascii="Palatino Linotype" w:hAnsi="Palatino Linotype" w:eastAsia="Times New Roman" w:cs="Times New Roman"/>
          <w:kern w:val="0"/>
          <w14:ligatures w14:val="none"/>
        </w:rPr>
        <w:t xml:space="preserve"> specifies that no further reasonableness review of costs incurred is required if actual costs are below </w:t>
      </w:r>
      <w:r w:rsidR="00B20408">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115 percent of the forecasted costs. The statute frames this comparison in terms of undifferentiated actual costs against the forecasted costs, without reference to </w:t>
      </w:r>
      <w:r>
        <w:rPr>
          <w:rFonts w:ascii="Palatino Linotype" w:hAnsi="Palatino Linotype" w:eastAsia="Times New Roman" w:cs="Times New Roman"/>
          <w:kern w:val="0"/>
          <w14:ligatures w14:val="none"/>
        </w:rPr>
        <w:lastRenderedPageBreak/>
        <w:t>individual cost categories, and does not direct that the 115 percent threshold be applied separately to each category of DCPP extended operations costs.</w:t>
      </w:r>
    </w:p>
    <w:p w:rsidR="0033702C" w:rsidRDefault="0033702C" w14:paraId="0AF689BF" w14:textId="77777777">
      <w:pPr>
        <w:spacing w:after="0" w:line="240" w:lineRule="auto"/>
        <w:rPr>
          <w:rFonts w:ascii="Palatino Linotype" w:hAnsi="Palatino Linotype" w:eastAsia="Times New Roman" w:cs="Times New Roman"/>
          <w:kern w:val="0"/>
          <w14:ligatures w14:val="none"/>
        </w:rPr>
      </w:pPr>
    </w:p>
    <w:p w:rsidR="0033702C" w:rsidRDefault="00000000" w14:paraId="2F0F123F" w14:textId="46C93665">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TURN argues that the 115 percent threshold should be applied line-by-line to each individual cost category rather than to PG&amp;E's total recorded costs. The Commission does not adopt TURN's reading. Nothing in the text of Section 712.8(h)(1) </w:t>
      </w:r>
      <w:r w:rsidR="003F2E1F">
        <w:rPr>
          <w:rFonts w:ascii="Palatino Linotype" w:hAnsi="Palatino Linotype" w:eastAsia="Times New Roman" w:cs="Times New Roman"/>
          <w:kern w:val="0"/>
          <w14:ligatures w14:val="none"/>
        </w:rPr>
        <w:t>identifies</w:t>
      </w:r>
      <w:r>
        <w:rPr>
          <w:rFonts w:ascii="Palatino Linotype" w:hAnsi="Palatino Linotype" w:eastAsia="Times New Roman" w:cs="Times New Roman"/>
          <w:kern w:val="0"/>
          <w14:ligatures w14:val="none"/>
        </w:rPr>
        <w:t xml:space="preserve"> </w:t>
      </w:r>
      <w:r w:rsidR="003F2E1F">
        <w:rPr>
          <w:rFonts w:ascii="Palatino Linotype" w:hAnsi="Palatino Linotype" w:eastAsia="Times New Roman" w:cs="Times New Roman"/>
          <w:kern w:val="0"/>
          <w14:ligatures w14:val="none"/>
        </w:rPr>
        <w:t>cost</w:t>
      </w:r>
      <w:r>
        <w:rPr>
          <w:rFonts w:ascii="Palatino Linotype" w:hAnsi="Palatino Linotype" w:eastAsia="Times New Roman" w:cs="Times New Roman"/>
          <w:kern w:val="0"/>
          <w14:ligatures w14:val="none"/>
        </w:rPr>
        <w:t xml:space="preserve"> categories for </w:t>
      </w:r>
      <w:r w:rsidRPr="70A937C4" w:rsidR="50CDF3E2">
        <w:rPr>
          <w:rFonts w:ascii="Palatino Linotype" w:hAnsi="Palatino Linotype" w:eastAsia="Times New Roman" w:cs="Times New Roman"/>
        </w:rPr>
        <w:t xml:space="preserve">a </w:t>
      </w:r>
      <w:r w:rsidRPr="70A937C4">
        <w:rPr>
          <w:rFonts w:ascii="Palatino Linotype" w:hAnsi="Palatino Linotype" w:eastAsia="Times New Roman" w:cs="Times New Roman"/>
        </w:rPr>
        <w:t>separate threshold review</w:t>
      </w:r>
      <w:r w:rsidRPr="70A937C4" w:rsidR="003F2E1F">
        <w:rPr>
          <w:rFonts w:ascii="Palatino Linotype" w:hAnsi="Palatino Linotype" w:eastAsia="Times New Roman" w:cs="Times New Roman"/>
        </w:rPr>
        <w:t xml:space="preserve">. </w:t>
      </w:r>
      <w:r w:rsidRPr="70A937C4">
        <w:rPr>
          <w:rFonts w:ascii="Palatino Linotype" w:hAnsi="Palatino Linotype" w:eastAsia="Times New Roman" w:cs="Times New Roman"/>
        </w:rPr>
        <w:t>PG&amp;E's approach of comparing its total recorded DCEOBA Extended Operations Subaccount costs to its total Commission-adopted forecast, as shown in Advice Letter 7860-E, Table 17 and Table 18, is consistent with the statutory text.</w:t>
      </w:r>
    </w:p>
    <w:p w:rsidR="0033702C" w:rsidRDefault="0033702C" w14:paraId="703BCBA6" w14:textId="77777777">
      <w:pPr>
        <w:spacing w:after="0" w:line="240" w:lineRule="auto"/>
        <w:rPr>
          <w:rFonts w:ascii="Palatino Linotype" w:hAnsi="Palatino Linotype" w:eastAsia="Times New Roman" w:cs="Times New Roman"/>
          <w:kern w:val="0"/>
          <w14:ligatures w14:val="none"/>
        </w:rPr>
      </w:pPr>
    </w:p>
    <w:p w:rsidR="0033702C" w:rsidRDefault="00000000" w14:paraId="410088EB" w14:textId="5A48369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also </w:t>
      </w:r>
      <w:r w:rsidR="00D03563">
        <w:rPr>
          <w:rFonts w:ascii="Palatino Linotype" w:hAnsi="Palatino Linotype" w:eastAsia="Times New Roman" w:cs="Times New Roman"/>
          <w:kern w:val="0"/>
          <w14:ligatures w14:val="none"/>
        </w:rPr>
        <w:t>agrees with</w:t>
      </w:r>
      <w:r>
        <w:rPr>
          <w:rFonts w:ascii="Palatino Linotype" w:hAnsi="Palatino Linotype" w:eastAsia="Times New Roman" w:cs="Times New Roman"/>
          <w:kern w:val="0"/>
          <w14:ligatures w14:val="none"/>
        </w:rPr>
        <w:t xml:space="preserve"> PG&amp;E's </w:t>
      </w:r>
      <w:r w:rsidR="00D03563">
        <w:rPr>
          <w:rFonts w:ascii="Palatino Linotype" w:hAnsi="Palatino Linotype" w:eastAsia="Times New Roman" w:cs="Times New Roman"/>
          <w:kern w:val="0"/>
          <w14:ligatures w14:val="none"/>
        </w:rPr>
        <w:t xml:space="preserve">argument that the </w:t>
      </w:r>
      <w:r>
        <w:rPr>
          <w:rFonts w:ascii="Palatino Linotype" w:hAnsi="Palatino Linotype" w:eastAsia="Times New Roman" w:cs="Times New Roman"/>
          <w:kern w:val="0"/>
          <w14:ligatures w14:val="none"/>
        </w:rPr>
        <w:t xml:space="preserve">aggregate approach </w:t>
      </w:r>
      <w:r w:rsidRPr="70A937C4" w:rsidR="6ED27A0C">
        <w:rPr>
          <w:rFonts w:ascii="Palatino Linotype" w:hAnsi="Palatino Linotype" w:eastAsia="Times New Roman" w:cs="Times New Roman"/>
        </w:rPr>
        <w:t xml:space="preserve">is </w:t>
      </w:r>
      <w:r w:rsidRPr="70A937C4">
        <w:rPr>
          <w:rFonts w:ascii="Palatino Linotype" w:hAnsi="Palatino Linotype" w:eastAsia="Times New Roman" w:cs="Times New Roman"/>
        </w:rPr>
        <w:t xml:space="preserve">consistent with Commission practice </w:t>
      </w:r>
      <w:r w:rsidRPr="70A937C4" w:rsidR="6E49042E">
        <w:rPr>
          <w:rFonts w:ascii="Palatino Linotype" w:hAnsi="Palatino Linotype" w:eastAsia="Times New Roman" w:cs="Times New Roman"/>
        </w:rPr>
        <w:t xml:space="preserve">regarding </w:t>
      </w:r>
      <w:r w:rsidRPr="202192C6">
        <w:rPr>
          <w:rFonts w:ascii="Palatino Linotype" w:hAnsi="Palatino Linotype" w:eastAsia="Times New Roman" w:cs="Times New Roman"/>
        </w:rPr>
        <w:t>other balancing account</w:t>
      </w:r>
      <w:r w:rsidRPr="202192C6" w:rsidR="00D03563">
        <w:rPr>
          <w:rFonts w:ascii="Palatino Linotype" w:hAnsi="Palatino Linotype" w:eastAsia="Times New Roman" w:cs="Times New Roman"/>
        </w:rPr>
        <w:t xml:space="preserve">s </w:t>
      </w:r>
      <w:r w:rsidRPr="202192C6">
        <w:rPr>
          <w:rFonts w:ascii="Palatino Linotype" w:hAnsi="Palatino Linotype" w:eastAsia="Times New Roman" w:cs="Times New Roman"/>
        </w:rPr>
        <w:t xml:space="preserve">that employ a reasonableness-review threshold, such as the Hydro Licensing Balancing Account, in which the Commission compares total actual expenses to total adopted amounts rather than applying the threshold separately to each cost component. </w:t>
      </w:r>
    </w:p>
    <w:p w:rsidR="0033702C" w:rsidRDefault="0033702C" w14:paraId="4C9166ED" w14:textId="77777777">
      <w:pPr>
        <w:spacing w:after="0" w:line="240" w:lineRule="auto"/>
        <w:rPr>
          <w:rFonts w:ascii="Palatino Linotype" w:hAnsi="Palatino Linotype" w:eastAsia="Times New Roman" w:cs="Times New Roman"/>
          <w:kern w:val="0"/>
          <w14:ligatures w14:val="none"/>
        </w:rPr>
      </w:pPr>
    </w:p>
    <w:p w:rsidR="0033702C" w:rsidRDefault="00000000" w14:paraId="01267DD9" w14:textId="34CB620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recognizes TURN's concern that a portion of the favorable variance PG&amp;E reports for the 2023-2025 record period is attributable to the Commission's own modification of the Resource Adequacy Market Price Benchmark methodology in </w:t>
      </w:r>
      <w:r w:rsidR="007465C3">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D.25-06-049, rather than to any action taken by PG&amp;E, and that operations and maintenance costs and plant equipment and improvement costs each exceeded the forecast by approximately 10 percent. The Commission is not persuaded that this record period's variance </w:t>
      </w:r>
      <w:r w:rsidRPr="70A937C4">
        <w:rPr>
          <w:rFonts w:ascii="Palatino Linotype" w:hAnsi="Palatino Linotype" w:eastAsia="Times New Roman" w:cs="Times New Roman"/>
        </w:rPr>
        <w:t>warrant</w:t>
      </w:r>
      <w:r w:rsidRPr="202192C6" w:rsidR="66E086FE">
        <w:rPr>
          <w:rFonts w:ascii="Palatino Linotype" w:hAnsi="Palatino Linotype" w:eastAsia="Times New Roman" w:cs="Times New Roman"/>
        </w:rPr>
        <w:t>s</w:t>
      </w:r>
      <w:r w:rsidRPr="202192C6">
        <w:rPr>
          <w:rFonts w:ascii="Palatino Linotype" w:hAnsi="Palatino Linotype" w:eastAsia="Times New Roman" w:cs="Times New Roman"/>
        </w:rPr>
        <w:t xml:space="preserve"> </w:t>
      </w:r>
      <w:r w:rsidRPr="4AF0E80B">
        <w:rPr>
          <w:rFonts w:ascii="Palatino Linotype" w:hAnsi="Palatino Linotype" w:eastAsia="Times New Roman" w:cs="Times New Roman"/>
        </w:rPr>
        <w:t>departing from</w:t>
      </w:r>
      <w:r w:rsidR="004F5A70">
        <w:rPr>
          <w:rFonts w:ascii="Palatino Linotype" w:hAnsi="Palatino Linotype" w:eastAsia="Times New Roman" w:cs="Times New Roman"/>
        </w:rPr>
        <w:t xml:space="preserve"> a</w:t>
      </w:r>
      <w:r w:rsidRPr="202192C6">
        <w:rPr>
          <w:rFonts w:ascii="Palatino Linotype" w:hAnsi="Palatino Linotype" w:eastAsia="Times New Roman" w:cs="Times New Roman"/>
        </w:rPr>
        <w:t xml:space="preserve"> total-cost comparison. As shown in </w:t>
      </w:r>
      <w:r w:rsidR="007465C3">
        <w:rPr>
          <w:rFonts w:ascii="Palatino Linotype" w:hAnsi="Palatino Linotype" w:eastAsia="Times New Roman" w:cs="Times New Roman"/>
        </w:rPr>
        <w:br/>
      </w:r>
      <w:r w:rsidRPr="202192C6">
        <w:rPr>
          <w:rFonts w:ascii="Palatino Linotype" w:hAnsi="Palatino Linotype" w:eastAsia="Times New Roman" w:cs="Times New Roman"/>
        </w:rPr>
        <w:t xml:space="preserve">Table 19 of Advice Letter 7860-E, even applying the updated final Market Price Benchmark methodology that </w:t>
      </w:r>
      <w:r w:rsidRPr="202192C6" w:rsidR="00DF6B76">
        <w:rPr>
          <w:rFonts w:ascii="Palatino Linotype" w:hAnsi="Palatino Linotype" w:eastAsia="Times New Roman" w:cs="Times New Roman"/>
        </w:rPr>
        <w:t>was</w:t>
      </w:r>
      <w:r w:rsidRPr="202192C6">
        <w:rPr>
          <w:rFonts w:ascii="Palatino Linotype" w:hAnsi="Palatino Linotype" w:eastAsia="Times New Roman" w:cs="Times New Roman"/>
        </w:rPr>
        <w:t xml:space="preserve"> the subject of the </w:t>
      </w:r>
      <w:r w:rsidRPr="202192C6" w:rsidR="00DF6B76">
        <w:rPr>
          <w:rFonts w:ascii="Palatino Linotype" w:hAnsi="Palatino Linotype" w:eastAsia="Times New Roman" w:cs="Times New Roman"/>
        </w:rPr>
        <w:t>then-</w:t>
      </w:r>
      <w:r w:rsidRPr="202192C6">
        <w:rPr>
          <w:rFonts w:ascii="Palatino Linotype" w:hAnsi="Palatino Linotype" w:eastAsia="Times New Roman" w:cs="Times New Roman"/>
        </w:rPr>
        <w:t>pending Petition for Modification in A</w:t>
      </w:r>
      <w:r w:rsidRPr="202192C6" w:rsidR="00DF6B76">
        <w:rPr>
          <w:rFonts w:ascii="Palatino Linotype" w:hAnsi="Palatino Linotype" w:eastAsia="Times New Roman" w:cs="Times New Roman"/>
        </w:rPr>
        <w:t>.</w:t>
      </w:r>
      <w:r w:rsidRPr="202192C6" w:rsidDel="004F5A70">
        <w:rPr>
          <w:rFonts w:ascii="Palatino Linotype" w:hAnsi="Palatino Linotype" w:eastAsia="Times New Roman" w:cs="Times New Roman"/>
        </w:rPr>
        <w:t>24-03-018</w:t>
      </w:r>
      <w:r w:rsidRPr="4AF0E80B">
        <w:rPr>
          <w:rStyle w:val="FootnoteReference"/>
          <w:rFonts w:ascii="Palatino Linotype" w:hAnsi="Palatino Linotype" w:eastAsia="Times New Roman" w:cs="Times New Roman"/>
        </w:rPr>
        <w:footnoteReference w:id="4"/>
      </w:r>
      <w:r w:rsidRPr="4AF0E80B">
        <w:rPr>
          <w:rFonts w:ascii="Palatino Linotype" w:hAnsi="Palatino Linotype" w:eastAsia="Times New Roman" w:cs="Times New Roman"/>
        </w:rPr>
        <w:t xml:space="preserve">, PG&amp;E's total recorded DCEOBA Extended Operations Subaccount costs of approximately $1,224.1 million remain below 115 percent of the corresponding forecast of approximately $1,193.2 million, </w:t>
      </w:r>
      <w:r w:rsidRPr="4AF0E80B" w:rsidR="00D2389E">
        <w:rPr>
          <w:rFonts w:ascii="Palatino Linotype" w:hAnsi="Palatino Linotype" w:eastAsia="Times New Roman" w:cs="Times New Roman"/>
        </w:rPr>
        <w:t>or</w:t>
      </w:r>
      <w:r w:rsidRPr="4AF0E80B">
        <w:rPr>
          <w:rFonts w:ascii="Palatino Linotype" w:hAnsi="Palatino Linotype" w:eastAsia="Times New Roman" w:cs="Times New Roman"/>
        </w:rPr>
        <w:t xml:space="preserve"> $148.1 million</w:t>
      </w:r>
      <w:r w:rsidRPr="4AF0E80B" w:rsidR="00D2389E">
        <w:rPr>
          <w:rFonts w:ascii="Palatino Linotype" w:hAnsi="Palatino Linotype" w:eastAsia="Times New Roman" w:cs="Times New Roman"/>
        </w:rPr>
        <w:t xml:space="preserve"> below the threshold</w:t>
      </w:r>
      <w:r w:rsidRPr="4AF0E80B">
        <w:rPr>
          <w:rFonts w:ascii="Palatino Linotype" w:hAnsi="Palatino Linotype" w:eastAsia="Times New Roman" w:cs="Times New Roman"/>
        </w:rPr>
        <w:t>. The Commission's finding that no further reasonableness review is required for this record period therefore does not depend on which Market Price Benchmark methodology is used.</w:t>
      </w:r>
      <w:r w:rsidRPr="4AF0E80B" w:rsidR="183D3283">
        <w:rPr>
          <w:rFonts w:ascii="Palatino Linotype" w:hAnsi="Palatino Linotype" w:eastAsia="Times New Roman" w:cs="Times New Roman"/>
        </w:rPr>
        <w:t xml:space="preserve"> Moreover, even viewing the cost categories in isolation, the </w:t>
      </w:r>
      <w:r w:rsidRPr="4AF0E80B" w:rsidR="2C68C0A7">
        <w:rPr>
          <w:rFonts w:ascii="Palatino Linotype" w:hAnsi="Palatino Linotype" w:eastAsia="Times New Roman" w:cs="Times New Roman"/>
        </w:rPr>
        <w:t>exceedances</w:t>
      </w:r>
      <w:r w:rsidRPr="4AF0E80B" w:rsidR="183D3283">
        <w:rPr>
          <w:rFonts w:ascii="Palatino Linotype" w:hAnsi="Palatino Linotype" w:eastAsia="Times New Roman" w:cs="Times New Roman"/>
        </w:rPr>
        <w:t xml:space="preserve"> are still below the 115 percent threshold</w:t>
      </w:r>
      <w:r w:rsidRPr="4AF0E80B" w:rsidR="2288E956">
        <w:rPr>
          <w:rFonts w:ascii="Palatino Linotype" w:hAnsi="Palatino Linotype" w:eastAsia="Times New Roman" w:cs="Times New Roman"/>
        </w:rPr>
        <w:t>, and thus</w:t>
      </w:r>
      <w:r w:rsidRPr="4AF0E80B" w:rsidR="48690991">
        <w:rPr>
          <w:rFonts w:ascii="Palatino Linotype" w:hAnsi="Palatino Linotype" w:eastAsia="Times New Roman" w:cs="Times New Roman"/>
        </w:rPr>
        <w:t xml:space="preserve"> even under TURN’s reading, no reasonableness review is triggered. </w:t>
      </w:r>
    </w:p>
    <w:p w:rsidR="0033702C" w:rsidRDefault="0033702C" w14:paraId="3CB6A8F3" w14:textId="77777777">
      <w:pPr>
        <w:spacing w:after="0" w:line="240" w:lineRule="auto"/>
        <w:rPr>
          <w:rFonts w:ascii="Palatino Linotype" w:hAnsi="Palatino Linotype" w:eastAsia="Times New Roman" w:cs="Times New Roman"/>
          <w:kern w:val="0"/>
          <w14:ligatures w14:val="none"/>
        </w:rPr>
      </w:pPr>
    </w:p>
    <w:p w:rsidR="0033702C" w:rsidRDefault="00000000" w14:paraId="467C582E" w14:textId="3F6F85B6">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lastRenderedPageBreak/>
        <w:t xml:space="preserve">The Commission's approval of Advice Letter 7860-E resolves the true-up for the September 1, </w:t>
      </w:r>
      <w:proofErr w:type="gramStart"/>
      <w:r>
        <w:rPr>
          <w:rFonts w:ascii="Palatino Linotype" w:hAnsi="Palatino Linotype" w:eastAsia="Times New Roman" w:cs="Times New Roman"/>
          <w:kern w:val="0"/>
          <w14:ligatures w14:val="none"/>
        </w:rPr>
        <w:t>2023</w:t>
      </w:r>
      <w:proofErr w:type="gramEnd"/>
      <w:r>
        <w:rPr>
          <w:rFonts w:ascii="Palatino Linotype" w:hAnsi="Palatino Linotype" w:eastAsia="Times New Roman" w:cs="Times New Roman"/>
          <w:kern w:val="0"/>
          <w14:ligatures w14:val="none"/>
        </w:rPr>
        <w:t xml:space="preserve"> through December 31, </w:t>
      </w:r>
      <w:proofErr w:type="gramStart"/>
      <w:r>
        <w:rPr>
          <w:rFonts w:ascii="Palatino Linotype" w:hAnsi="Palatino Linotype" w:eastAsia="Times New Roman" w:cs="Times New Roman"/>
          <w:kern w:val="0"/>
          <w14:ligatures w14:val="none"/>
        </w:rPr>
        <w:t>2025</w:t>
      </w:r>
      <w:proofErr w:type="gramEnd"/>
      <w:r>
        <w:rPr>
          <w:rFonts w:ascii="Palatino Linotype" w:hAnsi="Palatino Linotype" w:eastAsia="Times New Roman" w:cs="Times New Roman"/>
          <w:kern w:val="0"/>
          <w14:ligatures w14:val="none"/>
        </w:rPr>
        <w:t xml:space="preserve"> record period only, based on the recorded costs and forecast at issue in this </w:t>
      </w:r>
      <w:r w:rsidR="00D2389E">
        <w:rPr>
          <w:rFonts w:ascii="Palatino Linotype" w:hAnsi="Palatino Linotype" w:eastAsia="Times New Roman" w:cs="Times New Roman"/>
          <w:kern w:val="0"/>
          <w14:ligatures w14:val="none"/>
        </w:rPr>
        <w:t>forecast cycle</w:t>
      </w:r>
      <w:r>
        <w:rPr>
          <w:rFonts w:ascii="Palatino Linotype" w:hAnsi="Palatino Linotype" w:eastAsia="Times New Roman" w:cs="Times New Roman"/>
          <w:kern w:val="0"/>
          <w14:ligatures w14:val="none"/>
        </w:rPr>
        <w:t xml:space="preserve">. </w:t>
      </w:r>
    </w:p>
    <w:p w:rsidR="0033702C" w:rsidRDefault="0033702C" w14:paraId="2B4FC337" w14:textId="77777777">
      <w:pPr>
        <w:spacing w:after="0" w:line="240" w:lineRule="auto"/>
        <w:rPr>
          <w:rFonts w:ascii="Palatino Linotype" w:hAnsi="Palatino Linotype" w:eastAsia="Times New Roman" w:cs="Times New Roman"/>
          <w:kern w:val="0"/>
          <w14:ligatures w14:val="none"/>
        </w:rPr>
      </w:pPr>
    </w:p>
    <w:p w:rsidR="0033702C" w:rsidRDefault="00000000" w14:paraId="2E00DB0A" w14:textId="5B118DE3">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has also reviewed PG&amp;E's recorded 2024 and 2025 costs, including nuclear fuel and working cash, and statutory fees, including liquidated damages, fixed payment, and </w:t>
      </w:r>
      <w:r w:rsidR="004F5A70">
        <w:rPr>
          <w:rFonts w:ascii="Palatino Linotype" w:hAnsi="Palatino Linotype" w:eastAsia="Times New Roman" w:cs="Times New Roman"/>
          <w:kern w:val="0"/>
          <w14:ligatures w14:val="none"/>
        </w:rPr>
        <w:t xml:space="preserve">the </w:t>
      </w:r>
      <w:r>
        <w:rPr>
          <w:rFonts w:ascii="Palatino Linotype" w:hAnsi="Palatino Linotype" w:eastAsia="Times New Roman" w:cs="Times New Roman"/>
          <w:kern w:val="0"/>
          <w14:ligatures w14:val="none"/>
        </w:rPr>
        <w:t xml:space="preserve">volumetric performance fee, recorded to the DCEOBA, together with the associated Volumetric Performance Fee and Fixed Payment revenue escalation true-ups for 2024, and finds them consistent with the Commission's directives in D.23-12-036 and D.24-12-033. </w:t>
      </w:r>
      <w:r w:rsidR="00D2389E">
        <w:rPr>
          <w:rFonts w:ascii="Palatino Linotype" w:hAnsi="Palatino Linotype" w:eastAsia="Times New Roman" w:cs="Times New Roman"/>
          <w:kern w:val="0"/>
          <w14:ligatures w14:val="none"/>
        </w:rPr>
        <w:t>Finally, t</w:t>
      </w:r>
      <w:r>
        <w:rPr>
          <w:rFonts w:ascii="Palatino Linotype" w:hAnsi="Palatino Linotype" w:eastAsia="Times New Roman" w:cs="Times New Roman"/>
          <w:kern w:val="0"/>
          <w14:ligatures w14:val="none"/>
        </w:rPr>
        <w:t>he Commission has reviewed PG&amp;E's allocation of DCPP's greenhouse gas-free energy attributes to 31 eligible load-serving entities for 2025 and finds this allocation consistent with the framework adopted in D.23-12-036 and approved in Advice Letter 7295-E and Advice Letter 7295-E-A. Accordingly, the Commission approves Advice Letter 7860-E and denies TURN's protest.</w:t>
      </w:r>
    </w:p>
    <w:p w:rsidR="0033702C" w:rsidRDefault="0033702C" w14:paraId="71DFE21A" w14:textId="77777777">
      <w:pPr>
        <w:spacing w:after="0" w:line="240" w:lineRule="auto"/>
        <w:rPr>
          <w:rFonts w:ascii="Palatino Linotype" w:hAnsi="Palatino Linotype" w:eastAsia="Times New Roman" w:cs="Times New Roman"/>
          <w:kern w:val="0"/>
          <w14:ligatures w14:val="none"/>
        </w:rPr>
      </w:pPr>
    </w:p>
    <w:p w:rsidRPr="00D2389E" w:rsidR="0033702C" w:rsidP="00D2389E" w:rsidRDefault="00A76F4A" w14:paraId="3F29403F" w14:textId="6D71BDA1">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Comments</w:t>
      </w:r>
    </w:p>
    <w:p w:rsidR="0033702C" w:rsidRDefault="00000000" w14:paraId="2C928C9A"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w:t>
      </w:r>
    </w:p>
    <w:p w:rsidR="0033702C" w:rsidRDefault="0033702C" w14:paraId="0D28B003" w14:textId="77777777">
      <w:pPr>
        <w:spacing w:after="0" w:line="240" w:lineRule="auto"/>
        <w:rPr>
          <w:rFonts w:ascii="Palatino Linotype" w:hAnsi="Palatino Linotype" w:eastAsia="Times New Roman" w:cs="Times New Roman"/>
          <w:kern w:val="0"/>
          <w14:ligatures w14:val="none"/>
        </w:rPr>
      </w:pPr>
    </w:p>
    <w:p w:rsidR="0033702C" w:rsidRDefault="00000000" w14:paraId="6CF5222D" w14:textId="316ECF55">
      <w:pPr>
        <w:spacing w:after="0" w:line="240" w:lineRule="auto"/>
      </w:pPr>
      <w:r>
        <w:rPr>
          <w:rFonts w:ascii="Palatino Linotype" w:hAnsi="Palatino Linotype" w:eastAsia="Times New Roman" w:cs="Times New Roman"/>
          <w:kern w:val="0"/>
          <w14:ligatures w14:val="none"/>
        </w:rPr>
        <w:t>The 30-day review and 20-day comment period for the draft of this resolution was neither waived nor reduced</w:t>
      </w:r>
      <w:r w:rsidRPr="1E5EC423">
        <w:rPr>
          <w:rFonts w:ascii="Palatino Linotype" w:hAnsi="Palatino Linotype" w:eastAsia="Times New Roman" w:cs="Times New Roman"/>
        </w:rPr>
        <w:t>.  Accordingly, this draft resolution was mailed to parties for comments.</w:t>
      </w:r>
    </w:p>
    <w:p w:rsidR="1E5EC423" w:rsidP="1E5EC423" w:rsidRDefault="1E5EC423" w14:paraId="6564812D" w14:textId="11873EB3">
      <w:pPr>
        <w:spacing w:after="0" w:line="240" w:lineRule="auto"/>
        <w:rPr>
          <w:rFonts w:ascii="Palatino Linotype" w:hAnsi="Palatino Linotype" w:eastAsia="Times New Roman" w:cs="Times New Roman"/>
        </w:rPr>
      </w:pPr>
    </w:p>
    <w:p w:rsidR="0033702C" w:rsidRDefault="6D980B21" w14:paraId="78C07EB5" w14:textId="7641AE8E">
      <w:pPr>
        <w:spacing w:after="0" w:line="240" w:lineRule="auto"/>
      </w:pPr>
      <w:r w:rsidRPr="1ECE6C92">
        <w:rPr>
          <w:rFonts w:ascii="Palatino Linotype" w:hAnsi="Palatino Linotype" w:eastAsia="Times New Roman" w:cs="Times New Roman"/>
        </w:rPr>
        <w:t xml:space="preserve">Timely comments on the Draft Resolution were filed by PG&amp;E, TURN, and Californians for Green Nuclear Power (CGNP). Both PG&amp;E </w:t>
      </w:r>
      <w:r w:rsidRPr="1ECE6C92" w:rsidR="68BD9865">
        <w:rPr>
          <w:rFonts w:ascii="Palatino Linotype" w:hAnsi="Palatino Linotype" w:eastAsia="Times New Roman" w:cs="Times New Roman"/>
        </w:rPr>
        <w:t xml:space="preserve">and CGNP </w:t>
      </w:r>
      <w:r w:rsidRPr="1ECE6C92">
        <w:rPr>
          <w:rFonts w:ascii="Palatino Linotype" w:hAnsi="Palatino Linotype" w:eastAsia="Times New Roman" w:cs="Times New Roman"/>
        </w:rPr>
        <w:t xml:space="preserve">noted their support for the Resolution, its analysis and findings. </w:t>
      </w:r>
    </w:p>
    <w:p w:rsidR="0033702C" w:rsidP="1ECE6C92" w:rsidRDefault="0033702C" w14:paraId="63129144" w14:textId="7EE6CA13">
      <w:pPr>
        <w:spacing w:after="0" w:line="240" w:lineRule="auto"/>
        <w:rPr>
          <w:rFonts w:ascii="Palatino Linotype" w:hAnsi="Palatino Linotype" w:eastAsia="Times New Roman" w:cs="Times New Roman"/>
        </w:rPr>
      </w:pPr>
    </w:p>
    <w:p w:rsidR="0033702C" w:rsidP="1ECE6C92" w:rsidRDefault="6D980B21" w14:paraId="0ADB9EB6" w14:textId="68AF94C3">
      <w:pPr>
        <w:spacing w:after="0" w:line="240" w:lineRule="auto"/>
      </w:pPr>
      <w:r w:rsidRPr="1ECE6C92">
        <w:rPr>
          <w:rFonts w:ascii="Palatino Linotype" w:hAnsi="Palatino Linotype" w:eastAsia="Palatino Linotype" w:cs="Palatino Linotype"/>
        </w:rPr>
        <w:t xml:space="preserve">CGNP's comments do not dispute any recorded cost, revenue, or finding in the Resolution; rather, CGNP performs supplemental calculations from figures in the Resolution to argue that DCPP's extended operations represent a favorable cost outcome for ratepayers, deriving an approximate $29.15 per megawatt-hour total cost and an approximate $16.93 per megawatt-hour net cost (after CAISO market revenues) for the September 1, </w:t>
      </w:r>
      <w:proofErr w:type="gramStart"/>
      <w:r w:rsidRPr="1ECE6C92">
        <w:rPr>
          <w:rFonts w:ascii="Palatino Linotype" w:hAnsi="Palatino Linotype" w:eastAsia="Palatino Linotype" w:cs="Palatino Linotype"/>
        </w:rPr>
        <w:t>2023</w:t>
      </w:r>
      <w:proofErr w:type="gramEnd"/>
      <w:r w:rsidRPr="1ECE6C92">
        <w:rPr>
          <w:rFonts w:ascii="Palatino Linotype" w:hAnsi="Palatino Linotype" w:eastAsia="Palatino Linotype" w:cs="Palatino Linotype"/>
        </w:rPr>
        <w:t xml:space="preserve"> through December 31, </w:t>
      </w:r>
      <w:proofErr w:type="gramStart"/>
      <w:r w:rsidRPr="1ECE6C92">
        <w:rPr>
          <w:rFonts w:ascii="Palatino Linotype" w:hAnsi="Palatino Linotype" w:eastAsia="Palatino Linotype" w:cs="Palatino Linotype"/>
        </w:rPr>
        <w:t>2025</w:t>
      </w:r>
      <w:proofErr w:type="gramEnd"/>
      <w:r w:rsidRPr="1ECE6C92">
        <w:rPr>
          <w:rFonts w:ascii="Palatino Linotype" w:hAnsi="Palatino Linotype" w:eastAsia="Palatino Linotype" w:cs="Palatino Linotype"/>
        </w:rPr>
        <w:t xml:space="preserve"> record period. CGNP urges </w:t>
      </w:r>
      <w:r w:rsidRPr="1ECE6C92">
        <w:rPr>
          <w:rFonts w:ascii="Palatino Linotype" w:hAnsi="Palatino Linotype" w:eastAsia="Palatino Linotype" w:cs="Palatino Linotype"/>
        </w:rPr>
        <w:lastRenderedPageBreak/>
        <w:t xml:space="preserve">continued DCPP operations through 2045 consistent with the U.S. Nuclear Regulatory Commission's April 2, </w:t>
      </w:r>
      <w:proofErr w:type="gramStart"/>
      <w:r w:rsidRPr="1ECE6C92">
        <w:rPr>
          <w:rFonts w:ascii="Palatino Linotype" w:hAnsi="Palatino Linotype" w:eastAsia="Palatino Linotype" w:cs="Palatino Linotype"/>
        </w:rPr>
        <w:t>2026</w:t>
      </w:r>
      <w:proofErr w:type="gramEnd"/>
      <w:r w:rsidRPr="1ECE6C92">
        <w:rPr>
          <w:rFonts w:ascii="Palatino Linotype" w:hAnsi="Palatino Linotype" w:eastAsia="Palatino Linotype" w:cs="Palatino Linotype"/>
        </w:rPr>
        <w:t xml:space="preserve"> license renewal. CGNP's comments do not recommend any changes to the Resolution, and no changes have been made in response to CGNP's comments.</w:t>
      </w:r>
    </w:p>
    <w:p w:rsidR="0033702C" w:rsidP="1ECE6C92" w:rsidRDefault="0033702C" w14:paraId="0234D768" w14:textId="20184DE4">
      <w:pPr>
        <w:spacing w:after="0" w:line="240" w:lineRule="auto"/>
        <w:rPr>
          <w:rFonts w:ascii="Palatino Linotype" w:hAnsi="Palatino Linotype" w:eastAsia="Palatino Linotype" w:cs="Palatino Linotype"/>
        </w:rPr>
      </w:pPr>
    </w:p>
    <w:p w:rsidR="0033702C" w:rsidP="1ECE6C92" w:rsidRDefault="6D980B21" w14:paraId="72D4C8E0" w14:textId="586677A6">
      <w:pPr>
        <w:spacing w:after="240" w:line="240" w:lineRule="auto"/>
      </w:pPr>
      <w:r w:rsidRPr="1ECE6C92">
        <w:rPr>
          <w:rFonts w:ascii="Palatino Linotype" w:hAnsi="Palatino Linotype" w:eastAsia="Palatino Linotype" w:cs="Palatino Linotype"/>
        </w:rPr>
        <w:t>TURN does not contest the Resolution's disposition of the 2023–2025 record period. TURN reiterates its protest argument that a total-cost comparison under Public Utilities Code Section 712.8(h)(1) can allow cost reductions in categories outside PG&amp;E's control to offset overspending on operations and maintenance costs within PG&amp;E's control. TURN asks the Commission to clarify that it may depart from a total-cost comparison in future true-up cycles to address significant deviations between forecast and recorded costs within PG&amp;E's direct control, such as during an extended unplanned outage when Volumetric Performance Fees and Fixed Management Fees would decline.</w:t>
      </w:r>
    </w:p>
    <w:p w:rsidR="0033702C" w:rsidP="1ECE6C92" w:rsidRDefault="6D980B21" w14:paraId="0F12FBDD" w14:textId="46CD0E55">
      <w:pPr>
        <w:spacing w:before="240" w:after="240" w:line="240" w:lineRule="auto"/>
        <w:rPr>
          <w:rFonts w:ascii="Palatino Linotype" w:hAnsi="Palatino Linotype" w:eastAsia="Palatino Linotype" w:cs="Palatino Linotype"/>
        </w:rPr>
      </w:pPr>
      <w:r w:rsidRPr="1ECE6C92">
        <w:rPr>
          <w:rFonts w:ascii="Palatino Linotype" w:hAnsi="Palatino Linotype" w:eastAsia="Palatino Linotype" w:cs="Palatino Linotype"/>
        </w:rPr>
        <w:t xml:space="preserve">No changes to the Resolution are necessary to address TURN's comments. The Resolution already limits its approval to </w:t>
      </w:r>
      <w:proofErr w:type="gramStart"/>
      <w:r w:rsidRPr="1ECE6C92">
        <w:rPr>
          <w:rFonts w:ascii="Palatino Linotype" w:hAnsi="Palatino Linotype" w:eastAsia="Palatino Linotype" w:cs="Palatino Linotype"/>
        </w:rPr>
        <w:t>the September</w:t>
      </w:r>
      <w:proofErr w:type="gramEnd"/>
      <w:r w:rsidRPr="1ECE6C92">
        <w:rPr>
          <w:rFonts w:ascii="Palatino Linotype" w:hAnsi="Palatino Linotype" w:eastAsia="Palatino Linotype" w:cs="Palatino Linotype"/>
        </w:rPr>
        <w:t xml:space="preserve"> 1, </w:t>
      </w:r>
      <w:proofErr w:type="gramStart"/>
      <w:r w:rsidRPr="1ECE6C92">
        <w:rPr>
          <w:rFonts w:ascii="Palatino Linotype" w:hAnsi="Palatino Linotype" w:eastAsia="Palatino Linotype" w:cs="Palatino Linotype"/>
        </w:rPr>
        <w:t>2023</w:t>
      </w:r>
      <w:proofErr w:type="gramEnd"/>
      <w:r w:rsidRPr="1ECE6C92">
        <w:rPr>
          <w:rFonts w:ascii="Palatino Linotype" w:hAnsi="Palatino Linotype" w:eastAsia="Palatino Linotype" w:cs="Palatino Linotype"/>
        </w:rPr>
        <w:t xml:space="preserve"> through </w:t>
      </w:r>
      <w:r w:rsidR="00BB4829">
        <w:rPr>
          <w:rFonts w:ascii="Palatino Linotype" w:hAnsi="Palatino Linotype" w:eastAsia="Palatino Linotype" w:cs="Palatino Linotype"/>
        </w:rPr>
        <w:br/>
      </w:r>
      <w:r w:rsidRPr="1ECE6C92">
        <w:rPr>
          <w:rFonts w:ascii="Palatino Linotype" w:hAnsi="Palatino Linotype" w:eastAsia="Palatino Linotype" w:cs="Palatino Linotype"/>
        </w:rPr>
        <w:t xml:space="preserve">December 31, </w:t>
      </w:r>
      <w:proofErr w:type="gramStart"/>
      <w:r w:rsidRPr="1ECE6C92">
        <w:rPr>
          <w:rFonts w:ascii="Palatino Linotype" w:hAnsi="Palatino Linotype" w:eastAsia="Palatino Linotype" w:cs="Palatino Linotype"/>
        </w:rPr>
        <w:t>2025</w:t>
      </w:r>
      <w:proofErr w:type="gramEnd"/>
      <w:r w:rsidRPr="1ECE6C92">
        <w:rPr>
          <w:rFonts w:ascii="Palatino Linotype" w:hAnsi="Palatino Linotype" w:eastAsia="Palatino Linotype" w:cs="Palatino Linotype"/>
        </w:rPr>
        <w:t xml:space="preserve"> record period, based on the recorded costs and forecast at issue. It does not determine </w:t>
      </w:r>
      <w:proofErr w:type="gramStart"/>
      <w:r w:rsidRPr="1ECE6C92">
        <w:rPr>
          <w:rFonts w:ascii="Palatino Linotype" w:hAnsi="Palatino Linotype" w:eastAsia="Palatino Linotype" w:cs="Palatino Linotype"/>
        </w:rPr>
        <w:t>that</w:t>
      </w:r>
      <w:proofErr w:type="gramEnd"/>
      <w:r w:rsidRPr="1ECE6C92">
        <w:rPr>
          <w:rFonts w:ascii="Palatino Linotype" w:hAnsi="Palatino Linotype" w:eastAsia="Palatino Linotype" w:cs="Palatino Linotype"/>
        </w:rPr>
        <w:t xml:space="preserve"> an aggregate cost comparison will necessarily be appropriate in all future record periods or under all possible future cost scenarios, and it does not limit the Commission's authority to examine such questions if a future advice letter presents a materially different factual record.</w:t>
      </w:r>
    </w:p>
    <w:p w:rsidR="0033702C" w:rsidP="1ECE6C92" w:rsidRDefault="0033702C" w14:paraId="132D164E" w14:textId="3860367A">
      <w:pPr>
        <w:spacing w:after="0" w:line="240" w:lineRule="auto"/>
        <w:rPr>
          <w:rFonts w:ascii="Palatino Linotype" w:hAnsi="Palatino Linotype" w:eastAsia="Palatino Linotype" w:cs="Palatino Linotype"/>
          <w:kern w:val="0"/>
          <w14:ligatures w14:val="none"/>
        </w:rPr>
      </w:pPr>
    </w:p>
    <w:p w:rsidRPr="001942D0" w:rsidR="00A76F4A" w:rsidP="00A76F4A" w:rsidRDefault="00A76F4A" w14:paraId="43BD6ED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Findings AND CONCLUSIONS</w:t>
      </w:r>
    </w:p>
    <w:p w:rsidR="0033702C" w:rsidP="1ECE6C92" w:rsidRDefault="35BA55EE" w14:paraId="555263BB" w14:textId="78DD90B0">
      <w:pPr>
        <w:numPr>
          <w:ilvl w:val="0"/>
          <w:numId w:val="1"/>
        </w:numPr>
        <w:spacing w:after="240" w:line="240" w:lineRule="auto"/>
        <w:ind w:left="418" w:hanging="418"/>
        <w:rPr>
          <w:rFonts w:ascii="Palatino Linotype" w:hAnsi="Palatino Linotype" w:eastAsia="Times New Roman" w:cs="Times New Roman"/>
          <w:kern w:val="0"/>
          <w14:ligatures w14:val="none"/>
        </w:rPr>
      </w:pPr>
      <w:r w:rsidRPr="1ECE6C92">
        <w:rPr>
          <w:rFonts w:ascii="Palatino Linotype" w:hAnsi="Palatino Linotype" w:eastAsia="Times New Roman" w:cs="Times New Roman"/>
        </w:rPr>
        <w:t xml:space="preserve">Public Utilities Code Section 712.8(h)(1) </w:t>
      </w:r>
      <w:r w:rsidRPr="1ECE6C92" w:rsidR="0AD859C5">
        <w:rPr>
          <w:rFonts w:ascii="Palatino Linotype" w:hAnsi="Palatino Linotype" w:eastAsia="Times New Roman" w:cs="Times New Roman"/>
        </w:rPr>
        <w:t xml:space="preserve">requires </w:t>
      </w:r>
      <w:r w:rsidRPr="1ECE6C92">
        <w:rPr>
          <w:rFonts w:ascii="Palatino Linotype" w:hAnsi="Palatino Linotype" w:eastAsia="Times New Roman" w:cs="Times New Roman"/>
        </w:rPr>
        <w:t xml:space="preserve">that Diablo Canyon Power Plant extended operations costs be trued up annually through an expedited Tier 3 advice letter </w:t>
      </w:r>
      <w:proofErr w:type="gramStart"/>
      <w:r w:rsidRPr="1ECE6C92">
        <w:rPr>
          <w:rFonts w:ascii="Palatino Linotype" w:hAnsi="Palatino Linotype" w:eastAsia="Times New Roman" w:cs="Times New Roman"/>
        </w:rPr>
        <w:t>process, and</w:t>
      </w:r>
      <w:proofErr w:type="gramEnd"/>
      <w:r w:rsidRPr="1ECE6C92">
        <w:rPr>
          <w:rFonts w:ascii="Palatino Linotype" w:hAnsi="Palatino Linotype" w:eastAsia="Times New Roman" w:cs="Times New Roman"/>
        </w:rPr>
        <w:t xml:space="preserve"> provides that there shall be no further review of the reasonableness of costs incurred if actual costs are below 115 percent of the forecasted costs.</w:t>
      </w:r>
    </w:p>
    <w:p w:rsidR="0033702C" w:rsidP="1ECE6C92" w:rsidRDefault="35BA55EE" w14:paraId="54C8E229" w14:textId="0683300D">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Decision</w:t>
      </w:r>
      <w:r w:rsidRPr="70A937C4" w:rsidR="70539851">
        <w:rPr>
          <w:rFonts w:ascii="Palatino Linotype" w:hAnsi="Palatino Linotype" w:eastAsia="Times New Roman" w:cs="Times New Roman"/>
        </w:rPr>
        <w:t>s</w:t>
      </w:r>
      <w:r w:rsidRPr="70A937C4">
        <w:rPr>
          <w:rFonts w:ascii="Palatino Linotype" w:hAnsi="Palatino Linotype" w:eastAsia="Times New Roman" w:cs="Times New Roman"/>
        </w:rPr>
        <w:t xml:space="preserve"> 23-12-036 and 24-12-033 directed Pacific Gas and Electric Company to file this true-up advice letter and established the Diablo Canyon Extended Operations Balancing Account and the associated Commission-adopted </w:t>
      </w:r>
      <w:r w:rsidRPr="202192C6">
        <w:rPr>
          <w:rFonts w:ascii="Palatino Linotype" w:hAnsi="Palatino Linotype" w:eastAsia="Times New Roman" w:cs="Times New Roman"/>
        </w:rPr>
        <w:t xml:space="preserve">forecast of Diablo Canyon Power Plant extended operations costs for the September 1, </w:t>
      </w:r>
      <w:proofErr w:type="gramStart"/>
      <w:r w:rsidRPr="202192C6">
        <w:rPr>
          <w:rFonts w:ascii="Palatino Linotype" w:hAnsi="Palatino Linotype" w:eastAsia="Times New Roman" w:cs="Times New Roman"/>
        </w:rPr>
        <w:t>2023</w:t>
      </w:r>
      <w:proofErr w:type="gramEnd"/>
      <w:r w:rsidRPr="202192C6">
        <w:rPr>
          <w:rFonts w:ascii="Palatino Linotype" w:hAnsi="Palatino Linotype" w:eastAsia="Times New Roman" w:cs="Times New Roman"/>
        </w:rPr>
        <w:t xml:space="preserve"> through December 31, </w:t>
      </w:r>
      <w:proofErr w:type="gramStart"/>
      <w:r w:rsidRPr="202192C6">
        <w:rPr>
          <w:rFonts w:ascii="Palatino Linotype" w:hAnsi="Palatino Linotype" w:eastAsia="Times New Roman" w:cs="Times New Roman"/>
        </w:rPr>
        <w:t>2025</w:t>
      </w:r>
      <w:proofErr w:type="gramEnd"/>
      <w:r w:rsidRPr="202192C6">
        <w:rPr>
          <w:rFonts w:ascii="Palatino Linotype" w:hAnsi="Palatino Linotype" w:eastAsia="Times New Roman" w:cs="Times New Roman"/>
        </w:rPr>
        <w:t xml:space="preserve"> record period.</w:t>
      </w:r>
    </w:p>
    <w:p w:rsidR="0033702C" w:rsidP="1ECE6C92" w:rsidRDefault="35BA55EE" w14:paraId="439E3BB7" w14:textId="2AF9AD83">
      <w:pPr>
        <w:numPr>
          <w:ilvl w:val="0"/>
          <w:numId w:val="1"/>
        </w:numPr>
        <w:spacing w:after="240" w:line="240" w:lineRule="auto"/>
        <w:ind w:left="418" w:hanging="418"/>
        <w:rPr>
          <w:rFonts w:ascii="Palatino Linotype" w:hAnsi="Palatino Linotype" w:eastAsia="Times New Roman" w:cs="Times New Roman"/>
          <w:kern w:val="0"/>
          <w14:ligatures w14:val="none"/>
        </w:rPr>
      </w:pPr>
      <w:r w:rsidRPr="1ECE6C92">
        <w:rPr>
          <w:rFonts w:ascii="Palatino Linotype" w:hAnsi="Palatino Linotype" w:eastAsia="Times New Roman" w:cs="Times New Roman"/>
        </w:rPr>
        <w:t xml:space="preserve">Pacific Gas and Electric Company's recorded Diablo Canyon Extended Operations Balancing Account Extended Operations Subaccount costs of approximately </w:t>
      </w:r>
      <w:r w:rsidRPr="1ECE6C92">
        <w:rPr>
          <w:rFonts w:ascii="Palatino Linotype" w:hAnsi="Palatino Linotype" w:eastAsia="Times New Roman" w:cs="Times New Roman"/>
        </w:rPr>
        <w:lastRenderedPageBreak/>
        <w:t>$1,224.1 million for the September 1, 2023 through December 31, 2025 record period are below 115 percent of the Commission-adopted forecast of approximately $1,325.4 million, whether that forecast is calculated using the original Resource Adequacy Market Price Benchmark or the updated Market Price Benchmark that is the subject of the pending Petition for Modification in Application 24-03-018.</w:t>
      </w:r>
    </w:p>
    <w:p w:rsidR="0033702C" w:rsidP="1ECE6C92" w:rsidRDefault="35BA55EE" w14:paraId="2865BC4A" w14:textId="75B1B2F8">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No further reasonableness review of Pacific Gas and Electric Company's recorded Diablo Canyon Extended Operations Balancing Account costs for the </w:t>
      </w:r>
      <w:r w:rsidR="00D90F2A">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September 1, </w:t>
      </w:r>
      <w:proofErr w:type="gramStart"/>
      <w:r>
        <w:rPr>
          <w:rFonts w:ascii="Palatino Linotype" w:hAnsi="Palatino Linotype" w:eastAsia="Times New Roman" w:cs="Times New Roman"/>
          <w:kern w:val="0"/>
          <w14:ligatures w14:val="none"/>
        </w:rPr>
        <w:t>2023</w:t>
      </w:r>
      <w:proofErr w:type="gramEnd"/>
      <w:r>
        <w:rPr>
          <w:rFonts w:ascii="Palatino Linotype" w:hAnsi="Palatino Linotype" w:eastAsia="Times New Roman" w:cs="Times New Roman"/>
          <w:kern w:val="0"/>
          <w14:ligatures w14:val="none"/>
        </w:rPr>
        <w:t xml:space="preserve"> through December 31, </w:t>
      </w:r>
      <w:proofErr w:type="gramStart"/>
      <w:r>
        <w:rPr>
          <w:rFonts w:ascii="Palatino Linotype" w:hAnsi="Palatino Linotype" w:eastAsia="Times New Roman" w:cs="Times New Roman"/>
          <w:kern w:val="0"/>
          <w14:ligatures w14:val="none"/>
        </w:rPr>
        <w:t>2025</w:t>
      </w:r>
      <w:proofErr w:type="gramEnd"/>
      <w:r>
        <w:rPr>
          <w:rFonts w:ascii="Palatino Linotype" w:hAnsi="Palatino Linotype" w:eastAsia="Times New Roman" w:cs="Times New Roman"/>
          <w:kern w:val="0"/>
          <w14:ligatures w14:val="none"/>
        </w:rPr>
        <w:t xml:space="preserve"> record period is required under Public Utilities Code Section 712.8(h)(1).</w:t>
      </w:r>
    </w:p>
    <w:p w:rsidR="0033702C" w:rsidP="1ECE6C92" w:rsidRDefault="35BA55EE" w14:paraId="61F5306F" w14:textId="709BAEA0">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protest of The Utility Reform Network, which asks the Commission to apply the 115 percent threshold separately to each individual cost category, </w:t>
      </w:r>
      <w:r w:rsidRPr="1ECE6C92" w:rsidR="564203B0">
        <w:rPr>
          <w:rFonts w:ascii="Palatino Linotype" w:hAnsi="Palatino Linotype" w:eastAsia="Times New Roman" w:cs="Times New Roman"/>
        </w:rPr>
        <w:t>would not affect the disposition of this review and advice letter</w:t>
      </w:r>
      <w:r w:rsidRPr="1ECE6C92" w:rsidR="4FD0A2C0">
        <w:rPr>
          <w:rFonts w:ascii="Palatino Linotype" w:hAnsi="Palatino Linotype" w:eastAsia="Times New Roman" w:cs="Times New Roman"/>
        </w:rPr>
        <w:t xml:space="preserve"> and </w:t>
      </w:r>
      <w:r w:rsidRPr="1ECE6C92" w:rsidR="650D7699">
        <w:rPr>
          <w:rFonts w:ascii="Palatino Linotype" w:hAnsi="Palatino Linotype" w:eastAsia="Times New Roman" w:cs="Times New Roman"/>
        </w:rPr>
        <w:t>TURN’s protest is</w:t>
      </w:r>
      <w:r w:rsidRPr="1ECE6C92" w:rsidR="4FD0A2C0">
        <w:rPr>
          <w:rFonts w:ascii="Palatino Linotype" w:hAnsi="Palatino Linotype" w:eastAsia="Times New Roman" w:cs="Times New Roman"/>
        </w:rPr>
        <w:t xml:space="preserve"> denied</w:t>
      </w:r>
      <w:r w:rsidRPr="1ECE6C92">
        <w:rPr>
          <w:rFonts w:ascii="Palatino Linotype" w:hAnsi="Palatino Linotype" w:eastAsia="Times New Roman" w:cs="Times New Roman"/>
        </w:rPr>
        <w:t>.</w:t>
      </w:r>
    </w:p>
    <w:p w:rsidR="0033702C" w:rsidP="1ECE6C92" w:rsidRDefault="35BA55EE" w14:paraId="164FEC17"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Applying an aggregate comparison of total recorded costs to total forecasted costs to determine whether a reasonableness-review threshold has been triggered is consistent with Commission practice in other balancing account mechanisms, including the Hydro Licensing Balancing Account.</w:t>
      </w:r>
    </w:p>
    <w:p w:rsidR="0033702C" w:rsidP="1ECE6C92" w:rsidRDefault="35BA55EE" w14:paraId="1320F910"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Pacific Gas and Electric Company's recorded 2024 and 2025 costs, including nuclear fuel and working cash, and statutory fees, including liquidated damages, fixed payment, and volumetric performance fee, recorded to the Diablo Canyon Extended Operations Balancing Account, are consistent with the Commission's directives in Decision 23-12-036 and Decision 24-12-033.</w:t>
      </w:r>
    </w:p>
    <w:p w:rsidR="0033702C" w:rsidP="1ECE6C92" w:rsidRDefault="35BA55EE" w14:paraId="72FF91F5"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Volumetric Performance Fee and Fixed Payment revenues, with recorded cumulative escalation values for 2024 as shown in Advice Letter 7860-E, are reasonable.</w:t>
      </w:r>
    </w:p>
    <w:p w:rsidR="0033702C" w:rsidP="1ECE6C92" w:rsidRDefault="35BA55EE" w14:paraId="518F5838"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Pacific Gas and Electric Company's allocation of Diablo Canyon Power Plant's greenhouse gas-free energy attributes to 31 eligible load-serving entities for 2025, as described in Advice Letter 7860-E, is consistent with Decision 23-12-036.</w:t>
      </w:r>
    </w:p>
    <w:p w:rsidR="0033702C" w:rsidP="1ECE6C92" w:rsidRDefault="35BA55EE" w14:paraId="03382BB2"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Advice Letter 7860-E should be approved and the protest of The Utility Reform Network should be denied.</w:t>
      </w:r>
    </w:p>
    <w:p w:rsidR="00D90F2A" w:rsidP="00D90F2A" w:rsidRDefault="00D90F2A" w14:paraId="554B5BA1" w14:textId="77777777">
      <w:pPr>
        <w:spacing w:after="120" w:line="240" w:lineRule="auto"/>
        <w:ind w:left="420"/>
        <w:rPr>
          <w:rFonts w:ascii="Palatino Linotype" w:hAnsi="Palatino Linotype" w:eastAsia="Times New Roman" w:cs="Times New Roman"/>
          <w:kern w:val="0"/>
          <w14:ligatures w14:val="none"/>
        </w:rPr>
      </w:pPr>
    </w:p>
    <w:p w:rsidRPr="00D2389E" w:rsidR="0033702C" w:rsidP="00D2389E" w:rsidRDefault="00A76F4A" w14:paraId="6686E215" w14:textId="6FCEE8DE">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Pr>
          <w:rFonts w:ascii="Palatino Linotype" w:hAnsi="Palatino Linotype" w:eastAsia="Palatino Linotype" w:cs="Times New Roman"/>
          <w:b/>
          <w:caps/>
          <w:kern w:val="28"/>
          <w:u w:val="single"/>
          <w14:ligatures w14:val="none"/>
        </w:rPr>
        <w:lastRenderedPageBreak/>
        <w:t>Therefore</w:t>
      </w:r>
      <w:proofErr w:type="gramEnd"/>
      <w:r>
        <w:rPr>
          <w:rFonts w:ascii="Palatino Linotype" w:hAnsi="Palatino Linotype" w:eastAsia="Palatino Linotype" w:cs="Times New Roman"/>
          <w:b/>
          <w:caps/>
          <w:kern w:val="28"/>
          <w:u w:val="single"/>
          <w14:ligatures w14:val="none"/>
        </w:rPr>
        <w:t xml:space="preserve"> it is ordered that:</w:t>
      </w:r>
    </w:p>
    <w:p w:rsidR="0033702C" w:rsidP="009B30B5" w:rsidRDefault="00000000" w14:paraId="5F9C3D22"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Advice Letter 7860-E, filed by Pacific Gas and Electric Company on March 18, 2026, is approved.</w:t>
      </w:r>
    </w:p>
    <w:p w:rsidR="0033702C" w:rsidP="009B30B5" w:rsidRDefault="00000000" w14:paraId="07E224B6"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Pacific Gas and Electric Company </w:t>
      </w:r>
      <w:proofErr w:type="gramStart"/>
      <w:r>
        <w:rPr>
          <w:rFonts w:ascii="Palatino Linotype" w:hAnsi="Palatino Linotype" w:eastAsia="Times New Roman" w:cs="Times New Roman"/>
          <w:kern w:val="0"/>
          <w14:ligatures w14:val="none"/>
        </w:rPr>
        <w:t>has</w:t>
      </w:r>
      <w:proofErr w:type="gramEnd"/>
      <w:r>
        <w:rPr>
          <w:rFonts w:ascii="Palatino Linotype" w:hAnsi="Palatino Linotype" w:eastAsia="Times New Roman" w:cs="Times New Roman"/>
          <w:kern w:val="0"/>
          <w14:ligatures w14:val="none"/>
        </w:rPr>
        <w:t xml:space="preserve"> met the compliance requirements set forth in Decision 23-12-036 and Decision 24-12-033 for Advice Letter 7860-E.</w:t>
      </w:r>
    </w:p>
    <w:p w:rsidR="0033702C" w:rsidP="009B30B5" w:rsidRDefault="00000000" w14:paraId="09A7080D" w14:textId="27AD624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Pacific Gas and Electric Company's recorded costs </w:t>
      </w:r>
      <w:r w:rsidR="00D2389E">
        <w:rPr>
          <w:rFonts w:ascii="Palatino Linotype" w:hAnsi="Palatino Linotype" w:eastAsia="Times New Roman" w:cs="Times New Roman"/>
          <w:kern w:val="0"/>
          <w14:ligatures w14:val="none"/>
        </w:rPr>
        <w:t>during the record period</w:t>
      </w:r>
      <w:r w:rsidRPr="5920CFFC">
        <w:rPr>
          <w:rFonts w:ascii="Palatino Linotype" w:hAnsi="Palatino Linotype" w:eastAsia="Times New Roman" w:cs="Times New Roman"/>
        </w:rPr>
        <w:t xml:space="preserve"> have not exceeded the 115 percent threshold established in Public Utilities Code Section 712.8(h)(1), and no further reasonableness review of costs during the </w:t>
      </w:r>
      <w:r w:rsidR="0011443A">
        <w:rPr>
          <w:rFonts w:ascii="Palatino Linotype" w:hAnsi="Palatino Linotype" w:eastAsia="Times New Roman" w:cs="Times New Roman"/>
        </w:rPr>
        <w:br/>
      </w:r>
      <w:r w:rsidRPr="5920CFFC">
        <w:rPr>
          <w:rFonts w:ascii="Palatino Linotype" w:hAnsi="Palatino Linotype" w:eastAsia="Times New Roman" w:cs="Times New Roman"/>
        </w:rPr>
        <w:t xml:space="preserve">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w:t>
      </w:r>
      <w:proofErr w:type="gramStart"/>
      <w:r w:rsidRPr="5920CFFC">
        <w:rPr>
          <w:rFonts w:ascii="Palatino Linotype" w:hAnsi="Palatino Linotype" w:eastAsia="Times New Roman" w:cs="Times New Roman"/>
        </w:rPr>
        <w:t>2025</w:t>
      </w:r>
      <w:proofErr w:type="gramEnd"/>
      <w:r w:rsidRPr="5920CFFC">
        <w:rPr>
          <w:rFonts w:ascii="Palatino Linotype" w:hAnsi="Palatino Linotype" w:eastAsia="Times New Roman" w:cs="Times New Roman"/>
        </w:rPr>
        <w:t xml:space="preserve"> record period is required.</w:t>
      </w:r>
    </w:p>
    <w:p w:rsidR="0033702C" w:rsidP="009B30B5" w:rsidRDefault="00000000" w14:paraId="67EC9B75" w14:textId="4A447FF1">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actual recorded </w:t>
      </w:r>
      <w:r w:rsidR="00D2389E">
        <w:rPr>
          <w:rFonts w:ascii="Palatino Linotype" w:hAnsi="Palatino Linotype" w:eastAsia="Times New Roman" w:cs="Times New Roman"/>
          <w:kern w:val="0"/>
          <w14:ligatures w14:val="none"/>
        </w:rPr>
        <w:t xml:space="preserve">record period </w:t>
      </w:r>
      <w:r>
        <w:rPr>
          <w:rFonts w:ascii="Palatino Linotype" w:hAnsi="Palatino Linotype" w:eastAsia="Times New Roman" w:cs="Times New Roman"/>
          <w:kern w:val="0"/>
          <w14:ligatures w14:val="none"/>
        </w:rPr>
        <w:t>costs,</w:t>
      </w:r>
      <w:r w:rsidR="00D2389E">
        <w:rPr>
          <w:rFonts w:ascii="Palatino Linotype" w:hAnsi="Palatino Linotype" w:eastAsia="Times New Roman" w:cs="Times New Roman"/>
          <w:kern w:val="0"/>
          <w14:ligatures w14:val="none"/>
        </w:rPr>
        <w:t xml:space="preserve"> totaling $1.22</w:t>
      </w:r>
      <w:r w:rsidR="003F2E1F">
        <w:rPr>
          <w:rFonts w:ascii="Palatino Linotype" w:hAnsi="Palatino Linotype" w:eastAsia="Times New Roman" w:cs="Times New Roman"/>
          <w:kern w:val="0"/>
          <w14:ligatures w14:val="none"/>
        </w:rPr>
        <w:t xml:space="preserve"> billion,</w:t>
      </w:r>
      <w:r>
        <w:rPr>
          <w:rFonts w:ascii="Palatino Linotype" w:hAnsi="Palatino Linotype" w:eastAsia="Times New Roman" w:cs="Times New Roman"/>
          <w:kern w:val="0"/>
          <w14:ligatures w14:val="none"/>
        </w:rPr>
        <w:t xml:space="preserve"> including nuclear </w:t>
      </w:r>
      <w:r w:rsidRPr="4AF0E80B">
        <w:rPr>
          <w:rFonts w:ascii="Palatino Linotype" w:hAnsi="Palatino Linotype" w:eastAsia="Times New Roman" w:cs="Times New Roman"/>
        </w:rPr>
        <w:t xml:space="preserve">fuel and working cash, and statutory fees, including liquidated damages, fixed payment, and </w:t>
      </w:r>
      <w:r w:rsidR="004F5A70">
        <w:rPr>
          <w:rFonts w:ascii="Palatino Linotype" w:hAnsi="Palatino Linotype" w:eastAsia="Times New Roman" w:cs="Times New Roman"/>
          <w:kern w:val="0"/>
          <w14:ligatures w14:val="none"/>
        </w:rPr>
        <w:t xml:space="preserve">the </w:t>
      </w:r>
      <w:r>
        <w:rPr>
          <w:rFonts w:ascii="Palatino Linotype" w:hAnsi="Palatino Linotype" w:eastAsia="Times New Roman" w:cs="Times New Roman"/>
          <w:kern w:val="0"/>
          <w14:ligatures w14:val="none"/>
        </w:rPr>
        <w:t>volumetric performance fee, recorded to the Diablo Canyon Extended Operations Balancing Account are reasonable. The Volumetric Performance Fee and Fixed Payment revenues, with recorded cumulative escalation values for 2024, are approved.</w:t>
      </w:r>
    </w:p>
    <w:p w:rsidR="0033702C" w:rsidP="009B30B5" w:rsidRDefault="00000000" w14:paraId="7B14D54E"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allocation of greenhouse gas-free attributes from Diablo Canyon Power Plant's extended operations to all eligible load-serving entities, as described in Advice Letter 7860-E, is consistent with Decision 23-12-036 and is approved.</w:t>
      </w:r>
    </w:p>
    <w:p w:rsidR="0033702C" w:rsidRDefault="0033702C" w14:paraId="69481090" w14:textId="77777777">
      <w:pPr>
        <w:spacing w:after="0" w:line="240" w:lineRule="auto"/>
        <w:rPr>
          <w:rFonts w:ascii="Palatino Linotype" w:hAnsi="Palatino Linotype" w:eastAsia="Times New Roman" w:cs="Times New Roman"/>
          <w:kern w:val="0"/>
          <w14:ligatures w14:val="none"/>
        </w:rPr>
      </w:pPr>
    </w:p>
    <w:p w:rsidRPr="001942D0" w:rsidR="00A76F4A" w:rsidP="00A76F4A" w:rsidRDefault="00A76F4A" w14:paraId="0CB04EA4"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This Resolution is effective today.</w:t>
      </w:r>
    </w:p>
    <w:p w:rsidR="00A76F4A" w:rsidP="251370F6" w:rsidRDefault="00A76F4A" w14:paraId="62C59363"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9B30B5" w:rsidRDefault="009B30B5" w14:paraId="50B42471" w14:textId="5F309B6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br w:type="page"/>
      </w:r>
    </w:p>
    <w:p w:rsidR="00A76F4A" w:rsidP="00A76F4A" w:rsidRDefault="00A76F4A" w14:paraId="66C6B7CD"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9E6D6F9" w14:textId="33FC56F0">
      <w:pPr>
        <w:pStyle w:val="10sp0"/>
        <w:spacing w:after="480"/>
        <w:rPr>
          <w:rFonts w:ascii="Palatino Linotype" w:hAnsi="Palatino Linotype"/>
        </w:rPr>
      </w:pPr>
      <w:r>
        <w:rPr>
          <w:rFonts w:ascii="Palatino Linotype" w:hAnsi="Palatino Linotype"/>
        </w:rPr>
        <w:t xml:space="preserve">The foregoing resolution was duly introduced, passed and adopted at a conference of the Public Utilities Commission of the State of California held </w:t>
      </w:r>
      <w:r w:rsidRPr="009B30B5">
        <w:rPr>
          <w:rFonts w:ascii="Palatino Linotype" w:hAnsi="Palatino Linotype"/>
        </w:rPr>
        <w:t xml:space="preserve">on </w:t>
      </w:r>
      <w:r w:rsidR="009B30B5">
        <w:rPr>
          <w:rFonts w:ascii="Palatino Linotype" w:hAnsi="Palatino Linotype"/>
        </w:rPr>
        <w:t>October 8, 2026</w:t>
      </w:r>
      <w:r w:rsidRPr="009B30B5">
        <w:rPr>
          <w:rFonts w:ascii="Palatino Linotype" w:hAnsi="Palatino Linotype"/>
        </w:rPr>
        <w:t>;</w:t>
      </w:r>
      <w:r>
        <w:rPr>
          <w:rFonts w:ascii="Palatino Linotype" w:hAnsi="Palatino Linotype"/>
        </w:rPr>
        <w:t xml:space="preserve"> the following Commissioners voting favorably thereon:</w:t>
      </w:r>
    </w:p>
    <w:p w:rsidRPr="001942D0" w:rsidR="00A76F4A" w:rsidP="4B8EF7B2" w:rsidRDefault="542AC687" w14:paraId="17D1D2B8" w14:textId="77777777">
      <w:pPr>
        <w:keepNext/>
        <w:tabs>
          <w:tab w:val="left" w:pos="720"/>
          <w:tab w:val="left" w:pos="1296"/>
          <w:tab w:val="left" w:pos="2016"/>
          <w:tab w:val="left" w:pos="2736"/>
          <w:tab w:val="left" w:pos="3456"/>
          <w:tab w:val="left" w:pos="4176"/>
          <w:tab w:val="left" w:pos="5760"/>
        </w:tabs>
        <w:spacing w:after="0" w:line="240" w:lineRule="auto"/>
        <w:ind w:firstLine="4176"/>
        <w:rPr>
          <w:rFonts w:ascii="Palatino Linotype" w:hAnsi="Palatino Linotype" w:eastAsia="Palatino Linotype" w:cs="Times New Roman"/>
        </w:rPr>
      </w:pPr>
      <w:r>
        <w:rPr>
          <w:rFonts w:ascii="Palatino Linotype" w:hAnsi="Palatino Linotype" w:eastAsia="Palatino Linotype" w:cs="Times New Roman"/>
        </w:rPr>
        <w:t xml:space="preserve">Commissioner Signature blocks to be added </w:t>
      </w:r>
    </w:p>
    <w:p w:rsidRPr="001942D0" w:rsidR="00A76F4A" w:rsidP="4B8EF7B2" w:rsidRDefault="542AC687" w14:paraId="678DA286" w14:textId="77777777">
      <w:pPr>
        <w:keepNext/>
        <w:tabs>
          <w:tab w:val="left" w:pos="720"/>
          <w:tab w:val="left" w:pos="1296"/>
          <w:tab w:val="left" w:pos="2016"/>
          <w:tab w:val="left" w:pos="2736"/>
          <w:tab w:val="left" w:pos="3456"/>
          <w:tab w:val="left" w:pos="4176"/>
          <w:tab w:val="left" w:pos="5760"/>
        </w:tabs>
        <w:spacing w:after="0" w:line="240" w:lineRule="auto"/>
        <w:ind w:firstLine="4176"/>
        <w:rPr>
          <w:rFonts w:ascii="Palatino Linotype" w:hAnsi="Palatino Linotype" w:eastAsia="Palatino Linotype" w:cs="Times New Roman"/>
        </w:rPr>
      </w:pPr>
      <w:r>
        <w:rPr>
          <w:rFonts w:ascii="Palatino Linotype" w:hAnsi="Palatino Linotype" w:eastAsia="Palatino Linotype" w:cs="Times New Roman"/>
        </w:rPr>
        <w:t>upon adoption of the resolution</w:t>
      </w:r>
    </w:p>
    <w:p w:rsidRPr="001942D0" w:rsidR="00A76F4A" w:rsidP="00A76F4A" w:rsidRDefault="00A76F4A" w14:paraId="3FA0EC09"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1B8BEAB1"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A76F4A" w:rsidRDefault="00A76F4A" w14:paraId="61B73E79" w14:textId="6082DB45">
      <w:pPr>
        <w:keepNext/>
        <w:spacing w:after="0" w:line="240" w:lineRule="auto"/>
        <w:rPr>
          <w:rFonts w:ascii="Palatino Linotype" w:hAnsi="Palatino Linotype" w:eastAsia="Palatino Linotype" w:cs="Times New Roman"/>
        </w:rPr>
      </w:pPr>
      <w:r>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Pr>
          <w:rFonts w:ascii="Palatino Linotype" w:hAnsi="Palatino Linotype" w:eastAsia="Palatino Linotype" w:cs="Times New Roman"/>
        </w:rPr>
        <w:t>,</w:t>
      </w:r>
      <w:proofErr w:type="gramEnd"/>
      <w:r>
        <w:rPr>
          <w:rFonts w:ascii="Palatino Linotype" w:hAnsi="Palatino Linotype" w:eastAsia="Palatino Linotype" w:cs="Times New Roman"/>
        </w:rPr>
        <w:t xml:space="preserve"> at &lt;Voting meeting location&gt;, California</w:t>
      </w:r>
      <w:r>
        <w:tab/>
      </w:r>
    </w:p>
    <w:p w:rsidR="00A76F4A" w:rsidP="00A76F4A" w:rsidRDefault="00A76F4A" w14:paraId="4DE48E4F" w14:textId="77777777">
      <w:pPr>
        <w:keepNext/>
        <w:spacing w:after="0" w:line="240" w:lineRule="auto"/>
        <w:rPr>
          <w:rFonts w:ascii="Palatino Linotype" w:hAnsi="Palatino Linotype" w:eastAsia="Palatino Linotype" w:cs="Times New Roman"/>
        </w:rPr>
      </w:pPr>
    </w:p>
    <w:p w:rsidR="00A76F4A" w:rsidP="00A76F4A" w:rsidRDefault="00A76F4A" w14:paraId="54344B2F" w14:textId="77777777">
      <w:pPr>
        <w:keepNext/>
        <w:spacing w:after="0" w:line="240" w:lineRule="auto"/>
        <w:rPr>
          <w:rFonts w:ascii="Palatino Linotype" w:hAnsi="Palatino Linotype" w:eastAsia="Palatino Linotype" w:cs="Times New Roman"/>
        </w:rPr>
      </w:pPr>
    </w:p>
    <w:p w:rsidR="00A76F4A" w:rsidP="00A76F4A" w:rsidRDefault="00A76F4A" w14:paraId="753525C9" w14:textId="77777777">
      <w:pPr>
        <w:keepNext/>
        <w:spacing w:after="0" w:line="240" w:lineRule="auto"/>
        <w:rPr>
          <w:rFonts w:ascii="Palatino Linotype" w:hAnsi="Palatino Linotype" w:eastAsia="Palatino Linotype" w:cs="Times New Roman"/>
        </w:rPr>
      </w:pPr>
    </w:p>
    <w:p w:rsidR="00A76F4A" w:rsidP="00A76F4A" w:rsidRDefault="00A76F4A" w14:paraId="12F77673" w14:textId="77777777">
      <w:pPr>
        <w:keepNext/>
        <w:spacing w:after="0" w:line="240" w:lineRule="auto"/>
        <w:rPr>
          <w:rFonts w:ascii="Palatino Linotype" w:hAnsi="Palatino Linotype" w:eastAsia="Palatino Linotype" w:cs="Times New Roman"/>
        </w:rPr>
      </w:pPr>
    </w:p>
    <w:p w:rsidR="00A76F4A" w:rsidP="00E851DF" w:rsidRDefault="00A76F4A" w14:paraId="3A87D8F1"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9fbafed7bd2f4847">
        <w:r w:rsidRPr="00CB1292">
          <w:rPr>
            <w:rStyle w:val="Hyperlink"/>
            <w:color w:val="2E74B5" w:themeColor="accent1" w:themeShade="BF"/>
            <w:u w:val="single"/>
          </w:rPr>
          <w:t>E-5483 Draft Agenda Resolution (PG&amp;E AL 7860-E)(Redline)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D5C6B" w14:textId="77777777" w:rsidR="0083196F" w:rsidRDefault="0083196F" w:rsidP="00A76F4A">
      <w:pPr>
        <w:spacing w:after="0" w:line="240" w:lineRule="auto"/>
      </w:pPr>
      <w:r>
        <w:separator/>
      </w:r>
    </w:p>
  </w:endnote>
  <w:endnote w:type="continuationSeparator" w:id="0">
    <w:p w14:paraId="222C3B0A" w14:textId="77777777" w:rsidR="0083196F" w:rsidRDefault="0083196F" w:rsidP="00A76F4A">
      <w:pPr>
        <w:spacing w:after="0" w:line="240" w:lineRule="auto"/>
      </w:pPr>
      <w:r>
        <w:continuationSeparator/>
      </w:r>
    </w:p>
  </w:endnote>
  <w:endnote w:type="continuationNotice" w:id="1">
    <w:p w14:paraId="0E76426E" w14:textId="77777777" w:rsidR="0083196F" w:rsidRDefault="008319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315C85FD" w14:textId="77777777"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2BF865C9" w14:textId="79815BD4" w:rsidR="004A7A4C" w:rsidRPr="004A7A4C" w:rsidRDefault="004A6EAD" w:rsidP="004A7A4C">
        <w:pPr>
          <w:pStyle w:val="Footer"/>
          <w:rPr>
            <w:rFonts w:ascii="Palatino Linotype" w:hAnsi="Palatino Linotype"/>
          </w:rPr>
        </w:pPr>
        <w:r w:rsidRPr="004A6EAD">
          <w:rPr>
            <w:rFonts w:ascii="Tahoma" w:hAnsi="Tahoma" w:cs="Tahoma"/>
            <w:sz w:val="16"/>
            <w:szCs w:val="22"/>
          </w:rPr>
          <w:t>622778227</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2C6CB" w14:textId="77777777" w:rsidR="0083196F" w:rsidRDefault="0083196F" w:rsidP="00A76F4A">
      <w:pPr>
        <w:spacing w:after="0" w:line="240" w:lineRule="auto"/>
      </w:pPr>
      <w:r>
        <w:separator/>
      </w:r>
    </w:p>
  </w:footnote>
  <w:footnote w:type="continuationSeparator" w:id="0">
    <w:p w14:paraId="0057E2E0" w14:textId="77777777" w:rsidR="0083196F" w:rsidRDefault="0083196F" w:rsidP="00A76F4A">
      <w:pPr>
        <w:spacing w:after="0" w:line="240" w:lineRule="auto"/>
      </w:pPr>
      <w:r>
        <w:continuationSeparator/>
      </w:r>
    </w:p>
  </w:footnote>
  <w:footnote w:type="continuationNotice" w:id="1">
    <w:p w14:paraId="1DE60342" w14:textId="77777777" w:rsidR="0083196F" w:rsidRDefault="0083196F">
      <w:pPr>
        <w:spacing w:after="0" w:line="240" w:lineRule="auto"/>
      </w:pPr>
    </w:p>
  </w:footnote>
  <w:footnote w:id="2">
    <w:p w14:paraId="32CD613F" w14:textId="6A36E530" w:rsidR="70A937C4" w:rsidRPr="00345FA3" w:rsidRDefault="70A937C4" w:rsidP="202192C6">
      <w:pPr>
        <w:pStyle w:val="FootnoteText"/>
        <w:rPr>
          <w:rFonts w:ascii="Palatino Linotype" w:hAnsi="Palatino Linotype"/>
        </w:rPr>
      </w:pPr>
      <w:r w:rsidRPr="00345FA3">
        <w:rPr>
          <w:rStyle w:val="FootnoteReference"/>
          <w:rFonts w:ascii="Palatino Linotype" w:hAnsi="Palatino Linotype"/>
        </w:rPr>
        <w:footnoteRef/>
      </w:r>
      <w:r w:rsidR="202192C6" w:rsidRPr="00345FA3">
        <w:rPr>
          <w:rFonts w:ascii="Palatino Linotype" w:hAnsi="Palatino Linotype"/>
        </w:rPr>
        <w:t xml:space="preserve"> All statutory references are to the Public Utilities Code, unless otherwise noted.</w:t>
      </w:r>
    </w:p>
  </w:footnote>
  <w:footnote w:id="3">
    <w:p w14:paraId="5F0AFBA6" w14:textId="07311944" w:rsidR="202192C6" w:rsidRPr="00345FA3" w:rsidRDefault="202192C6" w:rsidP="202192C6">
      <w:pPr>
        <w:pStyle w:val="FootnoteText"/>
        <w:rPr>
          <w:rFonts w:ascii="Palatino Linotype" w:hAnsi="Palatino Linotype"/>
        </w:rPr>
      </w:pPr>
      <w:r w:rsidRPr="00345FA3">
        <w:rPr>
          <w:rStyle w:val="FootnoteReference"/>
          <w:rFonts w:ascii="Palatino Linotype" w:hAnsi="Palatino Linotype"/>
        </w:rPr>
        <w:footnoteRef/>
      </w:r>
      <w:r w:rsidRPr="00345FA3">
        <w:rPr>
          <w:rFonts w:ascii="Palatino Linotype" w:hAnsi="Palatino Linotype"/>
        </w:rPr>
        <w:t xml:space="preserve"> The authorized revenue requirement reflects a reduction against total costs for expected CAIO market revenues from DCPP sales.</w:t>
      </w:r>
    </w:p>
  </w:footnote>
  <w:footnote w:id="4">
    <w:p w14:paraId="79F3A040" w14:textId="6B19AA3A" w:rsidR="00DF6B76" w:rsidRPr="00345FA3" w:rsidRDefault="00DF6B76">
      <w:pPr>
        <w:pStyle w:val="FootnoteText"/>
        <w:rPr>
          <w:rFonts w:ascii="Palatino Linotype" w:hAnsi="Palatino Linotype"/>
        </w:rPr>
      </w:pPr>
      <w:r w:rsidRPr="00345FA3">
        <w:rPr>
          <w:rStyle w:val="FootnoteReference"/>
          <w:rFonts w:ascii="Palatino Linotype" w:hAnsi="Palatino Linotype"/>
        </w:rPr>
        <w:footnoteRef/>
      </w:r>
      <w:r w:rsidRPr="00345FA3">
        <w:rPr>
          <w:rFonts w:ascii="Palatino Linotype" w:hAnsi="Palatino Linotype"/>
        </w:rPr>
        <w:t xml:space="preserve"> </w:t>
      </w:r>
      <w:r w:rsidRPr="00345FA3">
        <w:rPr>
          <w:rFonts w:ascii="Palatino Linotype" w:eastAsia="Times New Roman" w:hAnsi="Palatino Linotype" w:cs="Times New Roman"/>
          <w:kern w:val="0"/>
          <w14:ligatures w14:val="none"/>
        </w:rPr>
        <w:t xml:space="preserve">The Petition for Modification in A.24-03-018 adopted the use of final Market Price Benchmarks for all review advice letters going forward. The Commission adopted this change </w:t>
      </w:r>
      <w:proofErr w:type="gramStart"/>
      <w:r w:rsidRPr="00345FA3">
        <w:rPr>
          <w:rFonts w:ascii="Palatino Linotype" w:eastAsia="Times New Roman" w:hAnsi="Palatino Linotype" w:cs="Times New Roman"/>
          <w:kern w:val="0"/>
          <w14:ligatures w14:val="none"/>
        </w:rPr>
        <w:t>in</w:t>
      </w:r>
      <w:proofErr w:type="gramEnd"/>
      <w:r w:rsidRPr="00345FA3">
        <w:rPr>
          <w:rFonts w:ascii="Palatino Linotype" w:eastAsia="Times New Roman" w:hAnsi="Palatino Linotype" w:cs="Times New Roman"/>
          <w:kern w:val="0"/>
          <w14:ligatures w14:val="none"/>
        </w:rPr>
        <w:t xml:space="preserve"> D.26-05-009.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5AEB" w14:textId="05247AD5"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967D46">
      <w:rPr>
        <w:rFonts w:ascii="Palatino Linotype" w:hAnsi="Palatino Linotype"/>
      </w:rPr>
      <w:t>E-5483</w:t>
    </w:r>
    <w:r w:rsidR="008213BB">
      <w:tab/>
    </w:r>
    <w:r w:rsidRPr="56DF6A51">
      <w:rPr>
        <w:rFonts w:ascii="Palatino Linotype" w:hAnsi="Palatino Linotype"/>
      </w:rPr>
      <w:t>DRAFT</w:t>
    </w:r>
    <w:r w:rsidR="008213BB">
      <w:tab/>
    </w:r>
    <w:r w:rsidR="00967D46">
      <w:rPr>
        <w:rFonts w:ascii="Palatino Linotype" w:hAnsi="Palatino Linotype"/>
      </w:rPr>
      <w:t>October 8, 2026</w:t>
    </w:r>
  </w:p>
  <w:p w14:paraId="5DCEC2D6" w14:textId="226EC92F" w:rsidR="008213BB" w:rsidRDefault="007B0189" w:rsidP="00CA3D13">
    <w:pPr>
      <w:pStyle w:val="Header"/>
      <w:rPr>
        <w:rFonts w:ascii="Palatino Linotype" w:hAnsi="Palatino Linotype"/>
      </w:rPr>
    </w:pPr>
    <w:r>
      <w:rPr>
        <w:rFonts w:ascii="Palatino Linotype" w:hAnsi="Palatino Linotype"/>
      </w:rPr>
      <w:t>PG</w:t>
    </w:r>
    <w:r w:rsidR="00F630C8">
      <w:rPr>
        <w:rFonts w:ascii="Palatino Linotype" w:hAnsi="Palatino Linotype"/>
      </w:rPr>
      <w:t>&amp;</w:t>
    </w:r>
    <w:r>
      <w:rPr>
        <w:rFonts w:ascii="Palatino Linotype" w:hAnsi="Palatino Linotype"/>
      </w:rPr>
      <w:t xml:space="preserve">E </w:t>
    </w:r>
    <w:r w:rsidR="008213BB">
      <w:rPr>
        <w:rFonts w:ascii="Palatino Linotype" w:hAnsi="Palatino Linotype"/>
      </w:rPr>
      <w:t>AL</w:t>
    </w:r>
    <w:r w:rsidR="00565F65">
      <w:rPr>
        <w:rFonts w:ascii="Palatino Linotype" w:hAnsi="Palatino Linotype"/>
      </w:rPr>
      <w:t xml:space="preserve"> 7860-E</w:t>
    </w:r>
    <w:r w:rsidR="00F630C8">
      <w:rPr>
        <w:rFonts w:ascii="Palatino Linotype" w:hAnsi="Palatino Linotype"/>
      </w:rPr>
      <w:t>/</w:t>
    </w:r>
    <w:r w:rsidR="009705AB">
      <w:rPr>
        <w:rFonts w:ascii="Palatino Linotype" w:hAnsi="Palatino Linotype"/>
      </w:rPr>
      <w:t>JW3</w:t>
    </w:r>
  </w:p>
  <w:p w14:paraId="644011C1" w14:textId="77777777" w:rsidR="00345FA3" w:rsidRPr="002A1AD8" w:rsidRDefault="00345FA3" w:rsidP="00345FA3">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459DF" w14:textId="777777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E385655"/>
    <w:multiLevelType w:val="hybridMultilevel"/>
    <w:tmpl w:val="56DA7160"/>
    <w:lvl w:ilvl="0" w:tplc="0922993E">
      <w:start w:val="1"/>
      <w:numFmt w:val="decimal"/>
      <w:lvlText w:val="%1."/>
      <w:lvlJc w:val="left"/>
      <w:pPr>
        <w:ind w:left="720" w:hanging="360"/>
      </w:pPr>
    </w:lvl>
    <w:lvl w:ilvl="1" w:tplc="5114F3E6">
      <w:start w:val="1"/>
      <w:numFmt w:val="lowerLetter"/>
      <w:lvlText w:val="%2."/>
      <w:lvlJc w:val="left"/>
      <w:pPr>
        <w:ind w:left="1440" w:hanging="360"/>
      </w:pPr>
    </w:lvl>
    <w:lvl w:ilvl="2" w:tplc="5AA2951C">
      <w:start w:val="1"/>
      <w:numFmt w:val="lowerRoman"/>
      <w:lvlText w:val="%3."/>
      <w:lvlJc w:val="right"/>
      <w:pPr>
        <w:ind w:left="2160" w:hanging="180"/>
      </w:pPr>
    </w:lvl>
    <w:lvl w:ilvl="3" w:tplc="D7C8CE9E">
      <w:start w:val="1"/>
      <w:numFmt w:val="decimal"/>
      <w:lvlText w:val="%4."/>
      <w:lvlJc w:val="left"/>
      <w:pPr>
        <w:ind w:left="2880" w:hanging="360"/>
      </w:pPr>
    </w:lvl>
    <w:lvl w:ilvl="4" w:tplc="3D9C154E">
      <w:start w:val="1"/>
      <w:numFmt w:val="lowerLetter"/>
      <w:lvlText w:val="%5."/>
      <w:lvlJc w:val="left"/>
      <w:pPr>
        <w:ind w:left="3600" w:hanging="360"/>
      </w:pPr>
    </w:lvl>
    <w:lvl w:ilvl="5" w:tplc="A2E6BB4E">
      <w:start w:val="1"/>
      <w:numFmt w:val="lowerRoman"/>
      <w:lvlText w:val="%6."/>
      <w:lvlJc w:val="right"/>
      <w:pPr>
        <w:ind w:left="4320" w:hanging="180"/>
      </w:pPr>
    </w:lvl>
    <w:lvl w:ilvl="6" w:tplc="4E72EB34">
      <w:start w:val="1"/>
      <w:numFmt w:val="decimal"/>
      <w:lvlText w:val="%7."/>
      <w:lvlJc w:val="left"/>
      <w:pPr>
        <w:ind w:left="5040" w:hanging="360"/>
      </w:pPr>
    </w:lvl>
    <w:lvl w:ilvl="7" w:tplc="E74AA00A">
      <w:start w:val="1"/>
      <w:numFmt w:val="lowerLetter"/>
      <w:lvlText w:val="%8."/>
      <w:lvlJc w:val="left"/>
      <w:pPr>
        <w:ind w:left="5760" w:hanging="360"/>
      </w:pPr>
    </w:lvl>
    <w:lvl w:ilvl="8" w:tplc="2156338E">
      <w:start w:val="1"/>
      <w:numFmt w:val="lowerRoman"/>
      <w:lvlText w:val="%9."/>
      <w:lvlJc w:val="right"/>
      <w:pPr>
        <w:ind w:left="6480" w:hanging="180"/>
      </w:pPr>
    </w:lvl>
  </w:abstractNum>
  <w:abstractNum w:abstractNumId="3"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880118550">
    <w:abstractNumId w:val="2"/>
  </w:num>
  <w:num w:numId="2" w16cid:durableId="944842790">
    <w:abstractNumId w:val="3"/>
  </w:num>
  <w:num w:numId="3" w16cid:durableId="1991593136">
    <w:abstractNumId w:val="0"/>
  </w:num>
  <w:num w:numId="4" w16cid:durableId="1754620235">
    <w:abstractNumId w:val="1"/>
  </w:num>
  <w:num w:numId="5" w16cid:durableId="969365539">
    <w:abstractNumId w:val="5"/>
  </w:num>
  <w:num w:numId="6" w16cid:durableId="468133998">
    <w:abstractNumId w:val="4"/>
  </w:num>
  <w:num w:numId="7" w16cid:durableId="426273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51AAB"/>
    <w:rsid w:val="00054D11"/>
    <w:rsid w:val="000B1042"/>
    <w:rsid w:val="000B2732"/>
    <w:rsid w:val="0011443A"/>
    <w:rsid w:val="001317EC"/>
    <w:rsid w:val="0016758E"/>
    <w:rsid w:val="00171862"/>
    <w:rsid w:val="001B5F0A"/>
    <w:rsid w:val="001C5D12"/>
    <w:rsid w:val="00204B1B"/>
    <w:rsid w:val="002121EC"/>
    <w:rsid w:val="002403DE"/>
    <w:rsid w:val="002514A5"/>
    <w:rsid w:val="00253185"/>
    <w:rsid w:val="002C034E"/>
    <w:rsid w:val="00300174"/>
    <w:rsid w:val="00305D8E"/>
    <w:rsid w:val="00316934"/>
    <w:rsid w:val="0033702C"/>
    <w:rsid w:val="00345FA3"/>
    <w:rsid w:val="00373CC1"/>
    <w:rsid w:val="003D082A"/>
    <w:rsid w:val="003F2E1F"/>
    <w:rsid w:val="004255F8"/>
    <w:rsid w:val="00450C12"/>
    <w:rsid w:val="00457514"/>
    <w:rsid w:val="00473945"/>
    <w:rsid w:val="00482E90"/>
    <w:rsid w:val="004A6EAD"/>
    <w:rsid w:val="004A7A4C"/>
    <w:rsid w:val="004F5A70"/>
    <w:rsid w:val="005417CF"/>
    <w:rsid w:val="00565F65"/>
    <w:rsid w:val="00566C0F"/>
    <w:rsid w:val="005A2945"/>
    <w:rsid w:val="005E5EFA"/>
    <w:rsid w:val="0064197B"/>
    <w:rsid w:val="00681376"/>
    <w:rsid w:val="006872FF"/>
    <w:rsid w:val="006B399B"/>
    <w:rsid w:val="006C4D8F"/>
    <w:rsid w:val="006D6EB2"/>
    <w:rsid w:val="006E72C2"/>
    <w:rsid w:val="0073089A"/>
    <w:rsid w:val="00744E0E"/>
    <w:rsid w:val="007465C3"/>
    <w:rsid w:val="00750E92"/>
    <w:rsid w:val="00762ACE"/>
    <w:rsid w:val="007708B1"/>
    <w:rsid w:val="007A4380"/>
    <w:rsid w:val="007B0189"/>
    <w:rsid w:val="007F3FC9"/>
    <w:rsid w:val="00802705"/>
    <w:rsid w:val="00812CFC"/>
    <w:rsid w:val="00816B62"/>
    <w:rsid w:val="008213BB"/>
    <w:rsid w:val="00821FCB"/>
    <w:rsid w:val="0083196F"/>
    <w:rsid w:val="0086660A"/>
    <w:rsid w:val="00870DC9"/>
    <w:rsid w:val="008A4F71"/>
    <w:rsid w:val="008F22F5"/>
    <w:rsid w:val="0091356A"/>
    <w:rsid w:val="00920A3D"/>
    <w:rsid w:val="00967D46"/>
    <w:rsid w:val="009705AB"/>
    <w:rsid w:val="00970971"/>
    <w:rsid w:val="009B30B5"/>
    <w:rsid w:val="009BDA4C"/>
    <w:rsid w:val="00A429A5"/>
    <w:rsid w:val="00A56C7D"/>
    <w:rsid w:val="00A66D78"/>
    <w:rsid w:val="00A76F4A"/>
    <w:rsid w:val="00B015BA"/>
    <w:rsid w:val="00B05190"/>
    <w:rsid w:val="00B20408"/>
    <w:rsid w:val="00B2542C"/>
    <w:rsid w:val="00B80BF4"/>
    <w:rsid w:val="00BB03C2"/>
    <w:rsid w:val="00BB4829"/>
    <w:rsid w:val="00C251AC"/>
    <w:rsid w:val="00C36E43"/>
    <w:rsid w:val="00C967EC"/>
    <w:rsid w:val="00CA35C4"/>
    <w:rsid w:val="00CA3D13"/>
    <w:rsid w:val="00D021F2"/>
    <w:rsid w:val="00D03563"/>
    <w:rsid w:val="00D2389E"/>
    <w:rsid w:val="00D52C8D"/>
    <w:rsid w:val="00D64B9A"/>
    <w:rsid w:val="00D90F2A"/>
    <w:rsid w:val="00DC38BB"/>
    <w:rsid w:val="00DF6B76"/>
    <w:rsid w:val="00E031DC"/>
    <w:rsid w:val="00E06064"/>
    <w:rsid w:val="00E11C4D"/>
    <w:rsid w:val="00E4007F"/>
    <w:rsid w:val="00E851DF"/>
    <w:rsid w:val="00EA2467"/>
    <w:rsid w:val="00EB479A"/>
    <w:rsid w:val="00F630C8"/>
    <w:rsid w:val="00F73FC2"/>
    <w:rsid w:val="00FA6630"/>
    <w:rsid w:val="00FB7C7C"/>
    <w:rsid w:val="00FE6B48"/>
    <w:rsid w:val="00FF5227"/>
    <w:rsid w:val="04BEC723"/>
    <w:rsid w:val="061439CB"/>
    <w:rsid w:val="0A08BE6A"/>
    <w:rsid w:val="0A26543B"/>
    <w:rsid w:val="0AD859C5"/>
    <w:rsid w:val="0D269CF2"/>
    <w:rsid w:val="0FCCE6B0"/>
    <w:rsid w:val="12046103"/>
    <w:rsid w:val="127C73CD"/>
    <w:rsid w:val="12C3C18E"/>
    <w:rsid w:val="1374A57C"/>
    <w:rsid w:val="143694EB"/>
    <w:rsid w:val="1675BED3"/>
    <w:rsid w:val="183D3283"/>
    <w:rsid w:val="1953FEF5"/>
    <w:rsid w:val="1ACBCADE"/>
    <w:rsid w:val="1E5EC423"/>
    <w:rsid w:val="1ECE6C92"/>
    <w:rsid w:val="1F27074C"/>
    <w:rsid w:val="2004D103"/>
    <w:rsid w:val="200E8437"/>
    <w:rsid w:val="202192C6"/>
    <w:rsid w:val="20337501"/>
    <w:rsid w:val="22261104"/>
    <w:rsid w:val="2288E956"/>
    <w:rsid w:val="23C54852"/>
    <w:rsid w:val="24067B68"/>
    <w:rsid w:val="249485AB"/>
    <w:rsid w:val="251370F6"/>
    <w:rsid w:val="25B00CF5"/>
    <w:rsid w:val="25CB08F9"/>
    <w:rsid w:val="2669521E"/>
    <w:rsid w:val="266BE052"/>
    <w:rsid w:val="2670CB70"/>
    <w:rsid w:val="271E4E04"/>
    <w:rsid w:val="283879BC"/>
    <w:rsid w:val="2C68C0A7"/>
    <w:rsid w:val="2DEA4AE7"/>
    <w:rsid w:val="2E620F09"/>
    <w:rsid w:val="2FB4447E"/>
    <w:rsid w:val="33D7F863"/>
    <w:rsid w:val="35ACE0CD"/>
    <w:rsid w:val="35BA55EE"/>
    <w:rsid w:val="35FF375B"/>
    <w:rsid w:val="365EA8BB"/>
    <w:rsid w:val="36821966"/>
    <w:rsid w:val="37930B5C"/>
    <w:rsid w:val="38A2DAA4"/>
    <w:rsid w:val="3BE93529"/>
    <w:rsid w:val="3C91B8A3"/>
    <w:rsid w:val="3E5247BE"/>
    <w:rsid w:val="4084D05A"/>
    <w:rsid w:val="417A99EF"/>
    <w:rsid w:val="41CF3D9E"/>
    <w:rsid w:val="41F53BAD"/>
    <w:rsid w:val="43C27B0B"/>
    <w:rsid w:val="43F0CC22"/>
    <w:rsid w:val="44BC1889"/>
    <w:rsid w:val="45DBE018"/>
    <w:rsid w:val="4790307E"/>
    <w:rsid w:val="48690991"/>
    <w:rsid w:val="487942C0"/>
    <w:rsid w:val="4A0F65A6"/>
    <w:rsid w:val="4A4C1F1E"/>
    <w:rsid w:val="4AF0E80B"/>
    <w:rsid w:val="4B8C9614"/>
    <w:rsid w:val="4B8EF7B2"/>
    <w:rsid w:val="4C20E32A"/>
    <w:rsid w:val="4C93377C"/>
    <w:rsid w:val="4D6235D2"/>
    <w:rsid w:val="4E3EA37F"/>
    <w:rsid w:val="4FD0A2C0"/>
    <w:rsid w:val="50CDF3E2"/>
    <w:rsid w:val="524F2BB4"/>
    <w:rsid w:val="52B31F3D"/>
    <w:rsid w:val="532A924F"/>
    <w:rsid w:val="542AC687"/>
    <w:rsid w:val="5482B1EB"/>
    <w:rsid w:val="55032E81"/>
    <w:rsid w:val="564203B0"/>
    <w:rsid w:val="56DF6A51"/>
    <w:rsid w:val="577557E2"/>
    <w:rsid w:val="583D76DE"/>
    <w:rsid w:val="58879A73"/>
    <w:rsid w:val="58F1C008"/>
    <w:rsid w:val="5920CFFC"/>
    <w:rsid w:val="5A1074C4"/>
    <w:rsid w:val="5B1BD24D"/>
    <w:rsid w:val="5CA414B8"/>
    <w:rsid w:val="623A5BC7"/>
    <w:rsid w:val="626E4ECA"/>
    <w:rsid w:val="63EDD75A"/>
    <w:rsid w:val="650D7699"/>
    <w:rsid w:val="6529AF8C"/>
    <w:rsid w:val="66AC8688"/>
    <w:rsid w:val="66E086FE"/>
    <w:rsid w:val="68BD9865"/>
    <w:rsid w:val="6ADBD15F"/>
    <w:rsid w:val="6C0ADE60"/>
    <w:rsid w:val="6C1BE42E"/>
    <w:rsid w:val="6C83DA1C"/>
    <w:rsid w:val="6CEBC299"/>
    <w:rsid w:val="6D4065BC"/>
    <w:rsid w:val="6D980B21"/>
    <w:rsid w:val="6E426036"/>
    <w:rsid w:val="6E49042E"/>
    <w:rsid w:val="6E53D2D1"/>
    <w:rsid w:val="6E67C380"/>
    <w:rsid w:val="6ED27A0C"/>
    <w:rsid w:val="6EFE2254"/>
    <w:rsid w:val="6FADF1C4"/>
    <w:rsid w:val="6FD90EB9"/>
    <w:rsid w:val="70539851"/>
    <w:rsid w:val="70A937C4"/>
    <w:rsid w:val="715994BF"/>
    <w:rsid w:val="7393300C"/>
    <w:rsid w:val="75954A57"/>
    <w:rsid w:val="75F5BCBC"/>
    <w:rsid w:val="76BCC761"/>
    <w:rsid w:val="76C40D0E"/>
    <w:rsid w:val="78474A12"/>
    <w:rsid w:val="7A08365F"/>
    <w:rsid w:val="7ABC5D89"/>
    <w:rsid w:val="7C574036"/>
    <w:rsid w:val="7D0C9455"/>
    <w:rsid w:val="7FBB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02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DF6B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B76"/>
    <w:rPr>
      <w:sz w:val="20"/>
      <w:szCs w:val="20"/>
    </w:rPr>
  </w:style>
  <w:style w:type="character" w:styleId="FootnoteReference">
    <w:name w:val="footnote reference"/>
    <w:basedOn w:val="DefaultParagraphFont"/>
    <w:uiPriority w:val="99"/>
    <w:semiHidden/>
    <w:unhideWhenUsed/>
    <w:rsid w:val="00DF6B76"/>
    <w:rPr>
      <w:vertAlign w:val="superscript"/>
    </w:rPr>
  </w:style>
  <w:style w:type="paragraph" w:styleId="Revision">
    <w:name w:val="Revision"/>
    <w:hidden/>
    <w:uiPriority w:val="99"/>
    <w:semiHidden/>
    <w:rsid w:val="004F5A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2/K777/622777686.pdf" TargetMode="External" Id="R9fbafed7bd2f48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02EFE806E8844CA82F152E15806D4C" ma:contentTypeVersion="13" ma:contentTypeDescription="Create a new document." ma:contentTypeScope="" ma:versionID="65ae54a16df156d73e3a5f7cabdd7714">
  <xsd:schema xmlns:xsd="http://www.w3.org/2001/XMLSchema" xmlns:xs="http://www.w3.org/2001/XMLSchema" xmlns:p="http://schemas.microsoft.com/office/2006/metadata/properties" xmlns:ns2="800e16e8-2109-40d9-9dc6-5aa32e4de434" xmlns:ns3="0c4a6f31-d38c-4f21-8422-a05a02115431" targetNamespace="http://schemas.microsoft.com/office/2006/metadata/properties" ma:root="true" ma:fieldsID="118b5e477d6e5cac833a2312c9511032" ns2:_="" ns3:_="">
    <xsd:import namespace="800e16e8-2109-40d9-9dc6-5aa32e4de434"/>
    <xsd:import namespace="0c4a6f31-d38c-4f21-8422-a05a021154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e16e8-2109-40d9-9dc6-5aa32e4de4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4a6f31-d38c-4f21-8422-a05a021154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03537c-a2d3-4190-9cbc-8242d354f57c}" ma:internalName="TaxCatchAll" ma:showField="CatchAllData" ma:web="0c4a6f31-d38c-4f21-8422-a05a02115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c4a6f31-d38c-4f21-8422-a05a02115431" xsi:nil="true"/>
    <lcf76f155ced4ddcb4097134ff3c332f xmlns="800e16e8-2109-40d9-9dc6-5aa32e4de43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EB75A5-89AA-4045-A87C-0C7EC3270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e16e8-2109-40d9-9dc6-5aa32e4de434"/>
    <ds:schemaRef ds:uri="0c4a6f31-d38c-4f21-8422-a05a02115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5D48B-6116-4BA1-9321-DA8B6393369A}">
  <ds:schemaRefs>
    <ds:schemaRef ds:uri="http://schemas.openxmlformats.org/officeDocument/2006/bibliography"/>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0c4a6f31-d38c-4f21-8422-a05a02115431"/>
    <ds:schemaRef ds:uri="800e16e8-2109-40d9-9dc6-5aa32e4de434"/>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ap:Pages>
  <ap:Words>2904</ap:Words>
  <ap:Characters>16559</ap:Characters>
  <ap:Application>Microsoft Office Word</ap:Application>
  <ap:DocSecurity>0</ap:DocSecurity>
  <ap:Lines>137</ap:Lines>
  <ap:Paragraphs>38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19425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2026-10-06T08:51:15Z</dcterms:created>
  <dcterms:modified xsi:type="dcterms:W3CDTF">2026-10-06T08:51:15Z</dcterms:modified>
</cp:coreProperties>
</file>