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0DFA" w:rsidR="00FC34AA" w:rsidP="00F542CC" w:rsidRDefault="00FC34AA" w14:paraId="395265A5" w14:textId="0403897C">
      <w:pPr>
        <w:spacing w:line="360" w:lineRule="auto"/>
        <w:contextualSpacing/>
        <w:rPr>
          <w:rFonts w:ascii="Times New Roman" w:hAnsi="Times New Roman" w:cs="Times New Roman"/>
          <w:sz w:val="26"/>
          <w:szCs w:val="26"/>
        </w:rPr>
      </w:pPr>
      <w:r w:rsidRPr="002C0DFA">
        <w:rPr>
          <w:rFonts w:ascii="Times New Roman" w:hAnsi="Times New Roman" w:cs="Times New Roman"/>
          <w:sz w:val="26"/>
          <w:szCs w:val="26"/>
        </w:rPr>
        <w:t xml:space="preserve">Decision </w:t>
      </w:r>
      <w:r w:rsidR="00C66638">
        <w:rPr>
          <w:rFonts w:ascii="Times New Roman" w:hAnsi="Times New Roman" w:cs="Times New Roman"/>
          <w:sz w:val="26"/>
          <w:szCs w:val="26"/>
        </w:rPr>
        <w:t>26-10-038</w:t>
      </w:r>
      <w:r w:rsidR="00C66638">
        <w:rPr>
          <w:rFonts w:ascii="Times New Roman" w:hAnsi="Times New Roman" w:cs="Times New Roman"/>
          <w:sz w:val="26"/>
          <w:szCs w:val="26"/>
        </w:rPr>
        <w:tab/>
      </w:r>
      <w:r w:rsidR="00C66638">
        <w:rPr>
          <w:rFonts w:ascii="Times New Roman" w:hAnsi="Times New Roman" w:cs="Times New Roman"/>
          <w:sz w:val="26"/>
          <w:szCs w:val="26"/>
        </w:rPr>
        <w:tab/>
      </w:r>
      <w:r w:rsidR="00C66638">
        <w:rPr>
          <w:rFonts w:ascii="Times New Roman" w:hAnsi="Times New Roman" w:cs="Times New Roman"/>
          <w:sz w:val="26"/>
          <w:szCs w:val="26"/>
        </w:rPr>
        <w:tab/>
      </w:r>
      <w:r w:rsidR="00C66638">
        <w:rPr>
          <w:rFonts w:ascii="Times New Roman" w:hAnsi="Times New Roman" w:cs="Times New Roman"/>
          <w:sz w:val="26"/>
          <w:szCs w:val="26"/>
        </w:rPr>
        <w:tab/>
        <w:t>October 8, 2026</w:t>
      </w:r>
    </w:p>
    <w:p w:rsidRPr="002C0DFA" w:rsidR="00FC34AA" w:rsidP="00E736AB" w:rsidRDefault="00FC34AA" w14:paraId="28871C61" w14:textId="77777777">
      <w:pPr>
        <w:rPr>
          <w:rFonts w:ascii="Times New Roman" w:hAnsi="Times New Roman" w:cs="Times New Roman"/>
          <w:sz w:val="26"/>
          <w:szCs w:val="26"/>
        </w:rPr>
      </w:pPr>
    </w:p>
    <w:p w:rsidRPr="002C0DFA" w:rsidR="00FC34AA" w:rsidP="00E736AB" w:rsidRDefault="00FC34AA" w14:paraId="2EB99351" w14:textId="0CF6CCE9">
      <w:pPr>
        <w:pStyle w:val="BodyText"/>
        <w:spacing w:line="240" w:lineRule="auto"/>
        <w:ind w:firstLine="0"/>
        <w:jc w:val="center"/>
        <w:rPr>
          <w:smallCaps/>
          <w:szCs w:val="26"/>
        </w:rPr>
      </w:pPr>
      <w:r w:rsidRPr="002C0DFA">
        <w:rPr>
          <w:smallCaps/>
          <w:szCs w:val="26"/>
        </w:rPr>
        <w:t>Before the Public Utilities Commission of the State of California</w:t>
      </w:r>
    </w:p>
    <w:p w:rsidRPr="002C0DFA" w:rsidR="00F542CC" w:rsidP="00E736AB" w:rsidRDefault="00F542CC" w14:paraId="4DED9F62" w14:textId="77777777">
      <w:pPr>
        <w:pStyle w:val="BodyText"/>
        <w:spacing w:line="240" w:lineRule="auto"/>
        <w:ind w:firstLine="0"/>
        <w:rPr>
          <w:smallCaps/>
          <w:szCs w:val="26"/>
        </w:rPr>
      </w:pPr>
    </w:p>
    <w:p w:rsidRPr="002C0DFA" w:rsidR="00F542CC" w:rsidP="00E736AB" w:rsidRDefault="00F542CC" w14:paraId="4C99B7FE" w14:textId="77777777">
      <w:pPr>
        <w:pStyle w:val="BodyText"/>
        <w:spacing w:line="240" w:lineRule="auto"/>
        <w:ind w:firstLine="0"/>
        <w:rPr>
          <w:smallCaps/>
          <w:szCs w:val="26"/>
        </w:rPr>
      </w:pPr>
    </w:p>
    <w:tbl>
      <w:tblPr>
        <w:tblW w:w="0" w:type="auto"/>
        <w:tblInd w:w="180" w:type="dxa"/>
        <w:tblLayout w:type="fixed"/>
        <w:tblLook w:val="0000" w:firstRow="0" w:lastRow="0" w:firstColumn="0" w:lastColumn="0" w:noHBand="0" w:noVBand="0"/>
      </w:tblPr>
      <w:tblGrid>
        <w:gridCol w:w="4878"/>
        <w:gridCol w:w="4230"/>
      </w:tblGrid>
      <w:tr w:rsidRPr="002C0DFA" w:rsidR="00D214EE" w:rsidTr="00DF0BF7" w14:paraId="03C2802A" w14:textId="77777777">
        <w:trPr>
          <w:cantSplit/>
        </w:trPr>
        <w:tc>
          <w:tcPr>
            <w:tcW w:w="4878" w:type="dxa"/>
            <w:tcBorders>
              <w:bottom w:val="single" w:color="auto" w:sz="6" w:space="0"/>
              <w:right w:val="single" w:color="auto" w:sz="6" w:space="0"/>
            </w:tcBorders>
          </w:tcPr>
          <w:p w:rsidRPr="00E53B22" w:rsidR="00DF0BF7" w:rsidP="00E53B22" w:rsidRDefault="00E53B22" w14:paraId="720F39BC" w14:textId="42D2C3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rPr>
            </w:pPr>
            <w:r w:rsidRPr="00E53B22">
              <w:rPr>
                <w:rFonts w:ascii="Times New Roman" w:hAnsi="Times New Roman" w:cs="Times New Roman"/>
                <w:color w:val="000000"/>
                <w:kern w:val="0"/>
                <w:sz w:val="26"/>
                <w:szCs w:val="26"/>
              </w:rPr>
              <w:t>Application of SAN DIEGO GAS &amp;</w:t>
            </w:r>
            <w:r w:rsidR="00C06353">
              <w:rPr>
                <w:rFonts w:ascii="Times New Roman" w:hAnsi="Times New Roman" w:cs="Times New Roman"/>
                <w:color w:val="000000"/>
                <w:kern w:val="0"/>
                <w:sz w:val="26"/>
                <w:szCs w:val="26"/>
              </w:rPr>
              <w:t xml:space="preserve"> </w:t>
            </w:r>
            <w:r w:rsidRPr="00E53B22">
              <w:rPr>
                <w:rFonts w:ascii="Times New Roman" w:hAnsi="Times New Roman" w:cs="Times New Roman"/>
                <w:color w:val="000000"/>
                <w:kern w:val="0"/>
                <w:sz w:val="26"/>
                <w:szCs w:val="26"/>
              </w:rPr>
              <w:t>ELECTRIC COMPANY (U902-E) for</w:t>
            </w:r>
            <w:r w:rsidR="00C06353">
              <w:rPr>
                <w:rFonts w:ascii="Times New Roman" w:hAnsi="Times New Roman" w:cs="Times New Roman"/>
                <w:color w:val="000000"/>
                <w:kern w:val="0"/>
                <w:sz w:val="26"/>
                <w:szCs w:val="26"/>
              </w:rPr>
              <w:t xml:space="preserve"> </w:t>
            </w:r>
            <w:r w:rsidRPr="00E53B22">
              <w:rPr>
                <w:rFonts w:ascii="Times New Roman" w:hAnsi="Times New Roman" w:cs="Times New Roman"/>
                <w:color w:val="000000"/>
                <w:kern w:val="0"/>
                <w:sz w:val="26"/>
                <w:szCs w:val="26"/>
              </w:rPr>
              <w:t>Approval of its 2026 Electric</w:t>
            </w:r>
            <w:r w:rsidR="00C06353">
              <w:rPr>
                <w:rFonts w:ascii="Times New Roman" w:hAnsi="Times New Roman" w:cs="Times New Roman"/>
                <w:color w:val="000000"/>
                <w:kern w:val="0"/>
                <w:sz w:val="26"/>
                <w:szCs w:val="26"/>
              </w:rPr>
              <w:t xml:space="preserve"> </w:t>
            </w:r>
            <w:r w:rsidRPr="00E53B22">
              <w:rPr>
                <w:rFonts w:ascii="Times New Roman" w:hAnsi="Times New Roman" w:cs="Times New Roman"/>
                <w:color w:val="000000"/>
                <w:kern w:val="0"/>
                <w:sz w:val="26"/>
                <w:szCs w:val="26"/>
              </w:rPr>
              <w:t>Procurement Revenue Requirement</w:t>
            </w:r>
            <w:r w:rsidR="00C06353">
              <w:rPr>
                <w:rFonts w:ascii="Times New Roman" w:hAnsi="Times New Roman" w:cs="Times New Roman"/>
                <w:color w:val="000000"/>
                <w:kern w:val="0"/>
                <w:sz w:val="26"/>
                <w:szCs w:val="26"/>
              </w:rPr>
              <w:t xml:space="preserve"> </w:t>
            </w:r>
            <w:r w:rsidRPr="00E53B22">
              <w:rPr>
                <w:rFonts w:ascii="Times New Roman" w:hAnsi="Times New Roman" w:cs="Times New Roman"/>
                <w:color w:val="000000"/>
                <w:kern w:val="0"/>
                <w:sz w:val="26"/>
                <w:szCs w:val="26"/>
              </w:rPr>
              <w:t>Forecasts, 2026 Electric Sales Forecast, and GHG-Related Forecasts.</w:t>
            </w:r>
          </w:p>
          <w:p w:rsidRPr="00E53B22" w:rsidR="00E53B22" w:rsidP="00E53B22" w:rsidRDefault="00E53B22" w14:paraId="7072AF96" w14:textId="060B7F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kern w:val="0"/>
                <w:sz w:val="26"/>
                <w:szCs w:val="26"/>
              </w:rPr>
            </w:pPr>
          </w:p>
        </w:tc>
        <w:tc>
          <w:tcPr>
            <w:tcW w:w="4230" w:type="dxa"/>
          </w:tcPr>
          <w:p w:rsidRPr="002C0DFA" w:rsidR="005C3BC8" w:rsidP="005C3BC8" w:rsidRDefault="005C3BC8" w14:paraId="5C56AA05" w14:textId="77777777">
            <w:pPr>
              <w:ind w:right="274"/>
              <w:jc w:val="center"/>
              <w:rPr>
                <w:rFonts w:ascii="Times New Roman" w:hAnsi="Times New Roman" w:cs="Times New Roman"/>
                <w:sz w:val="26"/>
                <w:szCs w:val="26"/>
              </w:rPr>
            </w:pPr>
          </w:p>
          <w:p w:rsidRPr="002C0DFA" w:rsidR="00D214EE" w:rsidP="005C3BC8" w:rsidRDefault="00DD764A" w14:paraId="39977DD1" w14:textId="097642AE">
            <w:pPr>
              <w:ind w:right="274"/>
              <w:jc w:val="center"/>
              <w:rPr>
                <w:rFonts w:ascii="Times New Roman" w:hAnsi="Times New Roman" w:cs="Times New Roman"/>
                <w:b/>
                <w:sz w:val="26"/>
                <w:szCs w:val="26"/>
                <w:u w:val="double"/>
              </w:rPr>
            </w:pPr>
            <w:r w:rsidRPr="002C0DFA">
              <w:rPr>
                <w:rFonts w:ascii="Times New Roman" w:hAnsi="Times New Roman" w:cs="Times New Roman"/>
                <w:sz w:val="26"/>
                <w:szCs w:val="26"/>
              </w:rPr>
              <w:t>Application</w:t>
            </w:r>
            <w:r w:rsidRPr="002C0DFA" w:rsidR="0005245B">
              <w:rPr>
                <w:rFonts w:ascii="Times New Roman" w:hAnsi="Times New Roman" w:cs="Times New Roman"/>
                <w:sz w:val="26"/>
                <w:szCs w:val="26"/>
              </w:rPr>
              <w:t xml:space="preserve"> </w:t>
            </w:r>
            <w:r w:rsidRPr="002C0DFA">
              <w:rPr>
                <w:rFonts w:ascii="Times New Roman" w:hAnsi="Times New Roman" w:cs="Times New Roman"/>
                <w:sz w:val="26"/>
                <w:szCs w:val="26"/>
              </w:rPr>
              <w:t>25</w:t>
            </w:r>
            <w:r w:rsidRPr="002C0DFA" w:rsidR="00DF0BF7">
              <w:rPr>
                <w:rFonts w:ascii="Times New Roman" w:hAnsi="Times New Roman" w:cs="Times New Roman"/>
                <w:sz w:val="26"/>
                <w:szCs w:val="26"/>
              </w:rPr>
              <w:t>-</w:t>
            </w:r>
            <w:r w:rsidRPr="002C0DFA">
              <w:rPr>
                <w:rFonts w:ascii="Times New Roman" w:hAnsi="Times New Roman" w:cs="Times New Roman"/>
                <w:sz w:val="26"/>
                <w:szCs w:val="26"/>
              </w:rPr>
              <w:t>05</w:t>
            </w:r>
            <w:r w:rsidRPr="002C0DFA" w:rsidR="00DF0BF7">
              <w:rPr>
                <w:rFonts w:ascii="Times New Roman" w:hAnsi="Times New Roman" w:cs="Times New Roman"/>
                <w:sz w:val="26"/>
                <w:szCs w:val="26"/>
              </w:rPr>
              <w:t>-</w:t>
            </w:r>
            <w:r w:rsidRPr="002C0DFA" w:rsidR="005B2B4D">
              <w:rPr>
                <w:rFonts w:ascii="Times New Roman" w:hAnsi="Times New Roman" w:cs="Times New Roman"/>
                <w:sz w:val="26"/>
                <w:szCs w:val="26"/>
              </w:rPr>
              <w:t>0</w:t>
            </w:r>
            <w:r w:rsidR="00E53B22">
              <w:rPr>
                <w:rFonts w:ascii="Times New Roman" w:hAnsi="Times New Roman" w:cs="Times New Roman"/>
                <w:sz w:val="26"/>
                <w:szCs w:val="26"/>
              </w:rPr>
              <w:t>12</w:t>
            </w:r>
          </w:p>
        </w:tc>
      </w:tr>
    </w:tbl>
    <w:p w:rsidRPr="00AE2D06" w:rsidR="00FC34AA" w:rsidP="00F542CC" w:rsidRDefault="00FC34AA" w14:paraId="7265EF7E" w14:textId="77777777">
      <w:pPr>
        <w:spacing w:line="360" w:lineRule="auto"/>
        <w:contextualSpacing/>
        <w:rPr>
          <w:rFonts w:ascii="Times New Roman" w:hAnsi="Times New Roman" w:cs="Times New Roman"/>
          <w:sz w:val="26"/>
          <w:szCs w:val="26"/>
        </w:rPr>
      </w:pPr>
    </w:p>
    <w:p w:rsidR="00AE2D06" w:rsidP="00DD764A" w:rsidRDefault="005A089B" w14:paraId="7E0E6F8C" w14:textId="77777777">
      <w:pPr>
        <w:contextualSpacing/>
        <w:jc w:val="center"/>
        <w:rPr>
          <w:rFonts w:ascii="Times New Roman" w:hAnsi="Times New Roman" w:cs="Times New Roman"/>
          <w:b/>
          <w:bCs/>
          <w:sz w:val="26"/>
          <w:szCs w:val="26"/>
          <w:u w:val="single"/>
        </w:rPr>
      </w:pPr>
      <w:r w:rsidRPr="002C0DFA">
        <w:rPr>
          <w:rFonts w:ascii="Times New Roman" w:hAnsi="Times New Roman" w:cs="Times New Roman"/>
          <w:b/>
          <w:bCs/>
          <w:sz w:val="26"/>
          <w:szCs w:val="26"/>
          <w:u w:val="single"/>
        </w:rPr>
        <w:t>ORDER</w:t>
      </w:r>
      <w:r w:rsidRPr="002C0DFA" w:rsidR="00C84746">
        <w:rPr>
          <w:rFonts w:ascii="Times New Roman" w:hAnsi="Times New Roman" w:cs="Times New Roman"/>
          <w:b/>
          <w:bCs/>
          <w:sz w:val="26"/>
          <w:szCs w:val="26"/>
          <w:u w:val="single"/>
        </w:rPr>
        <w:t xml:space="preserve"> </w:t>
      </w:r>
      <w:r w:rsidRPr="005E4EAD" w:rsidR="00A82204">
        <w:rPr>
          <w:rFonts w:ascii="Times New Roman" w:hAnsi="Times New Roman" w:cs="Times New Roman"/>
          <w:b/>
          <w:bCs/>
          <w:sz w:val="26"/>
          <w:szCs w:val="26"/>
          <w:u w:val="single"/>
        </w:rPr>
        <w:t>CORRECTING FORMATTING ERROR</w:t>
      </w:r>
      <w:r w:rsidR="00A82204">
        <w:rPr>
          <w:rFonts w:ascii="Times New Roman" w:hAnsi="Times New Roman" w:cs="Times New Roman"/>
          <w:b/>
          <w:bCs/>
          <w:sz w:val="26"/>
          <w:szCs w:val="26"/>
          <w:u w:val="single"/>
        </w:rPr>
        <w:t xml:space="preserve"> </w:t>
      </w:r>
    </w:p>
    <w:p w:rsidRPr="002C0DFA" w:rsidR="001E6610" w:rsidP="00DD764A" w:rsidRDefault="00A82204" w14:paraId="1A85C32D" w14:textId="0178457D">
      <w:pPr>
        <w:contextualSpacing/>
        <w:jc w:val="center"/>
        <w:rPr>
          <w:rFonts w:ascii="Times New Roman" w:hAnsi="Times New Roman" w:cs="Times New Roman"/>
          <w:b/>
          <w:bCs/>
          <w:color w:val="000000" w:themeColor="text1"/>
          <w:sz w:val="26"/>
          <w:szCs w:val="26"/>
          <w:u w:val="single"/>
        </w:rPr>
      </w:pPr>
      <w:r>
        <w:rPr>
          <w:rFonts w:ascii="Times New Roman" w:hAnsi="Times New Roman" w:cs="Times New Roman"/>
          <w:b/>
          <w:bCs/>
          <w:sz w:val="26"/>
          <w:szCs w:val="26"/>
          <w:u w:val="single"/>
        </w:rPr>
        <w:t xml:space="preserve">AND </w:t>
      </w:r>
      <w:r w:rsidRPr="002C0DFA" w:rsidR="008A530C">
        <w:rPr>
          <w:rFonts w:ascii="Times New Roman" w:hAnsi="Times New Roman" w:cs="Times New Roman"/>
          <w:b/>
          <w:bCs/>
          <w:sz w:val="26"/>
          <w:szCs w:val="26"/>
          <w:u w:val="single"/>
        </w:rPr>
        <w:t>DENYING REHEARING OF</w:t>
      </w:r>
      <w:r w:rsidRPr="002C0DFA" w:rsidR="00C84746">
        <w:rPr>
          <w:rFonts w:ascii="Times New Roman" w:hAnsi="Times New Roman" w:cs="Times New Roman"/>
          <w:b/>
          <w:bCs/>
          <w:sz w:val="26"/>
          <w:szCs w:val="26"/>
          <w:u w:val="single"/>
        </w:rPr>
        <w:t xml:space="preserve"> </w:t>
      </w:r>
      <w:r w:rsidRPr="002C0DFA" w:rsidR="008C4400">
        <w:rPr>
          <w:rFonts w:ascii="Times New Roman" w:hAnsi="Times New Roman" w:cs="Times New Roman"/>
          <w:b/>
          <w:bCs/>
          <w:sz w:val="26"/>
          <w:szCs w:val="26"/>
          <w:u w:val="single"/>
        </w:rPr>
        <w:t xml:space="preserve">DECISION </w:t>
      </w:r>
      <w:r w:rsidRPr="002C0DFA" w:rsidR="00DD764A">
        <w:rPr>
          <w:rFonts w:ascii="Times New Roman" w:hAnsi="Times New Roman" w:cs="Times New Roman"/>
          <w:b/>
          <w:bCs/>
          <w:color w:val="000000" w:themeColor="text1"/>
          <w:sz w:val="26"/>
          <w:szCs w:val="26"/>
          <w:u w:val="single"/>
        </w:rPr>
        <w:t>25-12-0</w:t>
      </w:r>
      <w:r w:rsidR="00E53B22">
        <w:rPr>
          <w:rFonts w:ascii="Times New Roman" w:hAnsi="Times New Roman" w:cs="Times New Roman"/>
          <w:b/>
          <w:bCs/>
          <w:color w:val="000000" w:themeColor="text1"/>
          <w:sz w:val="26"/>
          <w:szCs w:val="26"/>
          <w:u w:val="single"/>
        </w:rPr>
        <w:t>0</w:t>
      </w:r>
      <w:r w:rsidRPr="002C0DFA" w:rsidR="00DD764A">
        <w:rPr>
          <w:rFonts w:ascii="Times New Roman" w:hAnsi="Times New Roman" w:cs="Times New Roman"/>
          <w:b/>
          <w:bCs/>
          <w:color w:val="000000" w:themeColor="text1"/>
          <w:sz w:val="26"/>
          <w:szCs w:val="26"/>
          <w:u w:val="single"/>
        </w:rPr>
        <w:t>8</w:t>
      </w:r>
    </w:p>
    <w:p w:rsidRPr="002C0DFA" w:rsidR="00DD764A" w:rsidP="00AE2D06" w:rsidRDefault="00DD764A" w14:paraId="08C91D85" w14:textId="77777777">
      <w:pPr>
        <w:contextualSpacing/>
        <w:rPr>
          <w:rFonts w:ascii="Times New Roman" w:hAnsi="Times New Roman" w:cs="Times New Roman"/>
          <w:sz w:val="26"/>
          <w:szCs w:val="26"/>
        </w:rPr>
      </w:pPr>
    </w:p>
    <w:p w:rsidRPr="00AE2D06" w:rsidR="005A089B" w:rsidP="00AE2D06" w:rsidRDefault="005A089B" w14:paraId="6C62ACFD" w14:textId="77F88835">
      <w:pPr>
        <w:pStyle w:val="Heading1"/>
      </w:pPr>
      <w:r w:rsidRPr="00AE2D06">
        <w:t>INTRODUCTION</w:t>
      </w:r>
    </w:p>
    <w:p w:rsidR="00472F57" w:rsidP="00472F57" w:rsidRDefault="002956CF" w14:paraId="00D8280D" w14:textId="4834AA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1440"/>
        <w:contextualSpacing/>
        <w:rPr>
          <w:rFonts w:ascii="Times New Roman" w:hAnsi="Times New Roman" w:cs="Times New Roman"/>
          <w:color w:val="000000" w:themeColor="text1"/>
          <w:sz w:val="26"/>
          <w:szCs w:val="26"/>
        </w:rPr>
      </w:pPr>
      <w:r w:rsidRPr="002C0DFA">
        <w:rPr>
          <w:rFonts w:ascii="Times New Roman" w:hAnsi="Times New Roman" w:cs="Times New Roman"/>
          <w:color w:val="000000" w:themeColor="text1"/>
          <w:sz w:val="26"/>
          <w:szCs w:val="26"/>
        </w:rPr>
        <w:t xml:space="preserve">The Commission </w:t>
      </w:r>
      <w:r w:rsidRPr="002C0DFA" w:rsidR="00464E15">
        <w:rPr>
          <w:rFonts w:ascii="Times New Roman" w:hAnsi="Times New Roman" w:cs="Times New Roman"/>
          <w:color w:val="000000" w:themeColor="text1"/>
          <w:sz w:val="26"/>
          <w:szCs w:val="26"/>
        </w:rPr>
        <w:t xml:space="preserve">issued </w:t>
      </w:r>
      <w:r w:rsidRPr="002C0DFA">
        <w:rPr>
          <w:rFonts w:ascii="Times New Roman" w:hAnsi="Times New Roman" w:cs="Times New Roman"/>
          <w:color w:val="000000" w:themeColor="text1"/>
          <w:sz w:val="26"/>
          <w:szCs w:val="26"/>
        </w:rPr>
        <w:t xml:space="preserve">Decision </w:t>
      </w:r>
      <w:r w:rsidRPr="002C0DFA" w:rsidR="00733873">
        <w:rPr>
          <w:rFonts w:ascii="Times New Roman" w:hAnsi="Times New Roman" w:cs="Times New Roman"/>
          <w:color w:val="000000" w:themeColor="text1"/>
          <w:sz w:val="26"/>
          <w:szCs w:val="26"/>
        </w:rPr>
        <w:t xml:space="preserve">(D.) </w:t>
      </w:r>
      <w:r w:rsidRPr="002C0DFA">
        <w:rPr>
          <w:rFonts w:ascii="Times New Roman" w:hAnsi="Times New Roman" w:cs="Times New Roman"/>
          <w:color w:val="000000" w:themeColor="text1"/>
          <w:sz w:val="26"/>
          <w:szCs w:val="26"/>
        </w:rPr>
        <w:t>2</w:t>
      </w:r>
      <w:r w:rsidRPr="002C0DFA" w:rsidR="00DD764A">
        <w:rPr>
          <w:rFonts w:ascii="Times New Roman" w:hAnsi="Times New Roman" w:cs="Times New Roman"/>
          <w:color w:val="000000" w:themeColor="text1"/>
          <w:sz w:val="26"/>
          <w:szCs w:val="26"/>
        </w:rPr>
        <w:t>5</w:t>
      </w:r>
      <w:r w:rsidRPr="002C0DFA" w:rsidR="00897E9E">
        <w:rPr>
          <w:rFonts w:ascii="Times New Roman" w:hAnsi="Times New Roman" w:cs="Times New Roman"/>
          <w:color w:val="000000" w:themeColor="text1"/>
          <w:sz w:val="26"/>
          <w:szCs w:val="26"/>
        </w:rPr>
        <w:t>-</w:t>
      </w:r>
      <w:r w:rsidRPr="002C0DFA" w:rsidR="00DD764A">
        <w:rPr>
          <w:rFonts w:ascii="Times New Roman" w:hAnsi="Times New Roman" w:cs="Times New Roman"/>
          <w:color w:val="000000" w:themeColor="text1"/>
          <w:sz w:val="26"/>
          <w:szCs w:val="26"/>
        </w:rPr>
        <w:t>12</w:t>
      </w:r>
      <w:r w:rsidRPr="002C0DFA" w:rsidR="00897E9E">
        <w:rPr>
          <w:rFonts w:ascii="Times New Roman" w:hAnsi="Times New Roman" w:cs="Times New Roman"/>
          <w:color w:val="000000" w:themeColor="text1"/>
          <w:sz w:val="26"/>
          <w:szCs w:val="26"/>
        </w:rPr>
        <w:t>-0</w:t>
      </w:r>
      <w:r w:rsidR="00E53B22">
        <w:rPr>
          <w:rFonts w:ascii="Times New Roman" w:hAnsi="Times New Roman" w:cs="Times New Roman"/>
          <w:color w:val="000000" w:themeColor="text1"/>
          <w:sz w:val="26"/>
          <w:szCs w:val="26"/>
        </w:rPr>
        <w:t>0</w:t>
      </w:r>
      <w:r w:rsidRPr="002C0DFA" w:rsidR="00897E9E">
        <w:rPr>
          <w:rFonts w:ascii="Times New Roman" w:hAnsi="Times New Roman" w:cs="Times New Roman"/>
          <w:color w:val="000000" w:themeColor="text1"/>
          <w:sz w:val="26"/>
          <w:szCs w:val="26"/>
        </w:rPr>
        <w:t>8</w:t>
      </w:r>
      <w:r w:rsidRPr="002C0DFA">
        <w:rPr>
          <w:rFonts w:ascii="Times New Roman" w:hAnsi="Times New Roman" w:cs="Times New Roman"/>
          <w:color w:val="000000" w:themeColor="text1"/>
          <w:sz w:val="26"/>
          <w:szCs w:val="26"/>
        </w:rPr>
        <w:t xml:space="preserve"> (Decision) on </w:t>
      </w:r>
      <w:r w:rsidRPr="002C0DFA" w:rsidR="00DD764A">
        <w:rPr>
          <w:rFonts w:ascii="Times New Roman" w:hAnsi="Times New Roman" w:cs="Times New Roman"/>
          <w:color w:val="000000" w:themeColor="text1"/>
          <w:sz w:val="26"/>
          <w:szCs w:val="26"/>
        </w:rPr>
        <w:t>December</w:t>
      </w:r>
      <w:r w:rsidRPr="002C0DFA">
        <w:rPr>
          <w:rFonts w:ascii="Times New Roman" w:hAnsi="Times New Roman" w:cs="Times New Roman"/>
          <w:color w:val="000000" w:themeColor="text1"/>
          <w:sz w:val="26"/>
          <w:szCs w:val="26"/>
        </w:rPr>
        <w:t xml:space="preserve"> </w:t>
      </w:r>
      <w:r w:rsidRPr="6AC1CF74" w:rsidR="3F8FFA96">
        <w:rPr>
          <w:rFonts w:ascii="Times New Roman" w:hAnsi="Times New Roman" w:cs="Times New Roman"/>
          <w:color w:val="000000" w:themeColor="text1"/>
          <w:sz w:val="26"/>
          <w:szCs w:val="26"/>
        </w:rPr>
        <w:t>5</w:t>
      </w:r>
      <w:r w:rsidRPr="6AC1CF74">
        <w:rPr>
          <w:rFonts w:ascii="Times New Roman" w:hAnsi="Times New Roman" w:cs="Times New Roman"/>
          <w:color w:val="000000" w:themeColor="text1"/>
          <w:sz w:val="26"/>
          <w:szCs w:val="26"/>
        </w:rPr>
        <w:t>, 202</w:t>
      </w:r>
      <w:r w:rsidRPr="6AC1CF74" w:rsidR="00D90342">
        <w:rPr>
          <w:rFonts w:ascii="Times New Roman" w:hAnsi="Times New Roman" w:cs="Times New Roman"/>
          <w:color w:val="000000" w:themeColor="text1"/>
          <w:sz w:val="26"/>
          <w:szCs w:val="26"/>
        </w:rPr>
        <w:t>5</w:t>
      </w:r>
      <w:r w:rsidRPr="6AC1CF74" w:rsidR="00897E9E">
        <w:rPr>
          <w:rFonts w:ascii="Times New Roman" w:hAnsi="Times New Roman" w:cs="Times New Roman"/>
          <w:color w:val="000000" w:themeColor="text1"/>
          <w:sz w:val="26"/>
          <w:szCs w:val="26"/>
        </w:rPr>
        <w:t>.</w:t>
      </w:r>
      <w:r w:rsidRPr="6AC1CF74" w:rsidR="00D90342">
        <w:rPr>
          <w:rFonts w:ascii="Times New Roman" w:hAnsi="Times New Roman" w:cs="Times New Roman"/>
          <w:color w:val="000000" w:themeColor="text1"/>
          <w:sz w:val="26"/>
          <w:szCs w:val="26"/>
        </w:rPr>
        <w:t xml:space="preserve">  (</w:t>
      </w:r>
      <w:r w:rsidRPr="6AC1CF74" w:rsidR="00E53B22">
        <w:rPr>
          <w:rFonts w:ascii="Times New Roman" w:hAnsi="Times New Roman" w:cs="Times New Roman"/>
          <w:i/>
          <w:iCs/>
          <w:sz w:val="26"/>
          <w:szCs w:val="26"/>
        </w:rPr>
        <w:t>Decision Approving San Diego Gas &amp; Electric Company’s</w:t>
      </w:r>
      <w:r w:rsidR="00472F57">
        <w:rPr>
          <w:rFonts w:ascii="Times New Roman" w:hAnsi="Times New Roman" w:cs="Times New Roman"/>
          <w:i/>
          <w:iCs/>
          <w:sz w:val="26"/>
          <w:szCs w:val="26"/>
        </w:rPr>
        <w:t xml:space="preserve"> </w:t>
      </w:r>
      <w:r w:rsidRPr="6AC1CF74" w:rsidR="00E53B22">
        <w:rPr>
          <w:rFonts w:ascii="Times New Roman" w:hAnsi="Times New Roman" w:cs="Times New Roman"/>
          <w:i/>
          <w:iCs/>
          <w:sz w:val="26"/>
          <w:szCs w:val="26"/>
        </w:rPr>
        <w:t>2026 Electric Procurement Revenue Requirement Forecasts, 2026 Electric Sales Forecast, and Greenhouse Gas Related Forecasts</w:t>
      </w:r>
      <w:r w:rsidRPr="6AC1CF74" w:rsidR="00E53B22">
        <w:rPr>
          <w:rFonts w:ascii="Times New Roman" w:hAnsi="Times New Roman" w:cs="Times New Roman"/>
          <w:sz w:val="26"/>
          <w:szCs w:val="26"/>
        </w:rPr>
        <w:t xml:space="preserve"> </w:t>
      </w:r>
      <w:r w:rsidRPr="6AC1CF74" w:rsidR="00D90342">
        <w:rPr>
          <w:rFonts w:ascii="Times New Roman" w:hAnsi="Times New Roman" w:cs="Times New Roman"/>
          <w:color w:val="000000" w:themeColor="text1"/>
          <w:sz w:val="26"/>
          <w:szCs w:val="26"/>
        </w:rPr>
        <w:t>(2025) [D.25-12-0</w:t>
      </w:r>
      <w:r w:rsidR="00FB3313">
        <w:rPr>
          <w:rFonts w:ascii="Times New Roman" w:hAnsi="Times New Roman" w:cs="Times New Roman"/>
          <w:color w:val="000000" w:themeColor="text1"/>
          <w:sz w:val="26"/>
          <w:szCs w:val="26"/>
        </w:rPr>
        <w:t>0</w:t>
      </w:r>
      <w:r w:rsidRPr="6AC1CF74" w:rsidR="00D90342">
        <w:rPr>
          <w:rFonts w:ascii="Times New Roman" w:hAnsi="Times New Roman" w:cs="Times New Roman"/>
          <w:color w:val="000000" w:themeColor="text1"/>
          <w:sz w:val="26"/>
          <w:szCs w:val="26"/>
        </w:rPr>
        <w:t>8]</w:t>
      </w:r>
      <w:r w:rsidRPr="6AC1CF74" w:rsidR="005B2B4D">
        <w:rPr>
          <w:rFonts w:ascii="Times New Roman" w:hAnsi="Times New Roman" w:cs="Times New Roman"/>
          <w:color w:val="000000" w:themeColor="text1"/>
          <w:sz w:val="26"/>
          <w:szCs w:val="26"/>
        </w:rPr>
        <w:t>.</w:t>
      </w:r>
      <w:r w:rsidRPr="6AC1CF74" w:rsidR="00D90342">
        <w:rPr>
          <w:rFonts w:ascii="Times New Roman" w:hAnsi="Times New Roman" w:cs="Times New Roman"/>
          <w:b/>
          <w:bCs/>
          <w:color w:val="000000" w:themeColor="text1"/>
          <w:sz w:val="26"/>
          <w:szCs w:val="26"/>
          <w:u w:val="single"/>
          <w:vertAlign w:val="superscript"/>
        </w:rPr>
        <w:footnoteReference w:id="1"/>
      </w:r>
      <w:r w:rsidRPr="6AC1CF74" w:rsidR="00D90342">
        <w:rPr>
          <w:rFonts w:ascii="Times New Roman" w:hAnsi="Times New Roman" w:cs="Times New Roman"/>
          <w:color w:val="000000" w:themeColor="text1"/>
          <w:sz w:val="26"/>
          <w:szCs w:val="26"/>
        </w:rPr>
        <w:t>)</w:t>
      </w:r>
      <w:r w:rsidRPr="6AC1CF74" w:rsidR="00897E9E">
        <w:rPr>
          <w:rFonts w:ascii="Times New Roman" w:hAnsi="Times New Roman" w:cs="Times New Roman"/>
          <w:color w:val="000000" w:themeColor="text1"/>
          <w:sz w:val="26"/>
          <w:szCs w:val="26"/>
        </w:rPr>
        <w:t xml:space="preserve">  </w:t>
      </w:r>
    </w:p>
    <w:p w:rsidR="00472F57" w:rsidP="00472F57" w:rsidRDefault="00530DEB" w14:paraId="3D5C9D77" w14:textId="276B8F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1440"/>
        <w:contextualSpacing/>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Among other determinations </w:t>
      </w:r>
      <w:r w:rsidRPr="6AC1CF74" w:rsidR="759C434F">
        <w:rPr>
          <w:rFonts w:ascii="Times New Roman" w:hAnsi="Times New Roman" w:cs="Times New Roman"/>
          <w:color w:val="000000" w:themeColor="text1"/>
          <w:sz w:val="26"/>
          <w:szCs w:val="26"/>
        </w:rPr>
        <w:t xml:space="preserve">that are </w:t>
      </w:r>
      <w:r w:rsidRPr="6AC1CF74">
        <w:rPr>
          <w:rFonts w:ascii="Times New Roman" w:hAnsi="Times New Roman" w:cs="Times New Roman"/>
          <w:color w:val="000000" w:themeColor="text1"/>
          <w:sz w:val="26"/>
          <w:szCs w:val="26"/>
        </w:rPr>
        <w:t xml:space="preserve">not at issue here, the Decision adopts </w:t>
      </w:r>
      <w:r w:rsidR="00FB3313">
        <w:rPr>
          <w:rFonts w:ascii="Times New Roman" w:hAnsi="Times New Roman" w:cs="Times New Roman"/>
          <w:color w:val="000000" w:themeColor="text1"/>
          <w:sz w:val="26"/>
          <w:szCs w:val="26"/>
        </w:rPr>
        <w:t>San Diego Gas &amp; Electric Company’s (SDG&amp;E’s)</w:t>
      </w:r>
      <w:r w:rsidRPr="6AC1CF74">
        <w:rPr>
          <w:rFonts w:ascii="Times New Roman" w:hAnsi="Times New Roman" w:cs="Times New Roman"/>
          <w:color w:val="000000" w:themeColor="text1"/>
          <w:sz w:val="26"/>
          <w:szCs w:val="26"/>
        </w:rPr>
        <w:t xml:space="preserve"> 2025 Energy Resource Recovery Account (ERRA) year-end balance that incorporates the revised Resource Adequacy (RA) Market Price Benchmark (MPB) methodology previously adopted by the Commission in D.25-06-049.  (</w:t>
      </w:r>
      <w:r w:rsidRPr="6AC1CF74">
        <w:rPr>
          <w:rFonts w:ascii="Times New Roman" w:hAnsi="Times New Roman" w:cs="Times New Roman"/>
          <w:i/>
          <w:iCs/>
          <w:color w:val="000000" w:themeColor="text1"/>
          <w:sz w:val="26"/>
          <w:szCs w:val="26"/>
        </w:rPr>
        <w:t>Id</w:t>
      </w:r>
      <w:r w:rsidRPr="6AC1CF74">
        <w:rPr>
          <w:rFonts w:ascii="Times New Roman" w:hAnsi="Times New Roman" w:cs="Times New Roman"/>
          <w:color w:val="000000" w:themeColor="text1"/>
          <w:sz w:val="26"/>
          <w:szCs w:val="26"/>
        </w:rPr>
        <w:t xml:space="preserve">. at p. 26, and </w:t>
      </w:r>
      <w:r w:rsidR="00723024">
        <w:rPr>
          <w:rFonts w:ascii="Times New Roman" w:hAnsi="Times New Roman" w:cs="Times New Roman"/>
          <w:color w:val="000000" w:themeColor="text1"/>
          <w:sz w:val="26"/>
          <w:szCs w:val="26"/>
        </w:rPr>
        <w:t xml:space="preserve">pp. 32-35, </w:t>
      </w:r>
      <w:r w:rsidRPr="6AC1CF74">
        <w:rPr>
          <w:rFonts w:ascii="Times New Roman" w:hAnsi="Times New Roman" w:cs="Times New Roman"/>
          <w:color w:val="000000" w:themeColor="text1"/>
          <w:sz w:val="26"/>
          <w:szCs w:val="26"/>
        </w:rPr>
        <w:t>Finding of Fact</w:t>
      </w:r>
      <w:r w:rsidR="00723024">
        <w:rPr>
          <w:rFonts w:ascii="Times New Roman" w:hAnsi="Times New Roman" w:cs="Times New Roman"/>
          <w:color w:val="000000" w:themeColor="text1"/>
          <w:sz w:val="26"/>
          <w:szCs w:val="26"/>
        </w:rPr>
        <w:t>s</w:t>
      </w:r>
      <w:r w:rsidRPr="6AC1CF74">
        <w:rPr>
          <w:rFonts w:ascii="Times New Roman" w:hAnsi="Times New Roman" w:cs="Times New Roman"/>
          <w:color w:val="000000" w:themeColor="text1"/>
          <w:sz w:val="26"/>
          <w:szCs w:val="26"/>
        </w:rPr>
        <w:t xml:space="preserve"> (FOF</w:t>
      </w:r>
      <w:r w:rsidR="00723024">
        <w:rPr>
          <w:rFonts w:ascii="Times New Roman" w:hAnsi="Times New Roman" w:cs="Times New Roman"/>
          <w:color w:val="000000" w:themeColor="text1"/>
          <w:sz w:val="26"/>
          <w:szCs w:val="26"/>
        </w:rPr>
        <w:t>s</w:t>
      </w:r>
      <w:r w:rsidRPr="6AC1CF74">
        <w:rPr>
          <w:rFonts w:ascii="Times New Roman" w:hAnsi="Times New Roman" w:cs="Times New Roman"/>
          <w:color w:val="000000" w:themeColor="text1"/>
          <w:sz w:val="26"/>
          <w:szCs w:val="26"/>
        </w:rPr>
        <w:t xml:space="preserve">) </w:t>
      </w:r>
      <w:r w:rsidR="00723024">
        <w:rPr>
          <w:rFonts w:ascii="Times New Roman" w:hAnsi="Times New Roman" w:cs="Times New Roman"/>
          <w:color w:val="000000" w:themeColor="text1"/>
          <w:sz w:val="26"/>
          <w:szCs w:val="26"/>
        </w:rPr>
        <w:t xml:space="preserve">2 and </w:t>
      </w:r>
      <w:r w:rsidRPr="6AC1CF74">
        <w:rPr>
          <w:rFonts w:ascii="Times New Roman" w:hAnsi="Times New Roman" w:cs="Times New Roman"/>
          <w:color w:val="000000" w:themeColor="text1"/>
          <w:sz w:val="26"/>
          <w:szCs w:val="26"/>
        </w:rPr>
        <w:t>3, Conclusions of Law (COLs) 2 and 3, Ordering Paragraph (OP) 1(b) and (d)</w:t>
      </w:r>
      <w:r w:rsidRPr="6AC1CF74" w:rsidR="00BD1AFC">
        <w:rPr>
          <w:rFonts w:ascii="Times New Roman" w:hAnsi="Times New Roman" w:cs="Times New Roman"/>
          <w:color w:val="000000" w:themeColor="text1"/>
          <w:sz w:val="26"/>
          <w:szCs w:val="26"/>
        </w:rPr>
        <w:t xml:space="preserve">; see also </w:t>
      </w:r>
      <w:r w:rsidRPr="6AC1CF74" w:rsidR="00BD1AFC">
        <w:rPr>
          <w:rFonts w:ascii="Times New Roman" w:hAnsi="Times New Roman" w:cs="Times New Roman"/>
          <w:i/>
          <w:iCs/>
          <w:color w:val="000000" w:themeColor="text1"/>
          <w:sz w:val="26"/>
          <w:szCs w:val="26"/>
        </w:rPr>
        <w:t>Decision Adopting Changes to the Calculation of the Resource Adequacy Market Price Benchmark</w:t>
      </w:r>
      <w:r w:rsidRPr="6AC1CF74" w:rsidR="00BD1AFC">
        <w:rPr>
          <w:rFonts w:ascii="Times New Roman" w:hAnsi="Times New Roman" w:cs="Times New Roman"/>
          <w:color w:val="000000" w:themeColor="text1"/>
          <w:sz w:val="26"/>
          <w:szCs w:val="26"/>
        </w:rPr>
        <w:t xml:space="preserve"> (2025) [D.25-06-049]</w:t>
      </w:r>
      <w:r w:rsidRPr="6AC1CF74">
        <w:rPr>
          <w:rFonts w:ascii="Times New Roman" w:hAnsi="Times New Roman" w:cs="Times New Roman"/>
          <w:color w:val="000000" w:themeColor="text1"/>
          <w:sz w:val="26"/>
          <w:szCs w:val="26"/>
        </w:rPr>
        <w:t xml:space="preserve">.)    </w:t>
      </w:r>
    </w:p>
    <w:p w:rsidR="00472F57" w:rsidP="00472F57" w:rsidRDefault="00750A3F" w14:paraId="4C1541E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1440"/>
        <w:contextualSpacing/>
        <w:rPr>
          <w:rFonts w:ascii="Times New Roman" w:hAnsi="Times New Roman" w:cs="Times New Roman"/>
          <w:color w:val="000000" w:themeColor="text1"/>
          <w:sz w:val="26"/>
          <w:szCs w:val="26"/>
        </w:rPr>
      </w:pPr>
      <w:r w:rsidRPr="00C90979">
        <w:rPr>
          <w:rFonts w:ascii="Times New Roman" w:hAnsi="Times New Roman" w:cs="Times New Roman"/>
          <w:color w:val="000000" w:themeColor="text1"/>
          <w:sz w:val="26"/>
          <w:szCs w:val="26"/>
        </w:rPr>
        <w:lastRenderedPageBreak/>
        <w:t xml:space="preserve">The San Diego Community Power and Clean Energy Alliances (the SD CCAs) filed </w:t>
      </w:r>
      <w:r w:rsidRPr="6AC1CF74">
        <w:rPr>
          <w:rFonts w:ascii="Times New Roman" w:hAnsi="Times New Roman" w:cs="Times New Roman"/>
          <w:color w:val="000000" w:themeColor="text1"/>
          <w:sz w:val="26"/>
          <w:szCs w:val="26"/>
        </w:rPr>
        <w:t>a timely application for rehearing of the Decision on January 5, 2026.  (</w:t>
      </w:r>
      <w:r w:rsidRPr="6AC1CF74">
        <w:rPr>
          <w:rFonts w:ascii="Times New Roman" w:hAnsi="Times New Roman" w:cs="Times New Roman"/>
          <w:i/>
          <w:iCs/>
          <w:sz w:val="26"/>
          <w:szCs w:val="26"/>
        </w:rPr>
        <w:t xml:space="preserve">San Diego Community Power and Clean Energy Alliance’s Application for Rehearing of </w:t>
      </w:r>
      <w:r w:rsidR="00AE2D06">
        <w:rPr>
          <w:rFonts w:ascii="Times New Roman" w:hAnsi="Times New Roman" w:cs="Times New Roman"/>
          <w:i/>
          <w:iCs/>
          <w:sz w:val="26"/>
          <w:szCs w:val="26"/>
        </w:rPr>
        <w:br/>
      </w:r>
      <w:r w:rsidRPr="6AC1CF74">
        <w:rPr>
          <w:rFonts w:ascii="Times New Roman" w:hAnsi="Times New Roman" w:cs="Times New Roman"/>
          <w:i/>
          <w:iCs/>
          <w:sz w:val="26"/>
          <w:szCs w:val="26"/>
        </w:rPr>
        <w:t>D.25-12-008</w:t>
      </w:r>
      <w:r w:rsidRPr="00C90979">
        <w:rPr>
          <w:rFonts w:ascii="Times New Roman" w:hAnsi="Times New Roman" w:cs="Times New Roman"/>
          <w:color w:val="000000" w:themeColor="text1"/>
          <w:sz w:val="26"/>
          <w:szCs w:val="26"/>
        </w:rPr>
        <w:t xml:space="preserve">, A.25-05-012 (Jan. 5, 2026) [hereinafter Rehg. App.].)  The SD CCAs </w:t>
      </w:r>
      <w:r>
        <w:rPr>
          <w:rFonts w:ascii="Times New Roman" w:hAnsi="Times New Roman" w:cs="Times New Roman"/>
          <w:color w:val="000000" w:themeColor="text1"/>
          <w:sz w:val="26"/>
          <w:szCs w:val="26"/>
        </w:rPr>
        <w:t xml:space="preserve">take issue with the Decision’s approval </w:t>
      </w:r>
      <w:r w:rsidRPr="6AC1CF74" w:rsidR="497EEE25">
        <w:rPr>
          <w:rFonts w:ascii="Times New Roman" w:hAnsi="Times New Roman" w:cs="Times New Roman"/>
          <w:color w:val="000000" w:themeColor="text1"/>
          <w:sz w:val="26"/>
          <w:szCs w:val="26"/>
        </w:rPr>
        <w:t>of</w:t>
      </w:r>
      <w:r w:rsidRPr="6AC1CF74">
        <w:rPr>
          <w:rFonts w:ascii="Times New Roman" w:hAnsi="Times New Roman" w:cs="Times New Roman"/>
          <w:color w:val="000000" w:themeColor="text1"/>
          <w:sz w:val="26"/>
          <w:szCs w:val="26"/>
        </w:rPr>
        <w:t xml:space="preserve"> final 2025 ERRA balances that incorporate the revised RA MPB established in D.25-06-049.  </w:t>
      </w:r>
    </w:p>
    <w:p w:rsidR="0054107C" w:rsidP="0054107C" w:rsidRDefault="0054107C" w14:paraId="599A69F8" w14:textId="2A8D5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1440"/>
        <w:contextualSpacing/>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SDG&amp;E filed a response to the rehearing application on January 20, 2026.  In its response, SDG&amp;E argues that the rehearing application constitutes an improper collateral attack on D.25-06-049, and that there is no legal error in the Commission’s use of the revised RA MPB.  (See </w:t>
      </w:r>
      <w:r w:rsidRPr="0054107C">
        <w:rPr>
          <w:rFonts w:ascii="Times New Roman" w:hAnsi="Times New Roman" w:cs="Times New Roman"/>
          <w:i/>
          <w:iCs/>
          <w:color w:val="000000" w:themeColor="text1"/>
          <w:sz w:val="26"/>
          <w:szCs w:val="26"/>
        </w:rPr>
        <w:t>SDG&amp;E’s Response to Application for Rehearing</w:t>
      </w:r>
      <w:r>
        <w:rPr>
          <w:rFonts w:ascii="Times New Roman" w:hAnsi="Times New Roman" w:cs="Times New Roman"/>
          <w:color w:val="000000" w:themeColor="text1"/>
          <w:sz w:val="26"/>
          <w:szCs w:val="26"/>
        </w:rPr>
        <w:t xml:space="preserve">, A.25-05-012 (Jan. 20, 2026).)  </w:t>
      </w:r>
    </w:p>
    <w:p w:rsidRPr="00C90979" w:rsidR="00750A3F" w:rsidP="00472F57" w:rsidRDefault="00750A3F" w14:paraId="65832CAF" w14:textId="63D888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1440"/>
        <w:contextualSpacing/>
        <w:rPr>
          <w:rFonts w:ascii="Times New Roman" w:hAnsi="Times New Roman" w:cs="Times New Roman"/>
          <w:color w:val="000000" w:themeColor="text1"/>
          <w:sz w:val="26"/>
          <w:szCs w:val="26"/>
        </w:rPr>
      </w:pPr>
      <w:r w:rsidRPr="6AC1CF74">
        <w:rPr>
          <w:rFonts w:ascii="Times New Roman" w:hAnsi="Times New Roman" w:cs="Times New Roman"/>
          <w:color w:val="000000" w:themeColor="text1"/>
          <w:sz w:val="26"/>
          <w:szCs w:val="26"/>
        </w:rPr>
        <w:t>The Commission has carefully reviewed and considered the SD CCAs’ claim of legal error and find no basis for rehearing.</w:t>
      </w:r>
    </w:p>
    <w:p w:rsidRPr="0036632A" w:rsidR="009874DF" w:rsidP="00AE2D06" w:rsidRDefault="000D0499" w14:paraId="53968A58" w14:textId="1890953C">
      <w:pPr>
        <w:pStyle w:val="Heading1"/>
      </w:pPr>
      <w:r w:rsidRPr="0036632A">
        <w:t>DISCUSSION</w:t>
      </w:r>
    </w:p>
    <w:p w:rsidRPr="00AE2D06" w:rsidR="009874DF" w:rsidP="00AE2D06" w:rsidRDefault="00750A3F" w14:paraId="0E3BFCA8" w14:textId="0DA346FF">
      <w:pPr>
        <w:pStyle w:val="Heading2"/>
      </w:pPr>
      <w:r w:rsidRPr="00AE2D06">
        <w:t>The SD CCAs</w:t>
      </w:r>
      <w:r w:rsidR="00472F57">
        <w:t>’</w:t>
      </w:r>
      <w:r w:rsidRPr="00AE2D06">
        <w:t xml:space="preserve"> claim of retroactive ratemaking </w:t>
      </w:r>
      <w:r w:rsidR="00FB3313">
        <w:t xml:space="preserve">is a collateral attack of a determination made in </w:t>
      </w:r>
      <w:r w:rsidRPr="00AE2D06">
        <w:t xml:space="preserve">D.25-06-049. </w:t>
      </w:r>
    </w:p>
    <w:p w:rsidR="00B2170C" w:rsidP="00AE2D06" w:rsidRDefault="00750A3F" w14:paraId="6E647A5D" w14:textId="0519ACBF">
      <w:pPr>
        <w:spacing w:line="360" w:lineRule="auto"/>
        <w:ind w:firstLine="1440"/>
        <w:contextualSpacing/>
        <w:rPr>
          <w:rFonts w:ascii="Times New Roman" w:hAnsi="Times New Roman" w:cs="Times New Roman"/>
          <w:color w:val="000000" w:themeColor="text1"/>
          <w:sz w:val="26"/>
          <w:szCs w:val="26"/>
        </w:rPr>
      </w:pPr>
      <w:r w:rsidRPr="6AC1CF74">
        <w:rPr>
          <w:rFonts w:ascii="Times New Roman" w:hAnsi="Times New Roman" w:cs="Times New Roman"/>
          <w:color w:val="000000" w:themeColor="text1"/>
          <w:sz w:val="26"/>
          <w:szCs w:val="26"/>
        </w:rPr>
        <w:t>In 2025, the Commission initiated Rulemaking (R.) 25-02-005 in order to consider changes to the annual ERRA forecast and compliance proceedings, with Track 1 of R.25-02-005 focused on revising the RA MPB to ensure that RA costs were being accurately captured and distributed between bundled and unbundled customers.  (See D.25-06-049,</w:t>
      </w:r>
      <w:r w:rsidRPr="6AC1CF74" w:rsidR="060EA417">
        <w:rPr>
          <w:rFonts w:ascii="Times New Roman" w:hAnsi="Times New Roman" w:cs="Times New Roman"/>
          <w:color w:val="000000" w:themeColor="text1"/>
          <w:sz w:val="26"/>
          <w:szCs w:val="26"/>
        </w:rPr>
        <w:t xml:space="preserve"> </w:t>
      </w:r>
      <w:r w:rsidRPr="6AC1CF74" w:rsidR="060EA417">
        <w:rPr>
          <w:rFonts w:ascii="Times New Roman" w:hAnsi="Times New Roman" w:cs="Times New Roman"/>
          <w:i/>
          <w:iCs/>
          <w:color w:val="000000" w:themeColor="text1"/>
          <w:sz w:val="26"/>
          <w:szCs w:val="26"/>
        </w:rPr>
        <w:t>supra</w:t>
      </w:r>
      <w:r w:rsidRPr="6AC1CF74" w:rsidR="060EA417">
        <w:rPr>
          <w:rFonts w:ascii="Times New Roman" w:hAnsi="Times New Roman" w:cs="Times New Roman"/>
          <w:color w:val="000000" w:themeColor="text1"/>
          <w:sz w:val="26"/>
          <w:szCs w:val="26"/>
        </w:rPr>
        <w:t>,</w:t>
      </w:r>
      <w:r w:rsidRPr="6AC1CF74">
        <w:rPr>
          <w:rFonts w:ascii="Times New Roman" w:hAnsi="Times New Roman" w:cs="Times New Roman"/>
          <w:color w:val="000000" w:themeColor="text1"/>
          <w:sz w:val="26"/>
          <w:szCs w:val="26"/>
        </w:rPr>
        <w:t xml:space="preserve"> at </w:t>
      </w:r>
      <w:proofErr w:type="gramStart"/>
      <w:r w:rsidRPr="6AC1CF74">
        <w:rPr>
          <w:rFonts w:ascii="Times New Roman" w:hAnsi="Times New Roman" w:cs="Times New Roman"/>
          <w:color w:val="000000" w:themeColor="text1"/>
          <w:sz w:val="26"/>
          <w:szCs w:val="26"/>
        </w:rPr>
        <w:t>pp</w:t>
      </w:r>
      <w:proofErr w:type="gramEnd"/>
      <w:r w:rsidRPr="6AC1CF74">
        <w:rPr>
          <w:rFonts w:ascii="Times New Roman" w:hAnsi="Times New Roman" w:cs="Times New Roman"/>
          <w:color w:val="000000" w:themeColor="text1"/>
          <w:sz w:val="26"/>
          <w:szCs w:val="26"/>
        </w:rPr>
        <w:t>. 2-7.)  Track 1 of R.25-02-005 culminated in D.25-06-049, which adopted a revised RA MPB methodology.  D.25-06-049 directed that the revised RA MPB be applied effectively immediately</w:t>
      </w:r>
      <w:r w:rsidRPr="6AC1CF74" w:rsidR="004A43A1">
        <w:rPr>
          <w:rFonts w:ascii="Times New Roman" w:hAnsi="Times New Roman" w:cs="Times New Roman"/>
          <w:color w:val="000000" w:themeColor="text1"/>
          <w:sz w:val="26"/>
          <w:szCs w:val="26"/>
        </w:rPr>
        <w:t xml:space="preserve">.  This </w:t>
      </w:r>
      <w:r w:rsidRPr="6AC1CF74" w:rsidR="00A51782">
        <w:rPr>
          <w:rFonts w:ascii="Times New Roman" w:hAnsi="Times New Roman" w:cs="Times New Roman"/>
          <w:color w:val="000000" w:themeColor="text1"/>
          <w:sz w:val="26"/>
          <w:szCs w:val="26"/>
        </w:rPr>
        <w:t>included a</w:t>
      </w:r>
      <w:r w:rsidRPr="6AC1CF74">
        <w:rPr>
          <w:rFonts w:ascii="Times New Roman" w:hAnsi="Times New Roman" w:cs="Times New Roman"/>
          <w:color w:val="000000" w:themeColor="text1"/>
          <w:sz w:val="26"/>
          <w:szCs w:val="26"/>
        </w:rPr>
        <w:t xml:space="preserve"> specific </w:t>
      </w:r>
      <w:r w:rsidRPr="6AC1CF74" w:rsidR="00A51782">
        <w:rPr>
          <w:rFonts w:ascii="Times New Roman" w:hAnsi="Times New Roman" w:cs="Times New Roman"/>
          <w:color w:val="000000" w:themeColor="text1"/>
          <w:sz w:val="26"/>
          <w:szCs w:val="26"/>
        </w:rPr>
        <w:t>directive</w:t>
      </w:r>
      <w:r w:rsidRPr="6AC1CF74">
        <w:rPr>
          <w:rFonts w:ascii="Times New Roman" w:hAnsi="Times New Roman" w:cs="Times New Roman"/>
          <w:color w:val="000000" w:themeColor="text1"/>
          <w:sz w:val="26"/>
          <w:szCs w:val="26"/>
        </w:rPr>
        <w:t xml:space="preserve"> that the revised RA MPB be applied </w:t>
      </w:r>
      <w:r w:rsidRPr="6AC1CF74" w:rsidR="00A51782">
        <w:rPr>
          <w:rFonts w:ascii="Times New Roman" w:hAnsi="Times New Roman" w:cs="Times New Roman"/>
          <w:color w:val="000000" w:themeColor="text1"/>
          <w:sz w:val="26"/>
          <w:szCs w:val="26"/>
        </w:rPr>
        <w:t>to</w:t>
      </w:r>
      <w:r w:rsidRPr="6AC1CF74">
        <w:rPr>
          <w:rFonts w:ascii="Times New Roman" w:hAnsi="Times New Roman" w:cs="Times New Roman"/>
          <w:color w:val="000000" w:themeColor="text1"/>
          <w:sz w:val="26"/>
          <w:szCs w:val="26"/>
        </w:rPr>
        <w:t xml:space="preserve"> </w:t>
      </w:r>
      <w:r w:rsidRPr="6AC1CF74" w:rsidR="004A43A1">
        <w:rPr>
          <w:rFonts w:ascii="Times New Roman" w:hAnsi="Times New Roman" w:cs="Times New Roman"/>
          <w:color w:val="000000" w:themeColor="text1"/>
          <w:sz w:val="26"/>
          <w:szCs w:val="26"/>
        </w:rPr>
        <w:t xml:space="preserve">the </w:t>
      </w:r>
      <w:r w:rsidRPr="6AC1CF74" w:rsidR="00A51782">
        <w:rPr>
          <w:rFonts w:ascii="Times New Roman" w:hAnsi="Times New Roman" w:cs="Times New Roman"/>
          <w:color w:val="000000" w:themeColor="text1"/>
          <w:sz w:val="26"/>
          <w:szCs w:val="26"/>
        </w:rPr>
        <w:t>2025</w:t>
      </w:r>
      <w:r w:rsidRPr="6AC1CF74" w:rsidR="004A43A1">
        <w:rPr>
          <w:rFonts w:ascii="Times New Roman" w:hAnsi="Times New Roman" w:cs="Times New Roman"/>
          <w:color w:val="000000" w:themeColor="text1"/>
          <w:sz w:val="26"/>
          <w:szCs w:val="26"/>
        </w:rPr>
        <w:t xml:space="preserve"> final RA MPB in each Investor-Owned Utilit</w:t>
      </w:r>
      <w:r w:rsidR="00610A52">
        <w:rPr>
          <w:rFonts w:ascii="Times New Roman" w:hAnsi="Times New Roman" w:cs="Times New Roman"/>
          <w:color w:val="000000" w:themeColor="text1"/>
          <w:sz w:val="26"/>
          <w:szCs w:val="26"/>
        </w:rPr>
        <w:t>y’s</w:t>
      </w:r>
      <w:r w:rsidRPr="6AC1CF74" w:rsidR="004A43A1">
        <w:rPr>
          <w:rFonts w:ascii="Times New Roman" w:hAnsi="Times New Roman" w:cs="Times New Roman"/>
          <w:color w:val="000000" w:themeColor="text1"/>
          <w:sz w:val="26"/>
          <w:szCs w:val="26"/>
        </w:rPr>
        <w:t xml:space="preserve"> (IOU</w:t>
      </w:r>
      <w:r w:rsidR="00610A52">
        <w:rPr>
          <w:rFonts w:ascii="Times New Roman" w:hAnsi="Times New Roman" w:cs="Times New Roman"/>
          <w:color w:val="000000" w:themeColor="text1"/>
          <w:sz w:val="26"/>
          <w:szCs w:val="26"/>
        </w:rPr>
        <w:t>’</w:t>
      </w:r>
      <w:r w:rsidRPr="6AC1CF74" w:rsidR="004A43A1">
        <w:rPr>
          <w:rFonts w:ascii="Times New Roman" w:hAnsi="Times New Roman" w:cs="Times New Roman"/>
          <w:color w:val="000000" w:themeColor="text1"/>
          <w:sz w:val="26"/>
          <w:szCs w:val="26"/>
        </w:rPr>
        <w:t>s) upcoming</w:t>
      </w:r>
      <w:r w:rsidRPr="6AC1CF74" w:rsidR="00A51782">
        <w:rPr>
          <w:rFonts w:ascii="Times New Roman" w:hAnsi="Times New Roman" w:cs="Times New Roman"/>
          <w:color w:val="000000" w:themeColor="text1"/>
          <w:sz w:val="26"/>
          <w:szCs w:val="26"/>
        </w:rPr>
        <w:t xml:space="preserve"> </w:t>
      </w:r>
      <w:r w:rsidRPr="6AC1CF74">
        <w:rPr>
          <w:rFonts w:ascii="Times New Roman" w:hAnsi="Times New Roman" w:cs="Times New Roman"/>
          <w:color w:val="000000" w:themeColor="text1"/>
          <w:sz w:val="26"/>
          <w:szCs w:val="26"/>
        </w:rPr>
        <w:t xml:space="preserve">ERRA </w:t>
      </w:r>
      <w:r w:rsidRPr="6AC1CF74" w:rsidR="004A43A1">
        <w:rPr>
          <w:rFonts w:ascii="Times New Roman" w:hAnsi="Times New Roman" w:cs="Times New Roman"/>
          <w:color w:val="000000" w:themeColor="text1"/>
          <w:sz w:val="26"/>
          <w:szCs w:val="26"/>
        </w:rPr>
        <w:t>proceeding</w:t>
      </w:r>
      <w:r w:rsidRPr="6AC1CF74">
        <w:rPr>
          <w:rFonts w:ascii="Times New Roman" w:hAnsi="Times New Roman" w:cs="Times New Roman"/>
          <w:color w:val="000000" w:themeColor="text1"/>
          <w:sz w:val="26"/>
          <w:szCs w:val="26"/>
        </w:rPr>
        <w:t>.  (</w:t>
      </w:r>
      <w:r w:rsidRPr="6AC1CF74">
        <w:rPr>
          <w:rFonts w:ascii="Times New Roman" w:hAnsi="Times New Roman" w:cs="Times New Roman"/>
          <w:i/>
          <w:iCs/>
          <w:color w:val="000000" w:themeColor="text1"/>
          <w:sz w:val="26"/>
          <w:szCs w:val="26"/>
        </w:rPr>
        <w:t>Id</w:t>
      </w:r>
      <w:r w:rsidRPr="6AC1CF74">
        <w:rPr>
          <w:rFonts w:ascii="Times New Roman" w:hAnsi="Times New Roman" w:cs="Times New Roman"/>
          <w:color w:val="000000" w:themeColor="text1"/>
          <w:sz w:val="26"/>
          <w:szCs w:val="26"/>
        </w:rPr>
        <w:t>. at p</w:t>
      </w:r>
      <w:r w:rsidR="00474C28">
        <w:rPr>
          <w:rFonts w:ascii="Times New Roman" w:hAnsi="Times New Roman" w:cs="Times New Roman"/>
          <w:color w:val="000000" w:themeColor="text1"/>
          <w:sz w:val="26"/>
          <w:szCs w:val="26"/>
        </w:rPr>
        <w:t>p</w:t>
      </w:r>
      <w:r w:rsidRPr="6AC1CF74">
        <w:rPr>
          <w:rFonts w:ascii="Times New Roman" w:hAnsi="Times New Roman" w:cs="Times New Roman"/>
          <w:color w:val="000000" w:themeColor="text1"/>
          <w:sz w:val="26"/>
          <w:szCs w:val="26"/>
        </w:rPr>
        <w:t>. 34</w:t>
      </w:r>
      <w:r w:rsidR="00474C28">
        <w:rPr>
          <w:rFonts w:ascii="Times New Roman" w:hAnsi="Times New Roman" w:cs="Times New Roman"/>
          <w:color w:val="000000" w:themeColor="text1"/>
          <w:sz w:val="26"/>
          <w:szCs w:val="26"/>
        </w:rPr>
        <w:t>-35</w:t>
      </w:r>
      <w:r w:rsidRPr="6AC1CF74">
        <w:rPr>
          <w:rFonts w:ascii="Times New Roman" w:hAnsi="Times New Roman" w:cs="Times New Roman"/>
          <w:color w:val="000000" w:themeColor="text1"/>
          <w:sz w:val="26"/>
          <w:szCs w:val="26"/>
        </w:rPr>
        <w:t xml:space="preserve">, COL 10 and OPs 1 and 2.) </w:t>
      </w:r>
    </w:p>
    <w:p w:rsidRPr="00D92679" w:rsidR="00B2170C" w:rsidP="00AE2D06" w:rsidRDefault="00750A3F" w14:paraId="65C8ABD4" w14:textId="0EE86152">
      <w:pPr>
        <w:spacing w:line="360" w:lineRule="auto"/>
        <w:ind w:firstLine="1440"/>
        <w:contextualSpacing/>
        <w:rPr>
          <w:rFonts w:ascii="Times New Roman" w:hAnsi="Times New Roman" w:cs="Times New Roman"/>
          <w:color w:val="000000" w:themeColor="text1"/>
          <w:sz w:val="26"/>
          <w:szCs w:val="26"/>
        </w:rPr>
      </w:pPr>
      <w:r w:rsidRPr="00D92679">
        <w:rPr>
          <w:rFonts w:ascii="Times New Roman" w:hAnsi="Times New Roman" w:cs="Times New Roman"/>
          <w:color w:val="000000" w:themeColor="text1"/>
          <w:sz w:val="26"/>
          <w:szCs w:val="26"/>
        </w:rPr>
        <w:t>During the course of R.25-02-005, CalCCA raised the issue of retroactive ratemaking</w:t>
      </w:r>
      <w:r w:rsidRPr="00D92679" w:rsidR="00B2170C">
        <w:rPr>
          <w:rFonts w:ascii="Times New Roman" w:hAnsi="Times New Roman" w:cs="Times New Roman"/>
          <w:color w:val="000000" w:themeColor="text1"/>
          <w:sz w:val="26"/>
          <w:szCs w:val="26"/>
        </w:rPr>
        <w:t>, alleging that application of a revised RA MPB</w:t>
      </w:r>
      <w:r w:rsidR="00723024">
        <w:rPr>
          <w:rFonts w:ascii="Times New Roman" w:hAnsi="Times New Roman" w:cs="Times New Roman"/>
          <w:color w:val="000000" w:themeColor="text1"/>
          <w:sz w:val="26"/>
          <w:szCs w:val="26"/>
        </w:rPr>
        <w:t xml:space="preserve"> during the final 2025 ERRA </w:t>
      </w:r>
      <w:r w:rsidR="00723024">
        <w:rPr>
          <w:rFonts w:ascii="Times New Roman" w:hAnsi="Times New Roman" w:cs="Times New Roman"/>
          <w:color w:val="000000" w:themeColor="text1"/>
          <w:sz w:val="26"/>
          <w:szCs w:val="26"/>
        </w:rPr>
        <w:lastRenderedPageBreak/>
        <w:t>true-up</w:t>
      </w:r>
      <w:r w:rsidRPr="00D92679" w:rsidR="00B2170C">
        <w:rPr>
          <w:rFonts w:ascii="Times New Roman" w:hAnsi="Times New Roman" w:cs="Times New Roman"/>
          <w:color w:val="000000" w:themeColor="text1"/>
          <w:sz w:val="26"/>
          <w:szCs w:val="26"/>
        </w:rPr>
        <w:t xml:space="preserve"> would violate Public Utilities Code section 728</w:t>
      </w:r>
      <w:r w:rsidRPr="00D92679">
        <w:rPr>
          <w:rFonts w:ascii="Times New Roman" w:hAnsi="Times New Roman" w:cs="Times New Roman"/>
          <w:color w:val="000000" w:themeColor="text1"/>
          <w:sz w:val="26"/>
          <w:szCs w:val="26"/>
        </w:rPr>
        <w:t>.</w:t>
      </w:r>
      <w:r w:rsidRPr="00D92679" w:rsidR="00B2170C">
        <w:rPr>
          <w:rStyle w:val="FootnoteReference"/>
          <w:rFonts w:ascii="Times New Roman" w:hAnsi="Times New Roman" w:cs="Times New Roman"/>
          <w:b/>
          <w:bCs/>
          <w:color w:val="000000" w:themeColor="text1"/>
          <w:sz w:val="26"/>
          <w:szCs w:val="26"/>
          <w:u w:val="single"/>
        </w:rPr>
        <w:footnoteReference w:id="2"/>
      </w:r>
      <w:r w:rsidRPr="00D92679">
        <w:rPr>
          <w:rFonts w:ascii="Times New Roman" w:hAnsi="Times New Roman" w:cs="Times New Roman"/>
          <w:color w:val="000000" w:themeColor="text1"/>
          <w:sz w:val="26"/>
          <w:szCs w:val="26"/>
        </w:rPr>
        <w:t xml:space="preserve">  </w:t>
      </w:r>
      <w:r w:rsidRPr="00D92679" w:rsidR="004A43A1">
        <w:rPr>
          <w:rFonts w:ascii="Times New Roman" w:hAnsi="Times New Roman" w:cs="Times New Roman"/>
          <w:color w:val="000000" w:themeColor="text1"/>
          <w:sz w:val="26"/>
          <w:szCs w:val="26"/>
        </w:rPr>
        <w:t xml:space="preserve">(See </w:t>
      </w:r>
      <w:r w:rsidRPr="00D92679" w:rsidR="004A43A1">
        <w:rPr>
          <w:rFonts w:ascii="Times New Roman" w:hAnsi="Times New Roman" w:cs="Times New Roman"/>
          <w:i/>
          <w:iCs/>
          <w:color w:val="000000" w:themeColor="text1"/>
          <w:sz w:val="26"/>
          <w:szCs w:val="26"/>
        </w:rPr>
        <w:t>id</w:t>
      </w:r>
      <w:r w:rsidRPr="00D92679" w:rsidR="004A43A1">
        <w:rPr>
          <w:rFonts w:ascii="Times New Roman" w:hAnsi="Times New Roman" w:cs="Times New Roman"/>
          <w:color w:val="000000" w:themeColor="text1"/>
          <w:sz w:val="26"/>
          <w:szCs w:val="26"/>
        </w:rPr>
        <w:t xml:space="preserve">. at pp. 28-29.)  </w:t>
      </w:r>
      <w:r w:rsidR="00393F70">
        <w:rPr>
          <w:rFonts w:ascii="Times New Roman" w:hAnsi="Times New Roman" w:cs="Times New Roman"/>
          <w:color w:val="000000" w:themeColor="text1"/>
          <w:sz w:val="26"/>
          <w:szCs w:val="26"/>
        </w:rPr>
        <w:br/>
      </w:r>
      <w:r w:rsidRPr="00D92679" w:rsidR="00B2170C">
        <w:rPr>
          <w:rFonts w:ascii="Times New Roman" w:hAnsi="Times New Roman" w:cs="Times New Roman"/>
          <w:color w:val="000000" w:themeColor="text1"/>
          <w:sz w:val="26"/>
          <w:szCs w:val="26"/>
        </w:rPr>
        <w:t xml:space="preserve">D.25-06-049 rejected this argument, explaining that the Supreme Court in </w:t>
      </w:r>
      <w:r w:rsidRPr="00D92679" w:rsidR="00B2170C">
        <w:rPr>
          <w:rFonts w:ascii="Times New Roman" w:hAnsi="Times New Roman" w:cs="Times New Roman"/>
          <w:i/>
          <w:iCs/>
          <w:color w:val="000000" w:themeColor="text1"/>
          <w:sz w:val="26"/>
          <w:szCs w:val="26"/>
        </w:rPr>
        <w:t>Southern California Edison Co. v. Public Utilities Commission</w:t>
      </w:r>
      <w:r w:rsidRPr="00D92679" w:rsidR="00B2170C">
        <w:rPr>
          <w:rFonts w:ascii="Times New Roman" w:hAnsi="Times New Roman" w:cs="Times New Roman"/>
          <w:color w:val="000000" w:themeColor="text1"/>
          <w:sz w:val="26"/>
          <w:szCs w:val="26"/>
        </w:rPr>
        <w:t xml:space="preserve"> held that the “prohibition on retroactive ratemaking was </w:t>
      </w:r>
      <w:r w:rsidR="00504F6C">
        <w:rPr>
          <w:rFonts w:ascii="Times New Roman" w:hAnsi="Times New Roman" w:cs="Times New Roman"/>
          <w:color w:val="000000" w:themeColor="text1"/>
          <w:sz w:val="26"/>
          <w:szCs w:val="26"/>
        </w:rPr>
        <w:t>in</w:t>
      </w:r>
      <w:r w:rsidRPr="00D92679" w:rsidR="00B2170C">
        <w:rPr>
          <w:rFonts w:ascii="Times New Roman" w:hAnsi="Times New Roman" w:cs="Times New Roman"/>
          <w:color w:val="000000" w:themeColor="text1"/>
          <w:sz w:val="26"/>
          <w:szCs w:val="26"/>
        </w:rPr>
        <w:t>tend</w:t>
      </w:r>
      <w:r w:rsidR="00504F6C">
        <w:rPr>
          <w:rFonts w:ascii="Times New Roman" w:hAnsi="Times New Roman" w:cs="Times New Roman"/>
          <w:color w:val="000000" w:themeColor="text1"/>
          <w:sz w:val="26"/>
          <w:szCs w:val="26"/>
        </w:rPr>
        <w:t>ed</w:t>
      </w:r>
      <w:r w:rsidRPr="00D92679" w:rsidR="00B2170C">
        <w:rPr>
          <w:rFonts w:ascii="Times New Roman" w:hAnsi="Times New Roman" w:cs="Times New Roman"/>
          <w:color w:val="000000" w:themeColor="text1"/>
          <w:sz w:val="26"/>
          <w:szCs w:val="26"/>
        </w:rPr>
        <w:t xml:space="preserve"> to apply to every situation where action by the Commission results in retroactive application.”  (</w:t>
      </w:r>
      <w:r w:rsidRPr="00D92679" w:rsidR="00B2170C">
        <w:rPr>
          <w:rFonts w:ascii="Times New Roman" w:hAnsi="Times New Roman" w:cs="Times New Roman"/>
          <w:i/>
          <w:iCs/>
          <w:color w:val="000000" w:themeColor="text1"/>
          <w:sz w:val="26"/>
          <w:szCs w:val="26"/>
        </w:rPr>
        <w:t>Id</w:t>
      </w:r>
      <w:r w:rsidRPr="00D92679" w:rsidR="00B2170C">
        <w:rPr>
          <w:rFonts w:ascii="Times New Roman" w:hAnsi="Times New Roman" w:cs="Times New Roman"/>
          <w:color w:val="000000" w:themeColor="text1"/>
          <w:sz w:val="26"/>
          <w:szCs w:val="26"/>
        </w:rPr>
        <w:t xml:space="preserve">. at p. 29 citing </w:t>
      </w:r>
      <w:r w:rsidRPr="00D92679" w:rsidR="00B2170C">
        <w:rPr>
          <w:rFonts w:ascii="Times New Roman" w:hAnsi="Times New Roman" w:cs="Times New Roman"/>
          <w:i/>
          <w:iCs/>
          <w:color w:val="000000" w:themeColor="text1"/>
          <w:sz w:val="26"/>
          <w:szCs w:val="26"/>
        </w:rPr>
        <w:t>Southern California Edison Co. v. Public Utilities Commission</w:t>
      </w:r>
      <w:r w:rsidRPr="00D92679" w:rsidR="00B2170C">
        <w:rPr>
          <w:rFonts w:ascii="Times New Roman" w:hAnsi="Times New Roman" w:cs="Times New Roman"/>
          <w:color w:val="000000" w:themeColor="text1"/>
          <w:sz w:val="26"/>
          <w:szCs w:val="26"/>
        </w:rPr>
        <w:t xml:space="preserve"> (1978) 20 Cal.3d 813</w:t>
      </w:r>
      <w:r w:rsidRPr="00D92679" w:rsidR="00D94A6F">
        <w:rPr>
          <w:rFonts w:ascii="Times New Roman" w:hAnsi="Times New Roman" w:cs="Times New Roman"/>
          <w:color w:val="000000" w:themeColor="text1"/>
          <w:sz w:val="26"/>
          <w:szCs w:val="26"/>
        </w:rPr>
        <w:t xml:space="preserve">, </w:t>
      </w:r>
      <w:r w:rsidRPr="00D92679" w:rsidR="00B2170C">
        <w:rPr>
          <w:rFonts w:ascii="Times New Roman" w:hAnsi="Times New Roman" w:cs="Times New Roman"/>
          <w:color w:val="000000" w:themeColor="text1"/>
          <w:sz w:val="26"/>
          <w:szCs w:val="26"/>
        </w:rPr>
        <w:t xml:space="preserve">817.)  </w:t>
      </w:r>
      <w:r w:rsidRPr="00D92679" w:rsidR="00D94A6F">
        <w:rPr>
          <w:rFonts w:ascii="Times New Roman" w:hAnsi="Times New Roman" w:cs="Times New Roman"/>
          <w:color w:val="000000" w:themeColor="text1"/>
          <w:sz w:val="26"/>
          <w:szCs w:val="26"/>
        </w:rPr>
        <w:t xml:space="preserve">To this end, </w:t>
      </w:r>
      <w:r w:rsidR="00393F70">
        <w:rPr>
          <w:rFonts w:ascii="Times New Roman" w:hAnsi="Times New Roman" w:cs="Times New Roman"/>
          <w:color w:val="000000" w:themeColor="text1"/>
          <w:sz w:val="26"/>
          <w:szCs w:val="26"/>
        </w:rPr>
        <w:br/>
      </w:r>
      <w:r w:rsidRPr="00D92679" w:rsidR="00D94A6F">
        <w:rPr>
          <w:rFonts w:ascii="Times New Roman" w:hAnsi="Times New Roman" w:cs="Times New Roman"/>
          <w:color w:val="000000" w:themeColor="text1"/>
          <w:sz w:val="26"/>
          <w:szCs w:val="26"/>
        </w:rPr>
        <w:t>D.25-06-049 includes a</w:t>
      </w:r>
      <w:r w:rsidR="00FB3313">
        <w:rPr>
          <w:rFonts w:ascii="Times New Roman" w:hAnsi="Times New Roman" w:cs="Times New Roman"/>
          <w:color w:val="000000" w:themeColor="text1"/>
          <w:sz w:val="26"/>
          <w:szCs w:val="26"/>
        </w:rPr>
        <w:t xml:space="preserve"> </w:t>
      </w:r>
      <w:r w:rsidRPr="00D92679" w:rsidR="00D94A6F">
        <w:rPr>
          <w:rFonts w:ascii="Times New Roman" w:hAnsi="Times New Roman" w:cs="Times New Roman"/>
          <w:color w:val="000000" w:themeColor="text1"/>
          <w:sz w:val="26"/>
          <w:szCs w:val="26"/>
        </w:rPr>
        <w:t>conclusion of law that the “</w:t>
      </w:r>
      <w:r w:rsidRPr="00D92679" w:rsidR="00D94A6F">
        <w:rPr>
          <w:rFonts w:ascii="Times New Roman" w:hAnsi="Times New Roman" w:cs="Times New Roman"/>
          <w:sz w:val="26"/>
          <w:szCs w:val="26"/>
        </w:rPr>
        <w:t>[a]</w:t>
      </w:r>
      <w:proofErr w:type="spellStart"/>
      <w:r w:rsidRPr="00D92679" w:rsidR="00D94A6F">
        <w:rPr>
          <w:rFonts w:ascii="Times New Roman" w:hAnsi="Times New Roman" w:cs="Times New Roman"/>
          <w:sz w:val="26"/>
          <w:szCs w:val="26"/>
        </w:rPr>
        <w:t>pplication</w:t>
      </w:r>
      <w:proofErr w:type="spellEnd"/>
      <w:r w:rsidRPr="00D92679" w:rsidR="00D94A6F">
        <w:rPr>
          <w:rFonts w:ascii="Times New Roman" w:hAnsi="Times New Roman" w:cs="Times New Roman"/>
          <w:sz w:val="26"/>
          <w:szCs w:val="26"/>
        </w:rPr>
        <w:t xml:space="preserve"> of these changes to the 2025 Final RA MPB does not violate the prohibition against retroactive ratemaking.”  (</w:t>
      </w:r>
      <w:r w:rsidRPr="00D92679" w:rsidR="00D94A6F">
        <w:rPr>
          <w:rFonts w:ascii="Times New Roman" w:hAnsi="Times New Roman" w:cs="Times New Roman"/>
          <w:i/>
          <w:iCs/>
          <w:sz w:val="26"/>
          <w:szCs w:val="26"/>
        </w:rPr>
        <w:t>Id</w:t>
      </w:r>
      <w:r w:rsidRPr="00D92679" w:rsidR="00D94A6F">
        <w:rPr>
          <w:rFonts w:ascii="Times New Roman" w:hAnsi="Times New Roman" w:cs="Times New Roman"/>
          <w:sz w:val="26"/>
          <w:szCs w:val="26"/>
        </w:rPr>
        <w:t xml:space="preserve">. at p. 34, COL 9.)  </w:t>
      </w:r>
    </w:p>
    <w:p w:rsidRPr="00D92679" w:rsidR="00D94A6F" w:rsidP="00D26F0A" w:rsidRDefault="00750A3F" w14:paraId="6610C84E" w14:textId="2C9AC50A">
      <w:pPr>
        <w:spacing w:line="360" w:lineRule="auto"/>
        <w:ind w:firstLine="1440"/>
        <w:contextualSpacing/>
        <w:rPr>
          <w:rFonts w:ascii="Times New Roman" w:hAnsi="Times New Roman" w:cs="Times New Roman"/>
          <w:color w:val="000000" w:themeColor="text1"/>
          <w:sz w:val="26"/>
          <w:szCs w:val="26"/>
        </w:rPr>
      </w:pPr>
      <w:r w:rsidRPr="00D92679">
        <w:rPr>
          <w:rFonts w:ascii="Times New Roman" w:hAnsi="Times New Roman" w:cs="Times New Roman"/>
          <w:color w:val="000000" w:themeColor="text1"/>
          <w:sz w:val="26"/>
          <w:szCs w:val="26"/>
        </w:rPr>
        <w:t xml:space="preserve">CalCCA </w:t>
      </w:r>
      <w:r w:rsidRPr="00D92679" w:rsidR="00D94A6F">
        <w:rPr>
          <w:rFonts w:ascii="Times New Roman" w:hAnsi="Times New Roman" w:cs="Times New Roman"/>
          <w:color w:val="000000" w:themeColor="text1"/>
          <w:sz w:val="26"/>
          <w:szCs w:val="26"/>
        </w:rPr>
        <w:t>then filed a rehearing application for D.25-06-049, arguing that the Commission engaged in retroactive ratemaking by</w:t>
      </w:r>
      <w:r w:rsidRPr="00D92679">
        <w:rPr>
          <w:rFonts w:ascii="Times New Roman" w:hAnsi="Times New Roman" w:cs="Times New Roman"/>
          <w:color w:val="000000" w:themeColor="text1"/>
          <w:sz w:val="26"/>
          <w:szCs w:val="26"/>
        </w:rPr>
        <w:t xml:space="preserve"> appl</w:t>
      </w:r>
      <w:r w:rsidRPr="00D92679" w:rsidR="00D94A6F">
        <w:rPr>
          <w:rFonts w:ascii="Times New Roman" w:hAnsi="Times New Roman" w:cs="Times New Roman"/>
          <w:color w:val="000000" w:themeColor="text1"/>
          <w:sz w:val="26"/>
          <w:szCs w:val="26"/>
        </w:rPr>
        <w:t>ying the revised RA MPB</w:t>
      </w:r>
      <w:r w:rsidRPr="00D92679">
        <w:rPr>
          <w:rFonts w:ascii="Times New Roman" w:hAnsi="Times New Roman" w:cs="Times New Roman"/>
          <w:color w:val="000000" w:themeColor="text1"/>
          <w:sz w:val="26"/>
          <w:szCs w:val="26"/>
        </w:rPr>
        <w:t xml:space="preserve"> “midstream,” i.e., after the 2025 ERRA forecast occurred but before the 2025 ERRA true-up.  </w:t>
      </w:r>
      <w:r w:rsidRPr="00D92679" w:rsidR="00D94A6F">
        <w:rPr>
          <w:rFonts w:ascii="Times New Roman" w:hAnsi="Times New Roman" w:cs="Times New Roman"/>
          <w:color w:val="000000" w:themeColor="text1"/>
          <w:sz w:val="26"/>
          <w:szCs w:val="26"/>
        </w:rPr>
        <w:t xml:space="preserve">(See </w:t>
      </w:r>
      <w:r w:rsidRPr="00D92679" w:rsidR="00D94A6F">
        <w:rPr>
          <w:rFonts w:ascii="Times New Roman" w:hAnsi="Times New Roman" w:cs="Times New Roman"/>
          <w:i/>
          <w:iCs/>
          <w:color w:val="000000" w:themeColor="text1"/>
          <w:sz w:val="26"/>
          <w:szCs w:val="26"/>
        </w:rPr>
        <w:t>CalCCA Application for Rehearing of D.25-06-049</w:t>
      </w:r>
      <w:r w:rsidRPr="00D92679" w:rsidR="00D94A6F">
        <w:rPr>
          <w:rFonts w:ascii="Times New Roman" w:hAnsi="Times New Roman" w:cs="Times New Roman"/>
          <w:color w:val="000000" w:themeColor="text1"/>
          <w:sz w:val="26"/>
          <w:szCs w:val="26"/>
        </w:rPr>
        <w:t xml:space="preserve">, R.25-02-005 (July 28, 2025).)  </w:t>
      </w:r>
      <w:r w:rsidR="00474C28">
        <w:rPr>
          <w:rFonts w:ascii="Times New Roman" w:hAnsi="Times New Roman" w:cs="Times New Roman"/>
          <w:color w:val="000000" w:themeColor="text1"/>
          <w:sz w:val="26"/>
          <w:szCs w:val="26"/>
        </w:rPr>
        <w:t>CalCCA’s arguments in its challenge to D.25-06-049 appear to have been made on behalf of the SD CCAs.</w:t>
      </w:r>
      <w:r w:rsidRPr="00514238" w:rsidR="00474C28">
        <w:rPr>
          <w:rStyle w:val="FootnoteReference"/>
          <w:rFonts w:ascii="Times New Roman" w:hAnsi="Times New Roman" w:cs="Times New Roman"/>
          <w:b/>
          <w:bCs/>
          <w:color w:val="000000" w:themeColor="text1"/>
          <w:sz w:val="26"/>
          <w:szCs w:val="26"/>
          <w:u w:val="single"/>
        </w:rPr>
        <w:footnoteReference w:id="3"/>
      </w:r>
      <w:r w:rsidR="00474C28">
        <w:rPr>
          <w:rFonts w:ascii="Times New Roman" w:hAnsi="Times New Roman" w:cs="Times New Roman"/>
          <w:color w:val="000000" w:themeColor="text1"/>
          <w:sz w:val="26"/>
          <w:szCs w:val="26"/>
        </w:rPr>
        <w:t xml:space="preserve">  </w:t>
      </w:r>
    </w:p>
    <w:p w:rsidR="00514238" w:rsidP="00AE2D06" w:rsidRDefault="00D94A6F" w14:paraId="10827C91" w14:textId="217B13E2">
      <w:pPr>
        <w:spacing w:line="360" w:lineRule="auto"/>
        <w:ind w:firstLine="1440"/>
        <w:contextualSpacing/>
        <w:rPr>
          <w:rFonts w:ascii="Times New Roman" w:hAnsi="Times New Roman" w:cs="Times New Roman"/>
          <w:color w:val="000000" w:themeColor="text1"/>
          <w:sz w:val="26"/>
          <w:szCs w:val="26"/>
        </w:rPr>
      </w:pPr>
      <w:r w:rsidRPr="00D92679">
        <w:rPr>
          <w:rFonts w:ascii="Times New Roman" w:hAnsi="Times New Roman" w:cs="Times New Roman"/>
          <w:color w:val="000000" w:themeColor="text1"/>
          <w:sz w:val="26"/>
          <w:szCs w:val="26"/>
        </w:rPr>
        <w:t>The SD CCAs</w:t>
      </w:r>
      <w:r w:rsidR="00472F57">
        <w:rPr>
          <w:rFonts w:ascii="Times New Roman" w:hAnsi="Times New Roman" w:cs="Times New Roman"/>
          <w:color w:val="000000" w:themeColor="text1"/>
          <w:sz w:val="26"/>
          <w:szCs w:val="26"/>
        </w:rPr>
        <w:t>’</w:t>
      </w:r>
      <w:r w:rsidRPr="00D92679">
        <w:rPr>
          <w:rFonts w:ascii="Times New Roman" w:hAnsi="Times New Roman" w:cs="Times New Roman"/>
          <w:color w:val="000000" w:themeColor="text1"/>
          <w:sz w:val="26"/>
          <w:szCs w:val="26"/>
        </w:rPr>
        <w:t xml:space="preserve"> rehearing application for the Decision at issue raises the identical claim of retroactive ratemaking that has already been raised </w:t>
      </w:r>
      <w:r w:rsidR="00723024">
        <w:rPr>
          <w:rFonts w:ascii="Times New Roman" w:hAnsi="Times New Roman" w:cs="Times New Roman"/>
          <w:color w:val="000000" w:themeColor="text1"/>
          <w:sz w:val="26"/>
          <w:szCs w:val="26"/>
        </w:rPr>
        <w:t xml:space="preserve">and rejected </w:t>
      </w:r>
      <w:r w:rsidRPr="00D92679">
        <w:rPr>
          <w:rFonts w:ascii="Times New Roman" w:hAnsi="Times New Roman" w:cs="Times New Roman"/>
          <w:color w:val="000000" w:themeColor="text1"/>
          <w:sz w:val="26"/>
          <w:szCs w:val="26"/>
        </w:rPr>
        <w:t>in CalCCA’s challenge to D.25-06-049.  The SD CCAs</w:t>
      </w:r>
      <w:r w:rsidR="00472F57">
        <w:rPr>
          <w:rFonts w:ascii="Times New Roman" w:hAnsi="Times New Roman" w:cs="Times New Roman"/>
          <w:color w:val="000000" w:themeColor="text1"/>
          <w:sz w:val="26"/>
          <w:szCs w:val="26"/>
        </w:rPr>
        <w:t>’</w:t>
      </w:r>
      <w:r w:rsidRPr="00D92679">
        <w:rPr>
          <w:rFonts w:ascii="Times New Roman" w:hAnsi="Times New Roman" w:cs="Times New Roman"/>
          <w:color w:val="000000" w:themeColor="text1"/>
          <w:sz w:val="26"/>
          <w:szCs w:val="26"/>
        </w:rPr>
        <w:t xml:space="preserve"> rehearing application alleges that D.25-06-0</w:t>
      </w:r>
      <w:r w:rsidRPr="00D92679" w:rsidR="00D92679">
        <w:rPr>
          <w:rFonts w:ascii="Times New Roman" w:hAnsi="Times New Roman" w:cs="Times New Roman"/>
          <w:color w:val="000000" w:themeColor="text1"/>
          <w:sz w:val="26"/>
          <w:szCs w:val="26"/>
        </w:rPr>
        <w:t xml:space="preserve">49 is unlawful because it engages in retroactive ratemaking in violation of section 728, and that the Decision at issue perpetuates this alleged legal violation by carrying out D.25-06-049’s directive to apply the revised RA MPB to the final 2025 ERRA balances.  (Rehg. App., at </w:t>
      </w:r>
      <w:r w:rsidRPr="00D92679" w:rsidR="00D92679">
        <w:rPr>
          <w:rFonts w:ascii="Times New Roman" w:hAnsi="Times New Roman" w:cs="Times New Roman"/>
          <w:sz w:val="26"/>
          <w:szCs w:val="26"/>
        </w:rPr>
        <w:t>pp. 11-12, 14-</w:t>
      </w:r>
      <w:r w:rsidRPr="00D92679" w:rsidR="00D92679">
        <w:rPr>
          <w:rFonts w:ascii="Times New Roman" w:hAnsi="Times New Roman" w:cs="Times New Roman"/>
          <w:color w:val="000000" w:themeColor="text1"/>
          <w:sz w:val="26"/>
          <w:szCs w:val="26"/>
        </w:rPr>
        <w:t xml:space="preserve">20.)  </w:t>
      </w:r>
    </w:p>
    <w:p w:rsidR="00062BD6" w:rsidP="00D26F0A" w:rsidRDefault="00D26F0A" w14:paraId="5F888201" w14:textId="468CB045">
      <w:pPr>
        <w:spacing w:line="360" w:lineRule="auto"/>
        <w:ind w:firstLine="1440"/>
        <w:contextualSpacing/>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The Commission has already explained, however, that the relevant case-law does not support the notion that account adjustments made during an ERRA proceeding </w:t>
      </w:r>
      <w:r>
        <w:rPr>
          <w:rFonts w:ascii="Times New Roman" w:hAnsi="Times New Roman" w:cs="Times New Roman"/>
          <w:color w:val="000000" w:themeColor="text1"/>
          <w:sz w:val="26"/>
          <w:szCs w:val="26"/>
        </w:rPr>
        <w:lastRenderedPageBreak/>
        <w:t>constitute general ratemaking.  (</w:t>
      </w:r>
      <w:r w:rsidRPr="00472F57">
        <w:rPr>
          <w:rFonts w:ascii="Times New Roman" w:hAnsi="Times New Roman" w:cs="Times New Roman"/>
          <w:i/>
          <w:iCs/>
          <w:color w:val="000000" w:themeColor="text1"/>
          <w:sz w:val="26"/>
          <w:szCs w:val="26"/>
        </w:rPr>
        <w:t xml:space="preserve">Order </w:t>
      </w:r>
      <w:r w:rsidRPr="00472F57" w:rsidR="00472F57">
        <w:rPr>
          <w:rFonts w:ascii="Times New Roman" w:hAnsi="Times New Roman" w:cs="Times New Roman"/>
          <w:i/>
          <w:iCs/>
          <w:color w:val="000000" w:themeColor="text1"/>
          <w:sz w:val="26"/>
          <w:szCs w:val="26"/>
        </w:rPr>
        <w:t>Denying Rehearing of D.25-06-049</w:t>
      </w:r>
      <w:r w:rsidR="00472F57">
        <w:rPr>
          <w:rFonts w:ascii="Times New Roman" w:hAnsi="Times New Roman" w:cs="Times New Roman"/>
          <w:color w:val="000000" w:themeColor="text1"/>
          <w:sz w:val="26"/>
          <w:szCs w:val="26"/>
        </w:rPr>
        <w:t xml:space="preserve"> (2025) </w:t>
      </w:r>
      <w:r w:rsidR="00393F70">
        <w:rPr>
          <w:rFonts w:ascii="Times New Roman" w:hAnsi="Times New Roman" w:cs="Times New Roman"/>
          <w:color w:val="000000" w:themeColor="text1"/>
          <w:sz w:val="26"/>
          <w:szCs w:val="26"/>
        </w:rPr>
        <w:br/>
      </w:r>
      <w:r w:rsidR="00472F57">
        <w:rPr>
          <w:rFonts w:ascii="Times New Roman" w:hAnsi="Times New Roman" w:cs="Times New Roman"/>
          <w:color w:val="000000" w:themeColor="text1"/>
          <w:sz w:val="26"/>
          <w:szCs w:val="26"/>
        </w:rPr>
        <w:t>[D.25-10-061], at pp. 4-7</w:t>
      </w:r>
      <w:r>
        <w:rPr>
          <w:rFonts w:ascii="Times New Roman" w:hAnsi="Times New Roman" w:cs="Times New Roman"/>
          <w:color w:val="000000" w:themeColor="text1"/>
          <w:sz w:val="26"/>
          <w:szCs w:val="26"/>
        </w:rPr>
        <w:t>.)  Because no general ratemaking is present, the California Supreme Court has held that there is no retroactive ratemaking.  (</w:t>
      </w:r>
      <w:r w:rsidRPr="00F95E59" w:rsidR="00F95E59">
        <w:rPr>
          <w:rFonts w:ascii="Times New Roman" w:hAnsi="Times New Roman" w:cs="Times New Roman"/>
          <w:i/>
          <w:iCs/>
          <w:color w:val="000000" w:themeColor="text1"/>
          <w:sz w:val="26"/>
          <w:szCs w:val="26"/>
        </w:rPr>
        <w:t>Id</w:t>
      </w:r>
      <w:r w:rsidR="00F95E59">
        <w:rPr>
          <w:rFonts w:ascii="Times New Roman" w:hAnsi="Times New Roman" w:cs="Times New Roman"/>
          <w:color w:val="000000" w:themeColor="text1"/>
          <w:sz w:val="26"/>
          <w:szCs w:val="26"/>
        </w:rPr>
        <w:t xml:space="preserve">. at pp. 5-6; </w:t>
      </w:r>
      <w:r w:rsidRPr="00F95E59" w:rsidR="00F95E59">
        <w:rPr>
          <w:rFonts w:ascii="Times New Roman" w:hAnsi="Times New Roman" w:cs="Times New Roman"/>
          <w:i/>
          <w:iCs/>
          <w:color w:val="000000" w:themeColor="text1"/>
          <w:sz w:val="26"/>
          <w:szCs w:val="26"/>
        </w:rPr>
        <w:t>Southern California Edison, supra</w:t>
      </w:r>
      <w:r w:rsidRPr="00F95E59" w:rsidR="00F95E59">
        <w:rPr>
          <w:rFonts w:ascii="Times New Roman" w:hAnsi="Times New Roman" w:cs="Times New Roman"/>
          <w:color w:val="000000" w:themeColor="text1"/>
          <w:sz w:val="26"/>
          <w:szCs w:val="26"/>
        </w:rPr>
        <w:t>, 20 Cal.3d at pp. 816-817</w:t>
      </w:r>
      <w:r>
        <w:rPr>
          <w:rFonts w:ascii="Times New Roman" w:hAnsi="Times New Roman" w:cs="Times New Roman"/>
          <w:color w:val="000000" w:themeColor="text1"/>
          <w:sz w:val="26"/>
          <w:szCs w:val="26"/>
        </w:rPr>
        <w:t xml:space="preserve">.)  The SD CCAs do not present any reason to deviate from this prior finding and analysis.  In sum, </w:t>
      </w:r>
      <w:r w:rsidR="00610A52">
        <w:rPr>
          <w:rFonts w:ascii="Times New Roman" w:hAnsi="Times New Roman" w:cs="Times New Roman"/>
          <w:color w:val="000000" w:themeColor="text1"/>
          <w:sz w:val="26"/>
          <w:szCs w:val="26"/>
        </w:rPr>
        <w:t xml:space="preserve">there was no </w:t>
      </w:r>
      <w:r>
        <w:rPr>
          <w:rFonts w:ascii="Times New Roman" w:hAnsi="Times New Roman" w:cs="Times New Roman"/>
          <w:color w:val="000000" w:themeColor="text1"/>
          <w:sz w:val="26"/>
          <w:szCs w:val="26"/>
        </w:rPr>
        <w:t xml:space="preserve">retroactive ratemaking in D.25-06-049 and thus </w:t>
      </w:r>
      <w:r w:rsidR="00610A52">
        <w:rPr>
          <w:rFonts w:ascii="Times New Roman" w:hAnsi="Times New Roman" w:cs="Times New Roman"/>
          <w:color w:val="000000" w:themeColor="text1"/>
          <w:sz w:val="26"/>
          <w:szCs w:val="26"/>
        </w:rPr>
        <w:t>no</w:t>
      </w:r>
      <w:r>
        <w:rPr>
          <w:rFonts w:ascii="Times New Roman" w:hAnsi="Times New Roman" w:cs="Times New Roman"/>
          <w:color w:val="000000" w:themeColor="text1"/>
          <w:sz w:val="26"/>
          <w:szCs w:val="26"/>
        </w:rPr>
        <w:t xml:space="preserve"> retroactive ratemaking in the decision at issue. </w:t>
      </w:r>
    </w:p>
    <w:p w:rsidR="00062BD6" w:rsidP="41AADCB2" w:rsidRDefault="00062BD6" w14:paraId="639FA191" w14:textId="1E532986">
      <w:pPr>
        <w:spacing w:line="360" w:lineRule="auto"/>
        <w:ind w:firstLine="1440"/>
        <w:contextualSpacing/>
        <w:rPr>
          <w:rFonts w:ascii="Times New Roman" w:hAnsi="Times New Roman" w:cs="Times New Roman"/>
          <w:color w:val="000000" w:themeColor="text1"/>
          <w:sz w:val="26"/>
          <w:szCs w:val="26"/>
        </w:rPr>
      </w:pPr>
      <w:r w:rsidRPr="59815D76">
        <w:rPr>
          <w:rFonts w:ascii="Times New Roman" w:hAnsi="Times New Roman" w:cs="Times New Roman"/>
          <w:color w:val="000000" w:themeColor="text1"/>
          <w:sz w:val="26"/>
          <w:szCs w:val="26"/>
        </w:rPr>
        <w:t xml:space="preserve">The Commission made the determination to apply the revised RA MPB to the final 2025 ERRA balances in D.25-06-049.  The Decision was merely implementing this prior decision.  The SD CCAs are using the rehearing application of the Decision to collaterally attack a determination made in D.25-06-049, which is not permitted.  (See </w:t>
      </w:r>
      <w:r w:rsidR="00393F70">
        <w:rPr>
          <w:rFonts w:ascii="Times New Roman" w:hAnsi="Times New Roman" w:cs="Times New Roman"/>
          <w:color w:val="000000" w:themeColor="text1"/>
          <w:sz w:val="26"/>
          <w:szCs w:val="26"/>
        </w:rPr>
        <w:br/>
      </w:r>
      <w:r w:rsidRPr="59815D76">
        <w:rPr>
          <w:rFonts w:ascii="Times New Roman" w:hAnsi="Times New Roman" w:cs="Times New Roman"/>
          <w:color w:val="000000" w:themeColor="text1"/>
          <w:sz w:val="26"/>
          <w:szCs w:val="26"/>
        </w:rPr>
        <w:t>§§ 1731</w:t>
      </w:r>
      <w:r w:rsidRPr="59815D76" w:rsidR="0481A5AC">
        <w:rPr>
          <w:rFonts w:ascii="Times New Roman" w:hAnsi="Times New Roman" w:cs="Times New Roman"/>
          <w:color w:val="000000" w:themeColor="text1"/>
          <w:sz w:val="26"/>
          <w:szCs w:val="26"/>
        </w:rPr>
        <w:t xml:space="preserve">, </w:t>
      </w:r>
      <w:r w:rsidRPr="59815D76">
        <w:rPr>
          <w:rFonts w:ascii="Times New Roman" w:hAnsi="Times New Roman" w:cs="Times New Roman"/>
          <w:color w:val="000000" w:themeColor="text1"/>
          <w:sz w:val="26"/>
          <w:szCs w:val="26"/>
        </w:rPr>
        <w:t xml:space="preserve">1756.)  </w:t>
      </w:r>
    </w:p>
    <w:p w:rsidR="00E03733" w:rsidP="00E03733" w:rsidRDefault="00D26F0A" w14:paraId="2FECB1E8" w14:textId="0261F25B">
      <w:pPr>
        <w:spacing w:line="360" w:lineRule="auto"/>
        <w:ind w:firstLine="1440"/>
        <w:contextualSpacing/>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Finally, CalCCA’s direct attack of D.25-06-049 </w:t>
      </w:r>
      <w:r w:rsidR="00FB3313">
        <w:rPr>
          <w:rFonts w:ascii="Times New Roman" w:hAnsi="Times New Roman" w:cs="Times New Roman"/>
          <w:color w:val="000000" w:themeColor="text1"/>
          <w:sz w:val="26"/>
          <w:szCs w:val="26"/>
        </w:rPr>
        <w:t>is pending and will</w:t>
      </w:r>
      <w:r>
        <w:rPr>
          <w:rFonts w:ascii="Times New Roman" w:hAnsi="Times New Roman" w:cs="Times New Roman"/>
          <w:color w:val="000000" w:themeColor="text1"/>
          <w:sz w:val="26"/>
          <w:szCs w:val="26"/>
        </w:rPr>
        <w:t xml:space="preserve"> be considered by the C</w:t>
      </w:r>
      <w:r w:rsidR="00FB3313">
        <w:rPr>
          <w:rFonts w:ascii="Times New Roman" w:hAnsi="Times New Roman" w:cs="Times New Roman"/>
          <w:color w:val="000000" w:themeColor="text1"/>
          <w:sz w:val="26"/>
          <w:szCs w:val="26"/>
        </w:rPr>
        <w:t>ourt of Appeal</w:t>
      </w:r>
      <w:r>
        <w:rPr>
          <w:rFonts w:ascii="Times New Roman" w:hAnsi="Times New Roman" w:cs="Times New Roman"/>
          <w:color w:val="000000" w:themeColor="text1"/>
          <w:sz w:val="26"/>
          <w:szCs w:val="26"/>
        </w:rPr>
        <w:t>.  (</w:t>
      </w:r>
      <w:r w:rsidRPr="00FB3313" w:rsidR="00FB3313">
        <w:rPr>
          <w:rFonts w:ascii="Times New Roman" w:hAnsi="Times New Roman" w:cs="Times New Roman"/>
          <w:i/>
          <w:iCs/>
          <w:color w:val="000000" w:themeColor="text1"/>
          <w:sz w:val="26"/>
          <w:szCs w:val="26"/>
        </w:rPr>
        <w:t>Order</w:t>
      </w:r>
      <w:r w:rsidR="00FB3313">
        <w:rPr>
          <w:rFonts w:ascii="Times New Roman" w:hAnsi="Times New Roman" w:cs="Times New Roman"/>
          <w:color w:val="000000" w:themeColor="text1"/>
          <w:sz w:val="26"/>
          <w:szCs w:val="26"/>
        </w:rPr>
        <w:t xml:space="preserve"> </w:t>
      </w:r>
      <w:r w:rsidRPr="00FB3313" w:rsidR="00FB3313">
        <w:rPr>
          <w:rFonts w:ascii="Times New Roman" w:hAnsi="Times New Roman" w:cs="Times New Roman"/>
          <w:i/>
          <w:iCs/>
          <w:color w:val="000000" w:themeColor="text1"/>
          <w:sz w:val="26"/>
          <w:szCs w:val="26"/>
        </w:rPr>
        <w:t>Granting</w:t>
      </w:r>
      <w:r w:rsidR="00FB3313">
        <w:rPr>
          <w:rFonts w:ascii="Times New Roman" w:hAnsi="Times New Roman" w:cs="Times New Roman"/>
          <w:color w:val="000000" w:themeColor="text1"/>
          <w:sz w:val="26"/>
          <w:szCs w:val="26"/>
        </w:rPr>
        <w:t xml:space="preserve"> </w:t>
      </w:r>
      <w:r w:rsidRPr="00FB3313" w:rsidR="00FB3313">
        <w:rPr>
          <w:rFonts w:ascii="Times New Roman" w:hAnsi="Times New Roman" w:cs="Times New Roman"/>
          <w:i/>
          <w:iCs/>
          <w:color w:val="000000" w:themeColor="text1"/>
          <w:sz w:val="26"/>
          <w:szCs w:val="26"/>
        </w:rPr>
        <w:t>Petition</w:t>
      </w:r>
      <w:r w:rsidR="00FB3313">
        <w:rPr>
          <w:rFonts w:ascii="Times New Roman" w:hAnsi="Times New Roman" w:cs="Times New Roman"/>
          <w:i/>
          <w:iCs/>
          <w:color w:val="000000" w:themeColor="text1"/>
          <w:sz w:val="26"/>
          <w:szCs w:val="26"/>
        </w:rPr>
        <w:t xml:space="preserve"> for Review, CalCCA v. Public Utilities Commission,</w:t>
      </w:r>
      <w:r w:rsidR="00FB3313">
        <w:rPr>
          <w:rFonts w:ascii="Times New Roman" w:hAnsi="Times New Roman" w:cs="Times New Roman"/>
          <w:color w:val="000000" w:themeColor="text1"/>
          <w:sz w:val="26"/>
          <w:szCs w:val="26"/>
        </w:rPr>
        <w:t xml:space="preserve"> S297373 (September 23, 2026).</w:t>
      </w:r>
      <w:r>
        <w:rPr>
          <w:rFonts w:ascii="Times New Roman" w:hAnsi="Times New Roman" w:cs="Times New Roman"/>
          <w:color w:val="000000" w:themeColor="text1"/>
          <w:sz w:val="26"/>
          <w:szCs w:val="26"/>
        </w:rPr>
        <w:t xml:space="preserve">).  </w:t>
      </w:r>
      <w:r w:rsidR="00E03733">
        <w:rPr>
          <w:rFonts w:ascii="Times New Roman" w:hAnsi="Times New Roman" w:cs="Times New Roman"/>
          <w:color w:val="000000" w:themeColor="text1"/>
          <w:sz w:val="26"/>
          <w:szCs w:val="26"/>
        </w:rPr>
        <w:t>I</w:t>
      </w:r>
      <w:r w:rsidR="00FB3313">
        <w:rPr>
          <w:rFonts w:ascii="Times New Roman" w:hAnsi="Times New Roman" w:cs="Times New Roman"/>
          <w:color w:val="000000" w:themeColor="text1"/>
          <w:sz w:val="26"/>
          <w:szCs w:val="26"/>
        </w:rPr>
        <w:t xml:space="preserve">f a Court determines that the application of the revised RA MPB to the 2025 ERRA true-up is unlawful, the Commission may modify the Decision and parties also have the </w:t>
      </w:r>
      <w:r w:rsidR="00E03733">
        <w:rPr>
          <w:rFonts w:ascii="Times New Roman" w:hAnsi="Times New Roman" w:cs="Times New Roman"/>
          <w:color w:val="000000" w:themeColor="text1"/>
          <w:sz w:val="26"/>
          <w:szCs w:val="26"/>
        </w:rPr>
        <w:t xml:space="preserve">option to file a petition to modify the </w:t>
      </w:r>
      <w:r w:rsidR="00F95E59">
        <w:rPr>
          <w:rFonts w:ascii="Times New Roman" w:hAnsi="Times New Roman" w:cs="Times New Roman"/>
          <w:color w:val="000000" w:themeColor="text1"/>
          <w:sz w:val="26"/>
          <w:szCs w:val="26"/>
        </w:rPr>
        <w:t>D</w:t>
      </w:r>
      <w:r w:rsidR="00E03733">
        <w:rPr>
          <w:rFonts w:ascii="Times New Roman" w:hAnsi="Times New Roman" w:cs="Times New Roman"/>
          <w:color w:val="000000" w:themeColor="text1"/>
          <w:sz w:val="26"/>
          <w:szCs w:val="26"/>
        </w:rPr>
        <w:t xml:space="preserve">ecision.  (§ 1708; </w:t>
      </w:r>
      <w:r w:rsidR="00E03733">
        <w:rPr>
          <w:rFonts w:ascii="Times New Roman" w:hAnsi="Times New Roman" w:cs="Times New Roman"/>
          <w:sz w:val="26"/>
          <w:szCs w:val="26"/>
        </w:rPr>
        <w:t>Rule of Practice and Procedure</w:t>
      </w:r>
      <w:r w:rsidR="00E03733">
        <w:rPr>
          <w:rFonts w:ascii="Times New Roman" w:hAnsi="Times New Roman" w:cs="Times New Roman"/>
          <w:color w:val="000000" w:themeColor="text1"/>
          <w:sz w:val="26"/>
          <w:szCs w:val="26"/>
        </w:rPr>
        <w:t>, Rule 16.4.</w:t>
      </w:r>
      <w:r w:rsidRPr="00F95E59" w:rsidR="00F95E59">
        <w:rPr>
          <w:rStyle w:val="FootnoteReference"/>
          <w:rFonts w:ascii="Times New Roman" w:hAnsi="Times New Roman" w:cs="Times New Roman"/>
          <w:b/>
          <w:bCs/>
          <w:color w:val="000000" w:themeColor="text1"/>
          <w:sz w:val="26"/>
          <w:szCs w:val="26"/>
          <w:u w:val="single"/>
        </w:rPr>
        <w:footnoteReference w:id="4"/>
      </w:r>
      <w:r w:rsidR="00E03733">
        <w:rPr>
          <w:rFonts w:ascii="Times New Roman" w:hAnsi="Times New Roman" w:cs="Times New Roman"/>
          <w:color w:val="000000" w:themeColor="text1"/>
          <w:sz w:val="26"/>
          <w:szCs w:val="26"/>
        </w:rPr>
        <w:t xml:space="preserve">)  </w:t>
      </w:r>
    </w:p>
    <w:p w:rsidR="00FB3313" w:rsidP="00E03733" w:rsidRDefault="00FB3313" w14:paraId="191BB88B" w14:textId="288EA458">
      <w:pPr>
        <w:spacing w:line="360" w:lineRule="auto"/>
        <w:ind w:firstLine="1440"/>
        <w:contextualSpacing/>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In sum, the determination that the revised RA MPB should apply to the 2025 ERRA true-up was made in D.25-06-049.  We decline the SD CCAs’ attempt to use a rehearing application of the Decision to collaterally attack the determination made in D.25-06-049.</w:t>
      </w:r>
    </w:p>
    <w:p w:rsidRPr="004832D5" w:rsidR="005A644D" w:rsidP="00AE2D06" w:rsidRDefault="005A644D" w14:paraId="42F41010" w14:textId="0C470132">
      <w:pPr>
        <w:pStyle w:val="Heading2"/>
      </w:pPr>
      <w:r w:rsidRPr="004832D5">
        <w:t xml:space="preserve">The SD CCAs fail to show </w:t>
      </w:r>
      <w:r w:rsidRPr="004832D5" w:rsidR="00D92679">
        <w:t xml:space="preserve">legal error in the Decision.  </w:t>
      </w:r>
      <w:r w:rsidRPr="004832D5">
        <w:t xml:space="preserve"> </w:t>
      </w:r>
    </w:p>
    <w:p w:rsidR="00D92679" w:rsidP="41AADCB2" w:rsidRDefault="0063495C" w14:paraId="722319DA" w14:textId="6C5145BB">
      <w:pPr>
        <w:spacing w:line="360" w:lineRule="auto"/>
        <w:ind w:firstLine="1440"/>
        <w:contextualSpacing/>
        <w:rPr>
          <w:rFonts w:ascii="Times New Roman" w:hAnsi="Times New Roman" w:cs="Times New Roman"/>
          <w:sz w:val="26"/>
          <w:szCs w:val="26"/>
        </w:rPr>
      </w:pPr>
      <w:r w:rsidRPr="59815D76">
        <w:rPr>
          <w:rFonts w:ascii="Times New Roman" w:hAnsi="Times New Roman" w:cs="Times New Roman"/>
          <w:sz w:val="26"/>
          <w:szCs w:val="26"/>
        </w:rPr>
        <w:t xml:space="preserve">In addition to alleging that the Decision </w:t>
      </w:r>
      <w:proofErr w:type="gramStart"/>
      <w:r w:rsidRPr="59815D76">
        <w:rPr>
          <w:rFonts w:ascii="Times New Roman" w:hAnsi="Times New Roman" w:cs="Times New Roman"/>
          <w:sz w:val="26"/>
          <w:szCs w:val="26"/>
        </w:rPr>
        <w:t>errs</w:t>
      </w:r>
      <w:proofErr w:type="gramEnd"/>
      <w:r w:rsidRPr="59815D76">
        <w:rPr>
          <w:rFonts w:ascii="Times New Roman" w:hAnsi="Times New Roman" w:cs="Times New Roman"/>
          <w:sz w:val="26"/>
          <w:szCs w:val="26"/>
        </w:rPr>
        <w:t xml:space="preserve"> because it follows the directive to apply the revised RA MPB, the </w:t>
      </w:r>
      <w:r w:rsidRPr="59815D76" w:rsidR="00D92679">
        <w:rPr>
          <w:rFonts w:ascii="Times New Roman" w:hAnsi="Times New Roman" w:cs="Times New Roman"/>
          <w:sz w:val="26"/>
          <w:szCs w:val="26"/>
        </w:rPr>
        <w:t>SD CCAs argue</w:t>
      </w:r>
      <w:r w:rsidRPr="59815D76" w:rsidR="005A644D">
        <w:rPr>
          <w:rFonts w:ascii="Times New Roman" w:hAnsi="Times New Roman" w:cs="Times New Roman"/>
          <w:sz w:val="26"/>
          <w:szCs w:val="26"/>
        </w:rPr>
        <w:t xml:space="preserve"> that the Decision reaches conclusions that are not supported by the findings</w:t>
      </w:r>
      <w:r w:rsidRPr="59815D76" w:rsidR="00D92679">
        <w:rPr>
          <w:rFonts w:ascii="Times New Roman" w:hAnsi="Times New Roman" w:cs="Times New Roman"/>
          <w:sz w:val="26"/>
          <w:szCs w:val="26"/>
        </w:rPr>
        <w:t>,</w:t>
      </w:r>
      <w:r w:rsidRPr="59815D76" w:rsidR="005A644D">
        <w:rPr>
          <w:rFonts w:ascii="Times New Roman" w:hAnsi="Times New Roman" w:cs="Times New Roman"/>
          <w:sz w:val="26"/>
          <w:szCs w:val="26"/>
        </w:rPr>
        <w:t xml:space="preserve"> </w:t>
      </w:r>
      <w:r w:rsidRPr="59815D76" w:rsidR="00D92679">
        <w:rPr>
          <w:rFonts w:ascii="Times New Roman" w:hAnsi="Times New Roman" w:cs="Times New Roman"/>
          <w:sz w:val="26"/>
          <w:szCs w:val="26"/>
        </w:rPr>
        <w:t xml:space="preserve">and likewise argue that the Decision’s use of the </w:t>
      </w:r>
      <w:r w:rsidRPr="59815D76" w:rsidR="00D92679">
        <w:rPr>
          <w:rFonts w:ascii="Times New Roman" w:hAnsi="Times New Roman" w:cs="Times New Roman"/>
          <w:sz w:val="26"/>
          <w:szCs w:val="26"/>
        </w:rPr>
        <w:lastRenderedPageBreak/>
        <w:t>revised RA MPB is arbitrary or an abuse of discretion.  (Rehg. App.</w:t>
      </w:r>
      <w:r w:rsidRPr="59815D76">
        <w:rPr>
          <w:rFonts w:ascii="Times New Roman" w:hAnsi="Times New Roman" w:cs="Times New Roman"/>
          <w:sz w:val="26"/>
          <w:szCs w:val="26"/>
        </w:rPr>
        <w:t>,</w:t>
      </w:r>
      <w:r w:rsidRPr="59815D76" w:rsidR="00D92679">
        <w:rPr>
          <w:rFonts w:ascii="Times New Roman" w:hAnsi="Times New Roman" w:cs="Times New Roman"/>
          <w:sz w:val="26"/>
          <w:szCs w:val="26"/>
        </w:rPr>
        <w:t xml:space="preserve"> at pp. 22 and 25.)  </w:t>
      </w:r>
      <w:r w:rsidRPr="59815D76">
        <w:rPr>
          <w:rFonts w:ascii="Times New Roman" w:hAnsi="Times New Roman" w:cs="Times New Roman"/>
          <w:sz w:val="26"/>
          <w:szCs w:val="26"/>
        </w:rPr>
        <w:t>Both claims fail for the reasons explained below</w:t>
      </w:r>
      <w:r w:rsidRPr="59815D76" w:rsidR="00D92679">
        <w:rPr>
          <w:rFonts w:ascii="Times New Roman" w:hAnsi="Times New Roman" w:cs="Times New Roman"/>
          <w:sz w:val="26"/>
          <w:szCs w:val="26"/>
        </w:rPr>
        <w:t xml:space="preserve">.  </w:t>
      </w:r>
    </w:p>
    <w:p w:rsidRPr="00AE2D06" w:rsidR="00D92679" w:rsidP="00AE2D06" w:rsidRDefault="00155B95" w14:paraId="0297EBE2" w14:textId="548BFB39">
      <w:pPr>
        <w:pStyle w:val="Heading3"/>
      </w:pPr>
      <w:r w:rsidRPr="00AE2D06">
        <w:t xml:space="preserve">The SD CCAs fail to show that the Decision’s use of the revised RA MPB to establish the 2025 </w:t>
      </w:r>
      <w:r w:rsidR="00062BD6">
        <w:t>Power Charge Indifference Adjustment</w:t>
      </w:r>
      <w:r w:rsidRPr="00AE2D06">
        <w:t xml:space="preserve"> revenue requirement is not adequately supported by findings.   </w:t>
      </w:r>
    </w:p>
    <w:p w:rsidR="005A644D" w:rsidP="00AE2D06" w:rsidRDefault="005A644D" w14:paraId="369132D9" w14:textId="1B1BA7A4">
      <w:pPr>
        <w:spacing w:line="360" w:lineRule="auto"/>
        <w:ind w:firstLine="1440"/>
        <w:contextualSpacing/>
        <w:rPr>
          <w:rFonts w:ascii="Times New Roman" w:hAnsi="Times New Roman" w:cs="Times New Roman"/>
          <w:sz w:val="26"/>
          <w:szCs w:val="26"/>
        </w:rPr>
      </w:pPr>
      <w:r w:rsidRPr="00650E79">
        <w:rPr>
          <w:rFonts w:ascii="Times New Roman" w:hAnsi="Times New Roman" w:cs="Times New Roman"/>
          <w:sz w:val="26"/>
          <w:szCs w:val="26"/>
        </w:rPr>
        <w:t xml:space="preserve">The SD CCAs contend that the </w:t>
      </w:r>
      <w:r w:rsidR="00155B95">
        <w:rPr>
          <w:rFonts w:ascii="Times New Roman" w:hAnsi="Times New Roman" w:cs="Times New Roman"/>
          <w:sz w:val="26"/>
          <w:szCs w:val="26"/>
        </w:rPr>
        <w:t xml:space="preserve">Decision is not supported by the findings because </w:t>
      </w:r>
      <w:r w:rsidRPr="00650E79">
        <w:rPr>
          <w:rFonts w:ascii="Times New Roman" w:hAnsi="Times New Roman" w:cs="Times New Roman"/>
          <w:sz w:val="26"/>
          <w:szCs w:val="26"/>
        </w:rPr>
        <w:t>findings relat</w:t>
      </w:r>
      <w:r w:rsidR="00474C28">
        <w:rPr>
          <w:rFonts w:ascii="Times New Roman" w:hAnsi="Times New Roman" w:cs="Times New Roman"/>
          <w:sz w:val="26"/>
          <w:szCs w:val="26"/>
        </w:rPr>
        <w:t>ed</w:t>
      </w:r>
      <w:r w:rsidRPr="00650E79">
        <w:rPr>
          <w:rFonts w:ascii="Times New Roman" w:hAnsi="Times New Roman" w:cs="Times New Roman"/>
          <w:sz w:val="26"/>
          <w:szCs w:val="26"/>
        </w:rPr>
        <w:t xml:space="preserve"> to the use of the </w:t>
      </w:r>
      <w:r w:rsidR="0063495C">
        <w:rPr>
          <w:rFonts w:ascii="Times New Roman" w:hAnsi="Times New Roman" w:cs="Times New Roman"/>
          <w:sz w:val="26"/>
          <w:szCs w:val="26"/>
        </w:rPr>
        <w:t>revised</w:t>
      </w:r>
      <w:r w:rsidRPr="00650E79">
        <w:rPr>
          <w:rFonts w:ascii="Times New Roman" w:hAnsi="Times New Roman" w:cs="Times New Roman"/>
          <w:sz w:val="26"/>
          <w:szCs w:val="26"/>
        </w:rPr>
        <w:t xml:space="preserve"> RA MPB are “overly broad” and prevent ratepayers or a reviewing court from ascertaining the Commission’s reasoning.  (</w:t>
      </w:r>
      <w:r w:rsidRPr="00650E79">
        <w:rPr>
          <w:rFonts w:ascii="Times New Roman" w:hAnsi="Times New Roman" w:cs="Times New Roman"/>
          <w:i/>
          <w:iCs/>
          <w:sz w:val="26"/>
          <w:szCs w:val="26"/>
        </w:rPr>
        <w:t>Id</w:t>
      </w:r>
      <w:r w:rsidRPr="00650E79">
        <w:rPr>
          <w:rFonts w:ascii="Times New Roman" w:hAnsi="Times New Roman" w:cs="Times New Roman"/>
          <w:sz w:val="26"/>
          <w:szCs w:val="26"/>
        </w:rPr>
        <w:t xml:space="preserve">. at p. 24.)  </w:t>
      </w:r>
      <w:r w:rsidR="00155B95">
        <w:rPr>
          <w:rFonts w:ascii="Times New Roman" w:hAnsi="Times New Roman" w:cs="Times New Roman"/>
          <w:sz w:val="26"/>
          <w:szCs w:val="26"/>
        </w:rPr>
        <w:t xml:space="preserve">The </w:t>
      </w:r>
      <w:r w:rsidRPr="00650E79">
        <w:rPr>
          <w:rFonts w:ascii="Times New Roman" w:hAnsi="Times New Roman" w:cs="Times New Roman"/>
          <w:sz w:val="26"/>
          <w:szCs w:val="26"/>
        </w:rPr>
        <w:t>SD CCAs suggest that</w:t>
      </w:r>
      <w:r w:rsidR="0063495C">
        <w:rPr>
          <w:rFonts w:ascii="Times New Roman" w:hAnsi="Times New Roman" w:cs="Times New Roman"/>
          <w:sz w:val="26"/>
          <w:szCs w:val="26"/>
        </w:rPr>
        <w:t>, in order to be considered sufficient,</w:t>
      </w:r>
      <w:r w:rsidRPr="00650E79">
        <w:rPr>
          <w:rFonts w:ascii="Times New Roman" w:hAnsi="Times New Roman" w:cs="Times New Roman"/>
          <w:sz w:val="26"/>
          <w:szCs w:val="26"/>
        </w:rPr>
        <w:t xml:space="preserve"> the Commission should have adopted specific findings or conclusions detailing the exact rate impact the revised RA MPB would have on unbundled customers, or otherwise explain why applying the revised RA MPB is justified.  (</w:t>
      </w:r>
      <w:r w:rsidRPr="00650E79">
        <w:rPr>
          <w:rFonts w:ascii="Times New Roman" w:hAnsi="Times New Roman" w:cs="Times New Roman"/>
          <w:i/>
          <w:iCs/>
          <w:sz w:val="26"/>
          <w:szCs w:val="26"/>
        </w:rPr>
        <w:t>Id</w:t>
      </w:r>
      <w:r w:rsidRPr="00650E79">
        <w:rPr>
          <w:rFonts w:ascii="Times New Roman" w:hAnsi="Times New Roman" w:cs="Times New Roman"/>
          <w:sz w:val="26"/>
          <w:szCs w:val="26"/>
        </w:rPr>
        <w:t xml:space="preserve">. at </w:t>
      </w:r>
      <w:proofErr w:type="gramStart"/>
      <w:r w:rsidRPr="00650E79">
        <w:rPr>
          <w:rFonts w:ascii="Times New Roman" w:hAnsi="Times New Roman" w:cs="Times New Roman"/>
          <w:sz w:val="26"/>
          <w:szCs w:val="26"/>
        </w:rPr>
        <w:t>pp</w:t>
      </w:r>
      <w:proofErr w:type="gramEnd"/>
      <w:r w:rsidRPr="00650E79">
        <w:rPr>
          <w:rFonts w:ascii="Times New Roman" w:hAnsi="Times New Roman" w:cs="Times New Roman"/>
          <w:sz w:val="26"/>
          <w:szCs w:val="26"/>
        </w:rPr>
        <w:t xml:space="preserve">. 24-25.)  </w:t>
      </w:r>
    </w:p>
    <w:p w:rsidR="00650E79" w:rsidP="00AE2D06" w:rsidRDefault="00192527" w14:paraId="21D7A743" w14:textId="4CEF54C9">
      <w:pPr>
        <w:spacing w:line="360" w:lineRule="auto"/>
        <w:ind w:firstLine="1440"/>
        <w:contextualSpacing/>
        <w:rPr>
          <w:rFonts w:ascii="Times New Roman" w:hAnsi="Times New Roman" w:cs="Times New Roman"/>
          <w:sz w:val="26"/>
          <w:szCs w:val="26"/>
        </w:rPr>
      </w:pPr>
      <w:r>
        <w:rPr>
          <w:rFonts w:ascii="Times New Roman" w:hAnsi="Times New Roman" w:cs="Times New Roman"/>
          <w:sz w:val="26"/>
          <w:szCs w:val="26"/>
        </w:rPr>
        <w:t>These contentions lack merit</w:t>
      </w:r>
      <w:r w:rsidR="00650E79">
        <w:rPr>
          <w:rFonts w:ascii="Times New Roman" w:hAnsi="Times New Roman" w:cs="Times New Roman"/>
          <w:sz w:val="26"/>
          <w:szCs w:val="26"/>
        </w:rPr>
        <w:t xml:space="preserve">.  D.25-06-049 specifically instructs that the revised RA MPB must be applied during the 2025 ERRA balance true-up.  </w:t>
      </w:r>
      <w:r w:rsidR="00155B95">
        <w:rPr>
          <w:rFonts w:ascii="Times New Roman" w:hAnsi="Times New Roman" w:cs="Times New Roman"/>
          <w:sz w:val="26"/>
          <w:szCs w:val="26"/>
        </w:rPr>
        <w:t>(</w:t>
      </w:r>
      <w:r w:rsidR="00155B95">
        <w:rPr>
          <w:rFonts w:ascii="Times New Roman" w:hAnsi="Times New Roman" w:cs="Times New Roman"/>
          <w:color w:val="000000" w:themeColor="text1"/>
          <w:sz w:val="26"/>
          <w:szCs w:val="26"/>
        </w:rPr>
        <w:t xml:space="preserve">D.25-06-049, </w:t>
      </w:r>
      <w:r w:rsidRPr="00155B95" w:rsidR="00155B95">
        <w:rPr>
          <w:rFonts w:ascii="Times New Roman" w:hAnsi="Times New Roman" w:cs="Times New Roman"/>
          <w:i/>
          <w:iCs/>
          <w:color w:val="000000" w:themeColor="text1"/>
          <w:sz w:val="26"/>
          <w:szCs w:val="26"/>
        </w:rPr>
        <w:t>supra</w:t>
      </w:r>
      <w:r w:rsidR="00155B95">
        <w:rPr>
          <w:rFonts w:ascii="Times New Roman" w:hAnsi="Times New Roman" w:cs="Times New Roman"/>
          <w:color w:val="000000" w:themeColor="text1"/>
          <w:sz w:val="26"/>
          <w:szCs w:val="26"/>
        </w:rPr>
        <w:t>,</w:t>
      </w:r>
      <w:r w:rsidRPr="00750A3F" w:rsidR="00155B95">
        <w:rPr>
          <w:rFonts w:ascii="Times New Roman" w:hAnsi="Times New Roman" w:cs="Times New Roman"/>
          <w:color w:val="000000" w:themeColor="text1"/>
          <w:sz w:val="26"/>
          <w:szCs w:val="26"/>
        </w:rPr>
        <w:t xml:space="preserve"> at p. 34, COL</w:t>
      </w:r>
      <w:r w:rsidR="00CB61B2">
        <w:rPr>
          <w:rFonts w:ascii="Times New Roman" w:hAnsi="Times New Roman" w:cs="Times New Roman"/>
          <w:color w:val="000000" w:themeColor="text1"/>
          <w:sz w:val="26"/>
          <w:szCs w:val="26"/>
        </w:rPr>
        <w:t xml:space="preserve"> </w:t>
      </w:r>
      <w:r w:rsidRPr="00750A3F" w:rsidR="00155B95">
        <w:rPr>
          <w:rFonts w:ascii="Times New Roman" w:hAnsi="Times New Roman" w:cs="Times New Roman"/>
          <w:color w:val="000000" w:themeColor="text1"/>
          <w:sz w:val="26"/>
          <w:szCs w:val="26"/>
        </w:rPr>
        <w:t xml:space="preserve">10 and OPs 1 and 2.) </w:t>
      </w:r>
      <w:r w:rsidR="00155B95">
        <w:rPr>
          <w:rFonts w:ascii="Times New Roman" w:hAnsi="Times New Roman" w:cs="Times New Roman"/>
          <w:color w:val="000000" w:themeColor="text1"/>
          <w:sz w:val="26"/>
          <w:szCs w:val="26"/>
        </w:rPr>
        <w:t xml:space="preserve"> </w:t>
      </w:r>
      <w:r w:rsidR="00CB61B2">
        <w:rPr>
          <w:rFonts w:ascii="Times New Roman" w:hAnsi="Times New Roman" w:cs="Times New Roman"/>
          <w:color w:val="000000" w:themeColor="text1"/>
          <w:sz w:val="26"/>
          <w:szCs w:val="26"/>
        </w:rPr>
        <w:t xml:space="preserve">This directive </w:t>
      </w:r>
      <w:r w:rsidR="00E03733">
        <w:rPr>
          <w:rFonts w:ascii="Times New Roman" w:hAnsi="Times New Roman" w:cs="Times New Roman"/>
          <w:color w:val="000000" w:themeColor="text1"/>
          <w:sz w:val="26"/>
          <w:szCs w:val="26"/>
        </w:rPr>
        <w:t>remains in effect despite any legal challenges</w:t>
      </w:r>
      <w:r w:rsidR="00CB61B2">
        <w:rPr>
          <w:rFonts w:ascii="Times New Roman" w:hAnsi="Times New Roman" w:cs="Times New Roman"/>
          <w:color w:val="000000" w:themeColor="text1"/>
          <w:sz w:val="26"/>
          <w:szCs w:val="26"/>
        </w:rPr>
        <w:t xml:space="preserve">, and </w:t>
      </w:r>
      <w:r w:rsidR="00CB61B2">
        <w:rPr>
          <w:rFonts w:ascii="Times New Roman" w:hAnsi="Times New Roman" w:cs="Times New Roman"/>
          <w:sz w:val="26"/>
          <w:szCs w:val="26"/>
        </w:rPr>
        <w:t>t</w:t>
      </w:r>
      <w:r w:rsidR="00650E79">
        <w:rPr>
          <w:rFonts w:ascii="Times New Roman" w:hAnsi="Times New Roman" w:cs="Times New Roman"/>
          <w:sz w:val="26"/>
          <w:szCs w:val="26"/>
        </w:rPr>
        <w:t>h</w:t>
      </w:r>
      <w:r w:rsidR="00CB61B2">
        <w:rPr>
          <w:rFonts w:ascii="Times New Roman" w:hAnsi="Times New Roman" w:cs="Times New Roman"/>
          <w:sz w:val="26"/>
          <w:szCs w:val="26"/>
        </w:rPr>
        <w:t>e Decision follows this directive</w:t>
      </w:r>
      <w:r w:rsidR="00650E79">
        <w:rPr>
          <w:rFonts w:ascii="Times New Roman" w:hAnsi="Times New Roman" w:cs="Times New Roman"/>
          <w:sz w:val="26"/>
          <w:szCs w:val="26"/>
        </w:rPr>
        <w:t xml:space="preserve">.  What the SD CCAs seem to assert is that the </w:t>
      </w:r>
      <w:r w:rsidR="00CB61B2">
        <w:rPr>
          <w:rFonts w:ascii="Times New Roman" w:hAnsi="Times New Roman" w:cs="Times New Roman"/>
          <w:sz w:val="26"/>
          <w:szCs w:val="26"/>
        </w:rPr>
        <w:t xml:space="preserve">Decision must explain or justify why it is complying with </w:t>
      </w:r>
      <w:r w:rsidR="0063495C">
        <w:rPr>
          <w:rFonts w:ascii="Times New Roman" w:hAnsi="Times New Roman" w:cs="Times New Roman"/>
          <w:sz w:val="26"/>
          <w:szCs w:val="26"/>
        </w:rPr>
        <w:t>a prior</w:t>
      </w:r>
      <w:r w:rsidR="00CB61B2">
        <w:rPr>
          <w:rFonts w:ascii="Times New Roman" w:hAnsi="Times New Roman" w:cs="Times New Roman"/>
          <w:sz w:val="26"/>
          <w:szCs w:val="26"/>
        </w:rPr>
        <w:t xml:space="preserve"> Commissio</w:t>
      </w:r>
      <w:r w:rsidR="0063495C">
        <w:rPr>
          <w:rFonts w:ascii="Times New Roman" w:hAnsi="Times New Roman" w:cs="Times New Roman"/>
          <w:sz w:val="26"/>
          <w:szCs w:val="26"/>
        </w:rPr>
        <w:t xml:space="preserve">n </w:t>
      </w:r>
      <w:r w:rsidR="00CB61B2">
        <w:rPr>
          <w:rFonts w:ascii="Times New Roman" w:hAnsi="Times New Roman" w:cs="Times New Roman"/>
          <w:sz w:val="26"/>
          <w:szCs w:val="26"/>
        </w:rPr>
        <w:t xml:space="preserve">decision.  There is no such legal requirement and the SD CCAs </w:t>
      </w:r>
      <w:r w:rsidR="00474C28">
        <w:rPr>
          <w:rFonts w:ascii="Times New Roman" w:hAnsi="Times New Roman" w:cs="Times New Roman"/>
          <w:sz w:val="26"/>
          <w:szCs w:val="26"/>
        </w:rPr>
        <w:t xml:space="preserve">do not </w:t>
      </w:r>
      <w:r w:rsidR="00CB61B2">
        <w:rPr>
          <w:rFonts w:ascii="Times New Roman" w:hAnsi="Times New Roman" w:cs="Times New Roman"/>
          <w:sz w:val="26"/>
          <w:szCs w:val="26"/>
        </w:rPr>
        <w:t xml:space="preserve">point to </w:t>
      </w:r>
      <w:r w:rsidR="00474C28">
        <w:rPr>
          <w:rFonts w:ascii="Times New Roman" w:hAnsi="Times New Roman" w:cs="Times New Roman"/>
          <w:sz w:val="26"/>
          <w:szCs w:val="26"/>
        </w:rPr>
        <w:t>any</w:t>
      </w:r>
      <w:r w:rsidR="00CB61B2">
        <w:rPr>
          <w:rFonts w:ascii="Times New Roman" w:hAnsi="Times New Roman" w:cs="Times New Roman"/>
          <w:sz w:val="26"/>
          <w:szCs w:val="26"/>
        </w:rPr>
        <w:t xml:space="preserve"> authority for this </w:t>
      </w:r>
      <w:r w:rsidR="00474C28">
        <w:rPr>
          <w:rFonts w:ascii="Times New Roman" w:hAnsi="Times New Roman" w:cs="Times New Roman"/>
          <w:sz w:val="26"/>
          <w:szCs w:val="26"/>
        </w:rPr>
        <w:t>contention</w:t>
      </w:r>
      <w:r w:rsidR="00CB61B2">
        <w:rPr>
          <w:rFonts w:ascii="Times New Roman" w:hAnsi="Times New Roman" w:cs="Times New Roman"/>
          <w:sz w:val="26"/>
          <w:szCs w:val="26"/>
        </w:rPr>
        <w:t xml:space="preserve">.  The Commission does not need to explain or justify compliance with its prior orders, and likewise, does not need to re-justify why the revised RA MPB is reasonable or should be applied in the proceeding at issue.  This has already been determined in D.25-06-049.  </w:t>
      </w:r>
      <w:r w:rsidR="00650E79">
        <w:rPr>
          <w:rFonts w:ascii="Times New Roman" w:hAnsi="Times New Roman" w:cs="Times New Roman"/>
          <w:sz w:val="26"/>
          <w:szCs w:val="26"/>
        </w:rPr>
        <w:t xml:space="preserve"> </w:t>
      </w:r>
    </w:p>
    <w:p w:rsidR="00650E79" w:rsidP="00AE2D06" w:rsidRDefault="00305E43" w14:paraId="2EFE0301" w14:textId="1FE804DA">
      <w:pPr>
        <w:spacing w:line="360" w:lineRule="auto"/>
        <w:ind w:firstLine="1440"/>
        <w:contextualSpacing/>
        <w:rPr>
          <w:rFonts w:ascii="Times New Roman" w:hAnsi="Times New Roman" w:cs="Times New Roman"/>
          <w:sz w:val="26"/>
          <w:szCs w:val="26"/>
        </w:rPr>
      </w:pPr>
      <w:r>
        <w:rPr>
          <w:rFonts w:ascii="Times New Roman" w:hAnsi="Times New Roman" w:cs="Times New Roman"/>
          <w:sz w:val="26"/>
          <w:szCs w:val="26"/>
        </w:rPr>
        <w:t>Further, in contrast to the SD CCAs’ assertions</w:t>
      </w:r>
      <w:r w:rsidRPr="005C7655">
        <w:rPr>
          <w:rFonts w:ascii="Times New Roman" w:hAnsi="Times New Roman" w:cs="Times New Roman"/>
          <w:sz w:val="26"/>
          <w:szCs w:val="26"/>
        </w:rPr>
        <w:t xml:space="preserve">, the Decision does explain the impact of the revised RA MPB.  The Decision explains </w:t>
      </w:r>
      <w:proofErr w:type="gramStart"/>
      <w:r w:rsidRPr="005C7655">
        <w:rPr>
          <w:rFonts w:ascii="Times New Roman" w:hAnsi="Times New Roman" w:cs="Times New Roman"/>
          <w:sz w:val="26"/>
          <w:szCs w:val="26"/>
        </w:rPr>
        <w:t>that,</w:t>
      </w:r>
      <w:proofErr w:type="gramEnd"/>
      <w:r w:rsidRPr="005C7655">
        <w:rPr>
          <w:rFonts w:ascii="Times New Roman" w:hAnsi="Times New Roman" w:cs="Times New Roman"/>
          <w:sz w:val="26"/>
          <w:szCs w:val="26"/>
        </w:rPr>
        <w:t xml:space="preserve"> due in large part to the application of the revised RA MPB, there was a large increase in the Portfolio Allocation Balancing Account (PABA) account balance for 2025.  (Decision</w:t>
      </w:r>
      <w:r w:rsidR="0063495C">
        <w:rPr>
          <w:rFonts w:ascii="Times New Roman" w:hAnsi="Times New Roman" w:cs="Times New Roman"/>
          <w:sz w:val="26"/>
          <w:szCs w:val="26"/>
        </w:rPr>
        <w:t>,</w:t>
      </w:r>
      <w:r w:rsidRPr="005C7655">
        <w:rPr>
          <w:rFonts w:ascii="Times New Roman" w:hAnsi="Times New Roman" w:cs="Times New Roman"/>
          <w:sz w:val="26"/>
          <w:szCs w:val="26"/>
        </w:rPr>
        <w:t xml:space="preserve"> at p. 19.)  To this end, the Decision adopts two findings of fact explaining that the </w:t>
      </w:r>
      <w:r w:rsidRPr="005C7655">
        <w:rPr>
          <w:rFonts w:ascii="Times New Roman" w:hAnsi="Times New Roman" w:cs="Times New Roman"/>
          <w:color w:val="000000"/>
          <w:sz w:val="26"/>
          <w:szCs w:val="26"/>
        </w:rPr>
        <w:t>2025 year-end balance forecasts</w:t>
      </w:r>
      <w:r w:rsidRPr="005C7655">
        <w:rPr>
          <w:rFonts w:ascii="Times New Roman" w:hAnsi="Times New Roman" w:cs="Times New Roman"/>
          <w:sz w:val="26"/>
          <w:szCs w:val="26"/>
        </w:rPr>
        <w:t xml:space="preserve"> </w:t>
      </w:r>
      <w:r w:rsidRPr="005C7655">
        <w:rPr>
          <w:rFonts w:ascii="Times New Roman" w:hAnsi="Times New Roman" w:cs="Times New Roman"/>
          <w:color w:val="000000"/>
          <w:sz w:val="26"/>
          <w:szCs w:val="26"/>
        </w:rPr>
        <w:t>changed due to the changes in the RA MPB.  (</w:t>
      </w:r>
      <w:r w:rsidRPr="005C7655">
        <w:rPr>
          <w:rFonts w:ascii="Times New Roman" w:hAnsi="Times New Roman" w:cs="Times New Roman"/>
          <w:i/>
          <w:iCs/>
          <w:color w:val="000000"/>
          <w:sz w:val="26"/>
          <w:szCs w:val="26"/>
        </w:rPr>
        <w:t>Id</w:t>
      </w:r>
      <w:r w:rsidRPr="005C7655">
        <w:rPr>
          <w:rFonts w:ascii="Times New Roman" w:hAnsi="Times New Roman" w:cs="Times New Roman"/>
          <w:color w:val="000000"/>
          <w:sz w:val="26"/>
          <w:szCs w:val="26"/>
        </w:rPr>
        <w:t>. at p. 32, FOF 3 and 4.)</w:t>
      </w:r>
      <w:r>
        <w:rPr>
          <w:color w:val="000000"/>
          <w:sz w:val="26"/>
          <w:szCs w:val="26"/>
        </w:rPr>
        <w:t xml:space="preserve">  </w:t>
      </w:r>
      <w:r>
        <w:rPr>
          <w:rFonts w:ascii="Times New Roman" w:hAnsi="Times New Roman" w:cs="Times New Roman"/>
          <w:sz w:val="26"/>
          <w:szCs w:val="26"/>
        </w:rPr>
        <w:t>T</w:t>
      </w:r>
      <w:r w:rsidR="00650E79">
        <w:rPr>
          <w:rFonts w:ascii="Times New Roman" w:hAnsi="Times New Roman" w:cs="Times New Roman"/>
          <w:sz w:val="26"/>
          <w:szCs w:val="26"/>
        </w:rPr>
        <w:t xml:space="preserve">he </w:t>
      </w:r>
      <w:r w:rsidR="00650E79">
        <w:rPr>
          <w:rFonts w:ascii="Times New Roman" w:hAnsi="Times New Roman" w:cs="Times New Roman"/>
          <w:sz w:val="26"/>
          <w:szCs w:val="26"/>
        </w:rPr>
        <w:lastRenderedPageBreak/>
        <w:t xml:space="preserve">SD CCAs cite no authority for the notion that the Commission is required to </w:t>
      </w:r>
      <w:r>
        <w:rPr>
          <w:rFonts w:ascii="Times New Roman" w:hAnsi="Times New Roman" w:cs="Times New Roman"/>
          <w:sz w:val="26"/>
          <w:szCs w:val="26"/>
        </w:rPr>
        <w:t xml:space="preserve">include the </w:t>
      </w:r>
      <w:r w:rsidR="00650E79">
        <w:rPr>
          <w:rFonts w:ascii="Times New Roman" w:hAnsi="Times New Roman" w:cs="Times New Roman"/>
          <w:sz w:val="26"/>
          <w:szCs w:val="26"/>
        </w:rPr>
        <w:t>precise economic impact of applying the RA MPB</w:t>
      </w:r>
      <w:r w:rsidR="00DF1407">
        <w:rPr>
          <w:rFonts w:ascii="Times New Roman" w:hAnsi="Times New Roman" w:cs="Times New Roman"/>
          <w:sz w:val="26"/>
          <w:szCs w:val="26"/>
        </w:rPr>
        <w:t xml:space="preserve"> on unbundled customers</w:t>
      </w:r>
      <w:r w:rsidR="00650E79">
        <w:rPr>
          <w:rFonts w:ascii="Times New Roman" w:hAnsi="Times New Roman" w:cs="Times New Roman"/>
          <w:sz w:val="26"/>
          <w:szCs w:val="26"/>
        </w:rPr>
        <w:t xml:space="preserve">.  </w:t>
      </w:r>
      <w:r w:rsidR="0063495C">
        <w:rPr>
          <w:rFonts w:ascii="Times New Roman" w:hAnsi="Times New Roman" w:cs="Times New Roman"/>
          <w:sz w:val="26"/>
          <w:szCs w:val="26"/>
        </w:rPr>
        <w:t xml:space="preserve">  </w:t>
      </w:r>
    </w:p>
    <w:p w:rsidR="005A644D" w:rsidP="0095355C" w:rsidRDefault="005A644D" w14:paraId="54489CB8" w14:textId="249D2611">
      <w:pPr>
        <w:pStyle w:val="Heading3"/>
      </w:pPr>
      <w:r w:rsidRPr="00650E79">
        <w:t xml:space="preserve">The SD CCAs fail to show that the Decision’s use of the revised RA MPB </w:t>
      </w:r>
      <w:r w:rsidRPr="00AE2D06">
        <w:t>methodology</w:t>
      </w:r>
      <w:r w:rsidRPr="00650E79">
        <w:t xml:space="preserve"> is arbitrary or an abuse of discretion.  </w:t>
      </w:r>
    </w:p>
    <w:p w:rsidR="00A54404" w:rsidP="00AE2D06" w:rsidRDefault="005A644D" w14:paraId="5576AA06" w14:textId="2AD128AC">
      <w:pPr>
        <w:spacing w:line="360" w:lineRule="auto"/>
        <w:ind w:firstLine="1440"/>
        <w:contextualSpacing/>
        <w:rPr>
          <w:rFonts w:ascii="Times New Roman" w:hAnsi="Times New Roman" w:cs="Times New Roman"/>
          <w:sz w:val="26"/>
          <w:szCs w:val="26"/>
        </w:rPr>
      </w:pPr>
      <w:r w:rsidRPr="00650E79">
        <w:rPr>
          <w:rFonts w:ascii="Times New Roman" w:hAnsi="Times New Roman" w:cs="Times New Roman"/>
          <w:sz w:val="26"/>
          <w:szCs w:val="26"/>
        </w:rPr>
        <w:t>The SD CCAs</w:t>
      </w:r>
      <w:r w:rsidR="00650E79">
        <w:rPr>
          <w:rFonts w:ascii="Times New Roman" w:hAnsi="Times New Roman" w:cs="Times New Roman"/>
          <w:sz w:val="26"/>
          <w:szCs w:val="26"/>
        </w:rPr>
        <w:t xml:space="preserve"> conten</w:t>
      </w:r>
      <w:r w:rsidR="0063495C">
        <w:rPr>
          <w:rFonts w:ascii="Times New Roman" w:hAnsi="Times New Roman" w:cs="Times New Roman"/>
          <w:sz w:val="26"/>
          <w:szCs w:val="26"/>
        </w:rPr>
        <w:t>d</w:t>
      </w:r>
      <w:r w:rsidR="00650E79">
        <w:rPr>
          <w:rFonts w:ascii="Times New Roman" w:hAnsi="Times New Roman" w:cs="Times New Roman"/>
          <w:sz w:val="26"/>
          <w:szCs w:val="26"/>
        </w:rPr>
        <w:t xml:space="preserve"> that the Decision is arbitrary or an abuse of discretion </w:t>
      </w:r>
      <w:r w:rsidR="00A54404">
        <w:rPr>
          <w:rFonts w:ascii="Times New Roman" w:hAnsi="Times New Roman" w:cs="Times New Roman"/>
          <w:sz w:val="26"/>
          <w:szCs w:val="26"/>
        </w:rPr>
        <w:t xml:space="preserve">because </w:t>
      </w:r>
      <w:r w:rsidR="0063495C">
        <w:rPr>
          <w:rFonts w:ascii="Times New Roman" w:hAnsi="Times New Roman" w:cs="Times New Roman"/>
          <w:sz w:val="26"/>
          <w:szCs w:val="26"/>
        </w:rPr>
        <w:t>the Decision</w:t>
      </w:r>
      <w:r w:rsidR="00A54404">
        <w:rPr>
          <w:rFonts w:ascii="Times New Roman" w:hAnsi="Times New Roman" w:cs="Times New Roman"/>
          <w:sz w:val="26"/>
          <w:szCs w:val="26"/>
        </w:rPr>
        <w:t xml:space="preserve"> applies </w:t>
      </w:r>
      <w:r w:rsidRPr="00650E79">
        <w:rPr>
          <w:rFonts w:ascii="Times New Roman" w:hAnsi="Times New Roman" w:cs="Times New Roman"/>
          <w:sz w:val="26"/>
          <w:szCs w:val="26"/>
        </w:rPr>
        <w:t xml:space="preserve">the </w:t>
      </w:r>
      <w:r w:rsidR="00A54404">
        <w:rPr>
          <w:rFonts w:ascii="Times New Roman" w:hAnsi="Times New Roman" w:cs="Times New Roman"/>
          <w:sz w:val="26"/>
          <w:szCs w:val="26"/>
        </w:rPr>
        <w:t xml:space="preserve">revised </w:t>
      </w:r>
      <w:r w:rsidRPr="00650E79">
        <w:rPr>
          <w:rFonts w:ascii="Times New Roman" w:hAnsi="Times New Roman" w:cs="Times New Roman"/>
          <w:sz w:val="26"/>
          <w:szCs w:val="26"/>
        </w:rPr>
        <w:t>RA MPB.  (Rehg. App.</w:t>
      </w:r>
      <w:r w:rsidR="0063495C">
        <w:rPr>
          <w:rFonts w:ascii="Times New Roman" w:hAnsi="Times New Roman" w:cs="Times New Roman"/>
          <w:sz w:val="26"/>
          <w:szCs w:val="26"/>
        </w:rPr>
        <w:t>,</w:t>
      </w:r>
      <w:r w:rsidRPr="00650E79">
        <w:rPr>
          <w:rFonts w:ascii="Times New Roman" w:hAnsi="Times New Roman" w:cs="Times New Roman"/>
          <w:sz w:val="26"/>
          <w:szCs w:val="26"/>
        </w:rPr>
        <w:t xml:space="preserve"> at p. 25.)  </w:t>
      </w:r>
      <w:r w:rsidR="00115B02">
        <w:rPr>
          <w:rFonts w:ascii="Times New Roman" w:hAnsi="Times New Roman" w:cs="Times New Roman"/>
          <w:sz w:val="26"/>
          <w:szCs w:val="26"/>
        </w:rPr>
        <w:t>Again, the revised RA MPB</w:t>
      </w:r>
      <w:r w:rsidR="003C2623">
        <w:rPr>
          <w:rFonts w:ascii="Times New Roman" w:hAnsi="Times New Roman" w:cs="Times New Roman"/>
          <w:sz w:val="26"/>
          <w:szCs w:val="26"/>
        </w:rPr>
        <w:t>,</w:t>
      </w:r>
      <w:r w:rsidR="00115B02">
        <w:rPr>
          <w:rFonts w:ascii="Times New Roman" w:hAnsi="Times New Roman" w:cs="Times New Roman"/>
          <w:sz w:val="26"/>
          <w:szCs w:val="26"/>
        </w:rPr>
        <w:t xml:space="preserve"> and D.25-06-049’s directive to apply </w:t>
      </w:r>
      <w:r w:rsidR="0063495C">
        <w:rPr>
          <w:rFonts w:ascii="Times New Roman" w:hAnsi="Times New Roman" w:cs="Times New Roman"/>
          <w:sz w:val="26"/>
          <w:szCs w:val="26"/>
        </w:rPr>
        <w:t>that</w:t>
      </w:r>
      <w:r w:rsidR="00115B02">
        <w:rPr>
          <w:rFonts w:ascii="Times New Roman" w:hAnsi="Times New Roman" w:cs="Times New Roman"/>
          <w:sz w:val="26"/>
          <w:szCs w:val="26"/>
        </w:rPr>
        <w:t xml:space="preserve"> revised RA MPB in the proceeding at issue</w:t>
      </w:r>
      <w:r w:rsidR="00E03733">
        <w:rPr>
          <w:rFonts w:ascii="Times New Roman" w:hAnsi="Times New Roman" w:cs="Times New Roman"/>
          <w:sz w:val="26"/>
          <w:szCs w:val="26"/>
        </w:rPr>
        <w:t xml:space="preserve"> remain in effect</w:t>
      </w:r>
      <w:r w:rsidR="00115B02">
        <w:rPr>
          <w:rFonts w:ascii="Times New Roman" w:hAnsi="Times New Roman" w:cs="Times New Roman"/>
          <w:sz w:val="26"/>
          <w:szCs w:val="26"/>
        </w:rPr>
        <w:t>.  I</w:t>
      </w:r>
      <w:r w:rsidR="003C2623">
        <w:rPr>
          <w:rFonts w:ascii="Times New Roman" w:hAnsi="Times New Roman" w:cs="Times New Roman"/>
          <w:sz w:val="26"/>
          <w:szCs w:val="26"/>
        </w:rPr>
        <w:t>t</w:t>
      </w:r>
      <w:r w:rsidR="00115B02">
        <w:rPr>
          <w:rFonts w:ascii="Times New Roman" w:hAnsi="Times New Roman" w:cs="Times New Roman"/>
          <w:sz w:val="26"/>
          <w:szCs w:val="26"/>
        </w:rPr>
        <w:t xml:space="preserve"> can in no way be said to be arbitrary or an abuse of discretion for the Commission to comply with its own directives.  </w:t>
      </w:r>
      <w:r w:rsidRPr="00650E79">
        <w:rPr>
          <w:rFonts w:ascii="Times New Roman" w:hAnsi="Times New Roman" w:cs="Times New Roman"/>
          <w:sz w:val="26"/>
          <w:szCs w:val="26"/>
        </w:rPr>
        <w:t xml:space="preserve">In fact, courts have held the opposite: the Commission can be found to have failed to proceed in the manner required by law when it violates its own </w:t>
      </w:r>
      <w:r w:rsidR="0063495C">
        <w:rPr>
          <w:rFonts w:ascii="Times New Roman" w:hAnsi="Times New Roman" w:cs="Times New Roman"/>
          <w:sz w:val="26"/>
          <w:szCs w:val="26"/>
        </w:rPr>
        <w:t>rules</w:t>
      </w:r>
      <w:r w:rsidRPr="00650E79">
        <w:rPr>
          <w:rFonts w:ascii="Times New Roman" w:hAnsi="Times New Roman" w:cs="Times New Roman"/>
          <w:sz w:val="26"/>
          <w:szCs w:val="26"/>
        </w:rPr>
        <w:t xml:space="preserve">.  (See </w:t>
      </w:r>
      <w:r w:rsidRPr="00650E79">
        <w:rPr>
          <w:rFonts w:ascii="Times New Roman" w:hAnsi="Times New Roman" w:cs="Times New Roman"/>
          <w:i/>
          <w:iCs/>
          <w:sz w:val="26"/>
          <w:szCs w:val="26"/>
        </w:rPr>
        <w:t>Southern California Edison Co. v. Public Utilities Com.</w:t>
      </w:r>
      <w:r w:rsidRPr="00650E79">
        <w:rPr>
          <w:rFonts w:ascii="Times New Roman" w:hAnsi="Times New Roman" w:cs="Times New Roman"/>
          <w:sz w:val="26"/>
          <w:szCs w:val="26"/>
        </w:rPr>
        <w:t xml:space="preserve"> (2006) 140 Cal.App.4th 1085, 1106.)  For these reasons, the SD CCAs have failed to show that the Decision is arbitrary or an abuse of discretion.   </w:t>
      </w:r>
    </w:p>
    <w:p w:rsidRPr="00514238" w:rsidR="00A54404" w:rsidP="00AE2D06" w:rsidRDefault="00AE2D06" w14:paraId="08FFA00A" w14:textId="3F401122">
      <w:pPr>
        <w:pStyle w:val="Heading1"/>
      </w:pPr>
      <w:r w:rsidRPr="00514238">
        <w:t xml:space="preserve">A FORMATTING ERROR IN THE TITLE OF THE DECISION SHOULD BE CORRECTED.  </w:t>
      </w:r>
    </w:p>
    <w:p w:rsidRPr="00AE2D06" w:rsidR="00115B02" w:rsidP="00AE2D06" w:rsidRDefault="00115B02" w14:paraId="7A45AA5A" w14:textId="10248425">
      <w:pPr>
        <w:spacing w:line="360" w:lineRule="auto"/>
        <w:ind w:firstLine="1440"/>
        <w:rPr>
          <w:rFonts w:ascii="Times New Roman" w:hAnsi="Times New Roman" w:cs="Times New Roman"/>
          <w:sz w:val="26"/>
          <w:szCs w:val="26"/>
        </w:rPr>
      </w:pPr>
      <w:r w:rsidRPr="00AE2D06">
        <w:rPr>
          <w:rFonts w:ascii="Times New Roman" w:hAnsi="Times New Roman" w:cs="Times New Roman"/>
          <w:sz w:val="26"/>
          <w:szCs w:val="26"/>
        </w:rPr>
        <w:t xml:space="preserve">While we deny the </w:t>
      </w:r>
      <w:r w:rsidRPr="00AE2D06" w:rsidR="0063495C">
        <w:rPr>
          <w:rFonts w:ascii="Times New Roman" w:hAnsi="Times New Roman" w:cs="Times New Roman"/>
          <w:sz w:val="26"/>
          <w:szCs w:val="26"/>
        </w:rPr>
        <w:t xml:space="preserve">rehearing application filed by the </w:t>
      </w:r>
      <w:r w:rsidRPr="00AE2D06">
        <w:rPr>
          <w:rFonts w:ascii="Times New Roman" w:hAnsi="Times New Roman" w:cs="Times New Roman"/>
          <w:sz w:val="26"/>
          <w:szCs w:val="26"/>
        </w:rPr>
        <w:t>SD CCA</w:t>
      </w:r>
      <w:r w:rsidRPr="00AE2D06" w:rsidR="0063495C">
        <w:rPr>
          <w:rFonts w:ascii="Times New Roman" w:hAnsi="Times New Roman" w:cs="Times New Roman"/>
          <w:sz w:val="26"/>
          <w:szCs w:val="26"/>
        </w:rPr>
        <w:t>s</w:t>
      </w:r>
      <w:r w:rsidRPr="00AE2D06">
        <w:rPr>
          <w:rFonts w:ascii="Times New Roman" w:hAnsi="Times New Roman" w:cs="Times New Roman"/>
          <w:sz w:val="26"/>
          <w:szCs w:val="26"/>
        </w:rPr>
        <w:t xml:space="preserve">, the Commission takes this opportunity to correct a </w:t>
      </w:r>
      <w:r w:rsidRPr="00AE2D06" w:rsidR="0063495C">
        <w:rPr>
          <w:rFonts w:ascii="Times New Roman" w:hAnsi="Times New Roman" w:cs="Times New Roman"/>
          <w:sz w:val="26"/>
          <w:szCs w:val="26"/>
        </w:rPr>
        <w:t xml:space="preserve">non-substantive </w:t>
      </w:r>
      <w:r w:rsidRPr="00AE2D06">
        <w:rPr>
          <w:rFonts w:ascii="Times New Roman" w:hAnsi="Times New Roman" w:cs="Times New Roman"/>
          <w:sz w:val="26"/>
          <w:szCs w:val="26"/>
        </w:rPr>
        <w:t xml:space="preserve">formatting error in the Decision.  The Commission’s official copy of the Decision contains an error message where the title of the Decision would normally appear.  As such, the Commission corrects pages 1 and 2 of the Decision to delete the error message and replace it with the following title: </w:t>
      </w:r>
    </w:p>
    <w:p w:rsidRPr="00157884" w:rsidR="00115B02" w:rsidP="00AE2D06" w:rsidRDefault="00115B02" w14:paraId="11490AB4" w14:textId="0E5EC7FF">
      <w:pPr>
        <w:ind w:left="1080" w:right="720"/>
        <w:rPr>
          <w:rFonts w:ascii="Times New Roman" w:hAnsi="Times New Roman" w:cs="Times New Roman"/>
          <w:sz w:val="26"/>
          <w:szCs w:val="26"/>
        </w:rPr>
      </w:pPr>
      <w:r w:rsidRPr="59815D76">
        <w:rPr>
          <w:rFonts w:ascii="Times New Roman" w:hAnsi="Times New Roman" w:cs="Times New Roman"/>
          <w:sz w:val="26"/>
          <w:szCs w:val="26"/>
        </w:rPr>
        <w:t xml:space="preserve">DECISION APPROVING SAN DIEGO GAS &amp; ELECTRIC COMPANY’S 2026 ELECTRIC PROCUREMENT REVENUE REQUIREMENT FORECASTS, 2026 ELECTRIC SALES FORECAST, AND GREENHOUSE GAS RELATED FORECASTS.  </w:t>
      </w:r>
    </w:p>
    <w:p w:rsidR="00115B02" w:rsidP="00A57EF2" w:rsidRDefault="00115B02" w14:paraId="7D851E2A" w14:textId="77777777">
      <w:pPr>
        <w:rPr>
          <w:rFonts w:ascii="Times New Roman" w:hAnsi="Times New Roman" w:cs="Times New Roman"/>
          <w:sz w:val="26"/>
          <w:szCs w:val="26"/>
        </w:rPr>
      </w:pPr>
    </w:p>
    <w:p w:rsidRPr="00514238" w:rsidR="003A12A3" w:rsidP="00AE2D06" w:rsidRDefault="003A12A3" w14:paraId="00B3BF8A" w14:textId="0288A6B8">
      <w:pPr>
        <w:pStyle w:val="Heading1"/>
      </w:pPr>
      <w:r w:rsidRPr="00514238">
        <w:t>CONCLUSION</w:t>
      </w:r>
    </w:p>
    <w:p w:rsidRPr="00115B02" w:rsidR="00115B02" w:rsidP="0063495C" w:rsidRDefault="00335237" w14:paraId="66379E33" w14:textId="7B37F3D0">
      <w:pPr>
        <w:spacing w:line="360" w:lineRule="auto"/>
        <w:ind w:firstLine="720"/>
        <w:textAlignment w:val="baseline"/>
        <w:rPr>
          <w:rFonts w:ascii="Times New Roman" w:hAnsi="Times New Roman" w:cs="Times New Roman"/>
          <w:sz w:val="26"/>
          <w:szCs w:val="26"/>
        </w:rPr>
      </w:pPr>
      <w:r w:rsidRPr="002C0DFA">
        <w:rPr>
          <w:rFonts w:ascii="Times New Roman" w:hAnsi="Times New Roman" w:cs="Times New Roman"/>
          <w:sz w:val="26"/>
          <w:szCs w:val="26"/>
        </w:rPr>
        <w:t xml:space="preserve">For the reasons explained herein, </w:t>
      </w:r>
      <w:r w:rsidRPr="002C0DFA" w:rsidR="00363AED">
        <w:rPr>
          <w:rFonts w:ascii="Times New Roman" w:hAnsi="Times New Roman" w:cs="Times New Roman"/>
          <w:sz w:val="26"/>
          <w:szCs w:val="26"/>
        </w:rPr>
        <w:t>the SD CCAs</w:t>
      </w:r>
      <w:r w:rsidRPr="002C0DFA">
        <w:rPr>
          <w:rFonts w:ascii="Times New Roman" w:hAnsi="Times New Roman" w:cs="Times New Roman"/>
          <w:sz w:val="26"/>
          <w:szCs w:val="26"/>
        </w:rPr>
        <w:t xml:space="preserve"> fail to show legal error in the Decision </w:t>
      </w:r>
      <w:r w:rsidRPr="002C0DFA" w:rsidR="00E8142D">
        <w:rPr>
          <w:rFonts w:ascii="Times New Roman" w:hAnsi="Times New Roman" w:cs="Times New Roman"/>
          <w:sz w:val="26"/>
          <w:szCs w:val="26"/>
        </w:rPr>
        <w:t>and</w:t>
      </w:r>
      <w:r w:rsidRPr="002C0DFA">
        <w:rPr>
          <w:rFonts w:ascii="Times New Roman" w:hAnsi="Times New Roman" w:cs="Times New Roman"/>
          <w:sz w:val="26"/>
          <w:szCs w:val="26"/>
        </w:rPr>
        <w:t xml:space="preserve"> otherwise fail</w:t>
      </w:r>
      <w:r w:rsidR="00062BD6">
        <w:rPr>
          <w:rFonts w:ascii="Times New Roman" w:hAnsi="Times New Roman" w:cs="Times New Roman"/>
          <w:sz w:val="26"/>
          <w:szCs w:val="26"/>
        </w:rPr>
        <w:t>s</w:t>
      </w:r>
      <w:r w:rsidRPr="002C0DFA">
        <w:rPr>
          <w:rFonts w:ascii="Times New Roman" w:hAnsi="Times New Roman" w:cs="Times New Roman"/>
          <w:sz w:val="26"/>
          <w:szCs w:val="26"/>
        </w:rPr>
        <w:t xml:space="preserve"> to justify rehearing. </w:t>
      </w:r>
      <w:r w:rsidRPr="002C0DFA" w:rsidR="00851788">
        <w:rPr>
          <w:rFonts w:ascii="Times New Roman" w:hAnsi="Times New Roman" w:cs="Times New Roman"/>
          <w:sz w:val="26"/>
          <w:szCs w:val="26"/>
        </w:rPr>
        <w:t xml:space="preserve"> As such</w:t>
      </w:r>
      <w:r w:rsidRPr="002C0DFA">
        <w:rPr>
          <w:rFonts w:ascii="Times New Roman" w:hAnsi="Times New Roman" w:cs="Times New Roman"/>
          <w:sz w:val="26"/>
          <w:szCs w:val="26"/>
        </w:rPr>
        <w:t xml:space="preserve">, </w:t>
      </w:r>
      <w:r w:rsidRPr="002C0DFA" w:rsidR="00363AED">
        <w:rPr>
          <w:rFonts w:ascii="Times New Roman" w:hAnsi="Times New Roman" w:cs="Times New Roman"/>
          <w:sz w:val="26"/>
          <w:szCs w:val="26"/>
        </w:rPr>
        <w:t xml:space="preserve">the </w:t>
      </w:r>
      <w:r w:rsidR="00DF4874">
        <w:rPr>
          <w:rFonts w:ascii="Times New Roman" w:hAnsi="Times New Roman" w:cs="Times New Roman"/>
          <w:sz w:val="26"/>
          <w:szCs w:val="26"/>
        </w:rPr>
        <w:t xml:space="preserve">request for rehearing of the Decision </w:t>
      </w:r>
      <w:r w:rsidRPr="002C0DFA">
        <w:rPr>
          <w:rFonts w:ascii="Times New Roman" w:hAnsi="Times New Roman" w:cs="Times New Roman"/>
          <w:sz w:val="26"/>
          <w:szCs w:val="26"/>
        </w:rPr>
        <w:t>is denied</w:t>
      </w:r>
      <w:r w:rsidR="00DF4874">
        <w:rPr>
          <w:rFonts w:ascii="Times New Roman" w:hAnsi="Times New Roman" w:cs="Times New Roman"/>
          <w:sz w:val="26"/>
          <w:szCs w:val="26"/>
        </w:rPr>
        <w:t>,</w:t>
      </w:r>
      <w:r w:rsidR="00115B02">
        <w:rPr>
          <w:rFonts w:ascii="Times New Roman" w:hAnsi="Times New Roman" w:cs="Times New Roman"/>
          <w:sz w:val="26"/>
          <w:szCs w:val="26"/>
        </w:rPr>
        <w:t xml:space="preserve"> as </w:t>
      </w:r>
      <w:r w:rsidR="003C2623">
        <w:rPr>
          <w:rFonts w:ascii="Times New Roman" w:hAnsi="Times New Roman" w:cs="Times New Roman"/>
          <w:sz w:val="26"/>
          <w:szCs w:val="26"/>
        </w:rPr>
        <w:t xml:space="preserve">is </w:t>
      </w:r>
      <w:r w:rsidR="00DF4874">
        <w:rPr>
          <w:rFonts w:ascii="Times New Roman" w:hAnsi="Times New Roman" w:cs="Times New Roman"/>
          <w:sz w:val="26"/>
          <w:szCs w:val="26"/>
        </w:rPr>
        <w:t>the request for oral argument</w:t>
      </w:r>
      <w:r w:rsidRPr="002C0DFA">
        <w:rPr>
          <w:rFonts w:ascii="Times New Roman" w:hAnsi="Times New Roman" w:cs="Times New Roman"/>
          <w:sz w:val="26"/>
          <w:szCs w:val="26"/>
        </w:rPr>
        <w:t>.</w:t>
      </w:r>
      <w:r w:rsidR="00115B02">
        <w:rPr>
          <w:rFonts w:ascii="Times New Roman" w:hAnsi="Times New Roman" w:cs="Times New Roman"/>
          <w:sz w:val="26"/>
          <w:szCs w:val="26"/>
        </w:rPr>
        <w:t xml:space="preserve">  (See</w:t>
      </w:r>
      <w:r w:rsidR="00E03733">
        <w:rPr>
          <w:rFonts w:ascii="Times New Roman" w:hAnsi="Times New Roman" w:cs="Times New Roman"/>
          <w:color w:val="000000" w:themeColor="text1"/>
          <w:sz w:val="26"/>
          <w:szCs w:val="26"/>
        </w:rPr>
        <w:t xml:space="preserve"> </w:t>
      </w:r>
      <w:r w:rsidRPr="00A54404" w:rsidR="00115B02">
        <w:rPr>
          <w:rFonts w:ascii="Times New Roman" w:hAnsi="Times New Roman" w:cs="Times New Roman"/>
          <w:color w:val="000000" w:themeColor="text1"/>
          <w:sz w:val="26"/>
          <w:szCs w:val="26"/>
        </w:rPr>
        <w:t>Rule 16.3(a)</w:t>
      </w:r>
      <w:r w:rsidR="00115B02">
        <w:rPr>
          <w:rFonts w:ascii="Times New Roman" w:hAnsi="Times New Roman" w:cs="Times New Roman"/>
          <w:color w:val="000000" w:themeColor="text1"/>
          <w:sz w:val="26"/>
          <w:szCs w:val="26"/>
        </w:rPr>
        <w:t xml:space="preserve"> [t</w:t>
      </w:r>
      <w:r w:rsidRPr="00A54404" w:rsidR="00115B02">
        <w:rPr>
          <w:rFonts w:ascii="Times New Roman" w:hAnsi="Times New Roman" w:cs="Times New Roman"/>
          <w:color w:val="000000" w:themeColor="text1"/>
          <w:sz w:val="26"/>
          <w:szCs w:val="26"/>
        </w:rPr>
        <w:t xml:space="preserve">he </w:t>
      </w:r>
      <w:r w:rsidRPr="00A54404" w:rsidR="00115B02">
        <w:rPr>
          <w:rFonts w:ascii="Times New Roman" w:hAnsi="Times New Roman" w:cs="Times New Roman"/>
          <w:color w:val="000000" w:themeColor="text1"/>
          <w:sz w:val="26"/>
          <w:szCs w:val="26"/>
        </w:rPr>
        <w:lastRenderedPageBreak/>
        <w:t>Commission has the discretion to determine the appropriateness of oral argument in any particular matter</w:t>
      </w:r>
      <w:r w:rsidR="00115B02">
        <w:rPr>
          <w:rFonts w:ascii="Times New Roman" w:hAnsi="Times New Roman" w:cs="Times New Roman"/>
          <w:color w:val="000000" w:themeColor="text1"/>
          <w:sz w:val="26"/>
          <w:szCs w:val="26"/>
        </w:rPr>
        <w:t xml:space="preserve">].)  </w:t>
      </w:r>
    </w:p>
    <w:p w:rsidRPr="002C0DFA" w:rsidR="001B2D34" w:rsidP="00B624B6" w:rsidRDefault="007B100B" w14:paraId="328A76AA" w14:textId="3E014B21">
      <w:pPr>
        <w:spacing w:line="360" w:lineRule="auto"/>
        <w:ind w:right="-630" w:firstLine="1440"/>
        <w:rPr>
          <w:rFonts w:ascii="Times New Roman" w:hAnsi="Times New Roman" w:cs="Times New Roman"/>
          <w:sz w:val="26"/>
          <w:szCs w:val="26"/>
        </w:rPr>
      </w:pPr>
      <w:r w:rsidRPr="002C0DFA">
        <w:rPr>
          <w:rFonts w:ascii="Times New Roman" w:hAnsi="Times New Roman" w:cs="Times New Roman"/>
          <w:b/>
          <w:sz w:val="26"/>
          <w:szCs w:val="26"/>
        </w:rPr>
        <w:t>THEREFORE, IT IS ORDERED</w:t>
      </w:r>
      <w:r w:rsidRPr="002C0DFA">
        <w:rPr>
          <w:rFonts w:ascii="Times New Roman" w:hAnsi="Times New Roman" w:cs="Times New Roman"/>
          <w:sz w:val="26"/>
          <w:szCs w:val="26"/>
        </w:rPr>
        <w:t xml:space="preserve"> that: </w:t>
      </w:r>
    </w:p>
    <w:p w:rsidR="00BE3F44" w:rsidRDefault="00335237" w14:paraId="67B03A2B" w14:textId="77A26452">
      <w:pPr>
        <w:pStyle w:val="ListParagraph"/>
        <w:numPr>
          <w:ilvl w:val="1"/>
          <w:numId w:val="1"/>
        </w:numPr>
        <w:spacing w:line="360" w:lineRule="auto"/>
        <w:ind w:hanging="720"/>
        <w:rPr>
          <w:rFonts w:ascii="Times New Roman" w:hAnsi="Times New Roman" w:eastAsia="Times New Roman" w:cs="Times New Roman"/>
          <w:kern w:val="0"/>
          <w:sz w:val="26"/>
          <w:szCs w:val="26"/>
          <w14:ligatures w14:val="none"/>
        </w:rPr>
      </w:pPr>
      <w:r w:rsidRPr="002C0DFA">
        <w:rPr>
          <w:rFonts w:ascii="Times New Roman" w:hAnsi="Times New Roman" w:eastAsia="Times New Roman" w:cs="Times New Roman"/>
          <w:kern w:val="0"/>
          <w:sz w:val="26"/>
          <w:szCs w:val="26"/>
          <w14:ligatures w14:val="none"/>
        </w:rPr>
        <w:t>T</w:t>
      </w:r>
      <w:r w:rsidRPr="002C0DFA" w:rsidR="00BE3F44">
        <w:rPr>
          <w:rFonts w:ascii="Times New Roman" w:hAnsi="Times New Roman" w:eastAsia="Times New Roman" w:cs="Times New Roman"/>
          <w:kern w:val="0"/>
          <w:sz w:val="26"/>
          <w:szCs w:val="26"/>
          <w14:ligatures w14:val="none"/>
        </w:rPr>
        <w:t>he application for rehearing of D</w:t>
      </w:r>
      <w:r w:rsidRPr="002C0DFA" w:rsidR="00906514">
        <w:rPr>
          <w:rFonts w:ascii="Times New Roman" w:hAnsi="Times New Roman" w:eastAsia="Times New Roman" w:cs="Times New Roman"/>
          <w:kern w:val="0"/>
          <w:sz w:val="26"/>
          <w:szCs w:val="26"/>
          <w14:ligatures w14:val="none"/>
        </w:rPr>
        <w:t xml:space="preserve">ecision </w:t>
      </w:r>
      <w:r w:rsidRPr="002C0DFA" w:rsidR="00363AED">
        <w:rPr>
          <w:rFonts w:ascii="Times New Roman" w:hAnsi="Times New Roman" w:cs="Times New Roman"/>
          <w:color w:val="000000" w:themeColor="text1"/>
          <w:sz w:val="26"/>
          <w:szCs w:val="26"/>
        </w:rPr>
        <w:t xml:space="preserve">25-12-008 </w:t>
      </w:r>
      <w:r w:rsidRPr="002C0DFA" w:rsidR="00BE3F44">
        <w:rPr>
          <w:rFonts w:ascii="Times New Roman" w:hAnsi="Times New Roman" w:eastAsia="Times New Roman" w:cs="Times New Roman"/>
          <w:kern w:val="0"/>
          <w:sz w:val="26"/>
          <w:szCs w:val="26"/>
          <w14:ligatures w14:val="none"/>
        </w:rPr>
        <w:t xml:space="preserve">is denied.  </w:t>
      </w:r>
    </w:p>
    <w:p w:rsidR="00157884" w:rsidRDefault="00157884" w14:paraId="45428BA4" w14:textId="3BB02B30">
      <w:pPr>
        <w:pStyle w:val="ListParagraph"/>
        <w:numPr>
          <w:ilvl w:val="1"/>
          <w:numId w:val="1"/>
        </w:numPr>
        <w:spacing w:line="360" w:lineRule="auto"/>
        <w:ind w:hanging="720"/>
        <w:rPr>
          <w:rFonts w:ascii="Times New Roman" w:hAnsi="Times New Roman" w:eastAsia="Times New Roman" w:cs="Times New Roman"/>
          <w:kern w:val="0"/>
          <w:sz w:val="26"/>
          <w:szCs w:val="26"/>
          <w14:ligatures w14:val="none"/>
        </w:rPr>
      </w:pPr>
      <w:r>
        <w:rPr>
          <w:rFonts w:ascii="Times New Roman" w:hAnsi="Times New Roman" w:eastAsia="Times New Roman" w:cs="Times New Roman"/>
          <w:kern w:val="0"/>
          <w:sz w:val="26"/>
          <w:szCs w:val="26"/>
          <w14:ligatures w14:val="none"/>
        </w:rPr>
        <w:t>D</w:t>
      </w:r>
      <w:r w:rsidR="0006544B">
        <w:rPr>
          <w:rFonts w:ascii="Times New Roman" w:hAnsi="Times New Roman" w:eastAsia="Times New Roman" w:cs="Times New Roman"/>
          <w:kern w:val="0"/>
          <w:sz w:val="26"/>
          <w:szCs w:val="26"/>
          <w14:ligatures w14:val="none"/>
        </w:rPr>
        <w:t xml:space="preserve">ecision </w:t>
      </w:r>
      <w:r>
        <w:rPr>
          <w:rFonts w:ascii="Times New Roman" w:hAnsi="Times New Roman" w:eastAsia="Times New Roman" w:cs="Times New Roman"/>
          <w:kern w:val="0"/>
          <w:sz w:val="26"/>
          <w:szCs w:val="26"/>
          <w14:ligatures w14:val="none"/>
        </w:rPr>
        <w:t xml:space="preserve">25-12-008 is modified as follows: </w:t>
      </w:r>
    </w:p>
    <w:p w:rsidR="00157884" w:rsidP="00393F70" w:rsidRDefault="00157884" w14:paraId="3307458C" w14:textId="4A3FC7A1">
      <w:pPr>
        <w:pStyle w:val="ListParagraph"/>
        <w:numPr>
          <w:ilvl w:val="2"/>
          <w:numId w:val="1"/>
        </w:numPr>
        <w:spacing w:line="360" w:lineRule="auto"/>
        <w:ind w:left="1800" w:hanging="360"/>
        <w:rPr>
          <w:rFonts w:ascii="Times New Roman" w:hAnsi="Times New Roman" w:eastAsia="Times New Roman" w:cs="Times New Roman"/>
          <w:kern w:val="0"/>
          <w:sz w:val="26"/>
          <w:szCs w:val="26"/>
          <w14:ligatures w14:val="none"/>
        </w:rPr>
      </w:pPr>
      <w:r>
        <w:rPr>
          <w:rFonts w:ascii="Times New Roman" w:hAnsi="Times New Roman" w:eastAsia="Times New Roman" w:cs="Times New Roman"/>
          <w:kern w:val="0"/>
          <w:sz w:val="26"/>
          <w:szCs w:val="26"/>
          <w14:ligatures w14:val="none"/>
        </w:rPr>
        <w:t>Page 1 is modified to</w:t>
      </w:r>
      <w:r w:rsidR="0006544B">
        <w:rPr>
          <w:rFonts w:ascii="Times New Roman" w:hAnsi="Times New Roman" w:eastAsia="Times New Roman" w:cs="Times New Roman"/>
          <w:kern w:val="0"/>
          <w:sz w:val="26"/>
          <w:szCs w:val="26"/>
          <w14:ligatures w14:val="none"/>
        </w:rPr>
        <w:t xml:space="preserve"> replace the error message with</w:t>
      </w:r>
      <w:r>
        <w:rPr>
          <w:rFonts w:ascii="Times New Roman" w:hAnsi="Times New Roman" w:eastAsia="Times New Roman" w:cs="Times New Roman"/>
          <w:kern w:val="0"/>
          <w:sz w:val="26"/>
          <w:szCs w:val="26"/>
          <w14:ligatures w14:val="none"/>
        </w:rPr>
        <w:t xml:space="preserve">: </w:t>
      </w:r>
    </w:p>
    <w:p w:rsidRPr="00157884" w:rsidR="00157884" w:rsidP="00AE2D06" w:rsidRDefault="00157884" w14:paraId="7D371621" w14:textId="648F93F9">
      <w:pPr>
        <w:pStyle w:val="ListParagraph"/>
        <w:ind w:left="2160" w:right="720"/>
        <w:rPr>
          <w:rFonts w:ascii="Times New Roman" w:hAnsi="Times New Roman" w:cs="Times New Roman"/>
          <w:sz w:val="26"/>
          <w:szCs w:val="26"/>
        </w:rPr>
      </w:pPr>
      <w:r w:rsidRPr="00157884">
        <w:rPr>
          <w:rFonts w:ascii="Times New Roman" w:hAnsi="Times New Roman" w:cs="Times New Roman"/>
          <w:sz w:val="26"/>
          <w:szCs w:val="26"/>
        </w:rPr>
        <w:t xml:space="preserve">DECISION APPROVING SAN DIEGO GAS &amp; ELECTRIC COMPANY’S 2026 ELECTRIC PROCUREMENT REVENUE REQUIREMENT FORECASTS, 2026 ELECTRIC SALES FORECAST, AND GREENHOUSE GAS RELATED FORECASTS.  </w:t>
      </w:r>
    </w:p>
    <w:p w:rsidRPr="002C0DFA" w:rsidR="00157884" w:rsidP="00157884" w:rsidRDefault="00157884" w14:paraId="4C314773" w14:textId="77777777">
      <w:pPr>
        <w:pStyle w:val="ListParagraph"/>
        <w:spacing w:line="360" w:lineRule="auto"/>
        <w:ind w:left="2160"/>
        <w:rPr>
          <w:rFonts w:ascii="Times New Roman" w:hAnsi="Times New Roman" w:eastAsia="Times New Roman" w:cs="Times New Roman"/>
          <w:kern w:val="0"/>
          <w:sz w:val="26"/>
          <w:szCs w:val="26"/>
          <w14:ligatures w14:val="none"/>
        </w:rPr>
      </w:pPr>
    </w:p>
    <w:p w:rsidR="00157884" w:rsidP="00393F70" w:rsidRDefault="00157884" w14:paraId="14161103" w14:textId="4ADD5A04">
      <w:pPr>
        <w:pStyle w:val="ListParagraph"/>
        <w:numPr>
          <w:ilvl w:val="2"/>
          <w:numId w:val="1"/>
        </w:numPr>
        <w:spacing w:line="360" w:lineRule="auto"/>
        <w:ind w:left="1890" w:hanging="450"/>
        <w:rPr>
          <w:rFonts w:ascii="Times New Roman" w:hAnsi="Times New Roman" w:eastAsia="Times New Roman" w:cs="Times New Roman"/>
          <w:kern w:val="0"/>
          <w:sz w:val="26"/>
          <w:szCs w:val="26"/>
          <w14:ligatures w14:val="none"/>
        </w:rPr>
      </w:pPr>
      <w:r>
        <w:rPr>
          <w:rFonts w:ascii="Times New Roman" w:hAnsi="Times New Roman" w:eastAsia="Times New Roman" w:cs="Times New Roman"/>
          <w:kern w:val="0"/>
          <w:sz w:val="26"/>
          <w:szCs w:val="26"/>
          <w14:ligatures w14:val="none"/>
        </w:rPr>
        <w:t xml:space="preserve">Page 2 is modified to </w:t>
      </w:r>
      <w:r w:rsidR="0006544B">
        <w:rPr>
          <w:rFonts w:ascii="Times New Roman" w:hAnsi="Times New Roman" w:eastAsia="Times New Roman" w:cs="Times New Roman"/>
          <w:kern w:val="0"/>
          <w:sz w:val="26"/>
          <w:szCs w:val="26"/>
          <w14:ligatures w14:val="none"/>
        </w:rPr>
        <w:t>replace the error message with</w:t>
      </w:r>
      <w:r>
        <w:rPr>
          <w:rFonts w:ascii="Times New Roman" w:hAnsi="Times New Roman" w:eastAsia="Times New Roman" w:cs="Times New Roman"/>
          <w:kern w:val="0"/>
          <w:sz w:val="26"/>
          <w:szCs w:val="26"/>
          <w14:ligatures w14:val="none"/>
        </w:rPr>
        <w:t xml:space="preserve">: </w:t>
      </w:r>
    </w:p>
    <w:p w:rsidRPr="00157884" w:rsidR="00157884" w:rsidP="00AE2D06" w:rsidRDefault="00157884" w14:paraId="21852501" w14:textId="2DA972DB">
      <w:pPr>
        <w:pStyle w:val="ListParagraph"/>
        <w:ind w:left="2160" w:right="720"/>
        <w:rPr>
          <w:rFonts w:ascii="Times New Roman" w:hAnsi="Times New Roman" w:cs="Times New Roman"/>
          <w:sz w:val="26"/>
          <w:szCs w:val="26"/>
        </w:rPr>
      </w:pPr>
      <w:r w:rsidRPr="00157884">
        <w:rPr>
          <w:rFonts w:ascii="Times New Roman" w:hAnsi="Times New Roman" w:cs="Times New Roman"/>
          <w:sz w:val="26"/>
          <w:szCs w:val="26"/>
        </w:rPr>
        <w:t xml:space="preserve">DECISION APPROVING SAN DIEGO GAS &amp; ELECTRIC COMPANY’S 2026 ELECTRIC PROCUREMENT REVENUE REQUIREMENT FORECASTS, 2026 ELECTRIC SALES FORECAST, AND GREENHOUSE GAS RELATED FORECASTS. </w:t>
      </w:r>
    </w:p>
    <w:p w:rsidRPr="00157884" w:rsidR="00157884" w:rsidP="00157884" w:rsidRDefault="00157884" w14:paraId="0AE50DE5" w14:textId="77777777">
      <w:pPr>
        <w:spacing w:line="360" w:lineRule="auto"/>
        <w:rPr>
          <w:rFonts w:ascii="Times New Roman" w:hAnsi="Times New Roman" w:eastAsia="Times New Roman" w:cs="Times New Roman"/>
          <w:kern w:val="0"/>
          <w:sz w:val="26"/>
          <w:szCs w:val="26"/>
          <w14:ligatures w14:val="none"/>
        </w:rPr>
      </w:pPr>
    </w:p>
    <w:p w:rsidRPr="002C0DFA" w:rsidR="008830D0" w:rsidRDefault="00335237" w14:paraId="3D443F5C" w14:textId="0D0B706F">
      <w:pPr>
        <w:pStyle w:val="ListParagraph"/>
        <w:numPr>
          <w:ilvl w:val="1"/>
          <w:numId w:val="1"/>
        </w:numPr>
        <w:spacing w:line="360" w:lineRule="auto"/>
        <w:ind w:hanging="720"/>
        <w:rPr>
          <w:rFonts w:ascii="Times New Roman" w:hAnsi="Times New Roman" w:eastAsia="Times New Roman" w:cs="Times New Roman"/>
          <w:kern w:val="0"/>
          <w:sz w:val="26"/>
          <w:szCs w:val="26"/>
          <w14:ligatures w14:val="none"/>
        </w:rPr>
      </w:pPr>
      <w:r w:rsidRPr="002C0DFA">
        <w:rPr>
          <w:rFonts w:ascii="Times New Roman" w:hAnsi="Times New Roman" w:eastAsia="Times New Roman" w:cs="Times New Roman"/>
          <w:kern w:val="0"/>
          <w:sz w:val="26"/>
          <w:szCs w:val="26"/>
          <w14:ligatures w14:val="none"/>
        </w:rPr>
        <w:t xml:space="preserve">This proceeding </w:t>
      </w:r>
      <w:r w:rsidRPr="002C0DFA" w:rsidR="005B626C">
        <w:rPr>
          <w:rFonts w:ascii="Times New Roman" w:hAnsi="Times New Roman" w:eastAsia="Times New Roman" w:cs="Times New Roman"/>
          <w:kern w:val="0"/>
          <w:sz w:val="26"/>
          <w:szCs w:val="26"/>
          <w14:ligatures w14:val="none"/>
        </w:rPr>
        <w:t>is closed</w:t>
      </w:r>
      <w:r w:rsidRPr="002C0DFA">
        <w:rPr>
          <w:rFonts w:ascii="Times New Roman" w:hAnsi="Times New Roman" w:eastAsia="Times New Roman" w:cs="Times New Roman"/>
          <w:kern w:val="0"/>
          <w:sz w:val="26"/>
          <w:szCs w:val="26"/>
          <w14:ligatures w14:val="none"/>
        </w:rPr>
        <w:t xml:space="preserve">.  </w:t>
      </w:r>
    </w:p>
    <w:p w:rsidRPr="002C0DFA" w:rsidR="008647FF" w:rsidP="00677FAB" w:rsidRDefault="008647FF" w14:paraId="5FA1CBD5" w14:textId="7B5E222F">
      <w:pPr>
        <w:pStyle w:val="NormalWeb"/>
        <w:shd w:val="clear" w:color="auto" w:fill="FFFFFF"/>
        <w:spacing w:before="0" w:beforeAutospacing="0" w:after="0" w:afterAutospacing="0" w:line="360" w:lineRule="auto"/>
        <w:ind w:left="1440"/>
        <w:textAlignment w:val="baseline"/>
        <w:rPr>
          <w:color w:val="212121"/>
          <w:sz w:val="26"/>
          <w:szCs w:val="26"/>
        </w:rPr>
      </w:pPr>
      <w:r w:rsidRPr="002C0DFA">
        <w:rPr>
          <w:color w:val="212121"/>
          <w:sz w:val="26"/>
          <w:szCs w:val="26"/>
        </w:rPr>
        <w:t>This order is effective today.</w:t>
      </w:r>
    </w:p>
    <w:p w:rsidR="008647FF" w:rsidP="00677FAB" w:rsidRDefault="008647FF" w14:paraId="5D158185" w14:textId="1253189F">
      <w:pPr>
        <w:pStyle w:val="NormalWeb"/>
        <w:shd w:val="clear" w:color="auto" w:fill="FFFFFF"/>
        <w:spacing w:before="0" w:beforeAutospacing="0" w:after="0" w:afterAutospacing="0" w:line="360" w:lineRule="auto"/>
        <w:ind w:left="1440"/>
        <w:textAlignment w:val="baseline"/>
        <w:rPr>
          <w:color w:val="212121"/>
          <w:sz w:val="26"/>
          <w:szCs w:val="26"/>
        </w:rPr>
      </w:pPr>
      <w:r w:rsidRPr="002C0DFA">
        <w:rPr>
          <w:color w:val="212121"/>
          <w:sz w:val="26"/>
          <w:szCs w:val="26"/>
        </w:rPr>
        <w:t xml:space="preserve">Dated </w:t>
      </w:r>
      <w:r w:rsidR="00C66638">
        <w:rPr>
          <w:color w:val="212121"/>
          <w:sz w:val="26"/>
          <w:szCs w:val="26"/>
        </w:rPr>
        <w:t>October 8</w:t>
      </w:r>
      <w:r w:rsidRPr="002C0DFA">
        <w:rPr>
          <w:color w:val="212121"/>
          <w:sz w:val="26"/>
          <w:szCs w:val="26"/>
        </w:rPr>
        <w:t>, 202</w:t>
      </w:r>
      <w:r w:rsidRPr="002C0DFA" w:rsidR="005B626C">
        <w:rPr>
          <w:color w:val="212121"/>
          <w:sz w:val="26"/>
          <w:szCs w:val="26"/>
        </w:rPr>
        <w:t>6</w:t>
      </w:r>
      <w:r w:rsidRPr="002C0DFA">
        <w:rPr>
          <w:color w:val="212121"/>
          <w:sz w:val="26"/>
          <w:szCs w:val="26"/>
        </w:rPr>
        <w:t xml:space="preserve">, at </w:t>
      </w:r>
      <w:r w:rsidR="00AE2D06">
        <w:rPr>
          <w:color w:val="212121"/>
          <w:sz w:val="26"/>
          <w:szCs w:val="26"/>
        </w:rPr>
        <w:t>S</w:t>
      </w:r>
      <w:r w:rsidR="009F3547">
        <w:rPr>
          <w:color w:val="212121"/>
          <w:sz w:val="26"/>
          <w:szCs w:val="26"/>
        </w:rPr>
        <w:t>acramento</w:t>
      </w:r>
      <w:r w:rsidRPr="002C0DFA">
        <w:rPr>
          <w:color w:val="212121"/>
          <w:sz w:val="26"/>
          <w:szCs w:val="26"/>
        </w:rPr>
        <w:t>, California.</w:t>
      </w:r>
    </w:p>
    <w:p w:rsidR="00C66638" w:rsidP="00677FAB" w:rsidRDefault="00C66638" w14:paraId="30CC07AE" w14:textId="77777777">
      <w:pPr>
        <w:pStyle w:val="NormalWeb"/>
        <w:shd w:val="clear" w:color="auto" w:fill="FFFFFF"/>
        <w:spacing w:before="0" w:beforeAutospacing="0" w:after="0" w:afterAutospacing="0" w:line="360" w:lineRule="auto"/>
        <w:ind w:left="1440"/>
        <w:textAlignment w:val="baseline"/>
        <w:rPr>
          <w:color w:val="212121"/>
          <w:sz w:val="26"/>
          <w:szCs w:val="26"/>
        </w:rPr>
      </w:pPr>
    </w:p>
    <w:p w:rsidRPr="00E57593" w:rsidR="00C66638" w:rsidP="00C66638" w:rsidRDefault="00C66638" w14:paraId="4634C751" w14:textId="77777777">
      <w:pPr>
        <w:ind w:left="5040"/>
        <w:rPr>
          <w:rFonts w:ascii="Times New Roman" w:hAnsi="Times New Roman"/>
        </w:rPr>
      </w:pPr>
      <w:bookmarkStart w:name="_Hlk61602525" w:id="0"/>
      <w:bookmarkStart w:name="_Hlk98492699" w:id="1"/>
      <w:r w:rsidRPr="00E57593">
        <w:rPr>
          <w:rFonts w:ascii="Times New Roman" w:hAnsi="Times New Roman"/>
        </w:rPr>
        <w:t>JOHN REYNOLDS</w:t>
      </w:r>
    </w:p>
    <w:p w:rsidRPr="00E50242" w:rsidR="00C66638" w:rsidP="00C66638" w:rsidRDefault="00C66638" w14:paraId="71CF57EC" w14:textId="77777777">
      <w:pPr>
        <w:pStyle w:val="standard"/>
        <w:spacing w:line="240" w:lineRule="auto"/>
        <w:ind w:left="5040" w:firstLine="0"/>
        <w:rPr>
          <w:rFonts w:ascii="Times New Roman" w:hAnsi="Times New Roman"/>
        </w:rPr>
      </w:pPr>
      <w:r w:rsidRPr="00E50242">
        <w:rPr>
          <w:rFonts w:ascii="Times New Roman" w:hAnsi="Times New Roman"/>
        </w:rPr>
        <w:t xml:space="preserve">                       President</w:t>
      </w:r>
    </w:p>
    <w:p w:rsidR="00C66638" w:rsidP="00C66638" w:rsidRDefault="00C66638" w14:paraId="3A6CEF59" w14:textId="77777777">
      <w:pPr>
        <w:pStyle w:val="standard"/>
        <w:tabs>
          <w:tab w:val="left" w:pos="8220"/>
        </w:tabs>
        <w:spacing w:line="240" w:lineRule="auto"/>
        <w:ind w:left="5040" w:firstLine="0"/>
        <w:rPr>
          <w:rFonts w:ascii="Times New Roman" w:hAnsi="Times New Roman"/>
        </w:rPr>
      </w:pPr>
      <w:r>
        <w:rPr>
          <w:rFonts w:ascii="Times New Roman" w:hAnsi="Times New Roman"/>
        </w:rPr>
        <w:t>DARCIE L. HOUCK</w:t>
      </w:r>
    </w:p>
    <w:p w:rsidR="00C66638" w:rsidP="00C66638" w:rsidRDefault="00C66638" w14:paraId="0026F17E" w14:textId="77777777">
      <w:pPr>
        <w:pStyle w:val="standard"/>
        <w:spacing w:line="240" w:lineRule="auto"/>
        <w:ind w:left="5040" w:firstLine="0"/>
        <w:rPr>
          <w:rFonts w:ascii="Times New Roman" w:hAnsi="Times New Roman"/>
        </w:rPr>
      </w:pPr>
      <w:r>
        <w:rPr>
          <w:rFonts w:ascii="Times New Roman" w:hAnsi="Times New Roman"/>
        </w:rPr>
        <w:t>KAREN DOUGLAS</w:t>
      </w:r>
    </w:p>
    <w:p w:rsidR="00C66638" w:rsidP="00C66638" w:rsidRDefault="00C66638" w14:paraId="710B1F2D" w14:textId="77777777">
      <w:pPr>
        <w:pStyle w:val="standard"/>
        <w:spacing w:line="240" w:lineRule="auto"/>
        <w:ind w:left="5040" w:firstLine="0"/>
        <w:rPr>
          <w:rFonts w:ascii="Times New Roman" w:hAnsi="Times New Roman"/>
        </w:rPr>
      </w:pPr>
      <w:r>
        <w:rPr>
          <w:rFonts w:ascii="Times New Roman" w:hAnsi="Times New Roman"/>
        </w:rPr>
        <w:t>MATTHEW BAKER</w:t>
      </w:r>
    </w:p>
    <w:p w:rsidR="00C66638" w:rsidP="00C66638" w:rsidRDefault="00C66638" w14:paraId="52B7E83A" w14:textId="77777777">
      <w:pPr>
        <w:pStyle w:val="standard"/>
        <w:spacing w:line="240" w:lineRule="auto"/>
        <w:ind w:left="5040" w:firstLine="0"/>
        <w:rPr>
          <w:rFonts w:ascii="Times New Roman" w:hAnsi="Times New Roman"/>
        </w:rPr>
      </w:pPr>
      <w:r>
        <w:rPr>
          <w:rFonts w:ascii="Times New Roman" w:hAnsi="Times New Roman"/>
        </w:rPr>
        <w:t>CHRISTINE HARADA</w:t>
      </w:r>
    </w:p>
    <w:p w:rsidR="00C66638" w:rsidP="00C66638" w:rsidRDefault="00C66638" w14:paraId="7454CA11" w14:textId="77777777">
      <w:pPr>
        <w:pStyle w:val="standard"/>
        <w:spacing w:line="240" w:lineRule="auto"/>
        <w:ind w:left="5040" w:firstLine="0"/>
        <w:rPr>
          <w:rFonts w:ascii="Times New Roman" w:hAnsi="Times New Roman"/>
        </w:rPr>
      </w:pPr>
      <w:r w:rsidRPr="00E50242">
        <w:rPr>
          <w:rFonts w:ascii="Times New Roman" w:hAnsi="Times New Roman"/>
        </w:rPr>
        <w:t xml:space="preserve">                       Commissioners</w:t>
      </w:r>
      <w:bookmarkEnd w:id="0"/>
    </w:p>
    <w:bookmarkEnd w:id="1"/>
    <w:p w:rsidR="00C66638" w:rsidP="00C66638" w:rsidRDefault="00C66638" w14:paraId="73D8D593" w14:textId="77777777">
      <w:pPr>
        <w:pStyle w:val="standard"/>
        <w:spacing w:line="240" w:lineRule="auto"/>
        <w:ind w:left="5040" w:firstLine="0"/>
        <w:rPr>
          <w:rFonts w:ascii="Times New Roman" w:hAnsi="Times New Roman"/>
        </w:rPr>
      </w:pPr>
    </w:p>
    <w:p w:rsidR="00C66638" w:rsidP="00677FAB" w:rsidRDefault="00C66638" w14:paraId="398BE09D" w14:textId="77777777">
      <w:pPr>
        <w:pStyle w:val="NormalWeb"/>
        <w:shd w:val="clear" w:color="auto" w:fill="FFFFFF"/>
        <w:spacing w:before="0" w:beforeAutospacing="0" w:after="0" w:afterAutospacing="0" w:line="360" w:lineRule="auto"/>
        <w:ind w:left="1440"/>
        <w:textAlignment w:val="baseline"/>
        <w:rPr>
          <w:color w:val="212121"/>
          <w:sz w:val="26"/>
          <w:szCs w:val="26"/>
        </w:rPr>
      </w:pPr>
    </w:p>
    <w:sectPr w:rsidR="00C66638" w:rsidSect="00AE2D0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E6896" w14:textId="77777777" w:rsidR="00211EB4" w:rsidRDefault="00211EB4" w:rsidP="00F706B8">
      <w:r>
        <w:separator/>
      </w:r>
    </w:p>
  </w:endnote>
  <w:endnote w:type="continuationSeparator" w:id="0">
    <w:p w14:paraId="0B742EBD" w14:textId="77777777" w:rsidR="00211EB4" w:rsidRDefault="00211EB4" w:rsidP="00F70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w:altName w:val="Palatino Linotype"/>
    <w:charset w:val="00"/>
    <w:family w:val="auto"/>
    <w:pitch w:val="variable"/>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2007216"/>
      <w:docPartObj>
        <w:docPartGallery w:val="Page Numbers (Bottom of Page)"/>
        <w:docPartUnique/>
      </w:docPartObj>
    </w:sdtPr>
    <w:sdtContent>
      <w:p w14:paraId="169991D0" w14:textId="4D478FD1" w:rsidR="00B321C6" w:rsidRDefault="00B321C6" w:rsidP="005F787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816200" w14:textId="77777777" w:rsidR="00B321C6" w:rsidRDefault="00B32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702514"/>
      <w:docPartObj>
        <w:docPartGallery w:val="Page Numbers (Bottom of Page)"/>
        <w:docPartUnique/>
      </w:docPartObj>
    </w:sdtPr>
    <w:sdtEndPr>
      <w:rPr>
        <w:noProof/>
      </w:rPr>
    </w:sdtEndPr>
    <w:sdtContent>
      <w:p w14:paraId="2BC7A987" w14:textId="6EF45E37" w:rsidR="00F542CC" w:rsidRDefault="00F542CC">
        <w:pPr>
          <w:pStyle w:val="Footer"/>
          <w:jc w:val="center"/>
        </w:pPr>
        <w:r w:rsidRPr="00DC1CB3">
          <w:rPr>
            <w:rFonts w:ascii="Times New Roman" w:hAnsi="Times New Roman" w:cs="Times New Roman"/>
          </w:rPr>
          <w:fldChar w:fldCharType="begin"/>
        </w:r>
        <w:r w:rsidRPr="00DC1CB3">
          <w:rPr>
            <w:rFonts w:ascii="Times New Roman" w:hAnsi="Times New Roman" w:cs="Times New Roman"/>
          </w:rPr>
          <w:instrText xml:space="preserve"> PAGE   \* MERGEFORMAT </w:instrText>
        </w:r>
        <w:r w:rsidRPr="00DC1CB3">
          <w:rPr>
            <w:rFonts w:ascii="Times New Roman" w:hAnsi="Times New Roman" w:cs="Times New Roman"/>
          </w:rPr>
          <w:fldChar w:fldCharType="separate"/>
        </w:r>
        <w:r w:rsidRPr="00DC1CB3">
          <w:rPr>
            <w:rFonts w:ascii="Times New Roman" w:hAnsi="Times New Roman" w:cs="Times New Roman"/>
            <w:noProof/>
          </w:rPr>
          <w:t>2</w:t>
        </w:r>
        <w:r w:rsidRPr="00DC1CB3">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219851"/>
      <w:docPartObj>
        <w:docPartGallery w:val="Page Numbers (Bottom of Page)"/>
        <w:docPartUnique/>
      </w:docPartObj>
    </w:sdtPr>
    <w:sdtEndPr>
      <w:rPr>
        <w:rFonts w:ascii="Times New Roman" w:hAnsi="Times New Roman" w:cs="Times New Roman"/>
        <w:noProof/>
      </w:rPr>
    </w:sdtEndPr>
    <w:sdtContent>
      <w:p w14:paraId="776CFDC5" w14:textId="1F8668C4" w:rsidR="00632CCB" w:rsidRPr="00632CCB" w:rsidRDefault="006F4A3F" w:rsidP="004A0156">
        <w:pPr>
          <w:pStyle w:val="Footer"/>
          <w:rPr>
            <w:rFonts w:ascii="Times New Roman" w:hAnsi="Times New Roman" w:cs="Times New Roman"/>
          </w:rPr>
        </w:pPr>
        <w:r w:rsidRPr="006F4A3F">
          <w:rPr>
            <w:rFonts w:ascii="Times New Roman" w:hAnsi="Times New Roman" w:cs="Times New Roman"/>
            <w:sz w:val="18"/>
            <w:szCs w:val="18"/>
          </w:rPr>
          <w:t>623366200</w:t>
        </w:r>
        <w:r w:rsidR="004A0156">
          <w:tab/>
        </w:r>
        <w:r w:rsidR="00632CCB" w:rsidRPr="00632CCB">
          <w:rPr>
            <w:rFonts w:ascii="Times New Roman" w:hAnsi="Times New Roman" w:cs="Times New Roman"/>
          </w:rPr>
          <w:fldChar w:fldCharType="begin"/>
        </w:r>
        <w:r w:rsidR="00632CCB" w:rsidRPr="00632CCB">
          <w:rPr>
            <w:rFonts w:ascii="Times New Roman" w:hAnsi="Times New Roman" w:cs="Times New Roman"/>
          </w:rPr>
          <w:instrText xml:space="preserve"> PAGE   \* MERGEFORMAT </w:instrText>
        </w:r>
        <w:r w:rsidR="00632CCB" w:rsidRPr="00632CCB">
          <w:rPr>
            <w:rFonts w:ascii="Times New Roman" w:hAnsi="Times New Roman" w:cs="Times New Roman"/>
          </w:rPr>
          <w:fldChar w:fldCharType="separate"/>
        </w:r>
        <w:r w:rsidR="00632CCB" w:rsidRPr="00632CCB">
          <w:rPr>
            <w:rFonts w:ascii="Times New Roman" w:hAnsi="Times New Roman" w:cs="Times New Roman"/>
            <w:noProof/>
          </w:rPr>
          <w:t>2</w:t>
        </w:r>
        <w:r w:rsidR="00632CCB" w:rsidRPr="00632CCB">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A4D5" w14:textId="77777777" w:rsidR="00211EB4" w:rsidRDefault="00211EB4" w:rsidP="00F706B8">
      <w:r>
        <w:separator/>
      </w:r>
    </w:p>
  </w:footnote>
  <w:footnote w:type="continuationSeparator" w:id="0">
    <w:p w14:paraId="1B96BEC0" w14:textId="77777777" w:rsidR="00211EB4" w:rsidRDefault="00211EB4" w:rsidP="00F706B8">
      <w:r>
        <w:continuationSeparator/>
      </w:r>
    </w:p>
  </w:footnote>
  <w:footnote w:id="1">
    <w:p w14:paraId="46E5D6D2" w14:textId="77777777" w:rsidR="00D90342" w:rsidRPr="00C00BDC" w:rsidRDefault="00D90342" w:rsidP="00AE2D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60" w:lineRule="atLeast"/>
        <w:rPr>
          <w:rFonts w:ascii="Times New Roman" w:hAnsi="Times New Roman" w:cs="Times New Roman"/>
          <w:sz w:val="26"/>
          <w:szCs w:val="26"/>
        </w:rPr>
      </w:pPr>
      <w:r w:rsidRPr="00C00BDC">
        <w:rPr>
          <w:rStyle w:val="FootnoteReference"/>
          <w:rFonts w:ascii="Times New Roman" w:hAnsi="Times New Roman" w:cs="Times New Roman"/>
          <w:b/>
          <w:bCs/>
          <w:sz w:val="26"/>
          <w:szCs w:val="26"/>
          <w:u w:val="single"/>
        </w:rPr>
        <w:footnoteRef/>
      </w:r>
      <w:r w:rsidRPr="00C00BDC">
        <w:rPr>
          <w:rFonts w:ascii="Times New Roman" w:hAnsi="Times New Roman" w:cs="Times New Roman"/>
          <w:sz w:val="26"/>
          <w:szCs w:val="26"/>
        </w:rPr>
        <w:t xml:space="preserve"> </w:t>
      </w:r>
      <w:r w:rsidRPr="00C00BDC">
        <w:rPr>
          <w:rFonts w:ascii="Times New Roman" w:hAnsi="Times New Roman" w:cs="Times New Roman"/>
          <w:color w:val="000000"/>
          <w:kern w:val="0"/>
          <w:sz w:val="26"/>
          <w:szCs w:val="26"/>
        </w:rPr>
        <w:t xml:space="preserve">Unless otherwise noted, citations to Commission Decisions issued since July 1, 2000 are to the official pdf versions, which are available on the Commission’s website at: </w:t>
      </w:r>
      <w:hyperlink r:id="rId1" w:history="1">
        <w:r w:rsidRPr="00C00BDC">
          <w:rPr>
            <w:rStyle w:val="Hyperlink"/>
            <w:rFonts w:ascii="Times New Roman" w:hAnsi="Times New Roman" w:cs="Times New Roman"/>
            <w:kern w:val="0"/>
            <w:sz w:val="26"/>
            <w:szCs w:val="26"/>
          </w:rPr>
          <w:t>https://docs.cpuc.ca.gov/ResolutionSearchForm.aspx</w:t>
        </w:r>
      </w:hyperlink>
      <w:r w:rsidRPr="00C00BDC">
        <w:rPr>
          <w:rFonts w:ascii="Times New Roman" w:hAnsi="Times New Roman" w:cs="Times New Roman"/>
          <w:color w:val="0000FF"/>
          <w:kern w:val="0"/>
          <w:sz w:val="26"/>
          <w:szCs w:val="26"/>
        </w:rPr>
        <w:t xml:space="preserve"> </w:t>
      </w:r>
    </w:p>
  </w:footnote>
  <w:footnote w:id="2">
    <w:p w14:paraId="43DD25F0" w14:textId="5D47B590" w:rsidR="00B2170C" w:rsidRDefault="00B2170C" w:rsidP="00AE2D06">
      <w:pPr>
        <w:pStyle w:val="FootnoteText"/>
        <w:spacing w:after="120" w:line="260" w:lineRule="atLeast"/>
      </w:pPr>
      <w:r w:rsidRPr="00723024">
        <w:rPr>
          <w:rStyle w:val="FootnoteReference"/>
          <w:rFonts w:ascii="Times New Roman" w:hAnsi="Times New Roman" w:cs="Times New Roman"/>
          <w:b/>
          <w:bCs/>
          <w:sz w:val="26"/>
          <w:szCs w:val="26"/>
          <w:u w:val="single"/>
        </w:rPr>
        <w:footnoteRef/>
      </w:r>
      <w:r w:rsidRPr="00723024">
        <w:rPr>
          <w:rFonts w:ascii="Times New Roman" w:hAnsi="Times New Roman" w:cs="Times New Roman"/>
          <w:b/>
          <w:bCs/>
          <w:sz w:val="26"/>
          <w:szCs w:val="26"/>
          <w:vertAlign w:val="superscript"/>
        </w:rPr>
        <w:t xml:space="preserve"> </w:t>
      </w:r>
      <w:r w:rsidR="00723024" w:rsidRPr="00723024">
        <w:rPr>
          <w:b/>
          <w:bCs/>
          <w:vertAlign w:val="superscript"/>
        </w:rPr>
        <w:t xml:space="preserve"> </w:t>
      </w:r>
      <w:r w:rsidRPr="008D30C8">
        <w:rPr>
          <w:rFonts w:ascii="Times New Roman" w:eastAsia="Times New Roman" w:hAnsi="Times New Roman" w:cs="Times New Roman"/>
          <w:color w:val="000000" w:themeColor="text1"/>
          <w:sz w:val="26"/>
          <w:szCs w:val="26"/>
        </w:rPr>
        <w:t>All subsequent section references are to the Public Utilities Code, unless otherwise specified.</w:t>
      </w:r>
    </w:p>
  </w:footnote>
  <w:footnote w:id="3">
    <w:p w14:paraId="2C965BA3" w14:textId="066F5D9C" w:rsidR="00474C28" w:rsidRPr="00514238" w:rsidRDefault="00474C28" w:rsidP="00474C28">
      <w:pPr>
        <w:pStyle w:val="FootnoteText"/>
        <w:spacing w:after="120" w:line="260" w:lineRule="atLeast"/>
        <w:rPr>
          <w:rFonts w:ascii="Times New Roman" w:hAnsi="Times New Roman" w:cs="Times New Roman"/>
          <w:sz w:val="26"/>
          <w:szCs w:val="26"/>
        </w:rPr>
      </w:pPr>
      <w:r w:rsidRPr="00474C28">
        <w:rPr>
          <w:rStyle w:val="FootnoteReference"/>
          <w:rFonts w:ascii="Times New Roman" w:hAnsi="Times New Roman" w:cs="Times New Roman"/>
          <w:b/>
          <w:bCs/>
          <w:sz w:val="26"/>
          <w:szCs w:val="26"/>
          <w:u w:val="single"/>
        </w:rPr>
        <w:footnoteRef/>
      </w:r>
      <w:r w:rsidRPr="00514238">
        <w:rPr>
          <w:rFonts w:ascii="Times New Roman" w:hAnsi="Times New Roman" w:cs="Times New Roman"/>
          <w:sz w:val="26"/>
          <w:szCs w:val="26"/>
        </w:rPr>
        <w:t xml:space="preserve"> </w:t>
      </w:r>
      <w:r w:rsidRPr="00514238">
        <w:rPr>
          <w:rFonts w:ascii="Times New Roman" w:hAnsi="Times New Roman" w:cs="Times New Roman"/>
          <w:color w:val="000000" w:themeColor="text1"/>
          <w:sz w:val="26"/>
          <w:szCs w:val="26"/>
        </w:rPr>
        <w:t xml:space="preserve">CalCCA’s rehearing application for D.25-06-049 states that it represents 24 Community Choice Aggregators including </w:t>
      </w:r>
      <w:r w:rsidRPr="00514238">
        <w:rPr>
          <w:rFonts w:ascii="Times New Roman" w:hAnsi="Times New Roman" w:cs="Times New Roman"/>
          <w:sz w:val="26"/>
          <w:szCs w:val="26"/>
        </w:rPr>
        <w:t xml:space="preserve">San Diego Community Power </w:t>
      </w:r>
      <w:r>
        <w:rPr>
          <w:rFonts w:ascii="Times New Roman" w:hAnsi="Times New Roman" w:cs="Times New Roman"/>
          <w:sz w:val="26"/>
          <w:szCs w:val="26"/>
        </w:rPr>
        <w:t xml:space="preserve">and the </w:t>
      </w:r>
      <w:r w:rsidRPr="00514238">
        <w:rPr>
          <w:rFonts w:ascii="Times New Roman" w:hAnsi="Times New Roman" w:cs="Times New Roman"/>
          <w:sz w:val="26"/>
          <w:szCs w:val="26"/>
        </w:rPr>
        <w:t>Clean Energy Alliance</w:t>
      </w:r>
      <w:r w:rsidRPr="00514238">
        <w:rPr>
          <w:rFonts w:ascii="Times New Roman" w:hAnsi="Times New Roman" w:cs="Times New Roman"/>
          <w:color w:val="000000" w:themeColor="text1"/>
          <w:sz w:val="26"/>
          <w:szCs w:val="26"/>
        </w:rPr>
        <w:t>.  (</w:t>
      </w:r>
      <w:r w:rsidRPr="00514238">
        <w:rPr>
          <w:rFonts w:ascii="Times New Roman" w:hAnsi="Times New Roman" w:cs="Times New Roman"/>
          <w:sz w:val="26"/>
          <w:szCs w:val="26"/>
        </w:rPr>
        <w:t>D.25-06-049 Rehg. App.</w:t>
      </w:r>
      <w:r w:rsidRPr="00514238">
        <w:rPr>
          <w:rFonts w:ascii="Times New Roman" w:hAnsi="Times New Roman" w:cs="Times New Roman"/>
          <w:i/>
          <w:iCs/>
          <w:sz w:val="26"/>
          <w:szCs w:val="26"/>
        </w:rPr>
        <w:t>, supra</w:t>
      </w:r>
      <w:r w:rsidRPr="00514238">
        <w:rPr>
          <w:rFonts w:ascii="Times New Roman" w:hAnsi="Times New Roman" w:cs="Times New Roman"/>
          <w:sz w:val="26"/>
          <w:szCs w:val="26"/>
        </w:rPr>
        <w:t xml:space="preserve">, at p. 1, fn. 4.)  </w:t>
      </w:r>
    </w:p>
  </w:footnote>
  <w:footnote w:id="4">
    <w:p w14:paraId="313C8600" w14:textId="776CC714" w:rsidR="00F95E59" w:rsidRDefault="00F95E59" w:rsidP="00393F70">
      <w:pPr>
        <w:contextualSpacing/>
      </w:pPr>
      <w:r w:rsidRPr="00F95E59">
        <w:rPr>
          <w:rStyle w:val="FootnoteReference"/>
          <w:rFonts w:ascii="Times New Roman" w:hAnsi="Times New Roman" w:cs="Times New Roman"/>
          <w:b/>
          <w:bCs/>
          <w:sz w:val="26"/>
          <w:szCs w:val="26"/>
          <w:u w:val="single"/>
        </w:rPr>
        <w:footnoteRef/>
      </w:r>
      <w:r w:rsidRPr="00F95E59">
        <w:rPr>
          <w:rFonts w:ascii="Times New Roman" w:hAnsi="Times New Roman" w:cs="Times New Roman"/>
          <w:b/>
          <w:bCs/>
          <w:sz w:val="26"/>
          <w:szCs w:val="26"/>
          <w:vertAlign w:val="superscript"/>
        </w:rPr>
        <w:t xml:space="preserve"> </w:t>
      </w:r>
      <w:r>
        <w:rPr>
          <w:rFonts w:ascii="Times New Roman" w:hAnsi="Times New Roman" w:cs="Times New Roman"/>
          <w:sz w:val="26"/>
          <w:szCs w:val="26"/>
        </w:rPr>
        <w:t xml:space="preserve">Unless otherwise noted, all references to a Rule are to the Commission’s Rules of Practice and Procedure.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E7C9" w14:textId="77777777" w:rsidR="006F4A3F" w:rsidRDefault="006F4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FB13" w14:textId="7F139EC5" w:rsidR="00AE2D06" w:rsidRDefault="00AE2D06">
    <w:pPr>
      <w:pStyle w:val="Header"/>
    </w:pPr>
    <w:r w:rsidRPr="002C0DFA">
      <w:rPr>
        <w:rFonts w:ascii="Times New Roman" w:hAnsi="Times New Roman" w:cs="Times New Roman"/>
        <w:sz w:val="26"/>
        <w:szCs w:val="26"/>
      </w:rPr>
      <w:t>A</w:t>
    </w:r>
    <w:r>
      <w:rPr>
        <w:rFonts w:ascii="Times New Roman" w:hAnsi="Times New Roman" w:cs="Times New Roman"/>
        <w:sz w:val="26"/>
        <w:szCs w:val="26"/>
      </w:rPr>
      <w:t>.</w:t>
    </w:r>
    <w:r w:rsidRPr="002C0DFA">
      <w:rPr>
        <w:rFonts w:ascii="Times New Roman" w:hAnsi="Times New Roman" w:cs="Times New Roman"/>
        <w:sz w:val="26"/>
        <w:szCs w:val="26"/>
      </w:rPr>
      <w:t>25-05-0</w:t>
    </w:r>
    <w:r>
      <w:rPr>
        <w:rFonts w:ascii="Times New Roman" w:hAnsi="Times New Roman" w:cs="Times New Roman"/>
        <w:sz w:val="26"/>
        <w:szCs w:val="26"/>
      </w:rPr>
      <w:t>12</w:t>
    </w:r>
    <w:r>
      <w:rPr>
        <w:rFonts w:ascii="Times New Roman" w:hAnsi="Times New Roman" w:cs="Times New Roman"/>
        <w:sz w:val="26"/>
        <w:szCs w:val="26"/>
      </w:rPr>
      <w:tab/>
      <w:t>L/</w:t>
    </w:r>
    <w:r w:rsidR="00C66638">
      <w:rPr>
        <w:rFonts w:ascii="Times New Roman" w:hAnsi="Times New Roman" w:cs="Times New Roman"/>
        <w:sz w:val="26"/>
        <w:szCs w:val="26"/>
      </w:rPr>
      <w:t>/</w:t>
    </w:r>
    <w:r>
      <w:rPr>
        <w:rFonts w:ascii="Times New Roman" w:hAnsi="Times New Roman" w:cs="Times New Roman"/>
        <w:sz w:val="26"/>
        <w:szCs w:val="26"/>
      </w:rPr>
      <w:t>mal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E115" w14:textId="213C0415" w:rsidR="00AE2D06" w:rsidRDefault="00AE2D06">
    <w:pPr>
      <w:pStyle w:val="Header"/>
      <w:rPr>
        <w:rFonts w:ascii="Times New Roman" w:hAnsi="Times New Roman" w:cs="Times New Roman"/>
        <w:sz w:val="26"/>
        <w:szCs w:val="26"/>
      </w:rPr>
    </w:pPr>
    <w:r w:rsidRPr="00AE2D06">
      <w:rPr>
        <w:rFonts w:ascii="Times New Roman" w:hAnsi="Times New Roman" w:cs="Times New Roman"/>
        <w:sz w:val="26"/>
        <w:szCs w:val="26"/>
      </w:rPr>
      <w:t>L/mal</w:t>
    </w:r>
    <w:r w:rsidRPr="00AE2D06">
      <w:rPr>
        <w:rFonts w:ascii="Times New Roman" w:hAnsi="Times New Roman" w:cs="Times New Roman"/>
        <w:sz w:val="26"/>
        <w:szCs w:val="26"/>
      </w:rPr>
      <w:tab/>
    </w:r>
    <w:r w:rsidRPr="00AE2D06">
      <w:rPr>
        <w:rFonts w:ascii="Times New Roman" w:hAnsi="Times New Roman" w:cs="Times New Roman"/>
        <w:sz w:val="26"/>
        <w:szCs w:val="26"/>
      </w:rPr>
      <w:tab/>
    </w:r>
    <w:r w:rsidR="00C66638">
      <w:rPr>
        <w:rFonts w:ascii="Times New Roman" w:hAnsi="Times New Roman" w:cs="Times New Roman"/>
        <w:sz w:val="26"/>
        <w:szCs w:val="26"/>
      </w:rPr>
      <w:t>Date of Issuance</w:t>
    </w:r>
  </w:p>
  <w:p w14:paraId="30A26DE0" w14:textId="0FDD1931" w:rsidR="00C66638" w:rsidRPr="00AE2D06" w:rsidRDefault="00C66638">
    <w:pPr>
      <w:pStyle w:val="Header"/>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proofErr w:type="spellStart"/>
    <w:r>
      <w:rPr>
        <w:rFonts w:ascii="Times New Roman" w:hAnsi="Times New Roman" w:cs="Times New Roman"/>
        <w:sz w:val="26"/>
        <w:szCs w:val="26"/>
      </w:rPr>
      <w:t>Ocrtober</w:t>
    </w:r>
    <w:proofErr w:type="spellEnd"/>
    <w:r>
      <w:rPr>
        <w:rFonts w:ascii="Times New Roman" w:hAnsi="Times New Roman" w:cs="Times New Roman"/>
        <w:sz w:val="26"/>
        <w:szCs w:val="26"/>
      </w:rPr>
      <w:t xml:space="preserve"> 9, 2026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3523D"/>
    <w:multiLevelType w:val="hybridMultilevel"/>
    <w:tmpl w:val="40D4900A"/>
    <w:lvl w:ilvl="0" w:tplc="5444150E">
      <w:start w:val="1"/>
      <w:numFmt w:val="upperLetter"/>
      <w:lvlText w:val="%1."/>
      <w:lvlJc w:val="left"/>
      <w:pPr>
        <w:ind w:left="720" w:hanging="360"/>
      </w:pPr>
      <w:rPr>
        <w:rFonts w:hint="default"/>
        <w:color w:val="000000" w:themeColor="text1"/>
      </w:rPr>
    </w:lvl>
    <w:lvl w:ilvl="1" w:tplc="27265534">
      <w:start w:val="1"/>
      <w:numFmt w:val="decimal"/>
      <w:lvlText w:val="%2."/>
      <w:lvlJc w:val="left"/>
      <w:pPr>
        <w:ind w:left="1440" w:hanging="360"/>
      </w:pPr>
      <w:rPr>
        <w:rFonts w:ascii="Times New Roman" w:eastAsia="Times New Roman" w:hAnsi="Times New Roman" w:cs="Times New Roman"/>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B2E98"/>
    <w:multiLevelType w:val="multilevel"/>
    <w:tmpl w:val="A71E9B4C"/>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0961781">
    <w:abstractNumId w:val="0"/>
  </w:num>
  <w:num w:numId="2" w16cid:durableId="113541628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4C"/>
    <w:rsid w:val="000004BF"/>
    <w:rsid w:val="0000143A"/>
    <w:rsid w:val="000059DE"/>
    <w:rsid w:val="00005A24"/>
    <w:rsid w:val="000062F3"/>
    <w:rsid w:val="000066D0"/>
    <w:rsid w:val="00015606"/>
    <w:rsid w:val="000159D0"/>
    <w:rsid w:val="00017CC7"/>
    <w:rsid w:val="0002213D"/>
    <w:rsid w:val="00022B6D"/>
    <w:rsid w:val="000310B4"/>
    <w:rsid w:val="00031408"/>
    <w:rsid w:val="000319B2"/>
    <w:rsid w:val="00031EBA"/>
    <w:rsid w:val="000328A9"/>
    <w:rsid w:val="000352F9"/>
    <w:rsid w:val="0004647F"/>
    <w:rsid w:val="00047C06"/>
    <w:rsid w:val="00047FAD"/>
    <w:rsid w:val="00050521"/>
    <w:rsid w:val="00050601"/>
    <w:rsid w:val="000522AA"/>
    <w:rsid w:val="00052356"/>
    <w:rsid w:val="0005245B"/>
    <w:rsid w:val="00052AF8"/>
    <w:rsid w:val="000545AA"/>
    <w:rsid w:val="00055A91"/>
    <w:rsid w:val="000569A5"/>
    <w:rsid w:val="00057707"/>
    <w:rsid w:val="00057F2C"/>
    <w:rsid w:val="0006023A"/>
    <w:rsid w:val="00062BD6"/>
    <w:rsid w:val="000630F1"/>
    <w:rsid w:val="00063766"/>
    <w:rsid w:val="0006544B"/>
    <w:rsid w:val="0006553C"/>
    <w:rsid w:val="000657CF"/>
    <w:rsid w:val="00070103"/>
    <w:rsid w:val="00071242"/>
    <w:rsid w:val="000715B8"/>
    <w:rsid w:val="00074188"/>
    <w:rsid w:val="00074505"/>
    <w:rsid w:val="0007470C"/>
    <w:rsid w:val="00074FA1"/>
    <w:rsid w:val="00075A18"/>
    <w:rsid w:val="000812EB"/>
    <w:rsid w:val="00084E00"/>
    <w:rsid w:val="00085ABA"/>
    <w:rsid w:val="0009007E"/>
    <w:rsid w:val="0009021E"/>
    <w:rsid w:val="000929D9"/>
    <w:rsid w:val="00093BFB"/>
    <w:rsid w:val="00094EA5"/>
    <w:rsid w:val="000A101E"/>
    <w:rsid w:val="000A107A"/>
    <w:rsid w:val="000A1804"/>
    <w:rsid w:val="000A2A09"/>
    <w:rsid w:val="000A3F27"/>
    <w:rsid w:val="000B4752"/>
    <w:rsid w:val="000B53B0"/>
    <w:rsid w:val="000B6506"/>
    <w:rsid w:val="000C1412"/>
    <w:rsid w:val="000C2544"/>
    <w:rsid w:val="000C32BD"/>
    <w:rsid w:val="000C3E2C"/>
    <w:rsid w:val="000C5684"/>
    <w:rsid w:val="000C5829"/>
    <w:rsid w:val="000C703E"/>
    <w:rsid w:val="000D0499"/>
    <w:rsid w:val="000D12DC"/>
    <w:rsid w:val="000D1807"/>
    <w:rsid w:val="000D1A50"/>
    <w:rsid w:val="000D2B23"/>
    <w:rsid w:val="000D4305"/>
    <w:rsid w:val="000D5D88"/>
    <w:rsid w:val="000D6412"/>
    <w:rsid w:val="000D6D08"/>
    <w:rsid w:val="000D7A8A"/>
    <w:rsid w:val="000D7EB2"/>
    <w:rsid w:val="000E22D6"/>
    <w:rsid w:val="000E3994"/>
    <w:rsid w:val="000E3C26"/>
    <w:rsid w:val="000E3E15"/>
    <w:rsid w:val="000E470C"/>
    <w:rsid w:val="000E5E5D"/>
    <w:rsid w:val="000E5EC8"/>
    <w:rsid w:val="000F0078"/>
    <w:rsid w:val="000F1A5A"/>
    <w:rsid w:val="000F2E5B"/>
    <w:rsid w:val="000F3932"/>
    <w:rsid w:val="000F4A09"/>
    <w:rsid w:val="000F4D8C"/>
    <w:rsid w:val="00102A70"/>
    <w:rsid w:val="001033FF"/>
    <w:rsid w:val="00103D2C"/>
    <w:rsid w:val="00107A12"/>
    <w:rsid w:val="00107D4C"/>
    <w:rsid w:val="00107F81"/>
    <w:rsid w:val="0011103C"/>
    <w:rsid w:val="00114B32"/>
    <w:rsid w:val="00115B02"/>
    <w:rsid w:val="0011716E"/>
    <w:rsid w:val="00117293"/>
    <w:rsid w:val="001234C2"/>
    <w:rsid w:val="00123EEF"/>
    <w:rsid w:val="001257E0"/>
    <w:rsid w:val="00125B4B"/>
    <w:rsid w:val="001260F7"/>
    <w:rsid w:val="0012730C"/>
    <w:rsid w:val="00127512"/>
    <w:rsid w:val="001332DC"/>
    <w:rsid w:val="00134100"/>
    <w:rsid w:val="001346B1"/>
    <w:rsid w:val="00142A84"/>
    <w:rsid w:val="0014359C"/>
    <w:rsid w:val="0014402F"/>
    <w:rsid w:val="00144A89"/>
    <w:rsid w:val="00144D1E"/>
    <w:rsid w:val="00147D6C"/>
    <w:rsid w:val="001545BF"/>
    <w:rsid w:val="00155B95"/>
    <w:rsid w:val="00157884"/>
    <w:rsid w:val="0016105E"/>
    <w:rsid w:val="00161106"/>
    <w:rsid w:val="0016212A"/>
    <w:rsid w:val="00166050"/>
    <w:rsid w:val="00167499"/>
    <w:rsid w:val="00170792"/>
    <w:rsid w:val="0017127C"/>
    <w:rsid w:val="00172106"/>
    <w:rsid w:val="00173B77"/>
    <w:rsid w:val="00177687"/>
    <w:rsid w:val="00180071"/>
    <w:rsid w:val="001859DE"/>
    <w:rsid w:val="001865DB"/>
    <w:rsid w:val="001877FB"/>
    <w:rsid w:val="001914F6"/>
    <w:rsid w:val="00192527"/>
    <w:rsid w:val="00193E9E"/>
    <w:rsid w:val="001941FD"/>
    <w:rsid w:val="00195005"/>
    <w:rsid w:val="00197590"/>
    <w:rsid w:val="001A14A1"/>
    <w:rsid w:val="001A7849"/>
    <w:rsid w:val="001B01AD"/>
    <w:rsid w:val="001B0AAC"/>
    <w:rsid w:val="001B2D34"/>
    <w:rsid w:val="001B367A"/>
    <w:rsid w:val="001B44C4"/>
    <w:rsid w:val="001B45DD"/>
    <w:rsid w:val="001B5589"/>
    <w:rsid w:val="001B5A60"/>
    <w:rsid w:val="001B665B"/>
    <w:rsid w:val="001C048C"/>
    <w:rsid w:val="001C12EA"/>
    <w:rsid w:val="001C225F"/>
    <w:rsid w:val="001C59AE"/>
    <w:rsid w:val="001C5A07"/>
    <w:rsid w:val="001C78AE"/>
    <w:rsid w:val="001D079F"/>
    <w:rsid w:val="001D1591"/>
    <w:rsid w:val="001D1C8F"/>
    <w:rsid w:val="001D1CE6"/>
    <w:rsid w:val="001D2624"/>
    <w:rsid w:val="001D2EB5"/>
    <w:rsid w:val="001D2F49"/>
    <w:rsid w:val="001D3015"/>
    <w:rsid w:val="001D3EDB"/>
    <w:rsid w:val="001D4B0A"/>
    <w:rsid w:val="001D62CC"/>
    <w:rsid w:val="001D767A"/>
    <w:rsid w:val="001D7DB6"/>
    <w:rsid w:val="001E20D7"/>
    <w:rsid w:val="001E51B9"/>
    <w:rsid w:val="001E5438"/>
    <w:rsid w:val="001E6610"/>
    <w:rsid w:val="001E72AA"/>
    <w:rsid w:val="001F42FF"/>
    <w:rsid w:val="00201052"/>
    <w:rsid w:val="002010E1"/>
    <w:rsid w:val="00202EEC"/>
    <w:rsid w:val="00204E08"/>
    <w:rsid w:val="0020658D"/>
    <w:rsid w:val="002072E5"/>
    <w:rsid w:val="002078D0"/>
    <w:rsid w:val="00211766"/>
    <w:rsid w:val="00211EB4"/>
    <w:rsid w:val="00212ED5"/>
    <w:rsid w:val="002144E8"/>
    <w:rsid w:val="00217CDD"/>
    <w:rsid w:val="00221BCC"/>
    <w:rsid w:val="00224193"/>
    <w:rsid w:val="002241DA"/>
    <w:rsid w:val="00227B42"/>
    <w:rsid w:val="00231859"/>
    <w:rsid w:val="002321B3"/>
    <w:rsid w:val="00233E7A"/>
    <w:rsid w:val="00234F8D"/>
    <w:rsid w:val="00235C2A"/>
    <w:rsid w:val="0023685D"/>
    <w:rsid w:val="00236AB9"/>
    <w:rsid w:val="00237400"/>
    <w:rsid w:val="00241BCF"/>
    <w:rsid w:val="00242118"/>
    <w:rsid w:val="00243273"/>
    <w:rsid w:val="002432B7"/>
    <w:rsid w:val="0024385F"/>
    <w:rsid w:val="0024398D"/>
    <w:rsid w:val="00243A2D"/>
    <w:rsid w:val="00243F0F"/>
    <w:rsid w:val="00244195"/>
    <w:rsid w:val="002444D4"/>
    <w:rsid w:val="00246BBC"/>
    <w:rsid w:val="002500EC"/>
    <w:rsid w:val="00250973"/>
    <w:rsid w:val="00251A23"/>
    <w:rsid w:val="00252AAD"/>
    <w:rsid w:val="0025487F"/>
    <w:rsid w:val="002601AA"/>
    <w:rsid w:val="00260B3F"/>
    <w:rsid w:val="002624B8"/>
    <w:rsid w:val="00262870"/>
    <w:rsid w:val="00262B09"/>
    <w:rsid w:val="002636AD"/>
    <w:rsid w:val="00263C01"/>
    <w:rsid w:val="002667E8"/>
    <w:rsid w:val="00267B4B"/>
    <w:rsid w:val="00267B97"/>
    <w:rsid w:val="00270B0D"/>
    <w:rsid w:val="00272EAC"/>
    <w:rsid w:val="00276555"/>
    <w:rsid w:val="002777EA"/>
    <w:rsid w:val="0027783B"/>
    <w:rsid w:val="00280B5D"/>
    <w:rsid w:val="002819A9"/>
    <w:rsid w:val="00285316"/>
    <w:rsid w:val="00287E63"/>
    <w:rsid w:val="002904CB"/>
    <w:rsid w:val="002927AD"/>
    <w:rsid w:val="002931DB"/>
    <w:rsid w:val="00294EF3"/>
    <w:rsid w:val="002956CF"/>
    <w:rsid w:val="00295B37"/>
    <w:rsid w:val="00297D30"/>
    <w:rsid w:val="002A1739"/>
    <w:rsid w:val="002A4692"/>
    <w:rsid w:val="002A4806"/>
    <w:rsid w:val="002A4996"/>
    <w:rsid w:val="002A594C"/>
    <w:rsid w:val="002A5E2F"/>
    <w:rsid w:val="002A7805"/>
    <w:rsid w:val="002B0261"/>
    <w:rsid w:val="002B0339"/>
    <w:rsid w:val="002B05F3"/>
    <w:rsid w:val="002B109F"/>
    <w:rsid w:val="002B276E"/>
    <w:rsid w:val="002B2A45"/>
    <w:rsid w:val="002B42EB"/>
    <w:rsid w:val="002B77B8"/>
    <w:rsid w:val="002B7EA3"/>
    <w:rsid w:val="002C0298"/>
    <w:rsid w:val="002C03D9"/>
    <w:rsid w:val="002C0DFA"/>
    <w:rsid w:val="002C16B4"/>
    <w:rsid w:val="002C3C46"/>
    <w:rsid w:val="002C4161"/>
    <w:rsid w:val="002C6021"/>
    <w:rsid w:val="002C7C11"/>
    <w:rsid w:val="002D2692"/>
    <w:rsid w:val="002D349F"/>
    <w:rsid w:val="002D3B57"/>
    <w:rsid w:val="002D3C0B"/>
    <w:rsid w:val="002D6C20"/>
    <w:rsid w:val="002E0161"/>
    <w:rsid w:val="002E06DF"/>
    <w:rsid w:val="002E1143"/>
    <w:rsid w:val="002E3CCC"/>
    <w:rsid w:val="002E7288"/>
    <w:rsid w:val="002E7FCF"/>
    <w:rsid w:val="002F0BA9"/>
    <w:rsid w:val="002F2A38"/>
    <w:rsid w:val="002F4FD3"/>
    <w:rsid w:val="003015CC"/>
    <w:rsid w:val="00303FC8"/>
    <w:rsid w:val="00305E43"/>
    <w:rsid w:val="003064AB"/>
    <w:rsid w:val="00306C29"/>
    <w:rsid w:val="003101A5"/>
    <w:rsid w:val="00310D30"/>
    <w:rsid w:val="00312061"/>
    <w:rsid w:val="0032539C"/>
    <w:rsid w:val="00325A00"/>
    <w:rsid w:val="00327583"/>
    <w:rsid w:val="00330520"/>
    <w:rsid w:val="0033063D"/>
    <w:rsid w:val="003306B7"/>
    <w:rsid w:val="0033180D"/>
    <w:rsid w:val="00331E74"/>
    <w:rsid w:val="0033366D"/>
    <w:rsid w:val="00335237"/>
    <w:rsid w:val="00336813"/>
    <w:rsid w:val="00336DBA"/>
    <w:rsid w:val="0034062D"/>
    <w:rsid w:val="00340BCD"/>
    <w:rsid w:val="00343011"/>
    <w:rsid w:val="003432A7"/>
    <w:rsid w:val="003470C6"/>
    <w:rsid w:val="00347349"/>
    <w:rsid w:val="00347AF9"/>
    <w:rsid w:val="00351AFD"/>
    <w:rsid w:val="00351F2F"/>
    <w:rsid w:val="00353FA5"/>
    <w:rsid w:val="0035433C"/>
    <w:rsid w:val="00355730"/>
    <w:rsid w:val="00356A48"/>
    <w:rsid w:val="00356E5A"/>
    <w:rsid w:val="003621CE"/>
    <w:rsid w:val="003633C8"/>
    <w:rsid w:val="00363AED"/>
    <w:rsid w:val="0036632A"/>
    <w:rsid w:val="00372023"/>
    <w:rsid w:val="00372D41"/>
    <w:rsid w:val="00373338"/>
    <w:rsid w:val="003738DB"/>
    <w:rsid w:val="003745FD"/>
    <w:rsid w:val="00375991"/>
    <w:rsid w:val="00376844"/>
    <w:rsid w:val="00380238"/>
    <w:rsid w:val="00381C85"/>
    <w:rsid w:val="00382051"/>
    <w:rsid w:val="00384957"/>
    <w:rsid w:val="0039162A"/>
    <w:rsid w:val="00393B47"/>
    <w:rsid w:val="00393F70"/>
    <w:rsid w:val="00396565"/>
    <w:rsid w:val="003977E4"/>
    <w:rsid w:val="003A12A3"/>
    <w:rsid w:val="003A5550"/>
    <w:rsid w:val="003A55AF"/>
    <w:rsid w:val="003A70D8"/>
    <w:rsid w:val="003B1762"/>
    <w:rsid w:val="003B2429"/>
    <w:rsid w:val="003B3F94"/>
    <w:rsid w:val="003B57CF"/>
    <w:rsid w:val="003B585D"/>
    <w:rsid w:val="003C085B"/>
    <w:rsid w:val="003C2623"/>
    <w:rsid w:val="003C2EBF"/>
    <w:rsid w:val="003C49BE"/>
    <w:rsid w:val="003C4FBC"/>
    <w:rsid w:val="003C59C8"/>
    <w:rsid w:val="003C6362"/>
    <w:rsid w:val="003D1002"/>
    <w:rsid w:val="003D45FC"/>
    <w:rsid w:val="003D5707"/>
    <w:rsid w:val="003D76D8"/>
    <w:rsid w:val="003E03CC"/>
    <w:rsid w:val="003E0540"/>
    <w:rsid w:val="003E092C"/>
    <w:rsid w:val="003E1FC6"/>
    <w:rsid w:val="003E2277"/>
    <w:rsid w:val="003E4182"/>
    <w:rsid w:val="003E5751"/>
    <w:rsid w:val="003E7611"/>
    <w:rsid w:val="003F0284"/>
    <w:rsid w:val="003F1F6B"/>
    <w:rsid w:val="003F2557"/>
    <w:rsid w:val="003F47E9"/>
    <w:rsid w:val="003F4829"/>
    <w:rsid w:val="003F5C3B"/>
    <w:rsid w:val="003F6C12"/>
    <w:rsid w:val="0040029C"/>
    <w:rsid w:val="0040193C"/>
    <w:rsid w:val="004023CA"/>
    <w:rsid w:val="004032CF"/>
    <w:rsid w:val="00404517"/>
    <w:rsid w:val="0040622E"/>
    <w:rsid w:val="004101DF"/>
    <w:rsid w:val="00411768"/>
    <w:rsid w:val="00414CFC"/>
    <w:rsid w:val="00416F9F"/>
    <w:rsid w:val="00420C6D"/>
    <w:rsid w:val="00421953"/>
    <w:rsid w:val="00421D71"/>
    <w:rsid w:val="00422D10"/>
    <w:rsid w:val="0042545B"/>
    <w:rsid w:val="004259CB"/>
    <w:rsid w:val="004279AD"/>
    <w:rsid w:val="00430193"/>
    <w:rsid w:val="004321CF"/>
    <w:rsid w:val="004328F6"/>
    <w:rsid w:val="00433D1C"/>
    <w:rsid w:val="00434D28"/>
    <w:rsid w:val="00435B39"/>
    <w:rsid w:val="00436BE3"/>
    <w:rsid w:val="0044077B"/>
    <w:rsid w:val="004427C1"/>
    <w:rsid w:val="00443EB7"/>
    <w:rsid w:val="00444E7B"/>
    <w:rsid w:val="0044631C"/>
    <w:rsid w:val="0045085B"/>
    <w:rsid w:val="00452575"/>
    <w:rsid w:val="004526BC"/>
    <w:rsid w:val="004544E2"/>
    <w:rsid w:val="004547AF"/>
    <w:rsid w:val="00455C97"/>
    <w:rsid w:val="0046319A"/>
    <w:rsid w:val="00463369"/>
    <w:rsid w:val="0046339A"/>
    <w:rsid w:val="00463407"/>
    <w:rsid w:val="004639DF"/>
    <w:rsid w:val="00463B50"/>
    <w:rsid w:val="004649B9"/>
    <w:rsid w:val="00464E15"/>
    <w:rsid w:val="00465346"/>
    <w:rsid w:val="00465A30"/>
    <w:rsid w:val="0046601A"/>
    <w:rsid w:val="00466745"/>
    <w:rsid w:val="0047128D"/>
    <w:rsid w:val="00471324"/>
    <w:rsid w:val="0047288E"/>
    <w:rsid w:val="00472F57"/>
    <w:rsid w:val="00474C28"/>
    <w:rsid w:val="00476518"/>
    <w:rsid w:val="00476DC5"/>
    <w:rsid w:val="00477C49"/>
    <w:rsid w:val="00481F95"/>
    <w:rsid w:val="00482A16"/>
    <w:rsid w:val="00483051"/>
    <w:rsid w:val="004832D5"/>
    <w:rsid w:val="004867EB"/>
    <w:rsid w:val="00487969"/>
    <w:rsid w:val="004912E0"/>
    <w:rsid w:val="00492506"/>
    <w:rsid w:val="0049381B"/>
    <w:rsid w:val="00495DAC"/>
    <w:rsid w:val="0049749B"/>
    <w:rsid w:val="004A0156"/>
    <w:rsid w:val="004A33F2"/>
    <w:rsid w:val="004A3928"/>
    <w:rsid w:val="004A43A1"/>
    <w:rsid w:val="004A48A1"/>
    <w:rsid w:val="004A55D1"/>
    <w:rsid w:val="004A5A6D"/>
    <w:rsid w:val="004A674A"/>
    <w:rsid w:val="004A7C4A"/>
    <w:rsid w:val="004A7DEB"/>
    <w:rsid w:val="004B0175"/>
    <w:rsid w:val="004B0F58"/>
    <w:rsid w:val="004B17B8"/>
    <w:rsid w:val="004B29B0"/>
    <w:rsid w:val="004B51CC"/>
    <w:rsid w:val="004B5B5F"/>
    <w:rsid w:val="004B626A"/>
    <w:rsid w:val="004C1393"/>
    <w:rsid w:val="004C2B8E"/>
    <w:rsid w:val="004C3FD0"/>
    <w:rsid w:val="004C6392"/>
    <w:rsid w:val="004D1749"/>
    <w:rsid w:val="004D194F"/>
    <w:rsid w:val="004D35FF"/>
    <w:rsid w:val="004E20A2"/>
    <w:rsid w:val="004E2223"/>
    <w:rsid w:val="004E29AD"/>
    <w:rsid w:val="004E32F5"/>
    <w:rsid w:val="004E4011"/>
    <w:rsid w:val="004E649D"/>
    <w:rsid w:val="004E6A7A"/>
    <w:rsid w:val="004E7F31"/>
    <w:rsid w:val="004F274F"/>
    <w:rsid w:val="004F3D98"/>
    <w:rsid w:val="004F7AC0"/>
    <w:rsid w:val="00502AC0"/>
    <w:rsid w:val="00503929"/>
    <w:rsid w:val="00503DB3"/>
    <w:rsid w:val="00504A6C"/>
    <w:rsid w:val="00504F6C"/>
    <w:rsid w:val="0050636D"/>
    <w:rsid w:val="005106D5"/>
    <w:rsid w:val="00511835"/>
    <w:rsid w:val="0051183D"/>
    <w:rsid w:val="00513C3E"/>
    <w:rsid w:val="00514238"/>
    <w:rsid w:val="00514619"/>
    <w:rsid w:val="00514E30"/>
    <w:rsid w:val="0051544D"/>
    <w:rsid w:val="00515570"/>
    <w:rsid w:val="0051582E"/>
    <w:rsid w:val="00515F4C"/>
    <w:rsid w:val="00516B7D"/>
    <w:rsid w:val="00517ABA"/>
    <w:rsid w:val="00520F54"/>
    <w:rsid w:val="005213E2"/>
    <w:rsid w:val="00522FB7"/>
    <w:rsid w:val="00522FEE"/>
    <w:rsid w:val="0052385F"/>
    <w:rsid w:val="00524242"/>
    <w:rsid w:val="00527A7E"/>
    <w:rsid w:val="00530DEB"/>
    <w:rsid w:val="005310C1"/>
    <w:rsid w:val="005326E6"/>
    <w:rsid w:val="00532E2E"/>
    <w:rsid w:val="0053402D"/>
    <w:rsid w:val="005346C3"/>
    <w:rsid w:val="00534B62"/>
    <w:rsid w:val="00534B78"/>
    <w:rsid w:val="005373F9"/>
    <w:rsid w:val="0054107C"/>
    <w:rsid w:val="0054144C"/>
    <w:rsid w:val="005416F0"/>
    <w:rsid w:val="0054199B"/>
    <w:rsid w:val="00544E43"/>
    <w:rsid w:val="00545E4C"/>
    <w:rsid w:val="00551E37"/>
    <w:rsid w:val="00553689"/>
    <w:rsid w:val="00553834"/>
    <w:rsid w:val="00553F82"/>
    <w:rsid w:val="00555C0A"/>
    <w:rsid w:val="00556198"/>
    <w:rsid w:val="00556F62"/>
    <w:rsid w:val="00557C92"/>
    <w:rsid w:val="00560DF2"/>
    <w:rsid w:val="00562854"/>
    <w:rsid w:val="00564139"/>
    <w:rsid w:val="00564CC7"/>
    <w:rsid w:val="005655F0"/>
    <w:rsid w:val="00565F90"/>
    <w:rsid w:val="005674FE"/>
    <w:rsid w:val="00572215"/>
    <w:rsid w:val="00573180"/>
    <w:rsid w:val="00576D4C"/>
    <w:rsid w:val="00576EF8"/>
    <w:rsid w:val="00580F75"/>
    <w:rsid w:val="005811DE"/>
    <w:rsid w:val="0058374D"/>
    <w:rsid w:val="00584553"/>
    <w:rsid w:val="005852D2"/>
    <w:rsid w:val="00585961"/>
    <w:rsid w:val="0058782A"/>
    <w:rsid w:val="00587BD6"/>
    <w:rsid w:val="0059135B"/>
    <w:rsid w:val="005918DF"/>
    <w:rsid w:val="005927BF"/>
    <w:rsid w:val="00593D36"/>
    <w:rsid w:val="00594426"/>
    <w:rsid w:val="005966FF"/>
    <w:rsid w:val="005A089B"/>
    <w:rsid w:val="005A19CA"/>
    <w:rsid w:val="005A3C5A"/>
    <w:rsid w:val="005A644D"/>
    <w:rsid w:val="005A6452"/>
    <w:rsid w:val="005A6F55"/>
    <w:rsid w:val="005A7670"/>
    <w:rsid w:val="005B046A"/>
    <w:rsid w:val="005B0B92"/>
    <w:rsid w:val="005B2B4D"/>
    <w:rsid w:val="005B3011"/>
    <w:rsid w:val="005B572D"/>
    <w:rsid w:val="005B626C"/>
    <w:rsid w:val="005B648A"/>
    <w:rsid w:val="005B678B"/>
    <w:rsid w:val="005C07AD"/>
    <w:rsid w:val="005C149E"/>
    <w:rsid w:val="005C3980"/>
    <w:rsid w:val="005C3988"/>
    <w:rsid w:val="005C3BC8"/>
    <w:rsid w:val="005D09CA"/>
    <w:rsid w:val="005D163E"/>
    <w:rsid w:val="005D1C37"/>
    <w:rsid w:val="005D43D8"/>
    <w:rsid w:val="005D609C"/>
    <w:rsid w:val="005D71E5"/>
    <w:rsid w:val="005D746D"/>
    <w:rsid w:val="005E090B"/>
    <w:rsid w:val="005E16CF"/>
    <w:rsid w:val="005E171C"/>
    <w:rsid w:val="005E37EB"/>
    <w:rsid w:val="005E48B4"/>
    <w:rsid w:val="005E4CB7"/>
    <w:rsid w:val="005E4EAD"/>
    <w:rsid w:val="005E507E"/>
    <w:rsid w:val="005F01F5"/>
    <w:rsid w:val="005F0DF5"/>
    <w:rsid w:val="005F3B8C"/>
    <w:rsid w:val="005F4BE3"/>
    <w:rsid w:val="005F4C92"/>
    <w:rsid w:val="005F5734"/>
    <w:rsid w:val="00600298"/>
    <w:rsid w:val="00602FDE"/>
    <w:rsid w:val="00604B36"/>
    <w:rsid w:val="00606434"/>
    <w:rsid w:val="00607650"/>
    <w:rsid w:val="00610A52"/>
    <w:rsid w:val="006110B5"/>
    <w:rsid w:val="00614AD0"/>
    <w:rsid w:val="0061676B"/>
    <w:rsid w:val="0061699C"/>
    <w:rsid w:val="00620715"/>
    <w:rsid w:val="006209E0"/>
    <w:rsid w:val="00621A13"/>
    <w:rsid w:val="006221F3"/>
    <w:rsid w:val="00622AEC"/>
    <w:rsid w:val="00623EEC"/>
    <w:rsid w:val="00623FB0"/>
    <w:rsid w:val="0062482D"/>
    <w:rsid w:val="00626810"/>
    <w:rsid w:val="0063068E"/>
    <w:rsid w:val="006329BE"/>
    <w:rsid w:val="00632CCB"/>
    <w:rsid w:val="006331AA"/>
    <w:rsid w:val="0063495C"/>
    <w:rsid w:val="00634C70"/>
    <w:rsid w:val="00641E2E"/>
    <w:rsid w:val="00642D16"/>
    <w:rsid w:val="0064380C"/>
    <w:rsid w:val="0064633D"/>
    <w:rsid w:val="00646478"/>
    <w:rsid w:val="00646593"/>
    <w:rsid w:val="00650DDF"/>
    <w:rsid w:val="00650E79"/>
    <w:rsid w:val="00656A3F"/>
    <w:rsid w:val="00657B22"/>
    <w:rsid w:val="00660ED1"/>
    <w:rsid w:val="00661DBB"/>
    <w:rsid w:val="0066515A"/>
    <w:rsid w:val="006657CD"/>
    <w:rsid w:val="0066677A"/>
    <w:rsid w:val="00666F91"/>
    <w:rsid w:val="006670E4"/>
    <w:rsid w:val="00667C89"/>
    <w:rsid w:val="00670257"/>
    <w:rsid w:val="00670D48"/>
    <w:rsid w:val="0067455F"/>
    <w:rsid w:val="00675BC7"/>
    <w:rsid w:val="00677FAB"/>
    <w:rsid w:val="006810AF"/>
    <w:rsid w:val="00682B4B"/>
    <w:rsid w:val="00683FC6"/>
    <w:rsid w:val="0068772D"/>
    <w:rsid w:val="00690720"/>
    <w:rsid w:val="00690CA1"/>
    <w:rsid w:val="00691A18"/>
    <w:rsid w:val="006928A9"/>
    <w:rsid w:val="006929FD"/>
    <w:rsid w:val="00696386"/>
    <w:rsid w:val="006970D6"/>
    <w:rsid w:val="006A07D7"/>
    <w:rsid w:val="006A08FF"/>
    <w:rsid w:val="006A0DB7"/>
    <w:rsid w:val="006A2913"/>
    <w:rsid w:val="006A2F51"/>
    <w:rsid w:val="006A3B28"/>
    <w:rsid w:val="006A572E"/>
    <w:rsid w:val="006A79A5"/>
    <w:rsid w:val="006B01AA"/>
    <w:rsid w:val="006B58DD"/>
    <w:rsid w:val="006B77B8"/>
    <w:rsid w:val="006C21FB"/>
    <w:rsid w:val="006C25BF"/>
    <w:rsid w:val="006C3039"/>
    <w:rsid w:val="006C3497"/>
    <w:rsid w:val="006C6838"/>
    <w:rsid w:val="006D1801"/>
    <w:rsid w:val="006D4149"/>
    <w:rsid w:val="006D4BC2"/>
    <w:rsid w:val="006D5702"/>
    <w:rsid w:val="006D66D0"/>
    <w:rsid w:val="006D6E48"/>
    <w:rsid w:val="006D75DB"/>
    <w:rsid w:val="006E06EE"/>
    <w:rsid w:val="006E11EB"/>
    <w:rsid w:val="006E74FE"/>
    <w:rsid w:val="006F0636"/>
    <w:rsid w:val="006F1733"/>
    <w:rsid w:val="006F1AB0"/>
    <w:rsid w:val="006F29E1"/>
    <w:rsid w:val="006F379B"/>
    <w:rsid w:val="006F47F0"/>
    <w:rsid w:val="006F4A3F"/>
    <w:rsid w:val="006F6454"/>
    <w:rsid w:val="0070109B"/>
    <w:rsid w:val="00701107"/>
    <w:rsid w:val="007013E1"/>
    <w:rsid w:val="00702D64"/>
    <w:rsid w:val="00703053"/>
    <w:rsid w:val="00703C00"/>
    <w:rsid w:val="007105AA"/>
    <w:rsid w:val="00712A79"/>
    <w:rsid w:val="00714A7E"/>
    <w:rsid w:val="0071529C"/>
    <w:rsid w:val="00715DE6"/>
    <w:rsid w:val="00716037"/>
    <w:rsid w:val="00722293"/>
    <w:rsid w:val="007225B7"/>
    <w:rsid w:val="00723024"/>
    <w:rsid w:val="007248F5"/>
    <w:rsid w:val="00725AD4"/>
    <w:rsid w:val="00726C7D"/>
    <w:rsid w:val="00730BB0"/>
    <w:rsid w:val="00730FC5"/>
    <w:rsid w:val="007314B7"/>
    <w:rsid w:val="007316CF"/>
    <w:rsid w:val="00731C02"/>
    <w:rsid w:val="00731D9A"/>
    <w:rsid w:val="00732468"/>
    <w:rsid w:val="00733873"/>
    <w:rsid w:val="007359A2"/>
    <w:rsid w:val="00740722"/>
    <w:rsid w:val="007417F0"/>
    <w:rsid w:val="007422A3"/>
    <w:rsid w:val="007443B6"/>
    <w:rsid w:val="007450AB"/>
    <w:rsid w:val="0074653F"/>
    <w:rsid w:val="00746C13"/>
    <w:rsid w:val="00750A3F"/>
    <w:rsid w:val="00752E4C"/>
    <w:rsid w:val="00756F9E"/>
    <w:rsid w:val="0075734E"/>
    <w:rsid w:val="00760F58"/>
    <w:rsid w:val="00761E20"/>
    <w:rsid w:val="0076443C"/>
    <w:rsid w:val="00765F33"/>
    <w:rsid w:val="007753D8"/>
    <w:rsid w:val="00776D06"/>
    <w:rsid w:val="00777964"/>
    <w:rsid w:val="007800E3"/>
    <w:rsid w:val="007805C8"/>
    <w:rsid w:val="00780869"/>
    <w:rsid w:val="0078313A"/>
    <w:rsid w:val="007833CE"/>
    <w:rsid w:val="007840D1"/>
    <w:rsid w:val="00786F93"/>
    <w:rsid w:val="007913A4"/>
    <w:rsid w:val="0079294C"/>
    <w:rsid w:val="0079535D"/>
    <w:rsid w:val="00796851"/>
    <w:rsid w:val="007968D9"/>
    <w:rsid w:val="00797B4A"/>
    <w:rsid w:val="007A088B"/>
    <w:rsid w:val="007A1782"/>
    <w:rsid w:val="007A3E2E"/>
    <w:rsid w:val="007A6DF0"/>
    <w:rsid w:val="007A7AE5"/>
    <w:rsid w:val="007A7F34"/>
    <w:rsid w:val="007B100B"/>
    <w:rsid w:val="007B20E6"/>
    <w:rsid w:val="007B3851"/>
    <w:rsid w:val="007B3EE0"/>
    <w:rsid w:val="007B436B"/>
    <w:rsid w:val="007B5B7D"/>
    <w:rsid w:val="007B61BC"/>
    <w:rsid w:val="007B7601"/>
    <w:rsid w:val="007B78C4"/>
    <w:rsid w:val="007C3F48"/>
    <w:rsid w:val="007C416C"/>
    <w:rsid w:val="007D0E6E"/>
    <w:rsid w:val="007D1CB0"/>
    <w:rsid w:val="007D1D5E"/>
    <w:rsid w:val="007D2EA7"/>
    <w:rsid w:val="007D4310"/>
    <w:rsid w:val="007D5460"/>
    <w:rsid w:val="007D6C37"/>
    <w:rsid w:val="007E098D"/>
    <w:rsid w:val="007E1CF3"/>
    <w:rsid w:val="007E5899"/>
    <w:rsid w:val="007E5C94"/>
    <w:rsid w:val="007F2163"/>
    <w:rsid w:val="007F280E"/>
    <w:rsid w:val="007F2887"/>
    <w:rsid w:val="007F37B9"/>
    <w:rsid w:val="007F3F36"/>
    <w:rsid w:val="007F40D5"/>
    <w:rsid w:val="007F4304"/>
    <w:rsid w:val="007F44D5"/>
    <w:rsid w:val="007F4B0C"/>
    <w:rsid w:val="007F5920"/>
    <w:rsid w:val="007F72BE"/>
    <w:rsid w:val="008011DB"/>
    <w:rsid w:val="00802279"/>
    <w:rsid w:val="00802B92"/>
    <w:rsid w:val="008033D4"/>
    <w:rsid w:val="00803D85"/>
    <w:rsid w:val="00804399"/>
    <w:rsid w:val="00804608"/>
    <w:rsid w:val="00813079"/>
    <w:rsid w:val="00813334"/>
    <w:rsid w:val="00814641"/>
    <w:rsid w:val="00814A2E"/>
    <w:rsid w:val="00815866"/>
    <w:rsid w:val="00815FF1"/>
    <w:rsid w:val="008211AC"/>
    <w:rsid w:val="00822AE4"/>
    <w:rsid w:val="008235F4"/>
    <w:rsid w:val="00823959"/>
    <w:rsid w:val="00825E96"/>
    <w:rsid w:val="008270EF"/>
    <w:rsid w:val="00831B99"/>
    <w:rsid w:val="00831C9D"/>
    <w:rsid w:val="008326B0"/>
    <w:rsid w:val="00834E8E"/>
    <w:rsid w:val="008427CD"/>
    <w:rsid w:val="00847932"/>
    <w:rsid w:val="00851788"/>
    <w:rsid w:val="00852797"/>
    <w:rsid w:val="00853922"/>
    <w:rsid w:val="00856078"/>
    <w:rsid w:val="00856D8C"/>
    <w:rsid w:val="0085707D"/>
    <w:rsid w:val="00860E3A"/>
    <w:rsid w:val="008630A4"/>
    <w:rsid w:val="008647FF"/>
    <w:rsid w:val="008725D5"/>
    <w:rsid w:val="00874111"/>
    <w:rsid w:val="00875396"/>
    <w:rsid w:val="00875518"/>
    <w:rsid w:val="00875BDA"/>
    <w:rsid w:val="00875BFD"/>
    <w:rsid w:val="00875F52"/>
    <w:rsid w:val="008815D8"/>
    <w:rsid w:val="00881849"/>
    <w:rsid w:val="00882A8A"/>
    <w:rsid w:val="008830D0"/>
    <w:rsid w:val="008832A0"/>
    <w:rsid w:val="00884CB7"/>
    <w:rsid w:val="00886ABD"/>
    <w:rsid w:val="008933E1"/>
    <w:rsid w:val="008933E3"/>
    <w:rsid w:val="00895F7E"/>
    <w:rsid w:val="00897C0D"/>
    <w:rsid w:val="00897E9E"/>
    <w:rsid w:val="008A04A7"/>
    <w:rsid w:val="008A12FA"/>
    <w:rsid w:val="008A4749"/>
    <w:rsid w:val="008A530C"/>
    <w:rsid w:val="008A6366"/>
    <w:rsid w:val="008A7D34"/>
    <w:rsid w:val="008B0043"/>
    <w:rsid w:val="008B0A93"/>
    <w:rsid w:val="008B0F1B"/>
    <w:rsid w:val="008B2AF0"/>
    <w:rsid w:val="008B3017"/>
    <w:rsid w:val="008B3BA1"/>
    <w:rsid w:val="008B4191"/>
    <w:rsid w:val="008B568C"/>
    <w:rsid w:val="008B5E9D"/>
    <w:rsid w:val="008B6940"/>
    <w:rsid w:val="008B6B19"/>
    <w:rsid w:val="008C13B2"/>
    <w:rsid w:val="008C166F"/>
    <w:rsid w:val="008C1D86"/>
    <w:rsid w:val="008C3012"/>
    <w:rsid w:val="008C4400"/>
    <w:rsid w:val="008C4B36"/>
    <w:rsid w:val="008C4F1A"/>
    <w:rsid w:val="008C7A99"/>
    <w:rsid w:val="008D2E38"/>
    <w:rsid w:val="008D3297"/>
    <w:rsid w:val="008D40DC"/>
    <w:rsid w:val="008D6763"/>
    <w:rsid w:val="008D7106"/>
    <w:rsid w:val="008E0369"/>
    <w:rsid w:val="008E1EAB"/>
    <w:rsid w:val="008E2DC2"/>
    <w:rsid w:val="008E383F"/>
    <w:rsid w:val="008E4814"/>
    <w:rsid w:val="008E6920"/>
    <w:rsid w:val="008E6C52"/>
    <w:rsid w:val="008E6D01"/>
    <w:rsid w:val="008E78E3"/>
    <w:rsid w:val="008E7DDD"/>
    <w:rsid w:val="008F0A7B"/>
    <w:rsid w:val="008F1A35"/>
    <w:rsid w:val="008F243E"/>
    <w:rsid w:val="008F4111"/>
    <w:rsid w:val="008F62E4"/>
    <w:rsid w:val="008F7745"/>
    <w:rsid w:val="00900411"/>
    <w:rsid w:val="009009DB"/>
    <w:rsid w:val="00903335"/>
    <w:rsid w:val="009039D6"/>
    <w:rsid w:val="00904251"/>
    <w:rsid w:val="0090624F"/>
    <w:rsid w:val="00906514"/>
    <w:rsid w:val="009105B6"/>
    <w:rsid w:val="00910902"/>
    <w:rsid w:val="00914693"/>
    <w:rsid w:val="00915187"/>
    <w:rsid w:val="00916B31"/>
    <w:rsid w:val="00917D63"/>
    <w:rsid w:val="00921232"/>
    <w:rsid w:val="0092283D"/>
    <w:rsid w:val="00922FD3"/>
    <w:rsid w:val="009240F8"/>
    <w:rsid w:val="00924447"/>
    <w:rsid w:val="009261D4"/>
    <w:rsid w:val="009263F4"/>
    <w:rsid w:val="00927077"/>
    <w:rsid w:val="00927DD7"/>
    <w:rsid w:val="009303E1"/>
    <w:rsid w:val="009349BA"/>
    <w:rsid w:val="009349E8"/>
    <w:rsid w:val="00934D10"/>
    <w:rsid w:val="00937199"/>
    <w:rsid w:val="009402B8"/>
    <w:rsid w:val="00941B93"/>
    <w:rsid w:val="00942926"/>
    <w:rsid w:val="00943C3A"/>
    <w:rsid w:val="00945111"/>
    <w:rsid w:val="0094513A"/>
    <w:rsid w:val="00945900"/>
    <w:rsid w:val="0094734C"/>
    <w:rsid w:val="0095171F"/>
    <w:rsid w:val="009529E4"/>
    <w:rsid w:val="00952D8E"/>
    <w:rsid w:val="0095355C"/>
    <w:rsid w:val="00953B96"/>
    <w:rsid w:val="00954095"/>
    <w:rsid w:val="00955535"/>
    <w:rsid w:val="009557F0"/>
    <w:rsid w:val="0096068C"/>
    <w:rsid w:val="00964ACD"/>
    <w:rsid w:val="00971299"/>
    <w:rsid w:val="00971CE7"/>
    <w:rsid w:val="00973D2B"/>
    <w:rsid w:val="00974894"/>
    <w:rsid w:val="0097587C"/>
    <w:rsid w:val="009816CD"/>
    <w:rsid w:val="0098220A"/>
    <w:rsid w:val="0098381D"/>
    <w:rsid w:val="00984F78"/>
    <w:rsid w:val="00985045"/>
    <w:rsid w:val="0098734E"/>
    <w:rsid w:val="009874DF"/>
    <w:rsid w:val="0099049E"/>
    <w:rsid w:val="009907AD"/>
    <w:rsid w:val="00990A4D"/>
    <w:rsid w:val="00991523"/>
    <w:rsid w:val="0099176B"/>
    <w:rsid w:val="0099215B"/>
    <w:rsid w:val="0099264A"/>
    <w:rsid w:val="00993899"/>
    <w:rsid w:val="0099556E"/>
    <w:rsid w:val="00996338"/>
    <w:rsid w:val="009A4490"/>
    <w:rsid w:val="009B0B4E"/>
    <w:rsid w:val="009B40BE"/>
    <w:rsid w:val="009B65FE"/>
    <w:rsid w:val="009B6928"/>
    <w:rsid w:val="009C099F"/>
    <w:rsid w:val="009C2C75"/>
    <w:rsid w:val="009C30B9"/>
    <w:rsid w:val="009C5336"/>
    <w:rsid w:val="009C53BE"/>
    <w:rsid w:val="009C5668"/>
    <w:rsid w:val="009D02EA"/>
    <w:rsid w:val="009D1A76"/>
    <w:rsid w:val="009D5887"/>
    <w:rsid w:val="009D6F36"/>
    <w:rsid w:val="009E36BD"/>
    <w:rsid w:val="009E38DE"/>
    <w:rsid w:val="009E7034"/>
    <w:rsid w:val="009E7661"/>
    <w:rsid w:val="009F284B"/>
    <w:rsid w:val="009F2C16"/>
    <w:rsid w:val="009F3547"/>
    <w:rsid w:val="009F4802"/>
    <w:rsid w:val="009F63BF"/>
    <w:rsid w:val="00A0116A"/>
    <w:rsid w:val="00A0136A"/>
    <w:rsid w:val="00A01772"/>
    <w:rsid w:val="00A05D2E"/>
    <w:rsid w:val="00A068A9"/>
    <w:rsid w:val="00A10C89"/>
    <w:rsid w:val="00A1151F"/>
    <w:rsid w:val="00A13FE7"/>
    <w:rsid w:val="00A1403E"/>
    <w:rsid w:val="00A14C69"/>
    <w:rsid w:val="00A15DBD"/>
    <w:rsid w:val="00A171F8"/>
    <w:rsid w:val="00A17E96"/>
    <w:rsid w:val="00A21F79"/>
    <w:rsid w:val="00A22E8B"/>
    <w:rsid w:val="00A24143"/>
    <w:rsid w:val="00A245F6"/>
    <w:rsid w:val="00A24909"/>
    <w:rsid w:val="00A27394"/>
    <w:rsid w:val="00A274CF"/>
    <w:rsid w:val="00A27F19"/>
    <w:rsid w:val="00A31E93"/>
    <w:rsid w:val="00A326DC"/>
    <w:rsid w:val="00A356AA"/>
    <w:rsid w:val="00A369D0"/>
    <w:rsid w:val="00A42D1F"/>
    <w:rsid w:val="00A42DDB"/>
    <w:rsid w:val="00A442B6"/>
    <w:rsid w:val="00A51782"/>
    <w:rsid w:val="00A52DFA"/>
    <w:rsid w:val="00A53C62"/>
    <w:rsid w:val="00A53CF6"/>
    <w:rsid w:val="00A54404"/>
    <w:rsid w:val="00A56128"/>
    <w:rsid w:val="00A57EF2"/>
    <w:rsid w:val="00A627F5"/>
    <w:rsid w:val="00A63258"/>
    <w:rsid w:val="00A63EF5"/>
    <w:rsid w:val="00A65FE8"/>
    <w:rsid w:val="00A6624C"/>
    <w:rsid w:val="00A66401"/>
    <w:rsid w:val="00A66CE9"/>
    <w:rsid w:val="00A66E66"/>
    <w:rsid w:val="00A676D2"/>
    <w:rsid w:val="00A71EDA"/>
    <w:rsid w:val="00A75327"/>
    <w:rsid w:val="00A75D13"/>
    <w:rsid w:val="00A76FA5"/>
    <w:rsid w:val="00A779BF"/>
    <w:rsid w:val="00A77A8A"/>
    <w:rsid w:val="00A82087"/>
    <w:rsid w:val="00A82204"/>
    <w:rsid w:val="00A824FC"/>
    <w:rsid w:val="00A82E4C"/>
    <w:rsid w:val="00A843D9"/>
    <w:rsid w:val="00A8532C"/>
    <w:rsid w:val="00A859DD"/>
    <w:rsid w:val="00A90DA1"/>
    <w:rsid w:val="00A90DBC"/>
    <w:rsid w:val="00A9145B"/>
    <w:rsid w:val="00A9178E"/>
    <w:rsid w:val="00A93BF0"/>
    <w:rsid w:val="00A94004"/>
    <w:rsid w:val="00A96C93"/>
    <w:rsid w:val="00AA03FD"/>
    <w:rsid w:val="00AA04AE"/>
    <w:rsid w:val="00AA11F0"/>
    <w:rsid w:val="00AA34DA"/>
    <w:rsid w:val="00AA7F97"/>
    <w:rsid w:val="00AB0B5D"/>
    <w:rsid w:val="00AB1895"/>
    <w:rsid w:val="00AB494A"/>
    <w:rsid w:val="00AB7531"/>
    <w:rsid w:val="00AC08C9"/>
    <w:rsid w:val="00AC18F5"/>
    <w:rsid w:val="00AC1F33"/>
    <w:rsid w:val="00AC2862"/>
    <w:rsid w:val="00AC2FB0"/>
    <w:rsid w:val="00AC3A5F"/>
    <w:rsid w:val="00AC51AD"/>
    <w:rsid w:val="00AC53F9"/>
    <w:rsid w:val="00AC54C4"/>
    <w:rsid w:val="00AC677B"/>
    <w:rsid w:val="00AC6A95"/>
    <w:rsid w:val="00AC7A42"/>
    <w:rsid w:val="00AD054B"/>
    <w:rsid w:val="00AD0E00"/>
    <w:rsid w:val="00AD1BE0"/>
    <w:rsid w:val="00AD1F8D"/>
    <w:rsid w:val="00AD4AE2"/>
    <w:rsid w:val="00AD64ED"/>
    <w:rsid w:val="00AD6F78"/>
    <w:rsid w:val="00AD7177"/>
    <w:rsid w:val="00AD748E"/>
    <w:rsid w:val="00AE0231"/>
    <w:rsid w:val="00AE0F04"/>
    <w:rsid w:val="00AE2D06"/>
    <w:rsid w:val="00AE44DD"/>
    <w:rsid w:val="00AE60AA"/>
    <w:rsid w:val="00AE630D"/>
    <w:rsid w:val="00AE732E"/>
    <w:rsid w:val="00AF1316"/>
    <w:rsid w:val="00AF370A"/>
    <w:rsid w:val="00AF3938"/>
    <w:rsid w:val="00AF3BDD"/>
    <w:rsid w:val="00AF40AE"/>
    <w:rsid w:val="00AF6D1C"/>
    <w:rsid w:val="00B01D87"/>
    <w:rsid w:val="00B021FD"/>
    <w:rsid w:val="00B03DDA"/>
    <w:rsid w:val="00B04F1C"/>
    <w:rsid w:val="00B05486"/>
    <w:rsid w:val="00B061BA"/>
    <w:rsid w:val="00B0700D"/>
    <w:rsid w:val="00B07A7B"/>
    <w:rsid w:val="00B108DA"/>
    <w:rsid w:val="00B10E00"/>
    <w:rsid w:val="00B1461D"/>
    <w:rsid w:val="00B20212"/>
    <w:rsid w:val="00B20ED9"/>
    <w:rsid w:val="00B21530"/>
    <w:rsid w:val="00B2170C"/>
    <w:rsid w:val="00B22FC9"/>
    <w:rsid w:val="00B25DF1"/>
    <w:rsid w:val="00B303ED"/>
    <w:rsid w:val="00B30C2E"/>
    <w:rsid w:val="00B31D03"/>
    <w:rsid w:val="00B321C6"/>
    <w:rsid w:val="00B32FC0"/>
    <w:rsid w:val="00B36560"/>
    <w:rsid w:val="00B373D0"/>
    <w:rsid w:val="00B40961"/>
    <w:rsid w:val="00B433E2"/>
    <w:rsid w:val="00B43F89"/>
    <w:rsid w:val="00B450C6"/>
    <w:rsid w:val="00B46544"/>
    <w:rsid w:val="00B472AC"/>
    <w:rsid w:val="00B53931"/>
    <w:rsid w:val="00B53DF3"/>
    <w:rsid w:val="00B542EE"/>
    <w:rsid w:val="00B563E5"/>
    <w:rsid w:val="00B56BDC"/>
    <w:rsid w:val="00B56DA3"/>
    <w:rsid w:val="00B6099E"/>
    <w:rsid w:val="00B6199C"/>
    <w:rsid w:val="00B624B6"/>
    <w:rsid w:val="00B63B18"/>
    <w:rsid w:val="00B63EE7"/>
    <w:rsid w:val="00B64DFE"/>
    <w:rsid w:val="00B65030"/>
    <w:rsid w:val="00B65DAF"/>
    <w:rsid w:val="00B72D05"/>
    <w:rsid w:val="00B734EB"/>
    <w:rsid w:val="00B73B99"/>
    <w:rsid w:val="00B808FC"/>
    <w:rsid w:val="00B81334"/>
    <w:rsid w:val="00B82ACF"/>
    <w:rsid w:val="00B84790"/>
    <w:rsid w:val="00B847D8"/>
    <w:rsid w:val="00B85BE7"/>
    <w:rsid w:val="00B87963"/>
    <w:rsid w:val="00B90403"/>
    <w:rsid w:val="00B91914"/>
    <w:rsid w:val="00B92650"/>
    <w:rsid w:val="00B94A4E"/>
    <w:rsid w:val="00B97357"/>
    <w:rsid w:val="00B976E7"/>
    <w:rsid w:val="00B97AD4"/>
    <w:rsid w:val="00BA0B37"/>
    <w:rsid w:val="00BA1862"/>
    <w:rsid w:val="00BA2063"/>
    <w:rsid w:val="00BA29DA"/>
    <w:rsid w:val="00BA3ABB"/>
    <w:rsid w:val="00BA4099"/>
    <w:rsid w:val="00BA44D9"/>
    <w:rsid w:val="00BA49B9"/>
    <w:rsid w:val="00BA5FDA"/>
    <w:rsid w:val="00BA6548"/>
    <w:rsid w:val="00BA6BE7"/>
    <w:rsid w:val="00BB0D5D"/>
    <w:rsid w:val="00BB137E"/>
    <w:rsid w:val="00BB41F4"/>
    <w:rsid w:val="00BB4E0A"/>
    <w:rsid w:val="00BB776F"/>
    <w:rsid w:val="00BC14E7"/>
    <w:rsid w:val="00BC1919"/>
    <w:rsid w:val="00BC201C"/>
    <w:rsid w:val="00BC228D"/>
    <w:rsid w:val="00BC580C"/>
    <w:rsid w:val="00BC58EC"/>
    <w:rsid w:val="00BC5930"/>
    <w:rsid w:val="00BC6A64"/>
    <w:rsid w:val="00BD076C"/>
    <w:rsid w:val="00BD0B45"/>
    <w:rsid w:val="00BD1286"/>
    <w:rsid w:val="00BD1AFC"/>
    <w:rsid w:val="00BD2C44"/>
    <w:rsid w:val="00BD4626"/>
    <w:rsid w:val="00BD7FED"/>
    <w:rsid w:val="00BE00D4"/>
    <w:rsid w:val="00BE13E9"/>
    <w:rsid w:val="00BE17BD"/>
    <w:rsid w:val="00BE2952"/>
    <w:rsid w:val="00BE3F44"/>
    <w:rsid w:val="00BE7E77"/>
    <w:rsid w:val="00BF0D0F"/>
    <w:rsid w:val="00BF28E3"/>
    <w:rsid w:val="00BF5C2C"/>
    <w:rsid w:val="00C00BDC"/>
    <w:rsid w:val="00C01651"/>
    <w:rsid w:val="00C03670"/>
    <w:rsid w:val="00C04CC5"/>
    <w:rsid w:val="00C05967"/>
    <w:rsid w:val="00C06232"/>
    <w:rsid w:val="00C06353"/>
    <w:rsid w:val="00C076E0"/>
    <w:rsid w:val="00C10B23"/>
    <w:rsid w:val="00C16D68"/>
    <w:rsid w:val="00C17A4F"/>
    <w:rsid w:val="00C17FE3"/>
    <w:rsid w:val="00C20D28"/>
    <w:rsid w:val="00C21544"/>
    <w:rsid w:val="00C215F6"/>
    <w:rsid w:val="00C221B1"/>
    <w:rsid w:val="00C25452"/>
    <w:rsid w:val="00C25CD2"/>
    <w:rsid w:val="00C277CA"/>
    <w:rsid w:val="00C277D8"/>
    <w:rsid w:val="00C27BAF"/>
    <w:rsid w:val="00C310CB"/>
    <w:rsid w:val="00C31E59"/>
    <w:rsid w:val="00C333B8"/>
    <w:rsid w:val="00C35C1C"/>
    <w:rsid w:val="00C36330"/>
    <w:rsid w:val="00C40222"/>
    <w:rsid w:val="00C41118"/>
    <w:rsid w:val="00C41F45"/>
    <w:rsid w:val="00C43813"/>
    <w:rsid w:val="00C46BFC"/>
    <w:rsid w:val="00C5138C"/>
    <w:rsid w:val="00C514C7"/>
    <w:rsid w:val="00C520D9"/>
    <w:rsid w:val="00C54BDA"/>
    <w:rsid w:val="00C603BC"/>
    <w:rsid w:val="00C61161"/>
    <w:rsid w:val="00C61540"/>
    <w:rsid w:val="00C642B5"/>
    <w:rsid w:val="00C648BA"/>
    <w:rsid w:val="00C64E3C"/>
    <w:rsid w:val="00C65336"/>
    <w:rsid w:val="00C65CE5"/>
    <w:rsid w:val="00C66638"/>
    <w:rsid w:val="00C70993"/>
    <w:rsid w:val="00C70DC1"/>
    <w:rsid w:val="00C72890"/>
    <w:rsid w:val="00C7694E"/>
    <w:rsid w:val="00C76A64"/>
    <w:rsid w:val="00C76CB1"/>
    <w:rsid w:val="00C77C6C"/>
    <w:rsid w:val="00C801FD"/>
    <w:rsid w:val="00C80D87"/>
    <w:rsid w:val="00C82B3F"/>
    <w:rsid w:val="00C82F69"/>
    <w:rsid w:val="00C84746"/>
    <w:rsid w:val="00C85CB8"/>
    <w:rsid w:val="00C868B0"/>
    <w:rsid w:val="00C87703"/>
    <w:rsid w:val="00C9183A"/>
    <w:rsid w:val="00C93249"/>
    <w:rsid w:val="00C93960"/>
    <w:rsid w:val="00C945D3"/>
    <w:rsid w:val="00C972B6"/>
    <w:rsid w:val="00CA161F"/>
    <w:rsid w:val="00CA2CD2"/>
    <w:rsid w:val="00CA6D83"/>
    <w:rsid w:val="00CA6E15"/>
    <w:rsid w:val="00CB1912"/>
    <w:rsid w:val="00CB2BB2"/>
    <w:rsid w:val="00CB39DC"/>
    <w:rsid w:val="00CB4B86"/>
    <w:rsid w:val="00CB61B2"/>
    <w:rsid w:val="00CC1B33"/>
    <w:rsid w:val="00CC1B50"/>
    <w:rsid w:val="00CC3EFF"/>
    <w:rsid w:val="00CC523A"/>
    <w:rsid w:val="00CC645B"/>
    <w:rsid w:val="00CC6D0E"/>
    <w:rsid w:val="00CC7798"/>
    <w:rsid w:val="00CD0B7C"/>
    <w:rsid w:val="00CD225C"/>
    <w:rsid w:val="00CD454C"/>
    <w:rsid w:val="00CD4851"/>
    <w:rsid w:val="00CD6494"/>
    <w:rsid w:val="00CE1318"/>
    <w:rsid w:val="00CE3810"/>
    <w:rsid w:val="00CE3BF1"/>
    <w:rsid w:val="00CE54BB"/>
    <w:rsid w:val="00CE5538"/>
    <w:rsid w:val="00CF0A36"/>
    <w:rsid w:val="00CF3C26"/>
    <w:rsid w:val="00CF3D70"/>
    <w:rsid w:val="00CF7DB3"/>
    <w:rsid w:val="00D03815"/>
    <w:rsid w:val="00D051B9"/>
    <w:rsid w:val="00D06213"/>
    <w:rsid w:val="00D06422"/>
    <w:rsid w:val="00D06A92"/>
    <w:rsid w:val="00D06CBA"/>
    <w:rsid w:val="00D109E8"/>
    <w:rsid w:val="00D110FE"/>
    <w:rsid w:val="00D11F7E"/>
    <w:rsid w:val="00D12D68"/>
    <w:rsid w:val="00D15BD1"/>
    <w:rsid w:val="00D16050"/>
    <w:rsid w:val="00D16C81"/>
    <w:rsid w:val="00D17BE1"/>
    <w:rsid w:val="00D214EE"/>
    <w:rsid w:val="00D21EFC"/>
    <w:rsid w:val="00D23D4C"/>
    <w:rsid w:val="00D2454C"/>
    <w:rsid w:val="00D25D9C"/>
    <w:rsid w:val="00D26ACF"/>
    <w:rsid w:val="00D26F0A"/>
    <w:rsid w:val="00D30446"/>
    <w:rsid w:val="00D31204"/>
    <w:rsid w:val="00D33254"/>
    <w:rsid w:val="00D33DFB"/>
    <w:rsid w:val="00D344C8"/>
    <w:rsid w:val="00D35244"/>
    <w:rsid w:val="00D3573D"/>
    <w:rsid w:val="00D35D4F"/>
    <w:rsid w:val="00D36CAA"/>
    <w:rsid w:val="00D411A9"/>
    <w:rsid w:val="00D43C75"/>
    <w:rsid w:val="00D5000A"/>
    <w:rsid w:val="00D501F6"/>
    <w:rsid w:val="00D508CE"/>
    <w:rsid w:val="00D51A6C"/>
    <w:rsid w:val="00D51F43"/>
    <w:rsid w:val="00D54296"/>
    <w:rsid w:val="00D557AF"/>
    <w:rsid w:val="00D56EAF"/>
    <w:rsid w:val="00D62377"/>
    <w:rsid w:val="00D62BF6"/>
    <w:rsid w:val="00D62CD3"/>
    <w:rsid w:val="00D63410"/>
    <w:rsid w:val="00D67783"/>
    <w:rsid w:val="00D705CE"/>
    <w:rsid w:val="00D70E81"/>
    <w:rsid w:val="00D72572"/>
    <w:rsid w:val="00D75471"/>
    <w:rsid w:val="00D814B0"/>
    <w:rsid w:val="00D8480C"/>
    <w:rsid w:val="00D84C53"/>
    <w:rsid w:val="00D8727A"/>
    <w:rsid w:val="00D900E0"/>
    <w:rsid w:val="00D90342"/>
    <w:rsid w:val="00D92593"/>
    <w:rsid w:val="00D92679"/>
    <w:rsid w:val="00D945A1"/>
    <w:rsid w:val="00D94A6F"/>
    <w:rsid w:val="00D97D30"/>
    <w:rsid w:val="00DA0AE3"/>
    <w:rsid w:val="00DA12AA"/>
    <w:rsid w:val="00DA2147"/>
    <w:rsid w:val="00DA25D8"/>
    <w:rsid w:val="00DA2ECE"/>
    <w:rsid w:val="00DA4949"/>
    <w:rsid w:val="00DA5550"/>
    <w:rsid w:val="00DA55A5"/>
    <w:rsid w:val="00DA5DB1"/>
    <w:rsid w:val="00DB25CB"/>
    <w:rsid w:val="00DB402B"/>
    <w:rsid w:val="00DB43DB"/>
    <w:rsid w:val="00DB5BEA"/>
    <w:rsid w:val="00DB5C9F"/>
    <w:rsid w:val="00DC0101"/>
    <w:rsid w:val="00DC0895"/>
    <w:rsid w:val="00DC16BA"/>
    <w:rsid w:val="00DC1CB3"/>
    <w:rsid w:val="00DC1F79"/>
    <w:rsid w:val="00DC2CB1"/>
    <w:rsid w:val="00DC6C12"/>
    <w:rsid w:val="00DC6F8E"/>
    <w:rsid w:val="00DD0172"/>
    <w:rsid w:val="00DD0DAE"/>
    <w:rsid w:val="00DD3A62"/>
    <w:rsid w:val="00DD42A7"/>
    <w:rsid w:val="00DD496D"/>
    <w:rsid w:val="00DD4BDC"/>
    <w:rsid w:val="00DD764A"/>
    <w:rsid w:val="00DE0ACD"/>
    <w:rsid w:val="00DE1241"/>
    <w:rsid w:val="00DE450A"/>
    <w:rsid w:val="00DE454A"/>
    <w:rsid w:val="00DE786A"/>
    <w:rsid w:val="00DF00DE"/>
    <w:rsid w:val="00DF046A"/>
    <w:rsid w:val="00DF0BF7"/>
    <w:rsid w:val="00DF0C58"/>
    <w:rsid w:val="00DF0E74"/>
    <w:rsid w:val="00DF1407"/>
    <w:rsid w:val="00DF2F87"/>
    <w:rsid w:val="00DF31C6"/>
    <w:rsid w:val="00DF35A2"/>
    <w:rsid w:val="00DF4874"/>
    <w:rsid w:val="00DF4F0B"/>
    <w:rsid w:val="00DF7BF1"/>
    <w:rsid w:val="00E02DB8"/>
    <w:rsid w:val="00E03733"/>
    <w:rsid w:val="00E051FD"/>
    <w:rsid w:val="00E06934"/>
    <w:rsid w:val="00E076ED"/>
    <w:rsid w:val="00E11ED1"/>
    <w:rsid w:val="00E12420"/>
    <w:rsid w:val="00E21478"/>
    <w:rsid w:val="00E21482"/>
    <w:rsid w:val="00E21D37"/>
    <w:rsid w:val="00E21F30"/>
    <w:rsid w:val="00E23EAA"/>
    <w:rsid w:val="00E249A1"/>
    <w:rsid w:val="00E27887"/>
    <w:rsid w:val="00E32218"/>
    <w:rsid w:val="00E33263"/>
    <w:rsid w:val="00E33566"/>
    <w:rsid w:val="00E33857"/>
    <w:rsid w:val="00E34ACD"/>
    <w:rsid w:val="00E35182"/>
    <w:rsid w:val="00E3553C"/>
    <w:rsid w:val="00E3683D"/>
    <w:rsid w:val="00E37E18"/>
    <w:rsid w:val="00E40F44"/>
    <w:rsid w:val="00E41E2B"/>
    <w:rsid w:val="00E51324"/>
    <w:rsid w:val="00E53B22"/>
    <w:rsid w:val="00E54372"/>
    <w:rsid w:val="00E54406"/>
    <w:rsid w:val="00E5489E"/>
    <w:rsid w:val="00E55A2A"/>
    <w:rsid w:val="00E565C7"/>
    <w:rsid w:val="00E57F53"/>
    <w:rsid w:val="00E617C7"/>
    <w:rsid w:val="00E62AA7"/>
    <w:rsid w:val="00E638ED"/>
    <w:rsid w:val="00E661CF"/>
    <w:rsid w:val="00E665A9"/>
    <w:rsid w:val="00E726D9"/>
    <w:rsid w:val="00E734D9"/>
    <w:rsid w:val="00E736AB"/>
    <w:rsid w:val="00E7483E"/>
    <w:rsid w:val="00E749CD"/>
    <w:rsid w:val="00E772A9"/>
    <w:rsid w:val="00E77607"/>
    <w:rsid w:val="00E803FE"/>
    <w:rsid w:val="00E81042"/>
    <w:rsid w:val="00E8142D"/>
    <w:rsid w:val="00E81952"/>
    <w:rsid w:val="00E82180"/>
    <w:rsid w:val="00E82273"/>
    <w:rsid w:val="00E8249E"/>
    <w:rsid w:val="00E8356B"/>
    <w:rsid w:val="00E83B99"/>
    <w:rsid w:val="00E83F55"/>
    <w:rsid w:val="00E84855"/>
    <w:rsid w:val="00E84F89"/>
    <w:rsid w:val="00E87A5A"/>
    <w:rsid w:val="00E90319"/>
    <w:rsid w:val="00E9052F"/>
    <w:rsid w:val="00E9354A"/>
    <w:rsid w:val="00E93ED6"/>
    <w:rsid w:val="00E959C6"/>
    <w:rsid w:val="00E95D14"/>
    <w:rsid w:val="00E969F2"/>
    <w:rsid w:val="00E97F9E"/>
    <w:rsid w:val="00EA0A55"/>
    <w:rsid w:val="00EA4ADD"/>
    <w:rsid w:val="00EA6E40"/>
    <w:rsid w:val="00EB06B7"/>
    <w:rsid w:val="00EB0FD1"/>
    <w:rsid w:val="00EB4626"/>
    <w:rsid w:val="00EB5CFC"/>
    <w:rsid w:val="00EB5DA9"/>
    <w:rsid w:val="00EB78E4"/>
    <w:rsid w:val="00EC2BE3"/>
    <w:rsid w:val="00EC321D"/>
    <w:rsid w:val="00EC6B8C"/>
    <w:rsid w:val="00EC6D8C"/>
    <w:rsid w:val="00EC6F3C"/>
    <w:rsid w:val="00EC7BE4"/>
    <w:rsid w:val="00ED0302"/>
    <w:rsid w:val="00ED4AFE"/>
    <w:rsid w:val="00ED4DB6"/>
    <w:rsid w:val="00ED5FE9"/>
    <w:rsid w:val="00ED71D2"/>
    <w:rsid w:val="00ED74BD"/>
    <w:rsid w:val="00EE2A51"/>
    <w:rsid w:val="00EE329C"/>
    <w:rsid w:val="00EE3B90"/>
    <w:rsid w:val="00EE474E"/>
    <w:rsid w:val="00EE4D88"/>
    <w:rsid w:val="00EE56E2"/>
    <w:rsid w:val="00EE6460"/>
    <w:rsid w:val="00EE7BE4"/>
    <w:rsid w:val="00EF07F8"/>
    <w:rsid w:val="00EF1FDE"/>
    <w:rsid w:val="00EF3719"/>
    <w:rsid w:val="00EF3F78"/>
    <w:rsid w:val="00EF5C70"/>
    <w:rsid w:val="00EF688D"/>
    <w:rsid w:val="00F017D8"/>
    <w:rsid w:val="00F0258A"/>
    <w:rsid w:val="00F03C7A"/>
    <w:rsid w:val="00F0556E"/>
    <w:rsid w:val="00F05D23"/>
    <w:rsid w:val="00F07F5A"/>
    <w:rsid w:val="00F11564"/>
    <w:rsid w:val="00F12D62"/>
    <w:rsid w:val="00F13364"/>
    <w:rsid w:val="00F14400"/>
    <w:rsid w:val="00F14D22"/>
    <w:rsid w:val="00F15DD4"/>
    <w:rsid w:val="00F16999"/>
    <w:rsid w:val="00F17827"/>
    <w:rsid w:val="00F21478"/>
    <w:rsid w:val="00F266CE"/>
    <w:rsid w:val="00F32491"/>
    <w:rsid w:val="00F35DE9"/>
    <w:rsid w:val="00F36B30"/>
    <w:rsid w:val="00F36F97"/>
    <w:rsid w:val="00F37432"/>
    <w:rsid w:val="00F37792"/>
    <w:rsid w:val="00F37FAF"/>
    <w:rsid w:val="00F40E79"/>
    <w:rsid w:val="00F41D95"/>
    <w:rsid w:val="00F44C34"/>
    <w:rsid w:val="00F465BA"/>
    <w:rsid w:val="00F468EB"/>
    <w:rsid w:val="00F542CC"/>
    <w:rsid w:val="00F542EB"/>
    <w:rsid w:val="00F55028"/>
    <w:rsid w:val="00F553EE"/>
    <w:rsid w:val="00F6074E"/>
    <w:rsid w:val="00F63B0B"/>
    <w:rsid w:val="00F706B8"/>
    <w:rsid w:val="00F72575"/>
    <w:rsid w:val="00F72773"/>
    <w:rsid w:val="00F72C56"/>
    <w:rsid w:val="00F74E22"/>
    <w:rsid w:val="00F77CDE"/>
    <w:rsid w:val="00F77CEA"/>
    <w:rsid w:val="00F81558"/>
    <w:rsid w:val="00F8188F"/>
    <w:rsid w:val="00F822EE"/>
    <w:rsid w:val="00F83304"/>
    <w:rsid w:val="00F849E0"/>
    <w:rsid w:val="00F852A0"/>
    <w:rsid w:val="00F85B84"/>
    <w:rsid w:val="00F90FC3"/>
    <w:rsid w:val="00F9388C"/>
    <w:rsid w:val="00F95798"/>
    <w:rsid w:val="00F95E59"/>
    <w:rsid w:val="00F978A9"/>
    <w:rsid w:val="00F97D2B"/>
    <w:rsid w:val="00FA0710"/>
    <w:rsid w:val="00FA10DA"/>
    <w:rsid w:val="00FA2194"/>
    <w:rsid w:val="00FA2571"/>
    <w:rsid w:val="00FA6868"/>
    <w:rsid w:val="00FA6C96"/>
    <w:rsid w:val="00FA71F3"/>
    <w:rsid w:val="00FA7513"/>
    <w:rsid w:val="00FB096D"/>
    <w:rsid w:val="00FB2304"/>
    <w:rsid w:val="00FB3313"/>
    <w:rsid w:val="00FB4D52"/>
    <w:rsid w:val="00FB752E"/>
    <w:rsid w:val="00FC26C3"/>
    <w:rsid w:val="00FC34AA"/>
    <w:rsid w:val="00FC393C"/>
    <w:rsid w:val="00FC57D6"/>
    <w:rsid w:val="00FC7580"/>
    <w:rsid w:val="00FD016C"/>
    <w:rsid w:val="00FD2D0B"/>
    <w:rsid w:val="00FD32D8"/>
    <w:rsid w:val="00FD36D9"/>
    <w:rsid w:val="00FD5BB2"/>
    <w:rsid w:val="00FD68D6"/>
    <w:rsid w:val="00FE09DE"/>
    <w:rsid w:val="00FE12B8"/>
    <w:rsid w:val="00FE1D53"/>
    <w:rsid w:val="00FE3D59"/>
    <w:rsid w:val="00FE4528"/>
    <w:rsid w:val="00FE57F3"/>
    <w:rsid w:val="00FE5ECD"/>
    <w:rsid w:val="00FF04B5"/>
    <w:rsid w:val="00FF064D"/>
    <w:rsid w:val="00FF0CDC"/>
    <w:rsid w:val="00FF0EAC"/>
    <w:rsid w:val="00FF2737"/>
    <w:rsid w:val="00FF2F6F"/>
    <w:rsid w:val="00FF57A0"/>
    <w:rsid w:val="00FF62C6"/>
    <w:rsid w:val="00FF67C6"/>
    <w:rsid w:val="00FF7A68"/>
    <w:rsid w:val="00FF7C4C"/>
    <w:rsid w:val="01C6903F"/>
    <w:rsid w:val="0277366B"/>
    <w:rsid w:val="0481A5AC"/>
    <w:rsid w:val="04D3793D"/>
    <w:rsid w:val="04EBBA5F"/>
    <w:rsid w:val="060EA417"/>
    <w:rsid w:val="0911F7C3"/>
    <w:rsid w:val="0A173325"/>
    <w:rsid w:val="0CE27D5C"/>
    <w:rsid w:val="0DC57C4A"/>
    <w:rsid w:val="0F8BEAE5"/>
    <w:rsid w:val="12F0A8F9"/>
    <w:rsid w:val="13FCE505"/>
    <w:rsid w:val="16BDEAF4"/>
    <w:rsid w:val="1A34A920"/>
    <w:rsid w:val="1BBD6854"/>
    <w:rsid w:val="1C448D81"/>
    <w:rsid w:val="1D984FC5"/>
    <w:rsid w:val="2284CE38"/>
    <w:rsid w:val="22ABAAC2"/>
    <w:rsid w:val="24DEB4F8"/>
    <w:rsid w:val="2621F99A"/>
    <w:rsid w:val="27B6EABC"/>
    <w:rsid w:val="286FDC01"/>
    <w:rsid w:val="29C18F80"/>
    <w:rsid w:val="2A22837A"/>
    <w:rsid w:val="2C07AFD4"/>
    <w:rsid w:val="2D916B05"/>
    <w:rsid w:val="30DF4560"/>
    <w:rsid w:val="3132455A"/>
    <w:rsid w:val="31CDC4F3"/>
    <w:rsid w:val="321C778D"/>
    <w:rsid w:val="3A723886"/>
    <w:rsid w:val="3C17990B"/>
    <w:rsid w:val="3D41D87F"/>
    <w:rsid w:val="3F853CFE"/>
    <w:rsid w:val="3F8FFA96"/>
    <w:rsid w:val="3FB4967D"/>
    <w:rsid w:val="404CC6BE"/>
    <w:rsid w:val="41AADCB2"/>
    <w:rsid w:val="43E92210"/>
    <w:rsid w:val="44892ED2"/>
    <w:rsid w:val="46FD403F"/>
    <w:rsid w:val="497EEE25"/>
    <w:rsid w:val="4BF347B3"/>
    <w:rsid w:val="4CEE9A16"/>
    <w:rsid w:val="4D810380"/>
    <w:rsid w:val="4DC3A115"/>
    <w:rsid w:val="4E1F2AC3"/>
    <w:rsid w:val="4F5F8CCB"/>
    <w:rsid w:val="50AE2736"/>
    <w:rsid w:val="533D162B"/>
    <w:rsid w:val="54B5BEDE"/>
    <w:rsid w:val="57334D44"/>
    <w:rsid w:val="59329F82"/>
    <w:rsid w:val="59815D76"/>
    <w:rsid w:val="5A4C45F3"/>
    <w:rsid w:val="63384328"/>
    <w:rsid w:val="6340ABA2"/>
    <w:rsid w:val="64F67B33"/>
    <w:rsid w:val="6A5674D1"/>
    <w:rsid w:val="6AC1CF74"/>
    <w:rsid w:val="6AD349FD"/>
    <w:rsid w:val="6C5325AF"/>
    <w:rsid w:val="71C4506B"/>
    <w:rsid w:val="7255EA86"/>
    <w:rsid w:val="74028C0A"/>
    <w:rsid w:val="756833F4"/>
    <w:rsid w:val="759C434F"/>
    <w:rsid w:val="76C8E698"/>
    <w:rsid w:val="782AE7CC"/>
    <w:rsid w:val="7B77AF7B"/>
    <w:rsid w:val="7D7FD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50098"/>
  <w15:chartTrackingRefBased/>
  <w15:docId w15:val="{F1A0ED3A-40A4-3D45-8149-61AC5F190DC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521"/>
  </w:style>
  <w:style w:type="paragraph" w:styleId="Heading1">
    <w:name w:val="heading 1"/>
    <w:basedOn w:val="Normal"/>
    <w:next w:val="Normal"/>
    <w:link w:val="Heading1Char"/>
    <w:autoRedefine/>
    <w:uiPriority w:val="9"/>
    <w:qFormat/>
    <w:rsid w:val="00AE2D06"/>
    <w:pPr>
      <w:keepNext/>
      <w:keepLines/>
      <w:numPr>
        <w:numId w:val="2"/>
      </w:numPr>
      <w:spacing w:before="120" w:after="120"/>
      <w:ind w:left="720" w:right="720" w:hanging="720"/>
      <w:outlineLvl w:val="0"/>
    </w:pPr>
    <w:rPr>
      <w:rFonts w:ascii="Times New Roman" w:eastAsiaTheme="majorEastAsia" w:hAnsi="Times New Roman" w:cs="Times New Roman"/>
      <w:b/>
      <w:bCs/>
      <w:color w:val="000000" w:themeColor="text1"/>
      <w:sz w:val="26"/>
      <w:szCs w:val="26"/>
    </w:rPr>
  </w:style>
  <w:style w:type="paragraph" w:styleId="Heading2">
    <w:name w:val="heading 2"/>
    <w:basedOn w:val="ListParagraph"/>
    <w:next w:val="Normal"/>
    <w:link w:val="Heading2Char"/>
    <w:autoRedefine/>
    <w:uiPriority w:val="9"/>
    <w:unhideWhenUsed/>
    <w:qFormat/>
    <w:rsid w:val="00AE2D06"/>
    <w:pPr>
      <w:keepNext/>
      <w:keepLines/>
      <w:numPr>
        <w:ilvl w:val="1"/>
        <w:numId w:val="2"/>
      </w:numPr>
      <w:tabs>
        <w:tab w:val="left" w:pos="560"/>
        <w:tab w:val="left" w:pos="18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1440" w:right="720" w:hanging="720"/>
      <w:contextualSpacing w:val="0"/>
      <w:outlineLvl w:val="1"/>
    </w:pPr>
    <w:rPr>
      <w:rFonts w:ascii="Times New Roman" w:hAnsi="Times New Roman" w:cs="Times New Roman"/>
      <w:b/>
      <w:bCs/>
      <w:color w:val="000000"/>
      <w:sz w:val="26"/>
      <w:szCs w:val="26"/>
    </w:rPr>
  </w:style>
  <w:style w:type="paragraph" w:styleId="Heading3">
    <w:name w:val="heading 3"/>
    <w:basedOn w:val="Normal"/>
    <w:next w:val="Normal"/>
    <w:link w:val="Heading3Char"/>
    <w:autoRedefine/>
    <w:uiPriority w:val="9"/>
    <w:unhideWhenUsed/>
    <w:qFormat/>
    <w:rsid w:val="00AE2D06"/>
    <w:pPr>
      <w:keepNext/>
      <w:keepLines/>
      <w:numPr>
        <w:ilvl w:val="2"/>
        <w:numId w:val="2"/>
      </w:numPr>
      <w:spacing w:before="120" w:after="120"/>
      <w:ind w:left="2160" w:right="720" w:hanging="720"/>
      <w:outlineLvl w:val="2"/>
    </w:pPr>
    <w:rPr>
      <w:rFonts w:ascii="Times New Roman" w:eastAsiaTheme="majorEastAsia" w:hAnsi="Times New Roman" w:cstheme="majorBidi"/>
      <w:b/>
      <w:sz w:val="26"/>
      <w:szCs w:val="28"/>
    </w:rPr>
  </w:style>
  <w:style w:type="paragraph" w:styleId="Heading4">
    <w:name w:val="heading 4"/>
    <w:basedOn w:val="Normal"/>
    <w:next w:val="Normal"/>
    <w:link w:val="Heading4Char"/>
    <w:uiPriority w:val="9"/>
    <w:semiHidden/>
    <w:unhideWhenUsed/>
    <w:qFormat/>
    <w:rsid w:val="00752E4C"/>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E4C"/>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E4C"/>
    <w:pPr>
      <w:keepNext/>
      <w:keepLines/>
      <w:numPr>
        <w:ilvl w:val="5"/>
        <w:numId w:val="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E4C"/>
    <w:pPr>
      <w:keepNext/>
      <w:keepLines/>
      <w:numPr>
        <w:ilvl w:val="6"/>
        <w:numId w:val="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E4C"/>
    <w:pPr>
      <w:keepNext/>
      <w:keepLines/>
      <w:numPr>
        <w:ilvl w:val="7"/>
        <w:numId w:val="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E4C"/>
    <w:pPr>
      <w:keepNext/>
      <w:keepLines/>
      <w:numPr>
        <w:ilvl w:val="8"/>
        <w:numId w:val="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D06"/>
    <w:rPr>
      <w:rFonts w:ascii="Times New Roman" w:eastAsiaTheme="majorEastAsia" w:hAnsi="Times New Roman" w:cs="Times New Roman"/>
      <w:b/>
      <w:bCs/>
      <w:color w:val="000000" w:themeColor="text1"/>
      <w:sz w:val="26"/>
      <w:szCs w:val="26"/>
    </w:rPr>
  </w:style>
  <w:style w:type="character" w:customStyle="1" w:styleId="Heading2Char">
    <w:name w:val="Heading 2 Char"/>
    <w:basedOn w:val="DefaultParagraphFont"/>
    <w:link w:val="Heading2"/>
    <w:uiPriority w:val="9"/>
    <w:rsid w:val="00AE2D06"/>
    <w:rPr>
      <w:rFonts w:ascii="Times New Roman" w:hAnsi="Times New Roman" w:cs="Times New Roman"/>
      <w:b/>
      <w:bCs/>
      <w:color w:val="000000"/>
      <w:sz w:val="26"/>
      <w:szCs w:val="26"/>
    </w:rPr>
  </w:style>
  <w:style w:type="character" w:customStyle="1" w:styleId="Heading3Char">
    <w:name w:val="Heading 3 Char"/>
    <w:basedOn w:val="DefaultParagraphFont"/>
    <w:link w:val="Heading3"/>
    <w:uiPriority w:val="9"/>
    <w:rsid w:val="00AE2D06"/>
    <w:rPr>
      <w:rFonts w:ascii="Times New Roman" w:eastAsiaTheme="majorEastAsia" w:hAnsi="Times New Roman" w:cstheme="majorBidi"/>
      <w:b/>
      <w:sz w:val="26"/>
      <w:szCs w:val="28"/>
    </w:rPr>
  </w:style>
  <w:style w:type="character" w:customStyle="1" w:styleId="Heading4Char">
    <w:name w:val="Heading 4 Char"/>
    <w:basedOn w:val="DefaultParagraphFont"/>
    <w:link w:val="Heading4"/>
    <w:uiPriority w:val="9"/>
    <w:semiHidden/>
    <w:rsid w:val="00752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E4C"/>
    <w:rPr>
      <w:rFonts w:eastAsiaTheme="majorEastAsia" w:cstheme="majorBidi"/>
      <w:color w:val="272727" w:themeColor="text1" w:themeTint="D8"/>
    </w:rPr>
  </w:style>
  <w:style w:type="paragraph" w:styleId="Title">
    <w:name w:val="Title"/>
    <w:basedOn w:val="Normal"/>
    <w:next w:val="Normal"/>
    <w:link w:val="TitleChar"/>
    <w:uiPriority w:val="10"/>
    <w:qFormat/>
    <w:rsid w:val="00752E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E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E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2E4C"/>
    <w:rPr>
      <w:i/>
      <w:iCs/>
      <w:color w:val="404040" w:themeColor="text1" w:themeTint="BF"/>
    </w:rPr>
  </w:style>
  <w:style w:type="paragraph" w:styleId="ListParagraph">
    <w:name w:val="List Paragraph"/>
    <w:basedOn w:val="Normal"/>
    <w:uiPriority w:val="34"/>
    <w:qFormat/>
    <w:rsid w:val="00752E4C"/>
    <w:pPr>
      <w:ind w:left="720"/>
      <w:contextualSpacing/>
    </w:pPr>
  </w:style>
  <w:style w:type="character" w:styleId="IntenseEmphasis">
    <w:name w:val="Intense Emphasis"/>
    <w:basedOn w:val="DefaultParagraphFont"/>
    <w:uiPriority w:val="21"/>
    <w:qFormat/>
    <w:rsid w:val="00752E4C"/>
    <w:rPr>
      <w:i/>
      <w:iCs/>
      <w:color w:val="0F4761" w:themeColor="accent1" w:themeShade="BF"/>
    </w:rPr>
  </w:style>
  <w:style w:type="paragraph" w:styleId="IntenseQuote">
    <w:name w:val="Intense Quote"/>
    <w:basedOn w:val="Normal"/>
    <w:next w:val="Normal"/>
    <w:link w:val="IntenseQuoteChar"/>
    <w:uiPriority w:val="30"/>
    <w:qFormat/>
    <w:rsid w:val="00752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E4C"/>
    <w:rPr>
      <w:i/>
      <w:iCs/>
      <w:color w:val="0F4761" w:themeColor="accent1" w:themeShade="BF"/>
    </w:rPr>
  </w:style>
  <w:style w:type="character" w:styleId="IntenseReference">
    <w:name w:val="Intense Reference"/>
    <w:basedOn w:val="DefaultParagraphFont"/>
    <w:uiPriority w:val="32"/>
    <w:qFormat/>
    <w:rsid w:val="00752E4C"/>
    <w:rPr>
      <w:b/>
      <w:bCs/>
      <w:smallCaps/>
      <w:color w:val="0F4761" w:themeColor="accent1" w:themeShade="BF"/>
      <w:spacing w:val="5"/>
    </w:rPr>
  </w:style>
  <w:style w:type="character" w:customStyle="1" w:styleId="displayonly">
    <w:name w:val="display_only"/>
    <w:basedOn w:val="DefaultParagraphFont"/>
    <w:rsid w:val="00AC54C4"/>
  </w:style>
  <w:style w:type="paragraph" w:styleId="FootnoteText">
    <w:name w:val="footnote text"/>
    <w:basedOn w:val="Normal"/>
    <w:link w:val="FootnoteTextChar"/>
    <w:uiPriority w:val="99"/>
    <w:semiHidden/>
    <w:unhideWhenUsed/>
    <w:rsid w:val="00F706B8"/>
    <w:rPr>
      <w:sz w:val="20"/>
      <w:szCs w:val="20"/>
    </w:rPr>
  </w:style>
  <w:style w:type="character" w:customStyle="1" w:styleId="FootnoteTextChar">
    <w:name w:val="Footnote Text Char"/>
    <w:basedOn w:val="DefaultParagraphFont"/>
    <w:link w:val="FootnoteText"/>
    <w:uiPriority w:val="99"/>
    <w:semiHidden/>
    <w:rsid w:val="00F706B8"/>
    <w:rPr>
      <w:sz w:val="20"/>
      <w:szCs w:val="20"/>
    </w:rPr>
  </w:style>
  <w:style w:type="character" w:styleId="FootnoteReference">
    <w:name w:val="footnote reference"/>
    <w:basedOn w:val="DefaultParagraphFont"/>
    <w:uiPriority w:val="99"/>
    <w:unhideWhenUsed/>
    <w:rsid w:val="00F706B8"/>
    <w:rPr>
      <w:vertAlign w:val="superscript"/>
    </w:rPr>
  </w:style>
  <w:style w:type="character" w:styleId="Hyperlink">
    <w:name w:val="Hyperlink"/>
    <w:basedOn w:val="DefaultParagraphFont"/>
    <w:uiPriority w:val="99"/>
    <w:unhideWhenUsed/>
    <w:rsid w:val="00A9178E"/>
    <w:rPr>
      <w:color w:val="0000FF"/>
      <w:u w:val="single"/>
    </w:rPr>
  </w:style>
  <w:style w:type="character" w:customStyle="1" w:styleId="ssit">
    <w:name w:val="ss_it"/>
    <w:basedOn w:val="DefaultParagraphFont"/>
    <w:rsid w:val="00A9178E"/>
  </w:style>
  <w:style w:type="paragraph" w:styleId="Footer">
    <w:name w:val="footer"/>
    <w:basedOn w:val="Normal"/>
    <w:link w:val="FooterChar"/>
    <w:uiPriority w:val="99"/>
    <w:unhideWhenUsed/>
    <w:rsid w:val="00B321C6"/>
    <w:pPr>
      <w:tabs>
        <w:tab w:val="center" w:pos="4680"/>
        <w:tab w:val="right" w:pos="9360"/>
      </w:tabs>
    </w:pPr>
  </w:style>
  <w:style w:type="character" w:customStyle="1" w:styleId="FooterChar">
    <w:name w:val="Footer Char"/>
    <w:basedOn w:val="DefaultParagraphFont"/>
    <w:link w:val="Footer"/>
    <w:uiPriority w:val="99"/>
    <w:rsid w:val="00B321C6"/>
  </w:style>
  <w:style w:type="character" w:styleId="PageNumber">
    <w:name w:val="page number"/>
    <w:basedOn w:val="DefaultParagraphFont"/>
    <w:uiPriority w:val="99"/>
    <w:semiHidden/>
    <w:unhideWhenUsed/>
    <w:rsid w:val="00B321C6"/>
  </w:style>
  <w:style w:type="character" w:styleId="UnresolvedMention">
    <w:name w:val="Unresolved Mention"/>
    <w:basedOn w:val="DefaultParagraphFont"/>
    <w:uiPriority w:val="99"/>
    <w:semiHidden/>
    <w:unhideWhenUsed/>
    <w:rsid w:val="002F0BA9"/>
    <w:rPr>
      <w:color w:val="605E5C"/>
      <w:shd w:val="clear" w:color="auto" w:fill="E1DFDD"/>
    </w:rPr>
  </w:style>
  <w:style w:type="paragraph" w:styleId="NormalWeb">
    <w:name w:val="Normal (Web)"/>
    <w:basedOn w:val="Normal"/>
    <w:uiPriority w:val="99"/>
    <w:unhideWhenUsed/>
    <w:rsid w:val="008647FF"/>
    <w:pPr>
      <w:spacing w:before="100" w:beforeAutospacing="1" w:after="100" w:afterAutospacing="1"/>
    </w:pPr>
    <w:rPr>
      <w:rFonts w:ascii="Times New Roman" w:eastAsia="Times New Roman" w:hAnsi="Times New Roman" w:cs="Times New Roman"/>
      <w:kern w:val="0"/>
      <w14:ligatures w14:val="none"/>
    </w:rPr>
  </w:style>
  <w:style w:type="character" w:customStyle="1" w:styleId="ssrfcsection">
    <w:name w:val="ss_rfcsection"/>
    <w:basedOn w:val="DefaultParagraphFont"/>
    <w:rsid w:val="008E0369"/>
  </w:style>
  <w:style w:type="character" w:customStyle="1" w:styleId="ssheadnotelink">
    <w:name w:val="ss_headnotelink"/>
    <w:basedOn w:val="DefaultParagraphFont"/>
    <w:rsid w:val="008E0369"/>
  </w:style>
  <w:style w:type="character" w:customStyle="1" w:styleId="title-text">
    <w:name w:val="title-text"/>
    <w:basedOn w:val="DefaultParagraphFont"/>
    <w:rsid w:val="008E0369"/>
  </w:style>
  <w:style w:type="character" w:customStyle="1" w:styleId="Date1">
    <w:name w:val="Date1"/>
    <w:basedOn w:val="DefaultParagraphFont"/>
    <w:rsid w:val="008E0369"/>
  </w:style>
  <w:style w:type="character" w:customStyle="1" w:styleId="active-reporter">
    <w:name w:val="active-reporter"/>
    <w:basedOn w:val="DefaultParagraphFont"/>
    <w:rsid w:val="008E0369"/>
  </w:style>
  <w:style w:type="character" w:customStyle="1" w:styleId="active">
    <w:name w:val="active"/>
    <w:basedOn w:val="DefaultParagraphFont"/>
    <w:rsid w:val="008E0369"/>
  </w:style>
  <w:style w:type="character" w:customStyle="1" w:styleId="available">
    <w:name w:val="available"/>
    <w:basedOn w:val="DefaultParagraphFont"/>
    <w:rsid w:val="008E0369"/>
  </w:style>
  <w:style w:type="paragraph" w:styleId="BodyText">
    <w:name w:val="Body Text"/>
    <w:link w:val="BodyTextChar"/>
    <w:rsid w:val="00FC34AA"/>
    <w:pPr>
      <w:overflowPunct w:val="0"/>
      <w:autoSpaceDE w:val="0"/>
      <w:autoSpaceDN w:val="0"/>
      <w:adjustRightInd w:val="0"/>
      <w:spacing w:line="360" w:lineRule="auto"/>
      <w:ind w:firstLine="720"/>
      <w:textAlignment w:val="baseline"/>
    </w:pPr>
    <w:rPr>
      <w:rFonts w:ascii="Times New Roman" w:eastAsia="Times New Roman" w:hAnsi="Times New Roman" w:cs="Times New Roman"/>
      <w:kern w:val="0"/>
      <w:sz w:val="26"/>
      <w:szCs w:val="20"/>
      <w14:ligatures w14:val="none"/>
    </w:rPr>
  </w:style>
  <w:style w:type="character" w:customStyle="1" w:styleId="BodyTextChar">
    <w:name w:val="Body Text Char"/>
    <w:basedOn w:val="DefaultParagraphFont"/>
    <w:link w:val="BodyText"/>
    <w:rsid w:val="00FC34AA"/>
    <w:rPr>
      <w:rFonts w:ascii="Times New Roman" w:eastAsia="Times New Roman" w:hAnsi="Times New Roman" w:cs="Times New Roman"/>
      <w:kern w:val="0"/>
      <w:sz w:val="26"/>
      <w:szCs w:val="20"/>
      <w14:ligatures w14:val="none"/>
    </w:rPr>
  </w:style>
  <w:style w:type="character" w:styleId="FollowedHyperlink">
    <w:name w:val="FollowedHyperlink"/>
    <w:basedOn w:val="DefaultParagraphFont"/>
    <w:uiPriority w:val="99"/>
    <w:semiHidden/>
    <w:unhideWhenUsed/>
    <w:rsid w:val="00A274CF"/>
    <w:rPr>
      <w:color w:val="96607D" w:themeColor="followedHyperlink"/>
      <w:u w:val="single"/>
    </w:rPr>
  </w:style>
  <w:style w:type="paragraph" w:styleId="Header">
    <w:name w:val="header"/>
    <w:basedOn w:val="Normal"/>
    <w:link w:val="HeaderChar"/>
    <w:uiPriority w:val="99"/>
    <w:unhideWhenUsed/>
    <w:rsid w:val="00F542CC"/>
    <w:pPr>
      <w:tabs>
        <w:tab w:val="center" w:pos="4680"/>
        <w:tab w:val="right" w:pos="9360"/>
      </w:tabs>
    </w:pPr>
  </w:style>
  <w:style w:type="character" w:customStyle="1" w:styleId="HeaderChar">
    <w:name w:val="Header Char"/>
    <w:basedOn w:val="DefaultParagraphFont"/>
    <w:link w:val="Header"/>
    <w:uiPriority w:val="99"/>
    <w:rsid w:val="00F542CC"/>
  </w:style>
  <w:style w:type="paragraph" w:styleId="Revision">
    <w:name w:val="Revision"/>
    <w:hidden/>
    <w:uiPriority w:val="99"/>
    <w:semiHidden/>
    <w:rsid w:val="004C1393"/>
  </w:style>
  <w:style w:type="character" w:styleId="CommentReference">
    <w:name w:val="annotation reference"/>
    <w:basedOn w:val="DefaultParagraphFont"/>
    <w:uiPriority w:val="99"/>
    <w:semiHidden/>
    <w:unhideWhenUsed/>
    <w:rsid w:val="001C78AE"/>
    <w:rPr>
      <w:sz w:val="16"/>
      <w:szCs w:val="16"/>
    </w:rPr>
  </w:style>
  <w:style w:type="paragraph" w:styleId="CommentText">
    <w:name w:val="annotation text"/>
    <w:basedOn w:val="Normal"/>
    <w:link w:val="CommentTextChar"/>
    <w:uiPriority w:val="99"/>
    <w:unhideWhenUsed/>
    <w:rsid w:val="001C78AE"/>
    <w:rPr>
      <w:sz w:val="20"/>
      <w:szCs w:val="20"/>
    </w:rPr>
  </w:style>
  <w:style w:type="character" w:customStyle="1" w:styleId="CommentTextChar">
    <w:name w:val="Comment Text Char"/>
    <w:basedOn w:val="DefaultParagraphFont"/>
    <w:link w:val="CommentText"/>
    <w:uiPriority w:val="99"/>
    <w:rsid w:val="001C78AE"/>
    <w:rPr>
      <w:sz w:val="20"/>
      <w:szCs w:val="20"/>
    </w:rPr>
  </w:style>
  <w:style w:type="paragraph" w:styleId="CommentSubject">
    <w:name w:val="annotation subject"/>
    <w:basedOn w:val="CommentText"/>
    <w:next w:val="CommentText"/>
    <w:link w:val="CommentSubjectChar"/>
    <w:uiPriority w:val="99"/>
    <w:semiHidden/>
    <w:unhideWhenUsed/>
    <w:rsid w:val="001C78AE"/>
    <w:rPr>
      <w:b/>
      <w:bCs/>
    </w:rPr>
  </w:style>
  <w:style w:type="character" w:customStyle="1" w:styleId="CommentSubjectChar">
    <w:name w:val="Comment Subject Char"/>
    <w:basedOn w:val="CommentTextChar"/>
    <w:link w:val="CommentSubject"/>
    <w:uiPriority w:val="99"/>
    <w:semiHidden/>
    <w:rsid w:val="001C78AE"/>
    <w:rPr>
      <w:b/>
      <w:bCs/>
      <w:sz w:val="20"/>
      <w:szCs w:val="20"/>
    </w:rPr>
  </w:style>
  <w:style w:type="character" w:styleId="Mention">
    <w:name w:val="Mention"/>
    <w:basedOn w:val="DefaultParagraphFont"/>
    <w:uiPriority w:val="99"/>
    <w:unhideWhenUsed/>
    <w:rsid w:val="00607650"/>
    <w:rPr>
      <w:color w:val="2B579A"/>
      <w:shd w:val="clear" w:color="auto" w:fill="E1DFDD"/>
    </w:rPr>
  </w:style>
  <w:style w:type="paragraph" w:styleId="NoSpacing">
    <w:name w:val="No Spacing"/>
    <w:uiPriority w:val="1"/>
    <w:qFormat/>
    <w:rsid w:val="000B6506"/>
  </w:style>
  <w:style w:type="character" w:customStyle="1" w:styleId="ssrfcpassagedeactivated">
    <w:name w:val="ss_rfcpassage_deactivated"/>
    <w:basedOn w:val="DefaultParagraphFont"/>
    <w:rsid w:val="007B3851"/>
  </w:style>
  <w:style w:type="paragraph" w:customStyle="1" w:styleId="xmsonormal">
    <w:name w:val="x_msonormal"/>
    <w:basedOn w:val="Normal"/>
    <w:rsid w:val="00C7694E"/>
    <w:rPr>
      <w:rFonts w:ascii="Calibri" w:hAnsi="Calibri" w:cs="Calibri"/>
      <w:kern w:val="0"/>
      <w:sz w:val="22"/>
      <w:szCs w:val="22"/>
      <w14:ligatures w14:val="none"/>
    </w:rPr>
  </w:style>
  <w:style w:type="character" w:customStyle="1" w:styleId="normaltextrun">
    <w:name w:val="normaltextrun"/>
    <w:basedOn w:val="DefaultParagraphFont"/>
    <w:rsid w:val="00897E9E"/>
  </w:style>
  <w:style w:type="paragraph" w:customStyle="1" w:styleId="msonormal0">
    <w:name w:val="msonormal"/>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paragraph" w:customStyle="1" w:styleId="outlineelement">
    <w:name w:val="outlineelement"/>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5B626C"/>
    <w:pPr>
      <w:spacing w:before="100" w:beforeAutospacing="1" w:after="100" w:afterAutospacing="1"/>
    </w:pPr>
    <w:rPr>
      <w:rFonts w:ascii="Times New Roman" w:eastAsia="Times New Roman" w:hAnsi="Times New Roman" w:cs="Times New Roman"/>
      <w:kern w:val="0"/>
      <w14:ligatures w14:val="none"/>
    </w:rPr>
  </w:style>
  <w:style w:type="character" w:customStyle="1" w:styleId="textrun">
    <w:name w:val="textrun"/>
    <w:basedOn w:val="DefaultParagraphFont"/>
    <w:rsid w:val="005B626C"/>
  </w:style>
  <w:style w:type="character" w:customStyle="1" w:styleId="eop">
    <w:name w:val="eop"/>
    <w:basedOn w:val="DefaultParagraphFont"/>
    <w:rsid w:val="005B626C"/>
  </w:style>
  <w:style w:type="character" w:customStyle="1" w:styleId="tabrun">
    <w:name w:val="tabrun"/>
    <w:basedOn w:val="DefaultParagraphFont"/>
    <w:rsid w:val="005B626C"/>
  </w:style>
  <w:style w:type="character" w:customStyle="1" w:styleId="tabchar">
    <w:name w:val="tabchar"/>
    <w:basedOn w:val="DefaultParagraphFont"/>
    <w:rsid w:val="005B626C"/>
  </w:style>
  <w:style w:type="character" w:customStyle="1" w:styleId="scxw78262872">
    <w:name w:val="scxw78262872"/>
    <w:basedOn w:val="DefaultParagraphFont"/>
    <w:rsid w:val="005B626C"/>
  </w:style>
  <w:style w:type="character" w:customStyle="1" w:styleId="findhit">
    <w:name w:val="findhit"/>
    <w:basedOn w:val="DefaultParagraphFont"/>
    <w:rsid w:val="002636AD"/>
  </w:style>
  <w:style w:type="character" w:customStyle="1" w:styleId="scxw122678557">
    <w:name w:val="scxw122678557"/>
    <w:basedOn w:val="DefaultParagraphFont"/>
    <w:rsid w:val="00560DF2"/>
  </w:style>
  <w:style w:type="character" w:customStyle="1" w:styleId="selected">
    <w:name w:val="selected"/>
    <w:basedOn w:val="DefaultParagraphFont"/>
    <w:rsid w:val="00F95E59"/>
  </w:style>
  <w:style w:type="paragraph" w:customStyle="1" w:styleId="standard">
    <w:name w:val="standard"/>
    <w:basedOn w:val="Normal"/>
    <w:link w:val="standardChar"/>
    <w:rsid w:val="00C66638"/>
    <w:pPr>
      <w:spacing w:line="360" w:lineRule="auto"/>
      <w:ind w:firstLine="720"/>
    </w:pPr>
    <w:rPr>
      <w:rFonts w:ascii="Palatino" w:eastAsia="Times New Roman" w:hAnsi="Palatino" w:cs="Times New Roman"/>
      <w:kern w:val="0"/>
      <w:sz w:val="26"/>
      <w:szCs w:val="20"/>
      <w14:ligatures w14:val="none"/>
    </w:rPr>
  </w:style>
  <w:style w:type="character" w:customStyle="1" w:styleId="standardChar">
    <w:name w:val="standard Char"/>
    <w:link w:val="standard"/>
    <w:locked/>
    <w:rsid w:val="00C66638"/>
    <w:rPr>
      <w:rFonts w:ascii="Palatino" w:eastAsia="Times New Roman" w:hAnsi="Palatino" w:cs="Times New Roman"/>
      <w:kern w:val="0"/>
      <w:sz w:val="2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169">
      <w:bodyDiv w:val="1"/>
      <w:marLeft w:val="0"/>
      <w:marRight w:val="0"/>
      <w:marTop w:val="0"/>
      <w:marBottom w:val="0"/>
      <w:divBdr>
        <w:top w:val="none" w:sz="0" w:space="0" w:color="auto"/>
        <w:left w:val="none" w:sz="0" w:space="0" w:color="auto"/>
        <w:bottom w:val="none" w:sz="0" w:space="0" w:color="auto"/>
        <w:right w:val="none" w:sz="0" w:space="0" w:color="auto"/>
      </w:divBdr>
      <w:divsChild>
        <w:div w:id="1650284674">
          <w:marLeft w:val="0"/>
          <w:marRight w:val="0"/>
          <w:marTop w:val="0"/>
          <w:marBottom w:val="0"/>
          <w:divBdr>
            <w:top w:val="none" w:sz="0" w:space="0" w:color="auto"/>
            <w:left w:val="none" w:sz="0" w:space="0" w:color="auto"/>
            <w:bottom w:val="none" w:sz="0" w:space="0" w:color="auto"/>
            <w:right w:val="none" w:sz="0" w:space="0" w:color="auto"/>
          </w:divBdr>
          <w:divsChild>
            <w:div w:id="691880770">
              <w:marLeft w:val="0"/>
              <w:marRight w:val="0"/>
              <w:marTop w:val="0"/>
              <w:marBottom w:val="0"/>
              <w:divBdr>
                <w:top w:val="none" w:sz="0" w:space="0" w:color="auto"/>
                <w:left w:val="none" w:sz="0" w:space="0" w:color="auto"/>
                <w:bottom w:val="none" w:sz="0" w:space="0" w:color="auto"/>
                <w:right w:val="none" w:sz="0" w:space="0" w:color="auto"/>
              </w:divBdr>
              <w:divsChild>
                <w:div w:id="192849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365761">
      <w:bodyDiv w:val="1"/>
      <w:marLeft w:val="0"/>
      <w:marRight w:val="0"/>
      <w:marTop w:val="0"/>
      <w:marBottom w:val="0"/>
      <w:divBdr>
        <w:top w:val="none" w:sz="0" w:space="0" w:color="auto"/>
        <w:left w:val="none" w:sz="0" w:space="0" w:color="auto"/>
        <w:bottom w:val="none" w:sz="0" w:space="0" w:color="auto"/>
        <w:right w:val="none" w:sz="0" w:space="0" w:color="auto"/>
      </w:divBdr>
      <w:divsChild>
        <w:div w:id="53823303">
          <w:marLeft w:val="0"/>
          <w:marRight w:val="0"/>
          <w:marTop w:val="0"/>
          <w:marBottom w:val="0"/>
          <w:divBdr>
            <w:top w:val="none" w:sz="0" w:space="0" w:color="auto"/>
            <w:left w:val="none" w:sz="0" w:space="0" w:color="auto"/>
            <w:bottom w:val="none" w:sz="0" w:space="0" w:color="auto"/>
            <w:right w:val="none" w:sz="0" w:space="0" w:color="auto"/>
          </w:divBdr>
          <w:divsChild>
            <w:div w:id="1557275164">
              <w:marLeft w:val="0"/>
              <w:marRight w:val="0"/>
              <w:marTop w:val="0"/>
              <w:marBottom w:val="0"/>
              <w:divBdr>
                <w:top w:val="none" w:sz="0" w:space="0" w:color="auto"/>
                <w:left w:val="none" w:sz="0" w:space="0" w:color="auto"/>
                <w:bottom w:val="none" w:sz="0" w:space="0" w:color="auto"/>
                <w:right w:val="none" w:sz="0" w:space="0" w:color="auto"/>
              </w:divBdr>
              <w:divsChild>
                <w:div w:id="35398701">
                  <w:marLeft w:val="0"/>
                  <w:marRight w:val="0"/>
                  <w:marTop w:val="0"/>
                  <w:marBottom w:val="0"/>
                  <w:divBdr>
                    <w:top w:val="none" w:sz="0" w:space="0" w:color="auto"/>
                    <w:left w:val="none" w:sz="0" w:space="0" w:color="auto"/>
                    <w:bottom w:val="none" w:sz="0" w:space="0" w:color="auto"/>
                    <w:right w:val="none" w:sz="0" w:space="0" w:color="auto"/>
                  </w:divBdr>
                </w:div>
              </w:divsChild>
            </w:div>
            <w:div w:id="1812403035">
              <w:marLeft w:val="0"/>
              <w:marRight w:val="0"/>
              <w:marTop w:val="0"/>
              <w:marBottom w:val="0"/>
              <w:divBdr>
                <w:top w:val="none" w:sz="0" w:space="0" w:color="auto"/>
                <w:left w:val="none" w:sz="0" w:space="0" w:color="auto"/>
                <w:bottom w:val="none" w:sz="0" w:space="0" w:color="auto"/>
                <w:right w:val="none" w:sz="0" w:space="0" w:color="auto"/>
              </w:divBdr>
              <w:divsChild>
                <w:div w:id="666129123">
                  <w:marLeft w:val="0"/>
                  <w:marRight w:val="0"/>
                  <w:marTop w:val="0"/>
                  <w:marBottom w:val="0"/>
                  <w:divBdr>
                    <w:top w:val="none" w:sz="0" w:space="0" w:color="auto"/>
                    <w:left w:val="none" w:sz="0" w:space="0" w:color="auto"/>
                    <w:bottom w:val="none" w:sz="0" w:space="0" w:color="auto"/>
                    <w:right w:val="none" w:sz="0" w:space="0" w:color="auto"/>
                  </w:divBdr>
                </w:div>
              </w:divsChild>
            </w:div>
            <w:div w:id="1183930688">
              <w:marLeft w:val="0"/>
              <w:marRight w:val="0"/>
              <w:marTop w:val="0"/>
              <w:marBottom w:val="0"/>
              <w:divBdr>
                <w:top w:val="none" w:sz="0" w:space="0" w:color="auto"/>
                <w:left w:val="none" w:sz="0" w:space="0" w:color="auto"/>
                <w:bottom w:val="none" w:sz="0" w:space="0" w:color="auto"/>
                <w:right w:val="none" w:sz="0" w:space="0" w:color="auto"/>
              </w:divBdr>
              <w:divsChild>
                <w:div w:id="6380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26079">
      <w:bodyDiv w:val="1"/>
      <w:marLeft w:val="0"/>
      <w:marRight w:val="0"/>
      <w:marTop w:val="0"/>
      <w:marBottom w:val="0"/>
      <w:divBdr>
        <w:top w:val="none" w:sz="0" w:space="0" w:color="auto"/>
        <w:left w:val="none" w:sz="0" w:space="0" w:color="auto"/>
        <w:bottom w:val="none" w:sz="0" w:space="0" w:color="auto"/>
        <w:right w:val="none" w:sz="0" w:space="0" w:color="auto"/>
      </w:divBdr>
      <w:divsChild>
        <w:div w:id="55127498">
          <w:marLeft w:val="0"/>
          <w:marRight w:val="0"/>
          <w:marTop w:val="15"/>
          <w:marBottom w:val="0"/>
          <w:divBdr>
            <w:top w:val="none" w:sz="0" w:space="0" w:color="auto"/>
            <w:left w:val="none" w:sz="0" w:space="0" w:color="auto"/>
            <w:bottom w:val="none" w:sz="0" w:space="0" w:color="auto"/>
            <w:right w:val="none" w:sz="0" w:space="0" w:color="auto"/>
          </w:divBdr>
          <w:divsChild>
            <w:div w:id="1249534789">
              <w:marLeft w:val="0"/>
              <w:marRight w:val="0"/>
              <w:marTop w:val="105"/>
              <w:marBottom w:val="0"/>
              <w:divBdr>
                <w:top w:val="none" w:sz="0" w:space="0" w:color="auto"/>
                <w:left w:val="none" w:sz="0" w:space="0" w:color="auto"/>
                <w:bottom w:val="none" w:sz="0" w:space="0" w:color="auto"/>
                <w:right w:val="none" w:sz="0" w:space="0" w:color="auto"/>
              </w:divBdr>
              <w:divsChild>
                <w:div w:id="352271626">
                  <w:marLeft w:val="0"/>
                  <w:marRight w:val="0"/>
                  <w:marTop w:val="0"/>
                  <w:marBottom w:val="0"/>
                  <w:divBdr>
                    <w:top w:val="none" w:sz="0" w:space="0" w:color="auto"/>
                    <w:left w:val="none" w:sz="0" w:space="0" w:color="auto"/>
                    <w:bottom w:val="none" w:sz="0" w:space="0" w:color="auto"/>
                    <w:right w:val="none" w:sz="0" w:space="0" w:color="auto"/>
                  </w:divBdr>
                </w:div>
                <w:div w:id="841168785">
                  <w:marLeft w:val="0"/>
                  <w:marRight w:val="0"/>
                  <w:marTop w:val="0"/>
                  <w:marBottom w:val="0"/>
                  <w:divBdr>
                    <w:top w:val="none" w:sz="0" w:space="0" w:color="auto"/>
                    <w:left w:val="none" w:sz="0" w:space="0" w:color="auto"/>
                    <w:bottom w:val="none" w:sz="0" w:space="0" w:color="auto"/>
                    <w:right w:val="none" w:sz="0" w:space="0" w:color="auto"/>
                  </w:divBdr>
                </w:div>
                <w:div w:id="1485123561">
                  <w:marLeft w:val="0"/>
                  <w:marRight w:val="0"/>
                  <w:marTop w:val="0"/>
                  <w:marBottom w:val="0"/>
                  <w:divBdr>
                    <w:top w:val="none" w:sz="0" w:space="0" w:color="auto"/>
                    <w:left w:val="none" w:sz="0" w:space="0" w:color="auto"/>
                    <w:bottom w:val="none" w:sz="0" w:space="0" w:color="auto"/>
                    <w:right w:val="none" w:sz="0" w:space="0" w:color="auto"/>
                  </w:divBdr>
                </w:div>
                <w:div w:id="19438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105350">
      <w:bodyDiv w:val="1"/>
      <w:marLeft w:val="0"/>
      <w:marRight w:val="0"/>
      <w:marTop w:val="0"/>
      <w:marBottom w:val="0"/>
      <w:divBdr>
        <w:top w:val="none" w:sz="0" w:space="0" w:color="auto"/>
        <w:left w:val="none" w:sz="0" w:space="0" w:color="auto"/>
        <w:bottom w:val="none" w:sz="0" w:space="0" w:color="auto"/>
        <w:right w:val="none" w:sz="0" w:space="0" w:color="auto"/>
      </w:divBdr>
      <w:divsChild>
        <w:div w:id="318266779">
          <w:marLeft w:val="0"/>
          <w:marRight w:val="0"/>
          <w:marTop w:val="0"/>
          <w:marBottom w:val="0"/>
          <w:divBdr>
            <w:top w:val="none" w:sz="0" w:space="0" w:color="auto"/>
            <w:left w:val="none" w:sz="0" w:space="0" w:color="auto"/>
            <w:bottom w:val="none" w:sz="0" w:space="0" w:color="auto"/>
            <w:right w:val="none" w:sz="0" w:space="0" w:color="auto"/>
          </w:divBdr>
          <w:divsChild>
            <w:div w:id="939797918">
              <w:marLeft w:val="0"/>
              <w:marRight w:val="0"/>
              <w:marTop w:val="0"/>
              <w:marBottom w:val="0"/>
              <w:divBdr>
                <w:top w:val="none" w:sz="0" w:space="0" w:color="auto"/>
                <w:left w:val="none" w:sz="0" w:space="0" w:color="auto"/>
                <w:bottom w:val="none" w:sz="0" w:space="0" w:color="auto"/>
                <w:right w:val="none" w:sz="0" w:space="0" w:color="auto"/>
              </w:divBdr>
              <w:divsChild>
                <w:div w:id="39158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552407">
      <w:bodyDiv w:val="1"/>
      <w:marLeft w:val="0"/>
      <w:marRight w:val="0"/>
      <w:marTop w:val="0"/>
      <w:marBottom w:val="0"/>
      <w:divBdr>
        <w:top w:val="none" w:sz="0" w:space="0" w:color="auto"/>
        <w:left w:val="none" w:sz="0" w:space="0" w:color="auto"/>
        <w:bottom w:val="none" w:sz="0" w:space="0" w:color="auto"/>
        <w:right w:val="none" w:sz="0" w:space="0" w:color="auto"/>
      </w:divBdr>
    </w:div>
    <w:div w:id="1045712956">
      <w:bodyDiv w:val="1"/>
      <w:marLeft w:val="0"/>
      <w:marRight w:val="0"/>
      <w:marTop w:val="0"/>
      <w:marBottom w:val="0"/>
      <w:divBdr>
        <w:top w:val="none" w:sz="0" w:space="0" w:color="auto"/>
        <w:left w:val="none" w:sz="0" w:space="0" w:color="auto"/>
        <w:bottom w:val="none" w:sz="0" w:space="0" w:color="auto"/>
        <w:right w:val="none" w:sz="0" w:space="0" w:color="auto"/>
      </w:divBdr>
      <w:divsChild>
        <w:div w:id="990796251">
          <w:marLeft w:val="0"/>
          <w:marRight w:val="0"/>
          <w:marTop w:val="0"/>
          <w:marBottom w:val="0"/>
          <w:divBdr>
            <w:top w:val="none" w:sz="0" w:space="0" w:color="auto"/>
            <w:left w:val="none" w:sz="0" w:space="0" w:color="auto"/>
            <w:bottom w:val="none" w:sz="0" w:space="0" w:color="auto"/>
            <w:right w:val="none" w:sz="0" w:space="0" w:color="auto"/>
          </w:divBdr>
          <w:divsChild>
            <w:div w:id="759177977">
              <w:marLeft w:val="0"/>
              <w:marRight w:val="0"/>
              <w:marTop w:val="0"/>
              <w:marBottom w:val="0"/>
              <w:divBdr>
                <w:top w:val="none" w:sz="0" w:space="0" w:color="auto"/>
                <w:left w:val="none" w:sz="0" w:space="0" w:color="auto"/>
                <w:bottom w:val="none" w:sz="0" w:space="0" w:color="auto"/>
                <w:right w:val="none" w:sz="0" w:space="0" w:color="auto"/>
              </w:divBdr>
              <w:divsChild>
                <w:div w:id="942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717658">
      <w:bodyDiv w:val="1"/>
      <w:marLeft w:val="0"/>
      <w:marRight w:val="0"/>
      <w:marTop w:val="0"/>
      <w:marBottom w:val="0"/>
      <w:divBdr>
        <w:top w:val="none" w:sz="0" w:space="0" w:color="auto"/>
        <w:left w:val="none" w:sz="0" w:space="0" w:color="auto"/>
        <w:bottom w:val="none" w:sz="0" w:space="0" w:color="auto"/>
        <w:right w:val="none" w:sz="0" w:space="0" w:color="auto"/>
      </w:divBdr>
      <w:divsChild>
        <w:div w:id="1487698054">
          <w:marLeft w:val="0"/>
          <w:marRight w:val="0"/>
          <w:marTop w:val="0"/>
          <w:marBottom w:val="0"/>
          <w:divBdr>
            <w:top w:val="none" w:sz="0" w:space="0" w:color="auto"/>
            <w:left w:val="none" w:sz="0" w:space="0" w:color="auto"/>
            <w:bottom w:val="none" w:sz="0" w:space="0" w:color="auto"/>
            <w:right w:val="none" w:sz="0" w:space="0" w:color="auto"/>
          </w:divBdr>
          <w:divsChild>
            <w:div w:id="37704849">
              <w:marLeft w:val="0"/>
              <w:marRight w:val="0"/>
              <w:marTop w:val="0"/>
              <w:marBottom w:val="0"/>
              <w:divBdr>
                <w:top w:val="none" w:sz="0" w:space="0" w:color="auto"/>
                <w:left w:val="none" w:sz="0" w:space="0" w:color="auto"/>
                <w:bottom w:val="none" w:sz="0" w:space="0" w:color="auto"/>
                <w:right w:val="none" w:sz="0" w:space="0" w:color="auto"/>
              </w:divBdr>
              <w:divsChild>
                <w:div w:id="50262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8891">
      <w:bodyDiv w:val="1"/>
      <w:marLeft w:val="0"/>
      <w:marRight w:val="0"/>
      <w:marTop w:val="0"/>
      <w:marBottom w:val="0"/>
      <w:divBdr>
        <w:top w:val="none" w:sz="0" w:space="0" w:color="auto"/>
        <w:left w:val="none" w:sz="0" w:space="0" w:color="auto"/>
        <w:bottom w:val="none" w:sz="0" w:space="0" w:color="auto"/>
        <w:right w:val="none" w:sz="0" w:space="0" w:color="auto"/>
      </w:divBdr>
      <w:divsChild>
        <w:div w:id="16197100">
          <w:marLeft w:val="0"/>
          <w:marRight w:val="0"/>
          <w:marTop w:val="0"/>
          <w:marBottom w:val="0"/>
          <w:divBdr>
            <w:top w:val="none" w:sz="0" w:space="0" w:color="auto"/>
            <w:left w:val="none" w:sz="0" w:space="0" w:color="auto"/>
            <w:bottom w:val="none" w:sz="0" w:space="0" w:color="auto"/>
            <w:right w:val="none" w:sz="0" w:space="0" w:color="auto"/>
          </w:divBdr>
          <w:divsChild>
            <w:div w:id="1846674749">
              <w:marLeft w:val="0"/>
              <w:marRight w:val="0"/>
              <w:marTop w:val="0"/>
              <w:marBottom w:val="0"/>
              <w:divBdr>
                <w:top w:val="none" w:sz="0" w:space="0" w:color="auto"/>
                <w:left w:val="none" w:sz="0" w:space="0" w:color="auto"/>
                <w:bottom w:val="none" w:sz="0" w:space="0" w:color="auto"/>
                <w:right w:val="none" w:sz="0" w:space="0" w:color="auto"/>
              </w:divBdr>
              <w:divsChild>
                <w:div w:id="9352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49267">
      <w:bodyDiv w:val="1"/>
      <w:marLeft w:val="0"/>
      <w:marRight w:val="0"/>
      <w:marTop w:val="0"/>
      <w:marBottom w:val="0"/>
      <w:divBdr>
        <w:top w:val="none" w:sz="0" w:space="0" w:color="auto"/>
        <w:left w:val="none" w:sz="0" w:space="0" w:color="auto"/>
        <w:bottom w:val="none" w:sz="0" w:space="0" w:color="auto"/>
        <w:right w:val="none" w:sz="0" w:space="0" w:color="auto"/>
      </w:divBdr>
    </w:div>
    <w:div w:id="1901356416">
      <w:bodyDiv w:val="1"/>
      <w:marLeft w:val="0"/>
      <w:marRight w:val="0"/>
      <w:marTop w:val="0"/>
      <w:marBottom w:val="0"/>
      <w:divBdr>
        <w:top w:val="none" w:sz="0" w:space="0" w:color="auto"/>
        <w:left w:val="none" w:sz="0" w:space="0" w:color="auto"/>
        <w:bottom w:val="none" w:sz="0" w:space="0" w:color="auto"/>
        <w:right w:val="none" w:sz="0" w:space="0" w:color="auto"/>
      </w:divBdr>
      <w:divsChild>
        <w:div w:id="1600603090">
          <w:marLeft w:val="0"/>
          <w:marRight w:val="0"/>
          <w:marTop w:val="0"/>
          <w:marBottom w:val="240"/>
          <w:divBdr>
            <w:top w:val="none" w:sz="0" w:space="0" w:color="auto"/>
            <w:left w:val="none" w:sz="0" w:space="0" w:color="auto"/>
            <w:bottom w:val="none" w:sz="0" w:space="0" w:color="auto"/>
            <w:right w:val="none" w:sz="0" w:space="0" w:color="auto"/>
          </w:divBdr>
        </w:div>
        <w:div w:id="2082482654">
          <w:marLeft w:val="0"/>
          <w:marRight w:val="0"/>
          <w:marTop w:val="0"/>
          <w:marBottom w:val="240"/>
          <w:divBdr>
            <w:top w:val="none" w:sz="0" w:space="0" w:color="auto"/>
            <w:left w:val="none" w:sz="0" w:space="0" w:color="auto"/>
            <w:bottom w:val="none" w:sz="0" w:space="0" w:color="auto"/>
            <w:right w:val="none" w:sz="0" w:space="0" w:color="auto"/>
          </w:divBdr>
        </w:div>
        <w:div w:id="1103068942">
          <w:marLeft w:val="0"/>
          <w:marRight w:val="0"/>
          <w:marTop w:val="0"/>
          <w:marBottom w:val="240"/>
          <w:divBdr>
            <w:top w:val="none" w:sz="0" w:space="0" w:color="auto"/>
            <w:left w:val="none" w:sz="0" w:space="0" w:color="auto"/>
            <w:bottom w:val="none" w:sz="0" w:space="0" w:color="auto"/>
            <w:right w:val="none" w:sz="0" w:space="0" w:color="auto"/>
          </w:divBdr>
        </w:div>
      </w:divsChild>
    </w:div>
    <w:div w:id="1955359813">
      <w:bodyDiv w:val="1"/>
      <w:marLeft w:val="0"/>
      <w:marRight w:val="0"/>
      <w:marTop w:val="0"/>
      <w:marBottom w:val="0"/>
      <w:divBdr>
        <w:top w:val="none" w:sz="0" w:space="0" w:color="auto"/>
        <w:left w:val="none" w:sz="0" w:space="0" w:color="auto"/>
        <w:bottom w:val="none" w:sz="0" w:space="0" w:color="auto"/>
        <w:right w:val="none" w:sz="0" w:space="0" w:color="auto"/>
      </w:divBdr>
      <w:divsChild>
        <w:div w:id="1677416233">
          <w:marLeft w:val="0"/>
          <w:marRight w:val="0"/>
          <w:marTop w:val="0"/>
          <w:marBottom w:val="0"/>
          <w:divBdr>
            <w:top w:val="none" w:sz="0" w:space="0" w:color="auto"/>
            <w:left w:val="none" w:sz="0" w:space="0" w:color="auto"/>
            <w:bottom w:val="none" w:sz="0" w:space="0" w:color="auto"/>
            <w:right w:val="none" w:sz="0" w:space="0" w:color="auto"/>
          </w:divBdr>
          <w:divsChild>
            <w:div w:id="1025181682">
              <w:marLeft w:val="0"/>
              <w:marRight w:val="0"/>
              <w:marTop w:val="0"/>
              <w:marBottom w:val="0"/>
              <w:divBdr>
                <w:top w:val="none" w:sz="0" w:space="0" w:color="auto"/>
                <w:left w:val="none" w:sz="0" w:space="0" w:color="auto"/>
                <w:bottom w:val="none" w:sz="0" w:space="0" w:color="auto"/>
                <w:right w:val="none" w:sz="0" w:space="0" w:color="auto"/>
              </w:divBdr>
              <w:divsChild>
                <w:div w:id="915823460">
                  <w:marLeft w:val="0"/>
                  <w:marRight w:val="0"/>
                  <w:marTop w:val="0"/>
                  <w:marBottom w:val="0"/>
                  <w:divBdr>
                    <w:top w:val="none" w:sz="0" w:space="0" w:color="auto"/>
                    <w:left w:val="none" w:sz="0" w:space="0" w:color="auto"/>
                    <w:bottom w:val="none" w:sz="0" w:space="0" w:color="auto"/>
                    <w:right w:val="none" w:sz="0" w:space="0" w:color="auto"/>
                  </w:divBdr>
                </w:div>
              </w:divsChild>
            </w:div>
            <w:div w:id="610477458">
              <w:marLeft w:val="0"/>
              <w:marRight w:val="0"/>
              <w:marTop w:val="0"/>
              <w:marBottom w:val="0"/>
              <w:divBdr>
                <w:top w:val="none" w:sz="0" w:space="0" w:color="auto"/>
                <w:left w:val="none" w:sz="0" w:space="0" w:color="auto"/>
                <w:bottom w:val="none" w:sz="0" w:space="0" w:color="auto"/>
                <w:right w:val="none" w:sz="0" w:space="0" w:color="auto"/>
              </w:divBdr>
              <w:divsChild>
                <w:div w:id="1535651534">
                  <w:marLeft w:val="0"/>
                  <w:marRight w:val="0"/>
                  <w:marTop w:val="0"/>
                  <w:marBottom w:val="0"/>
                  <w:divBdr>
                    <w:top w:val="none" w:sz="0" w:space="0" w:color="auto"/>
                    <w:left w:val="none" w:sz="0" w:space="0" w:color="auto"/>
                    <w:bottom w:val="none" w:sz="0" w:space="0" w:color="auto"/>
                    <w:right w:val="none" w:sz="0" w:space="0" w:color="auto"/>
                  </w:divBdr>
                </w:div>
              </w:divsChild>
            </w:div>
            <w:div w:id="814102014">
              <w:marLeft w:val="0"/>
              <w:marRight w:val="0"/>
              <w:marTop w:val="0"/>
              <w:marBottom w:val="0"/>
              <w:divBdr>
                <w:top w:val="none" w:sz="0" w:space="0" w:color="auto"/>
                <w:left w:val="none" w:sz="0" w:space="0" w:color="auto"/>
                <w:bottom w:val="none" w:sz="0" w:space="0" w:color="auto"/>
                <w:right w:val="none" w:sz="0" w:space="0" w:color="auto"/>
              </w:divBdr>
              <w:divsChild>
                <w:div w:id="141408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ocs.cpuc.ca.gov/DecisionsSearchFor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085BA-CA8B-9149-AC74-B12A1418486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1823</ap:Words>
  <ap:Characters>10396</ap:Characters>
  <ap:Application>Microsoft Office Word</ap:Application>
  <ap:DocSecurity>0</ap:DocSecurity>
  <ap:Lines>86</ap:Lines>
  <ap:Paragraphs>24</ap:Paragraphs>
  <ap:ScaleCrop>false</ap:ScaleCrop>
  <ap:Company/>
  <ap:LinksUpToDate>false</ap:LinksUpToDate>
  <ap:CharactersWithSpaces>12195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2026-07-21T00:16:00Z</cp:lastPrinted>
  <dcterms:created xsi:type="dcterms:W3CDTF">2026-10-09T12:05:50Z</dcterms:created>
  <dcterms:modified xsi:type="dcterms:W3CDTF">2026-10-09T12:05:50Z</dcterms:modified>
</cp:coreProperties>
</file>