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74CA8" w:rsidR="00B60421" w:rsidP="007E0FEE" w:rsidRDefault="00CC64A4" w14:paraId="414D3FDD" w14:textId="0D0921E6">
      <w:pPr>
        <w:tabs>
          <w:tab w:val="center" w:pos="4680"/>
          <w:tab w:val="right" w:pos="9360"/>
        </w:tabs>
        <w:spacing w:line="240" w:lineRule="auto"/>
        <w:ind w:firstLine="0"/>
        <w:rPr>
          <w:b/>
          <w:bCs/>
          <w:sz w:val="24"/>
          <w:szCs w:val="24"/>
        </w:rPr>
      </w:pPr>
      <w:r>
        <w:t>ALJ</w:t>
      </w:r>
      <w:r w:rsidR="00DA7B5D">
        <w:t>/</w:t>
      </w:r>
      <w:r>
        <w:t>EFD</w:t>
      </w:r>
      <w:r w:rsidR="00DA7B5D">
        <w:t>/</w:t>
      </w:r>
      <w:r>
        <w:t>vj4</w:t>
      </w:r>
      <w:r w:rsidR="007E0FEE">
        <w:tab/>
      </w:r>
      <w:r w:rsidR="00DA7B5D">
        <w:tab/>
      </w:r>
      <w:r w:rsidR="00774CA8">
        <w:rPr>
          <w:b/>
          <w:bCs/>
        </w:rPr>
        <w:t>Date of Issuance 10/12/2026</w:t>
      </w:r>
    </w:p>
    <w:p w:rsidR="00DA7B5D" w:rsidP="008F0116" w:rsidRDefault="00DA7B5D" w14:paraId="1C8A431E" w14:textId="77777777">
      <w:pPr>
        <w:ind w:firstLine="0"/>
        <w:rPr>
          <w:b/>
        </w:rPr>
      </w:pPr>
    </w:p>
    <w:p w:rsidR="00774CA8" w:rsidP="008F0116" w:rsidRDefault="00774CA8" w14:paraId="39FC3EEE" w14:textId="77777777">
      <w:pPr>
        <w:ind w:firstLine="0"/>
      </w:pPr>
    </w:p>
    <w:p w:rsidRPr="00EE3060" w:rsidR="00DA7B5D" w:rsidP="0098655A" w:rsidRDefault="00DA7B5D" w14:paraId="7F3D973B" w14:textId="6E4BE2EC">
      <w:pPr>
        <w:ind w:left="1080" w:hanging="1080"/>
      </w:pPr>
      <w:r>
        <w:t xml:space="preserve">Decision </w:t>
      </w:r>
      <w:r w:rsidRPr="004A1B03" w:rsidR="004A1B03">
        <w:t>26-10-</w:t>
      </w:r>
      <w:proofErr w:type="gramStart"/>
      <w:r w:rsidRPr="004A1B03" w:rsidR="004A1B03">
        <w:t>012</w:t>
      </w:r>
      <w:r w:rsidR="004A1B03">
        <w:t xml:space="preserve">  October</w:t>
      </w:r>
      <w:proofErr w:type="gramEnd"/>
      <w:r w:rsidR="004A1B03">
        <w:t xml:space="preserve"> 8, 2026</w:t>
      </w:r>
    </w:p>
    <w:p w:rsidR="00DA7B5D" w:rsidP="00BB0243" w:rsidRDefault="00DA7B5D" w14:paraId="78DFC19E" w14:textId="77777777">
      <w:pPr>
        <w:spacing w:line="240" w:lineRule="auto"/>
        <w:jc w:val="center"/>
        <w:rPr>
          <w:u w:val="single"/>
        </w:rPr>
      </w:pPr>
    </w:p>
    <w:p w:rsidR="00DA7B5D" w:rsidP="00BB0243" w:rsidRDefault="00DA7B5D" w14:paraId="3B13CF19"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01FCBFF0"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E725FC" w14:paraId="733F8DC4" w14:textId="77777777">
        <w:trPr>
          <w:jc w:val="center"/>
        </w:trPr>
        <w:tc>
          <w:tcPr>
            <w:tcW w:w="5040" w:type="dxa"/>
            <w:tcBorders>
              <w:top w:val="nil"/>
              <w:left w:val="nil"/>
              <w:bottom w:val="single" w:color="auto" w:sz="4" w:space="0"/>
              <w:right w:val="single" w:color="auto" w:sz="4" w:space="0"/>
            </w:tcBorders>
          </w:tcPr>
          <w:p w:rsidRPr="00DA7B5D" w:rsidR="00DA7B5D" w:rsidP="00C10B5F" w:rsidRDefault="000743BB" w14:paraId="585C0319" w14:textId="2C617258">
            <w:pPr>
              <w:spacing w:line="240" w:lineRule="auto"/>
              <w:ind w:firstLine="0"/>
              <w:rPr>
                <w:rFonts w:cs="Arial"/>
                <w:szCs w:val="26"/>
              </w:rPr>
            </w:pPr>
            <w:r w:rsidRPr="000743BB">
              <w:rPr>
                <w:rFonts w:cs="Arial"/>
                <w:szCs w:val="26"/>
              </w:rPr>
              <w:t xml:space="preserve">Joint Application of Ex Spa Holdings, LLC and </w:t>
            </w:r>
            <w:proofErr w:type="spellStart"/>
            <w:r w:rsidRPr="000743BB">
              <w:rPr>
                <w:rFonts w:cs="Arial"/>
                <w:szCs w:val="26"/>
              </w:rPr>
              <w:t>Exiant</w:t>
            </w:r>
            <w:proofErr w:type="spellEnd"/>
            <w:r w:rsidRPr="000743BB">
              <w:rPr>
                <w:rFonts w:cs="Arial"/>
                <w:szCs w:val="26"/>
              </w:rPr>
              <w:t xml:space="preserve"> Communications LLC for Approval Pursuant to Public Utilities Code Section 854 of the Transfer of Control of </w:t>
            </w:r>
            <w:proofErr w:type="spellStart"/>
            <w:r w:rsidRPr="000743BB">
              <w:rPr>
                <w:rFonts w:cs="Arial"/>
                <w:szCs w:val="26"/>
              </w:rPr>
              <w:t>Exiant</w:t>
            </w:r>
            <w:proofErr w:type="spellEnd"/>
            <w:r w:rsidRPr="000743BB">
              <w:rPr>
                <w:rFonts w:cs="Arial"/>
                <w:szCs w:val="26"/>
              </w:rPr>
              <w:t xml:space="preserve"> Communications LLC (Utility ID1565).</w:t>
            </w:r>
            <w:r w:rsidRPr="00DA7B5D" w:rsidR="00DA7B5D">
              <w:rPr>
                <w:rFonts w:cs="Arial"/>
                <w:szCs w:val="26"/>
              </w:rPr>
              <w:br/>
            </w:r>
          </w:p>
        </w:tc>
        <w:tc>
          <w:tcPr>
            <w:tcW w:w="5040" w:type="dxa"/>
            <w:tcBorders>
              <w:top w:val="nil"/>
              <w:left w:val="single" w:color="auto" w:sz="4" w:space="0"/>
              <w:bottom w:val="nil"/>
              <w:right w:val="nil"/>
            </w:tcBorders>
            <w:vAlign w:val="center"/>
          </w:tcPr>
          <w:p w:rsidRPr="00DA7B5D" w:rsidR="00DA7B5D" w:rsidP="00412C83" w:rsidRDefault="00B35C0F" w14:paraId="5CEFB6AA" w14:textId="52ADE4CC">
            <w:pPr>
              <w:spacing w:line="240" w:lineRule="auto"/>
              <w:ind w:firstLine="0"/>
              <w:jc w:val="center"/>
              <w:rPr>
                <w:rFonts w:cs="Arial"/>
                <w:szCs w:val="26"/>
              </w:rPr>
            </w:pPr>
            <w:r>
              <w:rPr>
                <w:rFonts w:cs="Arial"/>
                <w:szCs w:val="26"/>
              </w:rPr>
              <w:t>Application 25-12-020</w:t>
            </w:r>
          </w:p>
        </w:tc>
      </w:tr>
    </w:tbl>
    <w:p w:rsidR="00DA7B5D" w:rsidP="008F0116" w:rsidRDefault="00DA7B5D" w14:paraId="682E9BA0" w14:textId="77777777">
      <w:pPr>
        <w:spacing w:line="240" w:lineRule="auto"/>
        <w:ind w:firstLine="0"/>
        <w:rPr>
          <w:rFonts w:ascii="Arial" w:hAnsi="Arial" w:cs="Arial"/>
          <w:sz w:val="24"/>
          <w:szCs w:val="24"/>
        </w:rPr>
      </w:pPr>
    </w:p>
    <w:p w:rsidRPr="00164D1E" w:rsidR="005A148C" w:rsidP="00732842" w:rsidRDefault="006E45A0" w14:paraId="3BD6F90B" w14:textId="6F82C138">
      <w:pPr>
        <w:pStyle w:val="Dummy"/>
        <w:jc w:val="center"/>
        <w:rPr>
          <w:rFonts w:eastAsiaTheme="majorEastAsia" w:cstheme="majorBidi"/>
          <w:caps/>
          <w:szCs w:val="56"/>
        </w:rPr>
      </w:pPr>
      <w:bookmarkStart w:name="_Toc8123714" w:id="0"/>
      <w:bookmarkStart w:name="_Toc237008399" w:id="1"/>
      <w:r w:rsidRPr="006E45A0">
        <w:rPr>
          <w:rFonts w:eastAsiaTheme="majorEastAsia" w:cstheme="majorBidi"/>
          <w:caps/>
          <w:szCs w:val="56"/>
        </w:rPr>
        <w:t xml:space="preserve">DECISION </w:t>
      </w:r>
      <w:r w:rsidRPr="00BD3B72">
        <w:rPr>
          <w:rFonts w:eastAsiaTheme="majorEastAsia" w:cstheme="majorBidi"/>
          <w:caps/>
          <w:szCs w:val="56"/>
        </w:rPr>
        <w:t>APPROVING</w:t>
      </w:r>
      <w:r w:rsidRPr="006E45A0">
        <w:rPr>
          <w:rFonts w:eastAsiaTheme="majorEastAsia" w:cstheme="majorBidi"/>
          <w:caps/>
          <w:szCs w:val="56"/>
        </w:rPr>
        <w:t xml:space="preserve"> THE TRANSFER OF CONTROL OF </w:t>
      </w:r>
      <w:r w:rsidRPr="00D2315A" w:rsidR="00D2315A">
        <w:rPr>
          <w:rFonts w:eastAsiaTheme="majorEastAsia" w:cstheme="majorBidi"/>
          <w:caps/>
          <w:szCs w:val="56"/>
        </w:rPr>
        <w:t xml:space="preserve">EXIANT </w:t>
      </w:r>
      <w:r w:rsidRPr="00164D1E" w:rsidR="00D2315A">
        <w:rPr>
          <w:rFonts w:eastAsiaTheme="majorEastAsia" w:cstheme="majorBidi"/>
          <w:caps/>
          <w:szCs w:val="56"/>
        </w:rPr>
        <w:t>COMMUNICATIONS LLC</w:t>
      </w:r>
      <w:r w:rsidRPr="00164D1E">
        <w:rPr>
          <w:rFonts w:eastAsiaTheme="majorEastAsia" w:cstheme="majorBidi"/>
          <w:caps/>
          <w:szCs w:val="56"/>
        </w:rPr>
        <w:t xml:space="preserve"> </w:t>
      </w:r>
      <w:r w:rsidRPr="00164D1E" w:rsidR="004425A3">
        <w:rPr>
          <w:rFonts w:eastAsiaTheme="majorEastAsia" w:cstheme="majorBidi"/>
          <w:caps/>
          <w:szCs w:val="56"/>
        </w:rPr>
        <w:t xml:space="preserve">(U1565C) </w:t>
      </w:r>
      <w:r w:rsidRPr="00164D1E">
        <w:rPr>
          <w:rFonts w:eastAsiaTheme="majorEastAsia" w:cstheme="majorBidi"/>
          <w:caps/>
          <w:szCs w:val="56"/>
        </w:rPr>
        <w:t xml:space="preserve">TO </w:t>
      </w:r>
      <w:bookmarkEnd w:id="0"/>
      <w:r w:rsidRPr="00164D1E" w:rsidR="00CB2133">
        <w:rPr>
          <w:rFonts w:eastAsiaTheme="majorEastAsia" w:cstheme="majorBidi"/>
          <w:caps/>
          <w:szCs w:val="56"/>
        </w:rPr>
        <w:t>EX SPA HOLDINGS, LLC</w:t>
      </w:r>
      <w:r w:rsidRPr="00164D1E" w:rsidR="00E15478">
        <w:rPr>
          <w:rFonts w:eastAsiaTheme="majorEastAsia" w:cstheme="majorBidi"/>
          <w:caps/>
          <w:szCs w:val="56"/>
        </w:rPr>
        <w:t xml:space="preserve"> AnD ASSESSING PENALTIES</w:t>
      </w:r>
      <w:bookmarkEnd w:id="1"/>
    </w:p>
    <w:p w:rsidRPr="00164D1E" w:rsidR="00E15478" w:rsidP="00A55ACD" w:rsidRDefault="00E15478" w14:paraId="278E139F" w14:textId="2C57B69E">
      <w:pPr>
        <w:pStyle w:val="Heading1"/>
        <w:numPr>
          <w:ilvl w:val="0"/>
          <w:numId w:val="1"/>
        </w:numPr>
      </w:pPr>
      <w:bookmarkStart w:name="_Toc237008400" w:id="2"/>
      <w:r w:rsidRPr="00164D1E">
        <w:t>Summary</w:t>
      </w:r>
      <w:bookmarkEnd w:id="2"/>
    </w:p>
    <w:p w:rsidR="008169EB" w:rsidP="004425A3" w:rsidRDefault="008169EB" w14:paraId="3FCA4BD4" w14:textId="2D55D062">
      <w:pPr>
        <w:pStyle w:val="Standard"/>
      </w:pPr>
      <w:r>
        <w:t>Under</w:t>
      </w:r>
      <w:r w:rsidRPr="008169EB">
        <w:t xml:space="preserve"> Public Utilities (Pub. Util.) Code Section </w:t>
      </w:r>
      <w:r w:rsidRPr="00BA2211">
        <w:t>854(a)</w:t>
      </w:r>
      <w:r w:rsidRPr="008169EB">
        <w:t xml:space="preserve">, this decision approves the unopposed joint application for transfer of control of </w:t>
      </w:r>
      <w:proofErr w:type="spellStart"/>
      <w:r>
        <w:t>Exiant</w:t>
      </w:r>
      <w:proofErr w:type="spellEnd"/>
      <w:r>
        <w:t xml:space="preserve"> Communications LLC</w:t>
      </w:r>
      <w:r w:rsidRPr="008169EB">
        <w:t xml:space="preserve"> (</w:t>
      </w:r>
      <w:r>
        <w:t>U1565C</w:t>
      </w:r>
      <w:r w:rsidRPr="008169EB">
        <w:t xml:space="preserve">) </w:t>
      </w:r>
      <w:r w:rsidR="004522D1">
        <w:t>(</w:t>
      </w:r>
      <w:proofErr w:type="spellStart"/>
      <w:r w:rsidR="004522D1">
        <w:t>Exiant</w:t>
      </w:r>
      <w:proofErr w:type="spellEnd"/>
      <w:r w:rsidR="004522D1">
        <w:t xml:space="preserve">) </w:t>
      </w:r>
      <w:r w:rsidRPr="008169EB">
        <w:t xml:space="preserve">to </w:t>
      </w:r>
      <w:r w:rsidR="004522D1">
        <w:t>Ex Spa Holdings, LLC (Ex Spa</w:t>
      </w:r>
      <w:r w:rsidR="00BA2211">
        <w:t xml:space="preserve">), </w:t>
      </w:r>
      <w:r w:rsidRPr="00BA2211">
        <w:t xml:space="preserve">subject to the </w:t>
      </w:r>
      <w:r w:rsidR="0055683B">
        <w:t>requirements</w:t>
      </w:r>
      <w:r w:rsidRPr="00BA2211" w:rsidR="0055683B">
        <w:t xml:space="preserve"> </w:t>
      </w:r>
      <w:r w:rsidRPr="00BA2211">
        <w:t>set forth in the Ordering Paragraphs.</w:t>
      </w:r>
      <w:r w:rsidRPr="008169EB">
        <w:t xml:space="preserve"> </w:t>
      </w:r>
      <w:proofErr w:type="spellStart"/>
      <w:r w:rsidR="004522D1">
        <w:t>Exiant</w:t>
      </w:r>
      <w:proofErr w:type="spellEnd"/>
      <w:r w:rsidRPr="008169EB">
        <w:t xml:space="preserve"> </w:t>
      </w:r>
      <w:r w:rsidR="00470AD1">
        <w:t xml:space="preserve">and Ex Spa </w:t>
      </w:r>
      <w:r w:rsidRPr="008169EB">
        <w:t xml:space="preserve">must pay </w:t>
      </w:r>
      <w:r w:rsidRPr="00BA2211">
        <w:t>$</w:t>
      </w:r>
      <w:r w:rsidR="00BA2211">
        <w:t>500</w:t>
      </w:r>
      <w:r w:rsidRPr="008169EB">
        <w:t xml:space="preserve"> </w:t>
      </w:r>
      <w:r w:rsidR="00470AD1">
        <w:t xml:space="preserve">in total </w:t>
      </w:r>
      <w:r w:rsidRPr="008169EB">
        <w:t xml:space="preserve">for their prior unauthorized transfer of control </w:t>
      </w:r>
      <w:r w:rsidR="007E4D05">
        <w:t xml:space="preserve">from </w:t>
      </w:r>
      <w:proofErr w:type="spellStart"/>
      <w:r w:rsidR="004522D1">
        <w:t>Exiant</w:t>
      </w:r>
      <w:proofErr w:type="spellEnd"/>
      <w:r w:rsidR="004522D1">
        <w:t xml:space="preserve"> to Ex Spa</w:t>
      </w:r>
      <w:r w:rsidRPr="008169EB">
        <w:t xml:space="preserve"> in violation of </w:t>
      </w:r>
      <w:r w:rsidRPr="00BA2211">
        <w:t>Pub. Util. Code Section 854(a) and in accordance with Pub. Util. Code Sections 2107 and 2108.</w:t>
      </w:r>
    </w:p>
    <w:p w:rsidRPr="001244A3" w:rsidR="004425A3" w:rsidP="004425A3" w:rsidRDefault="004425A3" w14:paraId="40A771B7" w14:textId="1C3F3468">
      <w:pPr>
        <w:pStyle w:val="Standard"/>
      </w:pPr>
      <w:r w:rsidRPr="001244A3">
        <w:t xml:space="preserve">Application 25-12-020 is closed. </w:t>
      </w:r>
    </w:p>
    <w:p w:rsidRPr="001244A3" w:rsidR="005A148C" w:rsidP="00A55ACD" w:rsidRDefault="00E17D81" w14:paraId="3891D75B" w14:textId="49539BD5">
      <w:pPr>
        <w:pStyle w:val="Heading1"/>
        <w:numPr>
          <w:ilvl w:val="0"/>
          <w:numId w:val="1"/>
        </w:numPr>
      </w:pPr>
      <w:bookmarkStart w:name="_Toc237008401" w:id="3"/>
      <w:r w:rsidRPr="001244A3">
        <w:t>Factual and Procedural Background</w:t>
      </w:r>
      <w:bookmarkEnd w:id="3"/>
    </w:p>
    <w:p w:rsidR="00E17D81" w:rsidP="00E17D81" w:rsidRDefault="004425A3" w14:paraId="201D7E52" w14:textId="4EC12F68">
      <w:pPr>
        <w:pStyle w:val="Standard"/>
      </w:pPr>
      <w:proofErr w:type="spellStart"/>
      <w:r>
        <w:t>Exiant</w:t>
      </w:r>
      <w:proofErr w:type="spellEnd"/>
      <w:r>
        <w:t xml:space="preserve"> Communications LLC (U1565C)</w:t>
      </w:r>
      <w:r w:rsidR="00830CBC">
        <w:t xml:space="preserve"> (</w:t>
      </w:r>
      <w:proofErr w:type="spellStart"/>
      <w:r w:rsidR="00830CBC">
        <w:t>Exiant</w:t>
      </w:r>
      <w:proofErr w:type="spellEnd"/>
      <w:r w:rsidR="00830CBC">
        <w:t>) is a Florida limited liability company</w:t>
      </w:r>
      <w:r w:rsidR="00F7247A">
        <w:t xml:space="preserve"> (LLC)</w:t>
      </w:r>
      <w:r w:rsidR="002D1A91">
        <w:t xml:space="preserve"> with a principal place of business at 1515 Park Center Drive, </w:t>
      </w:r>
      <w:r w:rsidR="002D1A91">
        <w:lastRenderedPageBreak/>
        <w:t>Orlando, Florida, 32835.</w:t>
      </w:r>
      <w:r w:rsidR="002D1A91">
        <w:rPr>
          <w:rStyle w:val="FootnoteReference"/>
        </w:rPr>
        <w:footnoteReference w:id="2"/>
      </w:r>
      <w:r w:rsidR="002D1A91">
        <w:t xml:space="preserve"> </w:t>
      </w:r>
      <w:proofErr w:type="spellStart"/>
      <w:r w:rsidR="00751589">
        <w:t>Exiant</w:t>
      </w:r>
      <w:proofErr w:type="spellEnd"/>
      <w:r w:rsidR="00751589">
        <w:t xml:space="preserve"> is registered with the </w:t>
      </w:r>
      <w:r w:rsidR="00A941BB">
        <w:t>Commission</w:t>
      </w:r>
      <w:r w:rsidR="00751589">
        <w:t xml:space="preserve"> as a Digital Voice Fixed (DVF) provider in California under Decision (D.) 24-11-003.</w:t>
      </w:r>
      <w:r w:rsidR="00751589">
        <w:rPr>
          <w:rStyle w:val="FootnoteReference"/>
        </w:rPr>
        <w:footnoteReference w:id="3"/>
      </w:r>
      <w:r w:rsidR="00751589">
        <w:t xml:space="preserve"> </w:t>
      </w:r>
      <w:proofErr w:type="spellStart"/>
      <w:r w:rsidR="00751589">
        <w:t>Exiant</w:t>
      </w:r>
      <w:proofErr w:type="spellEnd"/>
      <w:r w:rsidR="00751589">
        <w:t xml:space="preserve"> does not have any customers in the State of California</w:t>
      </w:r>
      <w:r w:rsidR="000904ED">
        <w:t xml:space="preserve"> and is in the process of initiat</w:t>
      </w:r>
      <w:r w:rsidRPr="00AC26E5" w:rsidR="000904ED">
        <w:t>ing</w:t>
      </w:r>
      <w:r w:rsidR="009A3FC5">
        <w:t xml:space="preserve"> </w:t>
      </w:r>
      <w:r w:rsidRPr="00AC26E5" w:rsidR="009A3FC5">
        <w:t>voice over internet protocol</w:t>
      </w:r>
      <w:r w:rsidRPr="00AC26E5" w:rsidR="000904ED">
        <w:t xml:space="preserve"> </w:t>
      </w:r>
      <w:r w:rsidR="009A3FC5">
        <w:t>(</w:t>
      </w:r>
      <w:r w:rsidRPr="00AC26E5" w:rsidR="000904ED">
        <w:t>VoIP</w:t>
      </w:r>
      <w:r w:rsidR="009A3FC5">
        <w:t>)</w:t>
      </w:r>
      <w:r w:rsidRPr="00AC26E5" w:rsidR="000904ED">
        <w:t xml:space="preserve"> o</w:t>
      </w:r>
      <w:r w:rsidR="000904ED">
        <w:t>perations throughout the United States</w:t>
      </w:r>
      <w:r w:rsidR="00751589">
        <w:t>.</w:t>
      </w:r>
      <w:r w:rsidR="00751589">
        <w:rPr>
          <w:rStyle w:val="FootnoteReference"/>
        </w:rPr>
        <w:footnoteReference w:id="4"/>
      </w:r>
      <w:r w:rsidR="001D6688">
        <w:t xml:space="preserve"> </w:t>
      </w:r>
    </w:p>
    <w:p w:rsidR="001D6688" w:rsidP="00C06E2D" w:rsidRDefault="00C3632D" w14:paraId="5CFDD572" w14:textId="5DA54D45">
      <w:pPr>
        <w:pStyle w:val="Standard"/>
      </w:pPr>
      <w:r>
        <w:t xml:space="preserve">On April 17, 2025, </w:t>
      </w:r>
      <w:r w:rsidR="00A839ED">
        <w:t>Ex Spa Holding</w:t>
      </w:r>
      <w:r w:rsidR="004522D1">
        <w:t>s, LLC</w:t>
      </w:r>
      <w:r w:rsidR="00A839ED">
        <w:t xml:space="preserve"> (Ex Spa) </w:t>
      </w:r>
      <w:r w:rsidR="006769E2">
        <w:t xml:space="preserve">acquired </w:t>
      </w:r>
      <w:proofErr w:type="spellStart"/>
      <w:r w:rsidR="006769E2">
        <w:t>Exiant</w:t>
      </w:r>
      <w:proofErr w:type="spellEnd"/>
      <w:r w:rsidR="006769E2">
        <w:t xml:space="preserve"> </w:t>
      </w:r>
      <w:r w:rsidR="00C06E2D">
        <w:t>without Commission approval</w:t>
      </w:r>
      <w:r w:rsidR="00A839ED">
        <w:t>.</w:t>
      </w:r>
      <w:r w:rsidR="00C06E2D">
        <w:rPr>
          <w:rStyle w:val="FootnoteReference"/>
        </w:rPr>
        <w:footnoteReference w:id="5"/>
      </w:r>
      <w:r w:rsidR="00A839ED">
        <w:t xml:space="preserve"> </w:t>
      </w:r>
      <w:r w:rsidR="006769E2">
        <w:t xml:space="preserve">Prior to the transaction, </w:t>
      </w:r>
      <w:proofErr w:type="spellStart"/>
      <w:r w:rsidR="006769E2">
        <w:t>Exiant</w:t>
      </w:r>
      <w:proofErr w:type="spellEnd"/>
      <w:r w:rsidR="006769E2">
        <w:t xml:space="preserve"> was a wholly owned subsidiary of Blitz Acquisition Group LLC.</w:t>
      </w:r>
      <w:r w:rsidR="006769E2">
        <w:rPr>
          <w:rStyle w:val="FootnoteReference"/>
        </w:rPr>
        <w:footnoteReference w:id="6"/>
      </w:r>
      <w:r w:rsidR="006769E2">
        <w:t xml:space="preserve"> </w:t>
      </w:r>
      <w:r w:rsidR="001D6688">
        <w:t xml:space="preserve">Ex Spa is a holding company formed specifically for </w:t>
      </w:r>
      <w:r w:rsidR="00C06E2D">
        <w:t>this acquisition</w:t>
      </w:r>
      <w:r w:rsidR="0043350D">
        <w:t>.</w:t>
      </w:r>
      <w:r w:rsidR="0043350D">
        <w:rPr>
          <w:rStyle w:val="FootnoteReference"/>
        </w:rPr>
        <w:footnoteReference w:id="7"/>
      </w:r>
      <w:r w:rsidR="0043350D">
        <w:t xml:space="preserve"> Ex Spa has no previous operations in the State of California and is not authorized to provide VoIP service in California.</w:t>
      </w:r>
      <w:r w:rsidR="0043350D">
        <w:rPr>
          <w:rStyle w:val="FootnoteReference"/>
        </w:rPr>
        <w:footnoteReference w:id="8"/>
      </w:r>
      <w:r w:rsidR="0043350D">
        <w:t xml:space="preserve"> </w:t>
      </w:r>
      <w:r w:rsidR="000904ED">
        <w:t>The transaction was purely financial and did not affect operations, rates, services, or regulatory obligations.</w:t>
      </w:r>
      <w:r w:rsidR="000904ED">
        <w:rPr>
          <w:rStyle w:val="FootnoteReference"/>
        </w:rPr>
        <w:footnoteReference w:id="9"/>
      </w:r>
      <w:r w:rsidR="000904ED">
        <w:t xml:space="preserve"> </w:t>
      </w:r>
    </w:p>
    <w:p w:rsidR="00962495" w:rsidP="00C06E2D" w:rsidRDefault="00962495" w14:paraId="05EE762B" w14:textId="2A499A03">
      <w:pPr>
        <w:pStyle w:val="Standard"/>
      </w:pPr>
      <w:r>
        <w:t xml:space="preserve">On December 30, 2025, Ex Spa and </w:t>
      </w:r>
      <w:proofErr w:type="spellStart"/>
      <w:r>
        <w:t>Exiant</w:t>
      </w:r>
      <w:proofErr w:type="spellEnd"/>
      <w:r>
        <w:t xml:space="preserve"> </w:t>
      </w:r>
      <w:r w:rsidR="00AD7CB4">
        <w:t xml:space="preserve">(collectively, Applicants) </w:t>
      </w:r>
      <w:r>
        <w:t xml:space="preserve">filed a joint application for approval </w:t>
      </w:r>
      <w:r w:rsidR="000904ED">
        <w:t xml:space="preserve">of the transfer of control </w:t>
      </w:r>
      <w:r>
        <w:t xml:space="preserve">under Public Utilities Code (Pub. Util. Code) </w:t>
      </w:r>
      <w:r w:rsidR="004F0413">
        <w:t>S</w:t>
      </w:r>
      <w:r>
        <w:t>ection 854</w:t>
      </w:r>
      <w:r w:rsidR="008B717E">
        <w:t xml:space="preserve"> (Application)</w:t>
      </w:r>
      <w:r>
        <w:t>.</w:t>
      </w:r>
      <w:r>
        <w:rPr>
          <w:rStyle w:val="FootnoteReference"/>
        </w:rPr>
        <w:footnoteReference w:id="10"/>
      </w:r>
      <w:r w:rsidR="00042650">
        <w:t xml:space="preserve"> In their </w:t>
      </w:r>
      <w:r w:rsidR="008B717E">
        <w:t>A</w:t>
      </w:r>
      <w:r w:rsidR="00042650">
        <w:t xml:space="preserve">pplication, </w:t>
      </w:r>
      <w:r w:rsidR="00AD7CB4">
        <w:t>Applicants</w:t>
      </w:r>
      <w:r w:rsidR="00042650">
        <w:t xml:space="preserve"> state</w:t>
      </w:r>
      <w:r w:rsidR="004F0413">
        <w:t>d</w:t>
      </w:r>
      <w:r w:rsidR="00042650">
        <w:t xml:space="preserve"> that the transfer of control had no effect on California customers, as </w:t>
      </w:r>
      <w:proofErr w:type="spellStart"/>
      <w:r w:rsidR="00042650">
        <w:t>Exiant</w:t>
      </w:r>
      <w:proofErr w:type="spellEnd"/>
      <w:r w:rsidR="00042650">
        <w:t xml:space="preserve"> has not provided service in </w:t>
      </w:r>
      <w:r w:rsidR="004F0413">
        <w:t>the state</w:t>
      </w:r>
      <w:r w:rsidR="00042650">
        <w:t>.</w:t>
      </w:r>
      <w:r w:rsidR="00042650">
        <w:rPr>
          <w:rStyle w:val="FootnoteReference"/>
        </w:rPr>
        <w:footnoteReference w:id="11"/>
      </w:r>
      <w:r w:rsidR="00042650">
        <w:t xml:space="preserve"> Accordingly, </w:t>
      </w:r>
      <w:r w:rsidR="00AD7CB4">
        <w:lastRenderedPageBreak/>
        <w:t xml:space="preserve">Applicants </w:t>
      </w:r>
      <w:r w:rsidR="00042650">
        <w:t>contend</w:t>
      </w:r>
      <w:r w:rsidR="004F0413">
        <w:t>ed</w:t>
      </w:r>
      <w:r w:rsidR="00042650">
        <w:t xml:space="preserve"> that the transfer of control had no impact on the public interest, and </w:t>
      </w:r>
      <w:r w:rsidR="00AD7CB4">
        <w:t xml:space="preserve">Applicants </w:t>
      </w:r>
      <w:r w:rsidR="00042650">
        <w:t>should not be fined.</w:t>
      </w:r>
      <w:r w:rsidR="00042650">
        <w:rPr>
          <w:rStyle w:val="FootnoteReference"/>
        </w:rPr>
        <w:footnoteReference w:id="12"/>
      </w:r>
      <w:r w:rsidR="00042650">
        <w:t xml:space="preserve"> </w:t>
      </w:r>
      <w:r w:rsidR="00AD7CB4">
        <w:t>Applicants claim</w:t>
      </w:r>
      <w:r w:rsidR="004F0413">
        <w:t>ed</w:t>
      </w:r>
      <w:r w:rsidR="00AD7CB4">
        <w:t xml:space="preserve"> they filed </w:t>
      </w:r>
      <w:r w:rsidR="004E4B24">
        <w:t>the</w:t>
      </w:r>
      <w:r w:rsidR="00AD7CB4">
        <w:t xml:space="preserve"> </w:t>
      </w:r>
      <w:r w:rsidR="004E4B24">
        <w:t>A</w:t>
      </w:r>
      <w:r w:rsidR="00AD7CB4">
        <w:t>pplication as soon as they became aware that the Commission requires approval for the transfer of control of DVF providers.</w:t>
      </w:r>
      <w:r w:rsidR="00AD7CB4">
        <w:rPr>
          <w:rStyle w:val="FootnoteReference"/>
        </w:rPr>
        <w:footnoteReference w:id="13"/>
      </w:r>
      <w:r w:rsidR="00AD7CB4">
        <w:t xml:space="preserve"> </w:t>
      </w:r>
    </w:p>
    <w:p w:rsidR="00A11BC3" w:rsidP="009D5ADF" w:rsidRDefault="00A11BC3" w14:paraId="50052DAD" w14:textId="7487A702">
      <w:pPr>
        <w:pStyle w:val="Standard"/>
      </w:pPr>
      <w:r>
        <w:t xml:space="preserve">Alongside their Application, Applicants filed a motion for leave to file </w:t>
      </w:r>
      <w:proofErr w:type="spellStart"/>
      <w:r>
        <w:t>Exiant’s</w:t>
      </w:r>
      <w:proofErr w:type="spellEnd"/>
      <w:r>
        <w:t xml:space="preserve"> unaudited balance sheet (</w:t>
      </w:r>
      <w:r w:rsidR="00B612C5">
        <w:t>Exhibit</w:t>
      </w:r>
      <w:r>
        <w:t xml:space="preserve"> B to the Application) under seal. Applicants sought to prevent competitors from obtaining </w:t>
      </w:r>
      <w:proofErr w:type="spellStart"/>
      <w:r>
        <w:t>Exiant’s</w:t>
      </w:r>
      <w:proofErr w:type="spellEnd"/>
      <w:r>
        <w:t xml:space="preserve"> nonpublic financial information.</w:t>
      </w:r>
      <w:r w:rsidR="00164D1E">
        <w:rPr>
          <w:rStyle w:val="FootnoteReference"/>
        </w:rPr>
        <w:footnoteReference w:id="14"/>
      </w:r>
      <w:r>
        <w:t xml:space="preserve"> Public release of this information would grant competitors insight into </w:t>
      </w:r>
      <w:proofErr w:type="spellStart"/>
      <w:r>
        <w:t>Exiant’s</w:t>
      </w:r>
      <w:proofErr w:type="spellEnd"/>
      <w:r>
        <w:t xml:space="preserve"> business operations, causing </w:t>
      </w:r>
      <w:proofErr w:type="spellStart"/>
      <w:r>
        <w:t>Exiant</w:t>
      </w:r>
      <w:proofErr w:type="spellEnd"/>
      <w:r>
        <w:t xml:space="preserve"> financial and operational harm.</w:t>
      </w:r>
      <w:r w:rsidR="00164D1E">
        <w:rPr>
          <w:rStyle w:val="FootnoteReference"/>
        </w:rPr>
        <w:footnoteReference w:id="15"/>
      </w:r>
      <w:r>
        <w:t xml:space="preserve"> </w:t>
      </w:r>
    </w:p>
    <w:p w:rsidR="0095253D" w:rsidP="009D5ADF" w:rsidRDefault="00164D1E" w14:paraId="7628A8DE" w14:textId="4D31496C">
      <w:pPr>
        <w:pStyle w:val="Standard"/>
      </w:pPr>
      <w:r>
        <w:t xml:space="preserve">On April 9, 2026, </w:t>
      </w:r>
      <w:proofErr w:type="spellStart"/>
      <w:r>
        <w:t>Exiant</w:t>
      </w:r>
      <w:proofErr w:type="spellEnd"/>
      <w:r>
        <w:t xml:space="preserve"> and Ex Spa filed a joint prehearing conference </w:t>
      </w:r>
      <w:r w:rsidR="003C337D">
        <w:t xml:space="preserve">(PHC) </w:t>
      </w:r>
      <w:r>
        <w:t xml:space="preserve">statement. </w:t>
      </w:r>
      <w:r w:rsidR="0095253D">
        <w:t>In their statement, Applicants claimed they paid outstanding citation CD-2025-05-030</w:t>
      </w:r>
      <w:r w:rsidR="00575E50">
        <w:t xml:space="preserve">, which penalized </w:t>
      </w:r>
      <w:proofErr w:type="spellStart"/>
      <w:r w:rsidR="00575E50">
        <w:t>Exiant’s</w:t>
      </w:r>
      <w:proofErr w:type="spellEnd"/>
      <w:r w:rsidR="00575E50">
        <w:t xml:space="preserve"> </w:t>
      </w:r>
      <w:r w:rsidRPr="00575E50" w:rsidR="00575E50">
        <w:t>surcharge non-reporting</w:t>
      </w:r>
      <w:r w:rsidR="00575E50">
        <w:t xml:space="preserve">, </w:t>
      </w:r>
      <w:r w:rsidR="0095253D">
        <w:t>in full.</w:t>
      </w:r>
      <w:r w:rsidR="00A93DC1">
        <w:rPr>
          <w:rStyle w:val="FootnoteReference"/>
        </w:rPr>
        <w:footnoteReference w:id="16"/>
      </w:r>
      <w:r w:rsidR="0095253D">
        <w:t xml:space="preserve"> </w:t>
      </w:r>
    </w:p>
    <w:p w:rsidR="003C337D" w:rsidP="009D5ADF" w:rsidRDefault="003C337D" w14:paraId="2809E8C6" w14:textId="7723F61C">
      <w:pPr>
        <w:pStyle w:val="Standard"/>
      </w:pPr>
      <w:r>
        <w:t>A PHC was held on April 16, 2026. At the PHC, the assigned Administrative Law Judge (ALJ) directed the Applicants to file a document with supplemental information.</w:t>
      </w:r>
      <w:r>
        <w:rPr>
          <w:rStyle w:val="FootnoteReference"/>
        </w:rPr>
        <w:footnoteReference w:id="17"/>
      </w:r>
    </w:p>
    <w:p w:rsidR="009D5ADF" w:rsidP="009D5ADF" w:rsidRDefault="00164D1E" w14:paraId="709AEB25" w14:textId="448BED47">
      <w:pPr>
        <w:pStyle w:val="Standard"/>
      </w:pPr>
      <w:r>
        <w:lastRenderedPageBreak/>
        <w:t>On April 30, 2026, the Applicants filed a status filing with supplemental information</w:t>
      </w:r>
      <w:r w:rsidR="00223F64">
        <w:t xml:space="preserve"> (Status Filing)</w:t>
      </w:r>
      <w:r>
        <w:t xml:space="preserve">. </w:t>
      </w:r>
      <w:r w:rsidR="00A93DC1">
        <w:t xml:space="preserve">The Applicants paid their user fee </w:t>
      </w:r>
      <w:r w:rsidR="001244A3">
        <w:t>and bec</w:t>
      </w:r>
      <w:r w:rsidR="00E41D58">
        <w:t>a</w:t>
      </w:r>
      <w:r w:rsidR="001244A3">
        <w:t xml:space="preserve">me compliant with the Commission’s reporting requirements </w:t>
      </w:r>
      <w:r w:rsidR="00A93DC1">
        <w:t>on April 30, 2026.</w:t>
      </w:r>
      <w:r w:rsidR="00A93DC1">
        <w:rPr>
          <w:rStyle w:val="FootnoteReference"/>
        </w:rPr>
        <w:footnoteReference w:id="18"/>
      </w:r>
      <w:r w:rsidR="00A93DC1">
        <w:t xml:space="preserve"> </w:t>
      </w:r>
    </w:p>
    <w:p w:rsidR="00D86622" w:rsidP="00D86622" w:rsidRDefault="00D86622" w14:paraId="68267241" w14:textId="471234D3">
      <w:pPr>
        <w:pStyle w:val="Standard"/>
      </w:pPr>
      <w:r>
        <w:t xml:space="preserve">On May 27, 2026, the </w:t>
      </w:r>
      <w:r w:rsidR="004E4B24">
        <w:t>a</w:t>
      </w:r>
      <w:r>
        <w:t xml:space="preserve">ssigned Commissioner issued a Scoping </w:t>
      </w:r>
    </w:p>
    <w:p w:rsidR="00D86622" w:rsidP="00D86622" w:rsidRDefault="00D86622" w14:paraId="25FA11F0" w14:textId="77777777">
      <w:pPr>
        <w:pStyle w:val="Standard"/>
        <w:ind w:firstLine="0"/>
      </w:pPr>
      <w:r>
        <w:t xml:space="preserve">Memo and Ruling (Scoping Memo) categorizing the proceeding as </w:t>
      </w:r>
      <w:proofErr w:type="spellStart"/>
      <w:r>
        <w:t>ratesetting</w:t>
      </w:r>
      <w:proofErr w:type="spellEnd"/>
      <w:r>
        <w:t xml:space="preserve"> </w:t>
      </w:r>
    </w:p>
    <w:p w:rsidR="003C337D" w:rsidP="00D86622" w:rsidRDefault="00D86622" w14:paraId="555C294C" w14:textId="058EF45D">
      <w:pPr>
        <w:pStyle w:val="Standard"/>
        <w:ind w:firstLine="0"/>
      </w:pPr>
      <w:r>
        <w:t>and confirming that evidentiary hearings were not required.</w:t>
      </w:r>
    </w:p>
    <w:p w:rsidR="00683B2C" w:rsidP="00683B2C" w:rsidRDefault="00683B2C" w14:paraId="3876EB92" w14:textId="77777777">
      <w:pPr>
        <w:pStyle w:val="Heading2"/>
      </w:pPr>
      <w:bookmarkStart w:name="_Toc237008402" w:id="4"/>
      <w:r>
        <w:t>Submission Date</w:t>
      </w:r>
      <w:bookmarkEnd w:id="4"/>
    </w:p>
    <w:p w:rsidRPr="00F1117E" w:rsidR="001A70DA" w:rsidP="00E17D81" w:rsidRDefault="00683B2C" w14:paraId="58667EEB" w14:textId="7F245919">
      <w:pPr>
        <w:pStyle w:val="Standard"/>
      </w:pPr>
      <w:r w:rsidRPr="00F1117E">
        <w:t xml:space="preserve">This matter was submitted on </w:t>
      </w:r>
      <w:r w:rsidR="004E4B24">
        <w:t>May 27</w:t>
      </w:r>
      <w:r w:rsidRPr="00F1117E" w:rsidR="009C1D9F">
        <w:t>, 2026,</w:t>
      </w:r>
      <w:r w:rsidRPr="00F1117E">
        <w:t xml:space="preserve"> </w:t>
      </w:r>
      <w:r w:rsidR="008B15EB">
        <w:t>as stated in</w:t>
      </w:r>
      <w:r w:rsidR="004E4B24">
        <w:t xml:space="preserve"> the Scoping Memo</w:t>
      </w:r>
      <w:r w:rsidR="00223F64">
        <w:t>.</w:t>
      </w:r>
      <w:r w:rsidR="008B15EB">
        <w:rPr>
          <w:rStyle w:val="FootnoteReference"/>
        </w:rPr>
        <w:footnoteReference w:id="19"/>
      </w:r>
      <w:r w:rsidRPr="00F1117E" w:rsidR="001A70DA">
        <w:t xml:space="preserve"> </w:t>
      </w:r>
    </w:p>
    <w:p w:rsidRPr="00F1117E" w:rsidR="005A148C" w:rsidP="00121089" w:rsidRDefault="0063491C" w14:paraId="2C4EB361" w14:textId="548BB309">
      <w:pPr>
        <w:pStyle w:val="Heading1"/>
      </w:pPr>
      <w:bookmarkStart w:name="_Toc8123718" w:id="5"/>
      <w:bookmarkStart w:name="_Toc237008403" w:id="6"/>
      <w:r w:rsidRPr="00F1117E">
        <w:t>Jurisdiction</w:t>
      </w:r>
      <w:bookmarkEnd w:id="5"/>
      <w:bookmarkEnd w:id="6"/>
    </w:p>
    <w:p w:rsidRPr="0063491C" w:rsidR="00252091" w:rsidP="00F1117E" w:rsidRDefault="004E4B24" w14:paraId="1F64CFD6" w14:textId="0F7081AF">
      <w:pPr>
        <w:pStyle w:val="Standard"/>
      </w:pPr>
      <w:r>
        <w:t xml:space="preserve">In D.24-11-003, the Commission established jurisdiction over </w:t>
      </w:r>
      <w:r w:rsidR="00710A8E">
        <w:t xml:space="preserve">fixed </w:t>
      </w:r>
      <w:r>
        <w:t>interconnected VoIP service.</w:t>
      </w:r>
      <w:r w:rsidR="00710A8E">
        <w:rPr>
          <w:rStyle w:val="FootnoteReference"/>
        </w:rPr>
        <w:footnoteReference w:id="20"/>
      </w:r>
      <w:r>
        <w:t xml:space="preserve"> </w:t>
      </w:r>
      <w:proofErr w:type="spellStart"/>
      <w:r w:rsidRPr="00F1117E" w:rsidR="00252091">
        <w:t>Exiant</w:t>
      </w:r>
      <w:proofErr w:type="spellEnd"/>
      <w:r w:rsidRPr="00F1117E" w:rsidR="00252091">
        <w:t xml:space="preserve"> is a </w:t>
      </w:r>
      <w:r w:rsidR="00710A8E">
        <w:t xml:space="preserve">fixed </w:t>
      </w:r>
      <w:r w:rsidRPr="00F1117E" w:rsidR="00252091">
        <w:t>interconnected</w:t>
      </w:r>
      <w:r w:rsidR="00252091">
        <w:t xml:space="preserve"> </w:t>
      </w:r>
      <w:r w:rsidRPr="00AC26E5" w:rsidR="00252091">
        <w:t>VoIP</w:t>
      </w:r>
      <w:r w:rsidR="00252091">
        <w:t xml:space="preserve"> provider authorized by D.24-11-003 to provide DVF service in California. </w:t>
      </w:r>
      <w:r w:rsidR="008B15EB">
        <w:t xml:space="preserve">Pub. Util. Code Section 854(a) mandates that the Commission authorize a transfer of control of any public utility organized and doing business in the State of </w:t>
      </w:r>
      <w:proofErr w:type="spellStart"/>
      <w:r w:rsidR="008B15EB">
        <w:t>Caliornia</w:t>
      </w:r>
      <w:proofErr w:type="spellEnd"/>
      <w:r w:rsidR="008B15EB">
        <w:t>.</w:t>
      </w:r>
      <w:r w:rsidR="00D97291">
        <w:t xml:space="preserve"> </w:t>
      </w:r>
      <w:r w:rsidRPr="00252091" w:rsidR="00252091">
        <w:t xml:space="preserve">Even though the transfer of </w:t>
      </w:r>
      <w:proofErr w:type="spellStart"/>
      <w:r w:rsidR="00F1117E">
        <w:t>Exiant</w:t>
      </w:r>
      <w:proofErr w:type="spellEnd"/>
      <w:r w:rsidRPr="00252091" w:rsidR="00252091">
        <w:t xml:space="preserve"> to </w:t>
      </w:r>
      <w:r w:rsidR="00F1117E">
        <w:t>Ex Spa</w:t>
      </w:r>
      <w:r w:rsidRPr="00252091" w:rsidR="00252091">
        <w:t xml:space="preserve"> was completed prior to the submission of the Application, only upon Commission authorization will</w:t>
      </w:r>
      <w:r w:rsidR="00F1117E">
        <w:t xml:space="preserve"> the authority to provide DVF service</w:t>
      </w:r>
      <w:r w:rsidRPr="00252091" w:rsidR="00252091">
        <w:t xml:space="preserve"> effectively transfer to </w:t>
      </w:r>
      <w:r w:rsidR="00F1117E">
        <w:t>Ex Spa</w:t>
      </w:r>
      <w:r w:rsidRPr="00252091" w:rsidR="00252091">
        <w:t>.</w:t>
      </w:r>
    </w:p>
    <w:p w:rsidR="005A148C" w:rsidP="005939A5" w:rsidRDefault="005939A5" w14:paraId="760AEE68" w14:textId="77777777">
      <w:pPr>
        <w:pStyle w:val="Heading1"/>
      </w:pPr>
      <w:bookmarkStart w:name="_Toc8123719" w:id="7"/>
      <w:bookmarkStart w:name="_Toc237008404" w:id="8"/>
      <w:r>
        <w:t xml:space="preserve">Issues Before the </w:t>
      </w:r>
      <w:bookmarkEnd w:id="7"/>
      <w:r w:rsidR="008A08BF">
        <w:t>Commission</w:t>
      </w:r>
      <w:bookmarkEnd w:id="8"/>
    </w:p>
    <w:p w:rsidR="00CE53BE" w:rsidP="00867984" w:rsidRDefault="00CE53BE" w14:paraId="4384F6CD" w14:textId="77777777">
      <w:pPr>
        <w:pStyle w:val="Standard"/>
      </w:pPr>
      <w:r w:rsidRPr="00CE53BE">
        <w:t xml:space="preserve">The issues to be determined or otherwise considered are: </w:t>
      </w:r>
    </w:p>
    <w:p w:rsidR="00CE53BE" w:rsidP="00EE1CE7" w:rsidRDefault="00CE53BE" w14:paraId="0A86341A" w14:textId="77777777">
      <w:pPr>
        <w:pStyle w:val="Standard"/>
        <w:numPr>
          <w:ilvl w:val="0"/>
          <w:numId w:val="18"/>
        </w:numPr>
        <w:spacing w:after="120" w:line="240" w:lineRule="auto"/>
        <w:ind w:right="1440"/>
      </w:pPr>
      <w:r w:rsidRPr="00CE53BE">
        <w:t xml:space="preserve">Is the transaction described in the Application in the public interest and in compliance with all Commission requirements, including but not limited to, compliance with Pub. Util. Code Section 854? </w:t>
      </w:r>
    </w:p>
    <w:p w:rsidRPr="00120C2D" w:rsidR="00867984" w:rsidP="00EE1CE7" w:rsidRDefault="00CE53BE" w14:paraId="085B6453" w14:textId="262F957A">
      <w:pPr>
        <w:pStyle w:val="Standard"/>
        <w:numPr>
          <w:ilvl w:val="0"/>
          <w:numId w:val="18"/>
        </w:numPr>
        <w:spacing w:after="120" w:line="240" w:lineRule="auto"/>
        <w:ind w:right="1440"/>
      </w:pPr>
      <w:r w:rsidRPr="00120C2D">
        <w:lastRenderedPageBreak/>
        <w:t>Is it necessary to impose any penalty on the Applicants?</w:t>
      </w:r>
    </w:p>
    <w:p w:rsidR="008E0345" w:rsidP="008E0345" w:rsidRDefault="007B24B9" w14:paraId="5750B957" w14:textId="59AA05D9">
      <w:pPr>
        <w:pStyle w:val="Heading1"/>
      </w:pPr>
      <w:bookmarkStart w:name="_Toc237008405" w:id="9"/>
      <w:r w:rsidRPr="00120C2D">
        <w:t xml:space="preserve">Transfer of Control </w:t>
      </w:r>
      <w:r w:rsidRPr="00120C2D" w:rsidR="00FA4DF1">
        <w:t>Application</w:t>
      </w:r>
      <w:bookmarkEnd w:id="9"/>
    </w:p>
    <w:p w:rsidRPr="008F2D36" w:rsidR="008F2D36" w:rsidP="008F2D36" w:rsidRDefault="008F2D36" w14:paraId="249FBDB3" w14:textId="288D504F">
      <w:pPr>
        <w:pStyle w:val="Heading2"/>
      </w:pPr>
      <w:bookmarkStart w:name="_Toc237008406" w:id="10"/>
      <w:r>
        <w:t>Pub. Util. Code Section 854</w:t>
      </w:r>
      <w:bookmarkEnd w:id="10"/>
    </w:p>
    <w:p w:rsidR="008F2D36" w:rsidP="002D2EB3" w:rsidRDefault="008F2D36" w14:paraId="16C8F56B" w14:textId="673DEED5">
      <w:pPr>
        <w:pStyle w:val="Standard"/>
      </w:pPr>
      <w:r w:rsidRPr="008F2D36">
        <w:t xml:space="preserve">Applicants seek approval of the transaction </w:t>
      </w:r>
      <w:r w:rsidR="00363826">
        <w:t>under</w:t>
      </w:r>
      <w:r w:rsidRPr="008F2D36">
        <w:t xml:space="preserve"> Pub. Util. Code Section 854(a) which requires Commission authorization before a public utility company may “merge, acquire, or control </w:t>
      </w:r>
      <w:r w:rsidR="00442276">
        <w:t>. . .</w:t>
      </w:r>
      <w:r w:rsidRPr="008F2D36">
        <w:t xml:space="preserve"> any public utility organized and doing business in this state.</w:t>
      </w:r>
      <w:r w:rsidR="00442276">
        <w:t xml:space="preserve"> . .</w:t>
      </w:r>
      <w:r w:rsidRPr="008F2D36">
        <w:t xml:space="preserve">” The Commission has broad discretion under Pub Util. Section 854 to approve or reject a proposed transaction. </w:t>
      </w:r>
      <w:r w:rsidR="00345BEA">
        <w:t xml:space="preserve">In transfer of control </w:t>
      </w:r>
      <w:proofErr w:type="gramStart"/>
      <w:r w:rsidR="00345BEA">
        <w:t>proceeding</w:t>
      </w:r>
      <w:proofErr w:type="gramEnd"/>
      <w:r w:rsidR="00345BEA">
        <w:t>, t</w:t>
      </w:r>
      <w:r w:rsidRPr="008F2D36">
        <w:t xml:space="preserve">he </w:t>
      </w:r>
      <w:r w:rsidR="00345BEA">
        <w:t xml:space="preserve">Commission’s </w:t>
      </w:r>
      <w:r w:rsidRPr="008F2D36">
        <w:t>primary question is whether a transaction will be averse to the public interest.</w:t>
      </w:r>
      <w:r>
        <w:rPr>
          <w:rStyle w:val="FootnoteReference"/>
        </w:rPr>
        <w:footnoteReference w:id="21"/>
      </w:r>
      <w:r w:rsidRPr="008F2D36">
        <w:t xml:space="preserve"> If necessary and appropriate, the Commission may attach conditions to approval of a transaction to protect and promote the public interest.</w:t>
      </w:r>
      <w:r>
        <w:rPr>
          <w:rStyle w:val="FootnoteReference"/>
        </w:rPr>
        <w:footnoteReference w:id="22"/>
      </w:r>
    </w:p>
    <w:p w:rsidR="008F2D36" w:rsidP="00D97291" w:rsidRDefault="008E0345" w14:paraId="76F86E6A" w14:textId="3133228A">
      <w:pPr>
        <w:pStyle w:val="Standard"/>
      </w:pPr>
      <w:r>
        <w:t xml:space="preserve">The </w:t>
      </w:r>
      <w:r w:rsidR="008B15EB">
        <w:t xml:space="preserve">transfer of control requested by the Applicants </w:t>
      </w:r>
      <w:r>
        <w:t xml:space="preserve">will not affect operations or customers, as </w:t>
      </w:r>
      <w:proofErr w:type="spellStart"/>
      <w:r>
        <w:t>Exiant</w:t>
      </w:r>
      <w:proofErr w:type="spellEnd"/>
      <w:r>
        <w:t xml:space="preserve"> </w:t>
      </w:r>
      <w:r w:rsidR="002D2EB3">
        <w:t>does</w:t>
      </w:r>
      <w:r>
        <w:t xml:space="preserve"> not yet provi</w:t>
      </w:r>
      <w:r w:rsidR="002D2EB3">
        <w:t>de</w:t>
      </w:r>
      <w:r>
        <w:t xml:space="preserve"> </w:t>
      </w:r>
      <w:r w:rsidR="00826989">
        <w:t xml:space="preserve">DVF </w:t>
      </w:r>
      <w:r>
        <w:t>service.</w:t>
      </w:r>
      <w:r>
        <w:rPr>
          <w:rStyle w:val="FootnoteReference"/>
        </w:rPr>
        <w:footnoteReference w:id="23"/>
      </w:r>
      <w:r>
        <w:t xml:space="preserve"> </w:t>
      </w:r>
      <w:r w:rsidR="00D97291">
        <w:t xml:space="preserve">The transaction will also not affect the </w:t>
      </w:r>
      <w:proofErr w:type="spellStart"/>
      <w:r w:rsidR="00D97291">
        <w:t>Exiant’s</w:t>
      </w:r>
      <w:proofErr w:type="spellEnd"/>
      <w:r w:rsidR="00D97291">
        <w:t xml:space="preserve"> ability to meet its public utility obligations. We note that</w:t>
      </w:r>
      <w:r>
        <w:t xml:space="preserve"> Ex Spa voluntarily disclosed </w:t>
      </w:r>
      <w:r w:rsidR="008B15EB">
        <w:t>that it had initiated a transfer of control without Commission authorization</w:t>
      </w:r>
      <w:r>
        <w:t xml:space="preserve"> and filed </w:t>
      </w:r>
      <w:r w:rsidR="008B15EB">
        <w:t>the</w:t>
      </w:r>
      <w:r>
        <w:t xml:space="preserve"> </w:t>
      </w:r>
      <w:r w:rsidR="008B15EB">
        <w:t>A</w:t>
      </w:r>
      <w:r>
        <w:t>pplication once it realized it was noncompliant</w:t>
      </w:r>
      <w:r w:rsidR="008B15EB">
        <w:t xml:space="preserve"> with Pub. Util. Code Section 854</w:t>
      </w:r>
      <w:r>
        <w:t xml:space="preserve">. </w:t>
      </w:r>
      <w:r w:rsidR="008B15EB">
        <w:t xml:space="preserve">Finally, the Application is uncontested. </w:t>
      </w:r>
      <w:r w:rsidR="002D2EB3">
        <w:t>For the foregoing reasons</w:t>
      </w:r>
      <w:r w:rsidR="00D73E09">
        <w:t xml:space="preserve">, </w:t>
      </w:r>
      <w:r w:rsidR="00904013">
        <w:t xml:space="preserve">we find the </w:t>
      </w:r>
      <w:r w:rsidR="00D73E09">
        <w:t>Applicants</w:t>
      </w:r>
      <w:r w:rsidR="00120C2D">
        <w:t>’</w:t>
      </w:r>
      <w:r w:rsidR="00D73E09">
        <w:t xml:space="preserve"> transfer of control </w:t>
      </w:r>
      <w:r w:rsidR="00E41D58">
        <w:t>is in the public interest</w:t>
      </w:r>
      <w:r w:rsidR="00D73E09">
        <w:t xml:space="preserve">. </w:t>
      </w:r>
    </w:p>
    <w:p w:rsidR="00556BCE" w:rsidP="00F11E7A" w:rsidRDefault="00556BCE" w14:paraId="5C7930C0" w14:textId="0214C03C">
      <w:pPr>
        <w:pStyle w:val="Heading2"/>
      </w:pPr>
      <w:bookmarkStart w:name="_Toc237008407" w:id="11"/>
      <w:r>
        <w:lastRenderedPageBreak/>
        <w:t>Compliance with Rule 3.6</w:t>
      </w:r>
    </w:p>
    <w:p w:rsidRPr="00414339" w:rsidR="00556BCE" w:rsidP="00414339" w:rsidRDefault="00556BCE" w14:paraId="06E9C79D" w14:textId="74C5F079">
      <w:pPr>
        <w:pStyle w:val="Standard"/>
      </w:pPr>
      <w:r w:rsidRPr="00414339">
        <w:t xml:space="preserve">Rule 3.6 of the Commission’s Rules of Practice and Procedure (Rule) sets forth the requirements for applications for transfers of control. Upon review of the Application, we find that the Applicants complied with these requirements.  </w:t>
      </w:r>
    </w:p>
    <w:p w:rsidR="00F11E7A" w:rsidP="00F11E7A" w:rsidRDefault="008F2D36" w14:paraId="1900AED6" w14:textId="23300632">
      <w:pPr>
        <w:pStyle w:val="Heading2"/>
      </w:pPr>
      <w:r>
        <w:t>California Environmental Quality Act</w:t>
      </w:r>
      <w:bookmarkEnd w:id="11"/>
    </w:p>
    <w:p w:rsidR="00F11E7A" w:rsidP="008F2D36" w:rsidRDefault="00D40E0E" w14:paraId="11091DDA" w14:textId="2DF79683">
      <w:pPr>
        <w:pStyle w:val="Standard"/>
      </w:pPr>
      <w:r>
        <w:t>Where</w:t>
      </w:r>
      <w:r w:rsidRPr="00F11E7A" w:rsidR="00F11E7A">
        <w:t xml:space="preserve"> telecommunications providers seek to construct facilities, </w:t>
      </w:r>
      <w:r w:rsidR="00F11E7A">
        <w:t>the California Environmental Quality Act (</w:t>
      </w:r>
      <w:r w:rsidRPr="00F11E7A" w:rsidR="00F11E7A">
        <w:t>CEQA</w:t>
      </w:r>
      <w:r w:rsidR="00F11E7A">
        <w:t>)</w:t>
      </w:r>
      <w:r w:rsidRPr="00F11E7A" w:rsidR="00F11E7A">
        <w:t xml:space="preserve"> requires the Commission to act as the designated lead agency to assess and address the potential environmental impacts of the project</w:t>
      </w:r>
      <w:r w:rsidR="00F11E7A">
        <w:t>.</w:t>
      </w:r>
      <w:r w:rsidR="00F11E7A">
        <w:rPr>
          <w:rStyle w:val="FootnoteReference"/>
        </w:rPr>
        <w:footnoteReference w:id="24"/>
      </w:r>
      <w:r w:rsidRPr="00F11E7A" w:rsidR="00F11E7A">
        <w:t xml:space="preserve"> Under CEQA, a project is defined as any “activity which may cause either a direct physical change in the environment, or a reasonably foreseeable indirect physical change in the environment.”</w:t>
      </w:r>
      <w:r w:rsidR="00F11E7A">
        <w:rPr>
          <w:rStyle w:val="FootnoteReference"/>
        </w:rPr>
        <w:footnoteReference w:id="25"/>
      </w:r>
      <w:r w:rsidRPr="00F11E7A" w:rsidR="00F11E7A">
        <w:t xml:space="preserve"> </w:t>
      </w:r>
    </w:p>
    <w:p w:rsidRPr="008F2D36" w:rsidR="008F2D36" w:rsidP="008F2D36" w:rsidRDefault="008F2D36" w14:paraId="3B2D217C" w14:textId="1E535C5A">
      <w:pPr>
        <w:pStyle w:val="Standard"/>
      </w:pPr>
      <w:r>
        <w:t>Th</w:t>
      </w:r>
      <w:r w:rsidR="00D40E0E">
        <w:t>is</w:t>
      </w:r>
      <w:r>
        <w:t xml:space="preserve"> transaction is purely financial in nature and accordingly lacks potential to cause a direct or reasonably foreseeable indirect physical change in the environment under CEQA.</w:t>
      </w:r>
      <w:r>
        <w:rPr>
          <w:rStyle w:val="FootnoteReference"/>
        </w:rPr>
        <w:footnoteReference w:id="26"/>
      </w:r>
      <w:r>
        <w:t xml:space="preserve"> As such, </w:t>
      </w:r>
      <w:r w:rsidR="00904013">
        <w:t xml:space="preserve">we find </w:t>
      </w:r>
      <w:r>
        <w:t xml:space="preserve">this transfer </w:t>
      </w:r>
      <w:r w:rsidR="00556BCE">
        <w:t>is not subject to</w:t>
      </w:r>
      <w:r>
        <w:t xml:space="preserve"> CEQA.</w:t>
      </w:r>
    </w:p>
    <w:p w:rsidRPr="008E0345" w:rsidR="00BA570E" w:rsidP="00FA1B4F" w:rsidRDefault="00242404" w14:paraId="792E66AE" w14:textId="20A4147E">
      <w:pPr>
        <w:pStyle w:val="Heading1"/>
      </w:pPr>
      <w:bookmarkStart w:name="_Toc237008408" w:id="12"/>
      <w:bookmarkStart w:name="_Toc8123721" w:id="13"/>
      <w:r>
        <w:t>Violation of Section 854(a) and Penalty</w:t>
      </w:r>
      <w:bookmarkEnd w:id="12"/>
    </w:p>
    <w:p w:rsidR="009C671D" w:rsidP="008169EB" w:rsidRDefault="00292E78" w14:paraId="5F6CDC6C" w14:textId="1931F9C7">
      <w:pPr>
        <w:pStyle w:val="Standard"/>
      </w:pPr>
      <w:r w:rsidRPr="008E0345">
        <w:t>Absent prior Commission-approval, Pub</w:t>
      </w:r>
      <w:r w:rsidR="00D068F8">
        <w:t>.</w:t>
      </w:r>
      <w:r w:rsidRPr="008E0345">
        <w:t xml:space="preserve"> Util. </w:t>
      </w:r>
      <w:r w:rsidR="00D068F8">
        <w:t xml:space="preserve">Code </w:t>
      </w:r>
      <w:r w:rsidRPr="008E0345">
        <w:t xml:space="preserve">Section 854(a) provides that </w:t>
      </w:r>
      <w:r w:rsidRPr="008E0345" w:rsidR="008649D8">
        <w:t>an acquisition</w:t>
      </w:r>
      <w:r w:rsidRPr="008E0345">
        <w:t xml:space="preserve"> is void and of no effect</w:t>
      </w:r>
      <w:r w:rsidRPr="008E0345" w:rsidR="008649D8">
        <w:t>.</w:t>
      </w:r>
      <w:r w:rsidRPr="008E0345">
        <w:t xml:space="preserve"> Applicants</w:t>
      </w:r>
      <w:r w:rsidRPr="00292E78">
        <w:t xml:space="preserve"> </w:t>
      </w:r>
      <w:r w:rsidR="003B7526">
        <w:t xml:space="preserve">admitted that control over </w:t>
      </w:r>
      <w:proofErr w:type="spellStart"/>
      <w:r w:rsidR="003B7526">
        <w:t>Exiant</w:t>
      </w:r>
      <w:proofErr w:type="spellEnd"/>
      <w:r w:rsidR="003B7526">
        <w:t xml:space="preserve"> was transferred prior to Commission approval.</w:t>
      </w:r>
      <w:r w:rsidR="003B7526">
        <w:rPr>
          <w:rStyle w:val="FootnoteReference"/>
        </w:rPr>
        <w:footnoteReference w:id="27"/>
      </w:r>
      <w:r w:rsidR="00826989">
        <w:t xml:space="preserve"> </w:t>
      </w:r>
      <w:r w:rsidRPr="00292E78">
        <w:t xml:space="preserve">Applicants’ stipulation that they closed the transfer of control transaction that is the subject of this proceeding amounts to an admission that </w:t>
      </w:r>
      <w:r w:rsidR="00BF4D73">
        <w:t>they</w:t>
      </w:r>
      <w:r w:rsidRPr="00292E78">
        <w:t xml:space="preserve"> violated Section 854(a)</w:t>
      </w:r>
      <w:r w:rsidR="00BF4D73">
        <w:t>.</w:t>
      </w:r>
      <w:r w:rsidRPr="00292E78">
        <w:t xml:space="preserve"> According to Pub. Util. Code Section 2107</w:t>
      </w:r>
      <w:r w:rsidR="001F3204">
        <w:t>,</w:t>
      </w:r>
    </w:p>
    <w:p w:rsidR="009C671D" w:rsidP="00A34E36" w:rsidRDefault="00292E78" w14:paraId="35E76845" w14:textId="77777777">
      <w:pPr>
        <w:pStyle w:val="BlockQuote"/>
      </w:pPr>
      <w:r w:rsidRPr="00292E78">
        <w:lastRenderedPageBreak/>
        <w:t xml:space="preserve">Any public utility that violates or fails to comply with any provision of the Constitution of this state or of this part, or that fails or neglects to comply with any part or provision of any order, decision, decree, rule, direction, demand, or requirement of the commission, in a case in which a penalty has not otherwise been provided, is subject to a penalty of not less than five hundred dollars ($500), nor more than one hundred thousand dollars ($100,000), for each offense. </w:t>
      </w:r>
    </w:p>
    <w:p w:rsidR="001F3204" w:rsidP="00A34E36" w:rsidRDefault="00292E78" w14:paraId="15AD3D7F" w14:textId="77777777">
      <w:pPr>
        <w:pStyle w:val="BlockQuote"/>
      </w:pPr>
      <w:r w:rsidRPr="00292E78">
        <w:t xml:space="preserve">Pub. Util. Code Section 2108 provides that: </w:t>
      </w:r>
    </w:p>
    <w:p w:rsidR="00CF6448" w:rsidP="009306BF" w:rsidRDefault="00292E78" w14:paraId="6CB1B48D" w14:textId="00F7AAB3">
      <w:pPr>
        <w:pStyle w:val="BlockQuote"/>
      </w:pPr>
      <w:r w:rsidRPr="00292E78">
        <w:t xml:space="preserve">Every violation of the provisions of this part or of any order, decision, decree, rule, direction, demand, or requirement of the commission, by any corporation or person is a separate and distinct offense, and in case of a continuing violation each day’s continuance thereof shall be a separate and distinct offense. </w:t>
      </w:r>
    </w:p>
    <w:p w:rsidR="00874937" w:rsidP="008169EB" w:rsidRDefault="00292E78" w14:paraId="15CA6B78" w14:textId="0D2FFC76">
      <w:pPr>
        <w:pStyle w:val="Standard"/>
      </w:pPr>
      <w:r w:rsidRPr="00292E78">
        <w:t xml:space="preserve">The Commission views </w:t>
      </w:r>
      <w:r w:rsidR="00BF4D73">
        <w:t>Applicants’ violation of Section 854(a)</w:t>
      </w:r>
      <w:r w:rsidRPr="00292E78">
        <w:t xml:space="preserve"> as a distinct offense, subject to a penalty ranging from $500 to $100,000. </w:t>
      </w:r>
      <w:r w:rsidR="00874937">
        <w:t xml:space="preserve">In their Application, Applicants argued no penalty </w:t>
      </w:r>
      <w:r w:rsidR="00135D66">
        <w:t>is necessary</w:t>
      </w:r>
      <w:r w:rsidR="00874937">
        <w:t xml:space="preserve">, </w:t>
      </w:r>
      <w:r w:rsidR="00D217C9">
        <w:t xml:space="preserve">as </w:t>
      </w:r>
      <w:proofErr w:type="spellStart"/>
      <w:r w:rsidR="00D217C9">
        <w:t>Exiant</w:t>
      </w:r>
      <w:proofErr w:type="spellEnd"/>
      <w:r w:rsidR="00D217C9">
        <w:t xml:space="preserve"> has not begun operations</w:t>
      </w:r>
      <w:r w:rsidR="00874937">
        <w:t>.</w:t>
      </w:r>
      <w:r w:rsidR="00874937">
        <w:rPr>
          <w:rStyle w:val="FootnoteReference"/>
        </w:rPr>
        <w:footnoteReference w:id="28"/>
      </w:r>
      <w:r w:rsidR="00874937">
        <w:t xml:space="preserve"> However, if</w:t>
      </w:r>
      <w:r w:rsidR="00F04D89">
        <w:t xml:space="preserve"> </w:t>
      </w:r>
      <w:r w:rsidR="00874937">
        <w:t xml:space="preserve">a penalty is </w:t>
      </w:r>
      <w:r w:rsidR="00F04D89">
        <w:t>assessed</w:t>
      </w:r>
      <w:r w:rsidR="00874937">
        <w:t>, Applicants urged the Commission to limit the amount to $1,000</w:t>
      </w:r>
      <w:r w:rsidR="00D217C9">
        <w:t xml:space="preserve"> based on previous cases involving a failure to meet </w:t>
      </w:r>
      <w:r w:rsidR="00F04D89">
        <w:t xml:space="preserve">filing and </w:t>
      </w:r>
      <w:r w:rsidR="00D217C9">
        <w:t>reporting requirements</w:t>
      </w:r>
      <w:r w:rsidR="00874937">
        <w:t>.</w:t>
      </w:r>
      <w:r w:rsidR="00874937">
        <w:rPr>
          <w:rStyle w:val="FootnoteReference"/>
        </w:rPr>
        <w:footnoteReference w:id="29"/>
      </w:r>
      <w:r w:rsidR="00874937">
        <w:t xml:space="preserve"> </w:t>
      </w:r>
    </w:p>
    <w:p w:rsidR="009C671D" w:rsidP="008169EB" w:rsidRDefault="00292E78" w14:paraId="4F6C7CE2" w14:textId="08D381D6">
      <w:pPr>
        <w:pStyle w:val="Standard"/>
      </w:pPr>
      <w:r w:rsidRPr="00292E78">
        <w:t xml:space="preserve">In assessing the reasonableness of the penalty range, we apply the criteria set forth in D.98-12-075 for guidance and evaluate: (1) the severity of the </w:t>
      </w:r>
      <w:r w:rsidR="002C4CA4">
        <w:t>offense</w:t>
      </w:r>
      <w:r w:rsidRPr="00292E78">
        <w:t xml:space="preserve">; (2) the utility’s conduct to prevent, detect, disclose, and rectify the violation; (3) the utility’s financial resources; (4) the public interest involved; (5) the totality of the circumstances; and (6) Commission precedent. </w:t>
      </w:r>
    </w:p>
    <w:p w:rsidR="00E06CDD" w:rsidP="00E06CDD" w:rsidRDefault="00E06CDD" w14:paraId="0E05D0D3" w14:textId="63D8A100">
      <w:pPr>
        <w:pStyle w:val="Heading2"/>
      </w:pPr>
      <w:bookmarkStart w:name="_Toc237008409" w:id="14"/>
      <w:r>
        <w:t>Severity of the Offense</w:t>
      </w:r>
      <w:bookmarkEnd w:id="14"/>
    </w:p>
    <w:p w:rsidR="0044614A" w:rsidP="00C93CE8" w:rsidRDefault="0044614A" w14:paraId="237338E7" w14:textId="35812047">
      <w:pPr>
        <w:pStyle w:val="Standard"/>
      </w:pPr>
      <w:r>
        <w:t xml:space="preserve">The size of a fine should be proportionate to the severity of the offense, based on physical harm, economic harm, harm to the regulatory process, and the </w:t>
      </w:r>
      <w:r>
        <w:lastRenderedPageBreak/>
        <w:t>number and scope of violations.</w:t>
      </w:r>
      <w:r>
        <w:rPr>
          <w:rStyle w:val="FootnoteReference"/>
        </w:rPr>
        <w:footnoteReference w:id="30"/>
      </w:r>
      <w:r>
        <w:t xml:space="preserve"> </w:t>
      </w:r>
      <w:r w:rsidR="00135D66">
        <w:t>No physical or economic harm resulted from Applicants’ violation</w:t>
      </w:r>
      <w:r>
        <w:t xml:space="preserve">, as </w:t>
      </w:r>
      <w:proofErr w:type="spellStart"/>
      <w:r>
        <w:t>Exiant</w:t>
      </w:r>
      <w:proofErr w:type="spellEnd"/>
      <w:r>
        <w:t xml:space="preserve"> has not begun operations, and the company has no California customers</w:t>
      </w:r>
      <w:r w:rsidR="00135D66">
        <w:t xml:space="preserve">. </w:t>
      </w:r>
      <w:r w:rsidR="002C4CA4">
        <w:t xml:space="preserve">The unauthorized acquisition </w:t>
      </w:r>
      <w:r w:rsidR="00C93CE8">
        <w:t>caused</w:t>
      </w:r>
      <w:r w:rsidR="002C4CA4">
        <w:t xml:space="preserve"> regulatory harm</w:t>
      </w:r>
      <w:r>
        <w:t>,</w:t>
      </w:r>
      <w:r w:rsidR="002C4CA4">
        <w:t xml:space="preserve"> as Applicants violated a section of the Pub. Util. Code. </w:t>
      </w:r>
      <w:r>
        <w:t>Generally, a high level of severity is accorded to violations of the Pub. Util Code</w:t>
      </w:r>
      <w:r w:rsidR="00C93CE8">
        <w:t>;</w:t>
      </w:r>
      <w:r>
        <w:t xml:space="preserve"> however</w:t>
      </w:r>
      <w:r w:rsidR="00C93CE8">
        <w:t>,</w:t>
      </w:r>
      <w:r>
        <w:t xml:space="preserve"> </w:t>
      </w:r>
      <w:r w:rsidR="00C93CE8">
        <w:t xml:space="preserve">a smaller fine </w:t>
      </w:r>
      <w:r w:rsidR="0081385D">
        <w:t>may</w:t>
      </w:r>
      <w:r w:rsidR="00C93CE8">
        <w:t xml:space="preserve"> still be appropriate where </w:t>
      </w:r>
      <w:r>
        <w:t>other factors indicat</w:t>
      </w:r>
      <w:r w:rsidR="00C93CE8">
        <w:t>e</w:t>
      </w:r>
      <w:r>
        <w:t xml:space="preserve"> that </w:t>
      </w:r>
      <w:r w:rsidR="00BF4D73">
        <w:t>A</w:t>
      </w:r>
      <w:r>
        <w:t>pplicants</w:t>
      </w:r>
      <w:r w:rsidR="00C93CE8">
        <w:t>’</w:t>
      </w:r>
      <w:r>
        <w:t xml:space="preserve"> failure to comply with </w:t>
      </w:r>
      <w:r w:rsidR="00806476">
        <w:t>S</w:t>
      </w:r>
      <w:r>
        <w:t>ection 854(a) was not an egregious offense.</w:t>
      </w:r>
      <w:r>
        <w:rPr>
          <w:rStyle w:val="FootnoteReference"/>
        </w:rPr>
        <w:footnoteReference w:id="31"/>
      </w:r>
      <w:r w:rsidR="0081385D">
        <w:t xml:space="preserve"> </w:t>
      </w:r>
      <w:r w:rsidR="00DB34C6">
        <w:t>Applicants</w:t>
      </w:r>
      <w:r w:rsidR="0081385D">
        <w:t xml:space="preserve"> committed only one offense. Therefore, </w:t>
      </w:r>
      <w:r w:rsidR="00904013">
        <w:t xml:space="preserve">we find </w:t>
      </w:r>
      <w:r w:rsidR="0081385D">
        <w:t>the severity of the offense indicates that a small fine is appropriate.</w:t>
      </w:r>
    </w:p>
    <w:p w:rsidR="00E06CDD" w:rsidP="00E06CDD" w:rsidRDefault="00C53C67" w14:paraId="4E905345" w14:textId="08AAAB87">
      <w:pPr>
        <w:pStyle w:val="Heading2"/>
      </w:pPr>
      <w:bookmarkStart w:name="_Toc237008410" w:id="15"/>
      <w:r>
        <w:t>Conduct of the Utility</w:t>
      </w:r>
      <w:bookmarkEnd w:id="15"/>
    </w:p>
    <w:p w:rsidR="00BF4D73" w:rsidP="00223F64" w:rsidRDefault="00993CBE" w14:paraId="49CA9802" w14:textId="3D4EE337">
      <w:pPr>
        <w:pStyle w:val="Standard"/>
      </w:pPr>
      <w:r>
        <w:t xml:space="preserve">Applicants disclosed the </w:t>
      </w:r>
      <w:r w:rsidR="00585A37">
        <w:t>April 17, 2025</w:t>
      </w:r>
      <w:r w:rsidR="0081385D">
        <w:t>,</w:t>
      </w:r>
      <w:r w:rsidR="00585A37">
        <w:t xml:space="preserve"> </w:t>
      </w:r>
      <w:r>
        <w:t xml:space="preserve">unauthorized transfer of control in their </w:t>
      </w:r>
      <w:r w:rsidR="00585A37">
        <w:t>December 30, 2025</w:t>
      </w:r>
      <w:r w:rsidR="00EF75FE">
        <w:t>,</w:t>
      </w:r>
      <w:r w:rsidR="00585A37">
        <w:t xml:space="preserve"> </w:t>
      </w:r>
      <w:r>
        <w:t xml:space="preserve">Application. </w:t>
      </w:r>
      <w:r w:rsidR="00C52EBE">
        <w:t xml:space="preserve">Applicants </w:t>
      </w:r>
      <w:r w:rsidR="00EF75FE">
        <w:t>claim</w:t>
      </w:r>
      <w:r w:rsidR="0081385D">
        <w:t>ed</w:t>
      </w:r>
      <w:r w:rsidR="00EF75FE">
        <w:t xml:space="preserve"> they were not aware that Commission approval was needed for the transfer of control of a DVF provider.</w:t>
      </w:r>
      <w:r w:rsidR="00EF75FE">
        <w:rPr>
          <w:rStyle w:val="FootnoteReference"/>
        </w:rPr>
        <w:footnoteReference w:id="32"/>
      </w:r>
      <w:r w:rsidR="00EF75FE">
        <w:t xml:space="preserve"> Applicants filed their Application as soon as they became aware of this requirement.</w:t>
      </w:r>
      <w:r w:rsidR="00EF75FE">
        <w:rPr>
          <w:rStyle w:val="FootnoteReference"/>
        </w:rPr>
        <w:footnoteReference w:id="33"/>
      </w:r>
      <w:r w:rsidR="00EF75FE">
        <w:t xml:space="preserve"> Applicants also paid outstanding </w:t>
      </w:r>
      <w:r w:rsidR="0081385D">
        <w:t>c</w:t>
      </w:r>
      <w:r w:rsidR="00EF75FE">
        <w:t xml:space="preserve">itation CD-2025-05-030 </w:t>
      </w:r>
      <w:r w:rsidR="00223F64">
        <w:t xml:space="preserve">once </w:t>
      </w:r>
      <w:r w:rsidR="00EF75FE">
        <w:t>they became aware of its existence</w:t>
      </w:r>
      <w:r w:rsidR="00223F64">
        <w:t>.</w:t>
      </w:r>
      <w:r w:rsidR="00223F64">
        <w:rPr>
          <w:rStyle w:val="FootnoteReference"/>
        </w:rPr>
        <w:footnoteReference w:id="34"/>
      </w:r>
      <w:r w:rsidR="00223F64">
        <w:t xml:space="preserve"> </w:t>
      </w:r>
      <w:proofErr w:type="spellStart"/>
      <w:r w:rsidR="00223F64">
        <w:t>Exiant</w:t>
      </w:r>
      <w:proofErr w:type="spellEnd"/>
      <w:r w:rsidR="00223F64">
        <w:t xml:space="preserve"> is now fully compliant with the Commission’s reporting requirements and has paid all outstanding fees and penalties.</w:t>
      </w:r>
      <w:r w:rsidR="00223F64">
        <w:rPr>
          <w:rStyle w:val="FootnoteReference"/>
        </w:rPr>
        <w:footnoteReference w:id="35"/>
      </w:r>
      <w:r w:rsidR="00223F64">
        <w:t xml:space="preserve"> Neither Applicant has any prior history of non-compliance with Commission rules.</w:t>
      </w:r>
      <w:r w:rsidR="00223F64">
        <w:rPr>
          <w:rStyle w:val="FootnoteReference"/>
        </w:rPr>
        <w:footnoteReference w:id="36"/>
      </w:r>
      <w:r w:rsidR="00223F64">
        <w:t xml:space="preserve"> All these factors mitigate Applicants’ offense. </w:t>
      </w:r>
    </w:p>
    <w:p w:rsidR="009C671D" w:rsidP="00223F64" w:rsidRDefault="00292E78" w14:paraId="7FF66A04" w14:textId="591EDC9B">
      <w:pPr>
        <w:pStyle w:val="Standard"/>
      </w:pPr>
      <w:r w:rsidRPr="00292E78">
        <w:lastRenderedPageBreak/>
        <w:t>The Commission looks favorably on Applicants’ admission of the unauthorized transfer of control</w:t>
      </w:r>
      <w:r w:rsidR="00223F64">
        <w:t xml:space="preserve"> and attempts to reach compliance</w:t>
      </w:r>
      <w:r w:rsidRPr="00292E78">
        <w:t xml:space="preserve">. </w:t>
      </w:r>
      <w:r w:rsidR="00904013">
        <w:t>We note this</w:t>
      </w:r>
      <w:r w:rsidRPr="00C93CE8" w:rsidR="00C93CE8">
        <w:t xml:space="preserve"> provides some mitigation.</w:t>
      </w:r>
    </w:p>
    <w:p w:rsidR="00C53C67" w:rsidP="00C53C67" w:rsidRDefault="00C53C67" w14:paraId="3AA23066" w14:textId="402BF001">
      <w:pPr>
        <w:pStyle w:val="Heading2"/>
      </w:pPr>
      <w:bookmarkStart w:name="_Toc237008411" w:id="16"/>
      <w:r>
        <w:t>Financial Resources of the Utility</w:t>
      </w:r>
      <w:bookmarkEnd w:id="16"/>
    </w:p>
    <w:p w:rsidR="0006055E" w:rsidP="007519BC" w:rsidRDefault="00C93CE8" w14:paraId="765C8536" w14:textId="6477FF2B">
      <w:pPr>
        <w:pStyle w:val="Standard"/>
      </w:pPr>
      <w:r>
        <w:t>Penalties should be large enough to act as a deterrent without being excessive.</w:t>
      </w:r>
      <w:r>
        <w:rPr>
          <w:rStyle w:val="FootnoteReference"/>
        </w:rPr>
        <w:footnoteReference w:id="37"/>
      </w:r>
      <w:r>
        <w:t xml:space="preserve"> </w:t>
      </w:r>
      <w:r w:rsidRPr="00292E78" w:rsidR="00292E78">
        <w:t xml:space="preserve">With respect to its financial resources, </w:t>
      </w:r>
      <w:proofErr w:type="spellStart"/>
      <w:r w:rsidR="00223F64">
        <w:t>Exiant</w:t>
      </w:r>
      <w:proofErr w:type="spellEnd"/>
      <w:r w:rsidR="00223F64">
        <w:t xml:space="preserve"> is a start-up with no income, and it lacks the financial means to pay a large fine.</w:t>
      </w:r>
      <w:r w:rsidR="007519BC">
        <w:rPr>
          <w:rStyle w:val="FootnoteReference"/>
        </w:rPr>
        <w:footnoteReference w:id="38"/>
      </w:r>
      <w:r w:rsidR="0006055E">
        <w:t xml:space="preserve"> </w:t>
      </w:r>
      <w:r w:rsidR="00904013">
        <w:t>We find here a</w:t>
      </w:r>
      <w:r>
        <w:t xml:space="preserve"> smaller fine of $500 is large enough to act as a deterrent without being excessive.</w:t>
      </w:r>
    </w:p>
    <w:p w:rsidR="00242404" w:rsidP="00C53C67" w:rsidRDefault="00242404" w14:paraId="03900C82" w14:textId="05D1527C">
      <w:pPr>
        <w:pStyle w:val="Heading2"/>
      </w:pPr>
      <w:bookmarkStart w:name="_Toc237008412" w:id="17"/>
      <w:r>
        <w:t>Public Interest</w:t>
      </w:r>
    </w:p>
    <w:p w:rsidRPr="009E2B1A" w:rsidR="00242404" w:rsidP="00414339" w:rsidRDefault="00242404" w14:paraId="272D0E6B" w14:textId="480A36C1">
      <w:pPr>
        <w:pStyle w:val="Standard"/>
      </w:pPr>
      <w:r w:rsidRPr="009E2B1A">
        <w:t xml:space="preserve">By imposing a penalty against Applicants, the Commission furthers the public interest, encouraging utilities to seek Commission authorization pursuant to Pub. Util. Code Section 854 before initiating the transfer of control. Therefore, assessment of a penalty in this matter is in </w:t>
      </w:r>
      <w:proofErr w:type="gramStart"/>
      <w:r w:rsidRPr="009E2B1A">
        <w:t>the public</w:t>
      </w:r>
      <w:proofErr w:type="gramEnd"/>
      <w:r w:rsidRPr="009E2B1A">
        <w:t xml:space="preserve"> interest.</w:t>
      </w:r>
    </w:p>
    <w:p w:rsidR="00C53C67" w:rsidP="00C53C67" w:rsidRDefault="00C53C67" w14:paraId="3F6BCD57" w14:textId="6125D603">
      <w:pPr>
        <w:pStyle w:val="Heading2"/>
      </w:pPr>
      <w:r>
        <w:t>Totality of Circumstances</w:t>
      </w:r>
      <w:bookmarkEnd w:id="17"/>
    </w:p>
    <w:p w:rsidR="00C53C67" w:rsidP="00B6101F" w:rsidRDefault="00C93CE8" w14:paraId="13E4414D" w14:textId="28EFA509">
      <w:pPr>
        <w:pStyle w:val="Standard"/>
      </w:pPr>
      <w:r>
        <w:t>Penalties are tailored to the degree of wrongdoing and to the public interest.</w:t>
      </w:r>
      <w:r>
        <w:rPr>
          <w:rStyle w:val="FootnoteReference"/>
        </w:rPr>
        <w:footnoteReference w:id="39"/>
      </w:r>
      <w:r>
        <w:t xml:space="preserve"> </w:t>
      </w:r>
      <w:r w:rsidR="0006055E">
        <w:t xml:space="preserve">The transaction will not diminish the availability, quality, or affordability of the VoIP services offered to California customers, as </w:t>
      </w:r>
      <w:proofErr w:type="spellStart"/>
      <w:r w:rsidR="0006055E">
        <w:t>Exiant</w:t>
      </w:r>
      <w:proofErr w:type="spellEnd"/>
      <w:r w:rsidR="0006055E">
        <w:t xml:space="preserve"> did not provide service in California prior to the acquisition.</w:t>
      </w:r>
      <w:r w:rsidR="0006055E">
        <w:rPr>
          <w:rStyle w:val="FootnoteReference"/>
        </w:rPr>
        <w:footnoteReference w:id="40"/>
      </w:r>
      <w:r w:rsidR="0006055E">
        <w:t xml:space="preserve"> There will be no change to any business operations of </w:t>
      </w:r>
      <w:proofErr w:type="spellStart"/>
      <w:r w:rsidR="0006055E">
        <w:t>Exiant</w:t>
      </w:r>
      <w:proofErr w:type="spellEnd"/>
      <w:r w:rsidR="0006055E">
        <w:t>.</w:t>
      </w:r>
      <w:r w:rsidR="0006055E">
        <w:rPr>
          <w:rStyle w:val="FootnoteReference"/>
        </w:rPr>
        <w:footnoteReference w:id="41"/>
      </w:r>
      <w:r w:rsidR="00B6101F">
        <w:t xml:space="preserve"> </w:t>
      </w:r>
      <w:r w:rsidRPr="006769E2" w:rsidR="00DC593E">
        <w:t xml:space="preserve">Since </w:t>
      </w:r>
      <w:r w:rsidRPr="006769E2" w:rsidR="006769E2">
        <w:t>the acquisition</w:t>
      </w:r>
      <w:r w:rsidRPr="006769E2" w:rsidR="00DC593E">
        <w:t xml:space="preserve">, Ex Spa has taken steps to bring </w:t>
      </w:r>
      <w:proofErr w:type="spellStart"/>
      <w:r w:rsidRPr="006769E2" w:rsidR="00DC593E">
        <w:t>Exiant</w:t>
      </w:r>
      <w:proofErr w:type="spellEnd"/>
      <w:r w:rsidRPr="006769E2" w:rsidR="00DC593E">
        <w:t xml:space="preserve"> into compliance and paid </w:t>
      </w:r>
      <w:r w:rsidRPr="006769E2" w:rsidR="006769E2">
        <w:t xml:space="preserve">its outstanding </w:t>
      </w:r>
      <w:r w:rsidRPr="006769E2" w:rsidR="00DC593E">
        <w:t>citation.</w:t>
      </w:r>
      <w:r w:rsidR="006769E2">
        <w:rPr>
          <w:rStyle w:val="FootnoteReference"/>
        </w:rPr>
        <w:footnoteReference w:id="42"/>
      </w:r>
      <w:r w:rsidR="00DC593E">
        <w:t xml:space="preserve"> </w:t>
      </w:r>
      <w:r w:rsidR="0081385D">
        <w:lastRenderedPageBreak/>
        <w:t xml:space="preserve">Thus, </w:t>
      </w:r>
      <w:r w:rsidR="00904013">
        <w:t xml:space="preserve">we find that </w:t>
      </w:r>
      <w:r w:rsidR="0081385D">
        <w:t xml:space="preserve">Ex Spa’s acquisition of </w:t>
      </w:r>
      <w:proofErr w:type="spellStart"/>
      <w:r w:rsidR="0081385D">
        <w:t>Exiant</w:t>
      </w:r>
      <w:proofErr w:type="spellEnd"/>
      <w:r w:rsidR="0081385D">
        <w:t xml:space="preserve"> serves the public interest, and a smaller fine may be appropriate.</w:t>
      </w:r>
    </w:p>
    <w:p w:rsidR="00C53C67" w:rsidP="00C53C67" w:rsidRDefault="00C53C67" w14:paraId="07504EAB" w14:textId="5108BF5D">
      <w:pPr>
        <w:pStyle w:val="Heading2"/>
      </w:pPr>
      <w:bookmarkStart w:name="_Toc237008413" w:id="18"/>
      <w:r>
        <w:t>Commission Precedent</w:t>
      </w:r>
      <w:bookmarkEnd w:id="18"/>
    </w:p>
    <w:p w:rsidRPr="00C53C67" w:rsidR="00C53C67" w:rsidP="00C53C67" w:rsidRDefault="00C53C67" w14:paraId="03E18470" w14:textId="588E2628">
      <w:pPr>
        <w:pStyle w:val="Standard"/>
      </w:pPr>
      <w:r>
        <w:t xml:space="preserve">Commission precedent supports imposing the minimum fine of $500 </w:t>
      </w:r>
      <w:r w:rsidR="00BF4D73">
        <w:t>for violations</w:t>
      </w:r>
      <w:r>
        <w:t xml:space="preserve"> </w:t>
      </w:r>
      <w:r w:rsidR="00B6101F">
        <w:t>like</w:t>
      </w:r>
      <w:r>
        <w:t xml:space="preserve"> this one.</w:t>
      </w:r>
      <w:r w:rsidR="00E87E33">
        <w:t xml:space="preserve"> </w:t>
      </w:r>
      <w:r>
        <w:t>In D.</w:t>
      </w:r>
      <w:r w:rsidRPr="00FF2E6D">
        <w:t>06-01-003</w:t>
      </w:r>
      <w:r>
        <w:t xml:space="preserve">, a company that failed to obtain Commission approval prior to acquiring a telecommunications company was fined $500. </w:t>
      </w:r>
      <w:r w:rsidR="004D7B31">
        <w:t xml:space="preserve">The Commission found </w:t>
      </w:r>
      <w:r>
        <w:t>no physical or economic harm, the violation was inadvertent, and the company lacked the financial resources to pay a larger fine.</w:t>
      </w:r>
      <w:r>
        <w:rPr>
          <w:rStyle w:val="FootnoteReference"/>
        </w:rPr>
        <w:footnoteReference w:id="43"/>
      </w:r>
      <w:r>
        <w:t xml:space="preserve"> In D.</w:t>
      </w:r>
      <w:r w:rsidRPr="000B24EA">
        <w:t>16-05-002</w:t>
      </w:r>
      <w:r>
        <w:t>, the utility was similarly fined the minimum amount, due to a lack of harm caused by the unauthorized transfer of control.</w:t>
      </w:r>
      <w:r>
        <w:rPr>
          <w:rStyle w:val="FootnoteReference"/>
        </w:rPr>
        <w:footnoteReference w:id="44"/>
      </w:r>
      <w:r>
        <w:t xml:space="preserve"> </w:t>
      </w:r>
    </w:p>
    <w:p w:rsidR="00E06CDD" w:rsidP="00C53C67" w:rsidRDefault="00C53C67" w14:paraId="098D3F84" w14:textId="6B9A9207">
      <w:pPr>
        <w:pStyle w:val="Heading2"/>
      </w:pPr>
      <w:bookmarkStart w:name="_Toc237008414" w:id="19"/>
      <w:r>
        <w:t xml:space="preserve">Amount of Fine </w:t>
      </w:r>
      <w:bookmarkEnd w:id="19"/>
    </w:p>
    <w:p w:rsidR="00B6101F" w:rsidP="008169EB" w:rsidRDefault="00B6101F" w14:paraId="5482CAD4" w14:textId="4B584015">
      <w:pPr>
        <w:pStyle w:val="Standard"/>
      </w:pPr>
      <w:r w:rsidRPr="00292E78">
        <w:t xml:space="preserve">Applicants proposed paying a penalty </w:t>
      </w:r>
      <w:r>
        <w:t>equal to or less than $1,000,</w:t>
      </w:r>
      <w:r w:rsidRPr="00292E78">
        <w:t xml:space="preserve"> making the Commission imposed penalty of $</w:t>
      </w:r>
      <w:r>
        <w:t>500</w:t>
      </w:r>
      <w:r w:rsidRPr="00292E78">
        <w:t xml:space="preserve"> consistent with </w:t>
      </w:r>
      <w:r>
        <w:t>Applica</w:t>
      </w:r>
      <w:r w:rsidR="00BF4D73">
        <w:t>nts’ proposal</w:t>
      </w:r>
      <w:r w:rsidRPr="00292E78">
        <w:t>.</w:t>
      </w:r>
    </w:p>
    <w:p w:rsidRPr="008169EB" w:rsidR="009C671D" w:rsidP="008169EB" w:rsidRDefault="009C671D" w14:paraId="7851684D" w14:textId="5F586DF7">
      <w:pPr>
        <w:pStyle w:val="Standard"/>
      </w:pPr>
      <w:r w:rsidRPr="009C671D">
        <w:t>For the above reasons, we find the $</w:t>
      </w:r>
      <w:r w:rsidR="00E06CDD">
        <w:t>500</w:t>
      </w:r>
      <w:r w:rsidRPr="009C671D">
        <w:t xml:space="preserve"> penalty to be reasonable </w:t>
      </w:r>
      <w:r w:rsidRPr="009C671D" w:rsidR="00E06CDD">
        <w:t>considering</w:t>
      </w:r>
      <w:r w:rsidRPr="009C671D">
        <w:t xml:space="preserve"> the factors set forth in D.98-12-075.</w:t>
      </w:r>
      <w:r w:rsidR="002A1ACA">
        <w:t xml:space="preserve"> </w:t>
      </w:r>
      <w:r w:rsidRPr="009C671D">
        <w:t>Payment shall be made by check or money order payable to the California Public Utilities Commission and mailed or delivered to the Commission’s Fiscal Office at 505 Van Ness Avenue, Room 3000, San Francisco, California, 94102. Applicants must include a written identification stating the decision number and the application number, such as the following: “Per Decision [enter decision number here] of A.2</w:t>
      </w:r>
      <w:r w:rsidR="00E06CDD">
        <w:t>5</w:t>
      </w:r>
      <w:r w:rsidRPr="009C671D">
        <w:t>-</w:t>
      </w:r>
      <w:r w:rsidR="00E06CDD">
        <w:t>12</w:t>
      </w:r>
      <w:r w:rsidRPr="009C671D">
        <w:t>-0</w:t>
      </w:r>
      <w:r w:rsidR="00E06CDD">
        <w:t>20</w:t>
      </w:r>
      <w:r w:rsidRPr="009C671D">
        <w:t>.”</w:t>
      </w:r>
    </w:p>
    <w:p w:rsidRPr="00597058" w:rsidR="00042650" w:rsidP="00FA1B4F" w:rsidRDefault="00042650" w14:paraId="191A77F0" w14:textId="23CCD0D3">
      <w:pPr>
        <w:pStyle w:val="Heading1"/>
      </w:pPr>
      <w:bookmarkStart w:name="_Toc237008415" w:id="20"/>
      <w:r w:rsidRPr="00597058">
        <w:t xml:space="preserve">Motion for </w:t>
      </w:r>
      <w:bookmarkEnd w:id="20"/>
      <w:r w:rsidR="00BF4D73">
        <w:t>Confidential Treatment</w:t>
      </w:r>
    </w:p>
    <w:p w:rsidR="00BF4D73" w:rsidP="002F7DF5" w:rsidRDefault="00057078" w14:paraId="4BB71CB3" w14:textId="0DA09759">
      <w:pPr>
        <w:pStyle w:val="Standard"/>
      </w:pPr>
      <w:r w:rsidRPr="00597058">
        <w:t>On</w:t>
      </w:r>
      <w:r w:rsidRPr="00597058" w:rsidR="00A02E33">
        <w:t xml:space="preserve"> December 30, 2025</w:t>
      </w:r>
      <w:r w:rsidRPr="00597058">
        <w:t xml:space="preserve">, Applicants filed a motion to file under seal Exhibit </w:t>
      </w:r>
      <w:r w:rsidRPr="00597058" w:rsidR="00323BA5">
        <w:t>B</w:t>
      </w:r>
      <w:r w:rsidRPr="00597058">
        <w:t xml:space="preserve"> to </w:t>
      </w:r>
      <w:r w:rsidR="0081385D">
        <w:t>their</w:t>
      </w:r>
      <w:r w:rsidRPr="00597058">
        <w:t xml:space="preserve"> Application</w:t>
      </w:r>
      <w:r w:rsidR="0081385D">
        <w:t xml:space="preserve"> </w:t>
      </w:r>
      <w:r w:rsidRPr="00597058" w:rsidR="0081385D">
        <w:t>(Unaudited Balance Sheet)</w:t>
      </w:r>
      <w:r w:rsidRPr="00597058">
        <w:t>.</w:t>
      </w:r>
      <w:r w:rsidR="006863F5">
        <w:t xml:space="preserve"> </w:t>
      </w:r>
      <w:r w:rsidRPr="00597058">
        <w:t xml:space="preserve">The motion to seal is filed </w:t>
      </w:r>
      <w:r w:rsidRPr="00597058" w:rsidR="00323BA5">
        <w:t>under</w:t>
      </w:r>
      <w:r w:rsidRPr="00597058">
        <w:t xml:space="preserve"> General Order (GO) 66-C, Pub. Util. Code Section 583, and Rule 11.4. </w:t>
      </w:r>
      <w:r w:rsidRPr="00597058" w:rsidR="00C447D2">
        <w:lastRenderedPageBreak/>
        <w:t xml:space="preserve">Applicants </w:t>
      </w:r>
      <w:r w:rsidRPr="00597058" w:rsidR="00E577CB">
        <w:t>claimed</w:t>
      </w:r>
      <w:r w:rsidRPr="00597058" w:rsidR="00C447D2">
        <w:t xml:space="preserve"> Exhibit B </w:t>
      </w:r>
      <w:r w:rsidRPr="00597058" w:rsidR="00E577CB">
        <w:t>contain</w:t>
      </w:r>
      <w:r w:rsidRPr="00597058" w:rsidR="00055AE1">
        <w:t>s</w:t>
      </w:r>
      <w:r w:rsidRPr="00597058" w:rsidR="00E577CB">
        <w:t xml:space="preserve"> confidential</w:t>
      </w:r>
      <w:r w:rsidR="00E577CB">
        <w:t xml:space="preserve"> financial information </w:t>
      </w:r>
      <w:r w:rsidR="00055AE1">
        <w:t>that</w:t>
      </w:r>
      <w:r w:rsidR="002F7DF5">
        <w:t>, if released,</w:t>
      </w:r>
      <w:r w:rsidR="00055AE1">
        <w:t xml:space="preserve"> would put </w:t>
      </w:r>
      <w:proofErr w:type="spellStart"/>
      <w:r w:rsidR="00055AE1">
        <w:t>Exiant</w:t>
      </w:r>
      <w:proofErr w:type="spellEnd"/>
      <w:r w:rsidR="00055AE1">
        <w:t xml:space="preserve"> at a competitive disadvantage.</w:t>
      </w:r>
      <w:r w:rsidR="002F7DF5">
        <w:rPr>
          <w:rStyle w:val="FootnoteReference"/>
        </w:rPr>
        <w:footnoteReference w:id="45"/>
      </w:r>
      <w:r w:rsidR="002F7DF5">
        <w:t xml:space="preserve"> </w:t>
      </w:r>
    </w:p>
    <w:p w:rsidR="00BF4D73" w:rsidP="002F7DF5" w:rsidRDefault="00BF4D73" w14:paraId="34F059F1" w14:textId="100C3B23">
      <w:pPr>
        <w:pStyle w:val="Standard"/>
      </w:pPr>
      <w:r>
        <w:t>The Commission has recognized that unaudited bank statements are likely to display sensitive financial information</w:t>
      </w:r>
      <w:r w:rsidR="00743967">
        <w:t xml:space="preserve"> and has granted them preemptive confidential treatment pursuant to GO 66-D in the context of telecommunications licensing and registration applications</w:t>
      </w:r>
      <w:r>
        <w:t>.</w:t>
      </w:r>
      <w:r w:rsidR="00743967">
        <w:rPr>
          <w:rStyle w:val="FootnoteReference"/>
        </w:rPr>
        <w:footnoteReference w:id="46"/>
      </w:r>
      <w:r w:rsidR="00743967">
        <w:t xml:space="preserve"> Moreover, Government Code Sections 7925.005 and 7927.605 do not require public disclosure of certain financial data and records. For these reasons, Applicants’ motion is granted.</w:t>
      </w:r>
    </w:p>
    <w:p w:rsidR="00743967" w:rsidP="002F7DF5" w:rsidRDefault="00743967" w14:paraId="4DE04AB3" w14:textId="5CE0D06E">
      <w:pPr>
        <w:pStyle w:val="Standard"/>
      </w:pPr>
      <w:r>
        <w:t>Exhibit B is granted confidential treatment for a period of three years. During this three-year period, this information shall not be publicly disclosed except on further Commission order or ALJ ruling. If Applicants believe that it is necessary for this information to remain under seal for longer than three years, Applicants may file a motion showing good cause for extending this order by no later than 30 days before the expiration of the grant of confidentiality.</w:t>
      </w:r>
    </w:p>
    <w:p w:rsidRPr="00042650" w:rsidR="00057078" w:rsidP="002F7DF5" w:rsidRDefault="00057078" w14:paraId="51F99E9E" w14:textId="42C5F9E7">
      <w:pPr>
        <w:pStyle w:val="Standard"/>
      </w:pPr>
    </w:p>
    <w:p w:rsidR="00603238" w:rsidP="00FA1B4F" w:rsidRDefault="00603238" w14:paraId="17F4B61B" w14:textId="3D12E651">
      <w:pPr>
        <w:pStyle w:val="Heading1"/>
      </w:pPr>
      <w:bookmarkStart w:name="_Toc237008416" w:id="21"/>
      <w:r>
        <w:t>Summary of Public Comment</w:t>
      </w:r>
      <w:bookmarkEnd w:id="21"/>
    </w:p>
    <w:p w:rsidRPr="00C31266" w:rsidR="00603238" w:rsidP="00284D8D" w:rsidRDefault="00603238" w14:paraId="2F3354C3" w14:textId="77777777">
      <w:pPr>
        <w:rPr>
          <w:rFonts w:ascii="Calibri" w:hAnsi="Calibri"/>
          <w:sz w:val="22"/>
        </w:rPr>
      </w:pPr>
      <w:r w:rsidRPr="00C31266">
        <w:t>Rule 1.18 allows any member of the public to submit written comment in any Commission proceeding using the “Public Comment” tab of the online Docket Card for that proceeding on the Commission’s website. </w:t>
      </w:r>
      <w:r w:rsidRPr="00C31266" w:rsidR="007A3820">
        <w:t xml:space="preserve">Rule 1.18(a) requires that all written public comment submitted prior to the submission of the proceeding are part of the administrative record of the proceeding. </w:t>
      </w:r>
      <w:r w:rsidRPr="00C31266">
        <w:t>Rule 1.18(b) requires that relevant written comment submitted in a proceeding be summarized in the final decision issued in that proceeding.</w:t>
      </w:r>
    </w:p>
    <w:p w:rsidRPr="00603238" w:rsidR="00603238" w:rsidP="00603238" w:rsidRDefault="00942471" w14:paraId="5F479448" w14:textId="37C1DA41">
      <w:pPr>
        <w:pStyle w:val="Standard"/>
      </w:pPr>
      <w:r>
        <w:lastRenderedPageBreak/>
        <w:t>T</w:t>
      </w:r>
      <w:r w:rsidR="00603238">
        <w:t>here are no relevant public comments on the Docket Card</w:t>
      </w:r>
      <w:r>
        <w:t>.</w:t>
      </w:r>
    </w:p>
    <w:p w:rsidR="004A1EAD" w:rsidP="004A1EAD" w:rsidRDefault="004A1EAD" w14:paraId="102B1683" w14:textId="77777777">
      <w:pPr>
        <w:pStyle w:val="Heading1"/>
      </w:pPr>
      <w:bookmarkStart w:name="_Toc237008417" w:id="22"/>
      <w:bookmarkStart w:name="_Toc8123723" w:id="23"/>
      <w:bookmarkEnd w:id="13"/>
      <w:r>
        <w:t>Procedural Matters</w:t>
      </w:r>
      <w:bookmarkEnd w:id="22"/>
    </w:p>
    <w:p w:rsidRPr="008B175A" w:rsidR="004A1EAD" w:rsidP="004A1EAD" w:rsidRDefault="004A1EAD" w14:paraId="600B68F1" w14:textId="35FED1A5">
      <w:pPr>
        <w:pStyle w:val="Standard"/>
      </w:pPr>
      <w:r w:rsidRPr="008B175A">
        <w:t xml:space="preserve">This decision affirms all rulings made by the </w:t>
      </w:r>
      <w:r w:rsidR="00F51CCE">
        <w:t xml:space="preserve">ALJ </w:t>
      </w:r>
      <w:r w:rsidRPr="008B175A">
        <w:t>and assigned Commissioner in this proceeding. All motions not ruled on are deemed denied.</w:t>
      </w:r>
    </w:p>
    <w:p w:rsidR="005939A5" w:rsidP="005939A5" w:rsidRDefault="005939A5" w14:paraId="30C5DF16" w14:textId="77777777">
      <w:pPr>
        <w:pStyle w:val="Heading1"/>
      </w:pPr>
      <w:bookmarkStart w:name="_Toc237008418" w:id="24"/>
      <w:r>
        <w:t>Comments on Proposed Decision</w:t>
      </w:r>
      <w:bookmarkEnd w:id="23"/>
      <w:bookmarkEnd w:id="24"/>
    </w:p>
    <w:p w:rsidRPr="005066B9" w:rsidR="005939A5" w:rsidP="005066B9" w:rsidRDefault="005C58FA" w14:paraId="15599E25" w14:textId="1358800B">
      <w:pPr>
        <w:pStyle w:val="Standard"/>
        <w:rPr>
          <w:highlight w:val="yellow"/>
        </w:rPr>
      </w:pPr>
      <w:r w:rsidRPr="005066B9">
        <w:t xml:space="preserve">The proposed decision of ALJ </w:t>
      </w:r>
      <w:r w:rsidRPr="00482778" w:rsidR="00482778">
        <w:t>Eric Fredericks</w:t>
      </w:r>
      <w:r w:rsidR="00482778">
        <w:t xml:space="preserve"> </w:t>
      </w:r>
      <w:r>
        <w:t>in this matter was mailed to the parties in accordance with Section 311 of the Pub</w:t>
      </w:r>
      <w:r w:rsidR="00B612C5">
        <w:t>.</w:t>
      </w:r>
      <w:r>
        <w:t xml:space="preserve"> Util</w:t>
      </w:r>
      <w:r w:rsidR="00B612C5">
        <w:t>.</w:t>
      </w:r>
      <w:r>
        <w:t xml:space="preserve"> Code and comments were allowed under Rule 14.3. </w:t>
      </w:r>
      <w:r w:rsidR="00812A29">
        <w:t>No comments were received</w:t>
      </w:r>
      <w:r>
        <w:t>.</w:t>
      </w:r>
      <w:r w:rsidRPr="00C878D5" w:rsidR="00C878D5">
        <w:t xml:space="preserve"> </w:t>
      </w:r>
    </w:p>
    <w:p w:rsidR="005939A5" w:rsidP="005939A5" w:rsidRDefault="005939A5" w14:paraId="2A149E53" w14:textId="77777777">
      <w:pPr>
        <w:pStyle w:val="Heading1"/>
      </w:pPr>
      <w:bookmarkStart w:name="_Toc8123724" w:id="25"/>
      <w:bookmarkStart w:name="_Toc237008419" w:id="26"/>
      <w:r>
        <w:t>Assignment of Proceeding</w:t>
      </w:r>
      <w:bookmarkEnd w:id="25"/>
      <w:bookmarkEnd w:id="26"/>
    </w:p>
    <w:p w:rsidR="005939A5" w:rsidP="006E6574" w:rsidRDefault="00482778" w14:paraId="740AA86C" w14:textId="4A00F7DB">
      <w:pPr>
        <w:pStyle w:val="Standard"/>
      </w:pPr>
      <w:r w:rsidRPr="00482778">
        <w:t>Matthew Baker</w:t>
      </w:r>
      <w:r w:rsidR="005939A5">
        <w:t xml:space="preserve"> is the assigned Commissioner and </w:t>
      </w:r>
      <w:r w:rsidRPr="00482778">
        <w:t>Eric Fredericks</w:t>
      </w:r>
      <w:r w:rsidR="005939A5">
        <w:t xml:space="preserve"> is the assigned </w:t>
      </w:r>
      <w:r w:rsidR="00346820">
        <w:t>ALJ</w:t>
      </w:r>
      <w:r w:rsidR="005939A5">
        <w:t xml:space="preserve"> in this proceeding.</w:t>
      </w:r>
    </w:p>
    <w:p w:rsidRPr="005F68D3" w:rsidR="005F68D3" w:rsidP="00475D23" w:rsidRDefault="005939A5" w14:paraId="5FD4A6D5" w14:textId="52D20765">
      <w:pPr>
        <w:pStyle w:val="Dummy"/>
      </w:pPr>
      <w:bookmarkStart w:name="_Toc8123725" w:id="27"/>
      <w:bookmarkStart w:name="_Toc237008420" w:id="28"/>
      <w:r w:rsidRPr="00475D23">
        <w:t>Findings of Fact</w:t>
      </w:r>
      <w:bookmarkEnd w:id="27"/>
      <w:bookmarkEnd w:id="28"/>
    </w:p>
    <w:p w:rsidRPr="001E2A62" w:rsidR="00F62B7A" w:rsidP="001E2A62" w:rsidRDefault="005F68D3" w14:paraId="1D2256F4" w14:textId="57853354">
      <w:pPr>
        <w:pStyle w:val="FoF"/>
      </w:pPr>
      <w:proofErr w:type="spellStart"/>
      <w:r>
        <w:t>Exiant</w:t>
      </w:r>
      <w:proofErr w:type="spellEnd"/>
      <w:r>
        <w:t xml:space="preserve"> is a Florida limited liability company with a principal place of business at 1515 Park Center Drive, Orlando, Florida, 32835. </w:t>
      </w:r>
    </w:p>
    <w:p w:rsidR="008E6AE6" w:rsidP="001E2A62" w:rsidRDefault="00A941BB" w14:paraId="496EA0B0" w14:textId="6266ED66">
      <w:pPr>
        <w:pStyle w:val="FoF"/>
      </w:pPr>
      <w:proofErr w:type="spellStart"/>
      <w:r>
        <w:t>Exiant</w:t>
      </w:r>
      <w:proofErr w:type="spellEnd"/>
      <w:r>
        <w:t xml:space="preserve"> is registered with the Commission as a DVF provider in California </w:t>
      </w:r>
      <w:proofErr w:type="gramStart"/>
      <w:r>
        <w:t>under</w:t>
      </w:r>
      <w:proofErr w:type="gramEnd"/>
      <w:r>
        <w:t xml:space="preserve"> D.24-11-003.</w:t>
      </w:r>
    </w:p>
    <w:p w:rsidR="00A941BB" w:rsidP="001E2A62" w:rsidRDefault="00A941BB" w14:paraId="6CB673B6" w14:textId="4C5D2A85">
      <w:pPr>
        <w:pStyle w:val="FoF"/>
      </w:pPr>
      <w:proofErr w:type="spellStart"/>
      <w:r>
        <w:t>Exiant</w:t>
      </w:r>
      <w:proofErr w:type="spellEnd"/>
      <w:r>
        <w:t xml:space="preserve"> does not have any customers in the State of California and is in the process of initiating VoIP operations throughout the United States.</w:t>
      </w:r>
    </w:p>
    <w:p w:rsidR="00A941BB" w:rsidP="001E2A62" w:rsidRDefault="00A941BB" w14:paraId="694EB59F" w14:textId="5251EB3D">
      <w:pPr>
        <w:pStyle w:val="FoF"/>
      </w:pPr>
      <w:r>
        <w:t>Ex Spa is a holding company formed specifically for this acquisition, with no previous operations in the State of California and no authority to provide VoIP service in California.</w:t>
      </w:r>
    </w:p>
    <w:p w:rsidR="00A941BB" w:rsidP="00A941BB" w:rsidRDefault="00A941BB" w14:paraId="6706DFB6" w14:textId="0694F542">
      <w:pPr>
        <w:pStyle w:val="FoF"/>
      </w:pPr>
      <w:r>
        <w:t xml:space="preserve">On April 17, 2025, Ex Spa </w:t>
      </w:r>
      <w:r w:rsidR="00EF1883">
        <w:t xml:space="preserve">acquired </w:t>
      </w:r>
      <w:proofErr w:type="spellStart"/>
      <w:r w:rsidR="00EF1883">
        <w:t>Exiant</w:t>
      </w:r>
      <w:proofErr w:type="spellEnd"/>
      <w:r w:rsidR="00EF1883">
        <w:t xml:space="preserve"> </w:t>
      </w:r>
      <w:r>
        <w:t xml:space="preserve">without Commission approval. The transaction was purely financial and did not affect operations, rates, services, or regulatory obligations. </w:t>
      </w:r>
    </w:p>
    <w:p w:rsidR="00475D23" w:rsidP="00475D23" w:rsidRDefault="00475D23" w14:paraId="554844E4" w14:textId="7CE1A114">
      <w:pPr>
        <w:pStyle w:val="FoF"/>
      </w:pPr>
      <w:r>
        <w:t xml:space="preserve">On December 30, 2025, Applicants filed </w:t>
      </w:r>
      <w:r w:rsidR="00B612C5">
        <w:t>the Application</w:t>
      </w:r>
      <w:r>
        <w:t xml:space="preserve"> for approval of the transfer of control under Pub. Util. Code Section 854. </w:t>
      </w:r>
    </w:p>
    <w:p w:rsidR="00475D23" w:rsidP="00475D23" w:rsidRDefault="00475D23" w14:paraId="5E728222" w14:textId="7354883F">
      <w:pPr>
        <w:pStyle w:val="FoF"/>
      </w:pPr>
      <w:r>
        <w:lastRenderedPageBreak/>
        <w:t xml:space="preserve">Applicants filed </w:t>
      </w:r>
      <w:r w:rsidR="00B612C5">
        <w:t>the</w:t>
      </w:r>
      <w:r>
        <w:t xml:space="preserve"> </w:t>
      </w:r>
      <w:r w:rsidR="00B612C5">
        <w:t>A</w:t>
      </w:r>
      <w:r>
        <w:t xml:space="preserve">pplication as soon as they became aware that the Commission requires approval for the transfer of control of DVF providers. </w:t>
      </w:r>
    </w:p>
    <w:p w:rsidR="00475D23" w:rsidP="00475D23" w:rsidRDefault="00475D23" w14:paraId="69F74763" w14:textId="4C1C290F">
      <w:pPr>
        <w:pStyle w:val="FoF"/>
      </w:pPr>
      <w:r>
        <w:t xml:space="preserve">On December 30, 2025, Applicants filed a motion for leave to file </w:t>
      </w:r>
      <w:r w:rsidR="00B612C5">
        <w:t>Exhibit</w:t>
      </w:r>
      <w:r>
        <w:t xml:space="preserve"> B to the Application under seal. </w:t>
      </w:r>
    </w:p>
    <w:p w:rsidR="00475D23" w:rsidP="00475D23" w:rsidRDefault="00475D23" w14:paraId="4E7A9687" w14:textId="7A4DD033">
      <w:pPr>
        <w:pStyle w:val="FoF"/>
      </w:pPr>
      <w:r>
        <w:t xml:space="preserve">Applicants paid outstanding citation CD-2025-05-030 in full. </w:t>
      </w:r>
    </w:p>
    <w:p w:rsidR="00A941BB" w:rsidP="00475D23" w:rsidRDefault="00475D23" w14:paraId="2D606B73" w14:textId="3B507405">
      <w:pPr>
        <w:pStyle w:val="FoF"/>
      </w:pPr>
      <w:r>
        <w:t>The Applicants paid their user fee and became compliant with the Commission’s reporting requirements on April 30, 2026.</w:t>
      </w:r>
    </w:p>
    <w:p w:rsidR="003B1865" w:rsidP="00475D23" w:rsidRDefault="003B1865" w14:paraId="31FBE1CB" w14:textId="51202BA1">
      <w:pPr>
        <w:pStyle w:val="FoF"/>
      </w:pPr>
      <w:r>
        <w:t>This transaction is purely financial in nature and accordingly lacks potential to cause a direct or reasonably foreseeable indirect physical change in the environment.</w:t>
      </w:r>
    </w:p>
    <w:p w:rsidR="0006407A" w:rsidP="00475D23" w:rsidRDefault="0006407A" w14:paraId="4D916150" w14:textId="1C507A70">
      <w:pPr>
        <w:pStyle w:val="FoF"/>
      </w:pPr>
      <w:r>
        <w:t>The Application complies with Rule 3.6.</w:t>
      </w:r>
    </w:p>
    <w:p w:rsidR="00242404" w:rsidP="00475D23" w:rsidRDefault="00242404" w14:paraId="0C14ABD2" w14:textId="5F666B21">
      <w:pPr>
        <w:pStyle w:val="FoF"/>
      </w:pPr>
      <w:r w:rsidRPr="00292E78">
        <w:t xml:space="preserve">Applicants’ stipulation that they closed the transfer of control transaction that is the subject of this proceeding amounts to an admission that that </w:t>
      </w:r>
      <w:r>
        <w:t>they</w:t>
      </w:r>
      <w:r w:rsidRPr="00292E78">
        <w:t xml:space="preserve"> violated </w:t>
      </w:r>
      <w:r w:rsidR="0006407A">
        <w:t xml:space="preserve">Pub. Util. Code </w:t>
      </w:r>
      <w:r w:rsidRPr="00292E78">
        <w:t>Section 854(a)</w:t>
      </w:r>
      <w:r>
        <w:t>.</w:t>
      </w:r>
      <w:r w:rsidRPr="00292E78">
        <w:t xml:space="preserve"> </w:t>
      </w:r>
    </w:p>
    <w:p w:rsidR="00242404" w:rsidP="00475D23" w:rsidRDefault="00242404" w14:paraId="2AE931FD" w14:textId="49A00FFE">
      <w:pPr>
        <w:pStyle w:val="FoF"/>
      </w:pPr>
      <w:r>
        <w:t xml:space="preserve">Applicants harmed the regulatory process by violating </w:t>
      </w:r>
      <w:r w:rsidR="0006407A">
        <w:t xml:space="preserve">Pub. Util. Code </w:t>
      </w:r>
      <w:r>
        <w:t>Section 854(a).</w:t>
      </w:r>
    </w:p>
    <w:p w:rsidR="00242404" w:rsidP="00475D23" w:rsidRDefault="00242404" w14:paraId="1B4D1882" w14:textId="699CF2F3">
      <w:pPr>
        <w:pStyle w:val="FoF"/>
      </w:pPr>
      <w:r w:rsidRPr="00292E78">
        <w:t>Applicants’ admi</w:t>
      </w:r>
      <w:r>
        <w:t>ssion to</w:t>
      </w:r>
      <w:r w:rsidRPr="00292E78">
        <w:t xml:space="preserve"> the unauthorized transfer of control</w:t>
      </w:r>
      <w:r>
        <w:t xml:space="preserve"> and attempts to reach compliance mitigate the regulatory harm they caused</w:t>
      </w:r>
      <w:r w:rsidRPr="00292E78">
        <w:t xml:space="preserve">. </w:t>
      </w:r>
    </w:p>
    <w:p w:rsidR="00242404" w:rsidP="00475D23" w:rsidRDefault="00242404" w14:paraId="42231346" w14:textId="59385540">
      <w:pPr>
        <w:pStyle w:val="FoF"/>
      </w:pPr>
      <w:r>
        <w:t>Applicants’ financial resources are limited.</w:t>
      </w:r>
    </w:p>
    <w:p w:rsidR="00242404" w:rsidP="00475D23" w:rsidRDefault="00242404" w14:paraId="42B61C31" w14:textId="5F23AC44">
      <w:pPr>
        <w:pStyle w:val="FoF"/>
      </w:pPr>
      <w:r>
        <w:t>Assessment of a penalty is in the public interest.</w:t>
      </w:r>
    </w:p>
    <w:p w:rsidR="00242404" w:rsidP="00475D23" w:rsidRDefault="00242404" w14:paraId="129F401C" w14:textId="0C23CC90">
      <w:pPr>
        <w:pStyle w:val="FoF"/>
      </w:pPr>
      <w:r>
        <w:t>Given the totality of the circumstances, a penalty of $500 is reasonable.</w:t>
      </w:r>
    </w:p>
    <w:p w:rsidR="003B1865" w:rsidP="00475D23" w:rsidRDefault="003B1865" w14:paraId="2335CD6D" w14:textId="09A4CED4">
      <w:pPr>
        <w:pStyle w:val="FoF"/>
      </w:pPr>
      <w:r>
        <w:t xml:space="preserve">Commission precedent supports imposing the minimum fine of $500 </w:t>
      </w:r>
      <w:proofErr w:type="gramStart"/>
      <w:r>
        <w:t>in</w:t>
      </w:r>
      <w:proofErr w:type="gramEnd"/>
      <w:r>
        <w:t xml:space="preserve"> applications like this one.</w:t>
      </w:r>
    </w:p>
    <w:p w:rsidRPr="001E2A62" w:rsidR="00242404" w:rsidP="00475D23" w:rsidRDefault="00242404" w14:paraId="0C2D2C63" w14:textId="100F4376">
      <w:pPr>
        <w:pStyle w:val="FoF"/>
      </w:pPr>
      <w:r>
        <w:t>The information in Exhibit B to the Application contains confidential financial information.</w:t>
      </w:r>
    </w:p>
    <w:p w:rsidR="005939A5" w:rsidP="005939A5" w:rsidRDefault="005939A5" w14:paraId="341755CE" w14:textId="77777777">
      <w:pPr>
        <w:pStyle w:val="Dummy"/>
      </w:pPr>
      <w:bookmarkStart w:name="_Toc8123726" w:id="29"/>
      <w:bookmarkStart w:name="_Toc237008421" w:id="30"/>
      <w:r w:rsidRPr="003C0A4B">
        <w:lastRenderedPageBreak/>
        <w:t>Conclusions of Law</w:t>
      </w:r>
      <w:bookmarkEnd w:id="29"/>
      <w:bookmarkEnd w:id="30"/>
    </w:p>
    <w:p w:rsidR="00932865" w:rsidP="008E2DF8" w:rsidRDefault="00E66879" w14:paraId="7E439FD1" w14:textId="05FD945A">
      <w:pPr>
        <w:pStyle w:val="CoL"/>
      </w:pPr>
      <w:r w:rsidRPr="00F51CCE">
        <w:t xml:space="preserve">It is reasonable </w:t>
      </w:r>
      <w:r>
        <w:t xml:space="preserve">and in the public interest to approve the </w:t>
      </w:r>
      <w:r w:rsidR="00475D23">
        <w:t>Applicants’ transfer of control application.</w:t>
      </w:r>
    </w:p>
    <w:p w:rsidR="00E66879" w:rsidP="00E66879" w:rsidRDefault="00E66879" w14:paraId="2E5213B9" w14:textId="31B8BDBD">
      <w:pPr>
        <w:pStyle w:val="CoL"/>
      </w:pPr>
      <w:r w:rsidRPr="00F51CCE">
        <w:t xml:space="preserve">It is reasonable </w:t>
      </w:r>
      <w:r>
        <w:t>to conclude t</w:t>
      </w:r>
      <w:r w:rsidRPr="00220BF8">
        <w:t xml:space="preserve">his transfer </w:t>
      </w:r>
      <w:r w:rsidR="00242404">
        <w:t>is not subject to</w:t>
      </w:r>
      <w:r w:rsidRPr="00220BF8">
        <w:t xml:space="preserve"> CEQA</w:t>
      </w:r>
      <w:r>
        <w:t xml:space="preserve"> </w:t>
      </w:r>
      <w:r w:rsidRPr="00220BF8">
        <w:t>because it will not result in a physical change in the environment.</w:t>
      </w:r>
    </w:p>
    <w:p w:rsidR="00220BF8" w:rsidP="00220BF8" w:rsidRDefault="00E66879" w14:paraId="1818D0B1" w14:textId="6CB65BDD">
      <w:pPr>
        <w:pStyle w:val="CoL"/>
      </w:pPr>
      <w:r w:rsidRPr="00F51CCE">
        <w:t>It is reasonable to</w:t>
      </w:r>
      <w:r>
        <w:t xml:space="preserve"> find the </w:t>
      </w:r>
      <w:r w:rsidR="00220BF8">
        <w:t xml:space="preserve">Applicants violated </w:t>
      </w:r>
      <w:r w:rsidR="005C1731">
        <w:t xml:space="preserve">Pub. Util. Code </w:t>
      </w:r>
      <w:r w:rsidR="00220BF8">
        <w:t xml:space="preserve">Section 854 by transferring control of </w:t>
      </w:r>
      <w:proofErr w:type="spellStart"/>
      <w:r w:rsidR="00220BF8">
        <w:t>Exiant</w:t>
      </w:r>
      <w:proofErr w:type="spellEnd"/>
      <w:r w:rsidR="00220BF8">
        <w:t xml:space="preserve"> to Ex Spa without prior Commission approval on April 17, 2025.</w:t>
      </w:r>
    </w:p>
    <w:p w:rsidR="00220BF8" w:rsidP="00220BF8" w:rsidRDefault="00F51CCE" w14:paraId="481DA002" w14:textId="44EF25E5">
      <w:pPr>
        <w:pStyle w:val="CoL"/>
      </w:pPr>
      <w:r w:rsidRPr="00F51CCE">
        <w:t>It is reasonable to</w:t>
      </w:r>
      <w:r>
        <w:t xml:space="preserve"> assess </w:t>
      </w:r>
      <w:r w:rsidR="00E66879">
        <w:t>a</w:t>
      </w:r>
      <w:r w:rsidR="00475D23">
        <w:t xml:space="preserve"> penalty of $500</w:t>
      </w:r>
      <w:r w:rsidR="00220BF8">
        <w:t xml:space="preserve"> for the </w:t>
      </w:r>
      <w:r w:rsidR="005C1731">
        <w:t>Applicants’ violation of Pub. Util. Code Section 854</w:t>
      </w:r>
      <w:r w:rsidR="00475D23">
        <w:t xml:space="preserve">. </w:t>
      </w:r>
    </w:p>
    <w:p w:rsidR="00220BF8" w:rsidP="00220BF8" w:rsidRDefault="00F51CCE" w14:paraId="4F71B850" w14:textId="7803494C">
      <w:pPr>
        <w:pStyle w:val="CoL"/>
      </w:pPr>
      <w:r w:rsidRPr="00F51CCE">
        <w:t xml:space="preserve">It is reasonable to </w:t>
      </w:r>
      <w:r>
        <w:t xml:space="preserve">grant the </w:t>
      </w:r>
      <w:r w:rsidR="00220BF8">
        <w:t xml:space="preserve">Applicants’ motion to file Exhibit B to </w:t>
      </w:r>
      <w:r w:rsidR="00667365">
        <w:t>their</w:t>
      </w:r>
      <w:r w:rsidR="00220BF8">
        <w:t xml:space="preserve"> December 30, 2025</w:t>
      </w:r>
      <w:r w:rsidR="00667365">
        <w:t>,</w:t>
      </w:r>
      <w:r w:rsidR="00220BF8">
        <w:t xml:space="preserve"> Application under seal. </w:t>
      </w:r>
    </w:p>
    <w:p w:rsidR="00220BF8" w:rsidP="00220BF8" w:rsidRDefault="00F51CCE" w14:paraId="10B9DBC9" w14:textId="0B8AB853">
      <w:pPr>
        <w:pStyle w:val="CoL"/>
      </w:pPr>
      <w:r w:rsidRPr="00F51CCE">
        <w:t xml:space="preserve">It is reasonable to </w:t>
      </w:r>
      <w:r>
        <w:t>affirm a</w:t>
      </w:r>
      <w:r w:rsidR="00220BF8">
        <w:t xml:space="preserve">ll assigned Commissioner and ALJ rulings. </w:t>
      </w:r>
    </w:p>
    <w:p w:rsidR="00220BF8" w:rsidP="00220BF8" w:rsidRDefault="00F51CCE" w14:paraId="7974DC8A" w14:textId="0FF2841B">
      <w:pPr>
        <w:pStyle w:val="CoL"/>
      </w:pPr>
      <w:r w:rsidRPr="00F51CCE">
        <w:t>It is reasonable to deem denied all motions not ruled on in this proceeding</w:t>
      </w:r>
      <w:r w:rsidR="00220BF8">
        <w:t xml:space="preserve">. </w:t>
      </w:r>
    </w:p>
    <w:p w:rsidR="005C1731" w:rsidP="00220BF8" w:rsidRDefault="005C1731" w14:paraId="102BAFA2" w14:textId="269830F8">
      <w:pPr>
        <w:pStyle w:val="CoL"/>
      </w:pPr>
      <w:r>
        <w:t>It is reasonable to close the proceeding.</w:t>
      </w:r>
    </w:p>
    <w:p w:rsidR="00BB0243" w:rsidP="000A6E05" w:rsidRDefault="005939A5" w14:paraId="7197149A" w14:textId="77777777">
      <w:pPr>
        <w:pStyle w:val="Mainex"/>
      </w:pPr>
      <w:bookmarkStart w:name="_Toc237008422" w:id="31"/>
      <w:r w:rsidRPr="003C0A4B">
        <w:t>O</w:t>
      </w:r>
      <w:r w:rsidRPr="003C0A4B" w:rsidR="00722850">
        <w:t>RDER</w:t>
      </w:r>
      <w:bookmarkEnd w:id="31"/>
    </w:p>
    <w:p w:rsidR="00BB0243" w:rsidP="000A6E05" w:rsidRDefault="00BB0243" w14:paraId="4BFE5C31" w14:textId="77777777">
      <w:pPr>
        <w:keepNext/>
      </w:pPr>
      <w:r w:rsidRPr="00BB0243">
        <w:rPr>
          <w:b/>
        </w:rPr>
        <w:t>IT IS ORDERED</w:t>
      </w:r>
      <w:r>
        <w:t xml:space="preserve"> that:</w:t>
      </w:r>
    </w:p>
    <w:p w:rsidR="0083241C" w:rsidP="00B3087D" w:rsidRDefault="0083241C" w14:paraId="25E7A61E" w14:textId="77D50D4F">
      <w:pPr>
        <w:pStyle w:val="OP"/>
      </w:pPr>
      <w:r w:rsidRPr="0083241C">
        <w:t xml:space="preserve">The transfer of direct control of </w:t>
      </w:r>
      <w:proofErr w:type="spellStart"/>
      <w:r w:rsidR="00A34FB0">
        <w:t>Exiant</w:t>
      </w:r>
      <w:proofErr w:type="spellEnd"/>
      <w:r w:rsidR="00A34FB0">
        <w:t xml:space="preserve"> Communications LLC (U1565C) </w:t>
      </w:r>
      <w:r w:rsidRPr="0083241C">
        <w:t xml:space="preserve">to </w:t>
      </w:r>
      <w:r w:rsidR="00A34FB0">
        <w:t>Ex Spa Holdings</w:t>
      </w:r>
      <w:r w:rsidRPr="0083241C">
        <w:t>, LLC</w:t>
      </w:r>
      <w:r w:rsidR="0006407A">
        <w:t xml:space="preserve"> </w:t>
      </w:r>
      <w:r w:rsidRPr="0083241C">
        <w:t xml:space="preserve">is approved on a prospective basis. </w:t>
      </w:r>
    </w:p>
    <w:p w:rsidR="0083241C" w:rsidP="00816165" w:rsidRDefault="00A34FB0" w14:paraId="222CBDEB" w14:textId="5754B105">
      <w:pPr>
        <w:pStyle w:val="OP"/>
      </w:pPr>
      <w:proofErr w:type="spellStart"/>
      <w:r>
        <w:t>Exiant</w:t>
      </w:r>
      <w:proofErr w:type="spellEnd"/>
      <w:r>
        <w:t xml:space="preserve"> Communications LLC (U1565C) </w:t>
      </w:r>
      <w:r w:rsidRPr="0083241C" w:rsidR="0083241C">
        <w:t xml:space="preserve">shall continue to be bound by the terms and conditions imposed on </w:t>
      </w:r>
      <w:r>
        <w:t>digital voice</w:t>
      </w:r>
      <w:r w:rsidR="00816165">
        <w:t xml:space="preserve"> fixed</w:t>
      </w:r>
      <w:r>
        <w:t xml:space="preserve"> </w:t>
      </w:r>
      <w:r w:rsidRPr="0083241C" w:rsidR="0083241C">
        <w:t xml:space="preserve">carriers regulated by the Commission. </w:t>
      </w:r>
    </w:p>
    <w:p w:rsidR="005C1731" w:rsidP="00B3087D" w:rsidRDefault="005C1731" w14:paraId="1E0485FB" w14:textId="255169C1">
      <w:pPr>
        <w:pStyle w:val="OP"/>
      </w:pPr>
      <w:r>
        <w:t xml:space="preserve">Within 30 days of the issuance date of this decision, </w:t>
      </w:r>
      <w:r w:rsidR="00816165">
        <w:t>Ex Spa Holdings</w:t>
      </w:r>
      <w:r w:rsidRPr="0083241C" w:rsidR="00816165">
        <w:t xml:space="preserve">, LLC </w:t>
      </w:r>
      <w:r w:rsidRPr="0083241C" w:rsidR="0083241C">
        <w:t xml:space="preserve">and </w:t>
      </w:r>
      <w:proofErr w:type="spellStart"/>
      <w:r w:rsidR="00816165">
        <w:t>Exiant</w:t>
      </w:r>
      <w:proofErr w:type="spellEnd"/>
      <w:r w:rsidR="00816165">
        <w:t xml:space="preserve"> Communications LLC </w:t>
      </w:r>
      <w:r w:rsidRPr="0083241C" w:rsidR="0083241C">
        <w:t>must pay a penalty of $</w:t>
      </w:r>
      <w:r w:rsidR="00816165">
        <w:t>500</w:t>
      </w:r>
      <w:r w:rsidRPr="0083241C" w:rsidR="0083241C">
        <w:t xml:space="preserve"> </w:t>
      </w:r>
      <w:r w:rsidR="001D1B64">
        <w:t xml:space="preserve">in total </w:t>
      </w:r>
      <w:r>
        <w:t xml:space="preserve">for violating Public Utilities Code Section 854. Payment must be made </w:t>
      </w:r>
      <w:r w:rsidRPr="0083241C" w:rsidR="0083241C">
        <w:t xml:space="preserve">by check or money order </w:t>
      </w:r>
      <w:r>
        <w:t xml:space="preserve">payable to the California Public Utilities Commission </w:t>
      </w:r>
      <w:r>
        <w:lastRenderedPageBreak/>
        <w:t xml:space="preserve">(Commission) </w:t>
      </w:r>
      <w:r w:rsidRPr="0083241C" w:rsidR="0083241C">
        <w:t xml:space="preserve">mailed or delivered to the Commission’s Fiscal Office at 505 Van Ness Avenue, Room 3000, San Francisco, California, 94102. </w:t>
      </w:r>
      <w:r w:rsidR="00F966F2">
        <w:t>Ex Spa Holdings</w:t>
      </w:r>
      <w:r w:rsidRPr="0083241C" w:rsidR="00F966F2">
        <w:t xml:space="preserve">, LLC and </w:t>
      </w:r>
      <w:proofErr w:type="spellStart"/>
      <w:r w:rsidR="00F966F2">
        <w:t>Exiant</w:t>
      </w:r>
      <w:proofErr w:type="spellEnd"/>
      <w:r w:rsidR="00F966F2">
        <w:t xml:space="preserve"> Communications LLC </w:t>
      </w:r>
      <w:r>
        <w:t>shall write on the face of the check or money order</w:t>
      </w:r>
      <w:r w:rsidRPr="0083241C" w:rsidR="0083241C">
        <w:t>: “</w:t>
      </w:r>
      <w:r>
        <w:t xml:space="preserve">For deposit to the General Fund </w:t>
      </w:r>
      <w:r w:rsidRPr="0083241C" w:rsidR="0083241C">
        <w:t xml:space="preserve">per Decision [enter Decision number] OP </w:t>
      </w:r>
      <w:r w:rsidR="003B1865">
        <w:t>3</w:t>
      </w:r>
      <w:r w:rsidRPr="0083241C" w:rsidR="003B1865">
        <w:t xml:space="preserve"> </w:t>
      </w:r>
      <w:r w:rsidRPr="0083241C" w:rsidR="0083241C">
        <w:t>of A.</w:t>
      </w:r>
      <w:r w:rsidR="003B1865">
        <w:t>25</w:t>
      </w:r>
      <w:r w:rsidRPr="0083241C" w:rsidR="0083241C">
        <w:t>-</w:t>
      </w:r>
      <w:r w:rsidR="003B1865">
        <w:t>12</w:t>
      </w:r>
      <w:r w:rsidRPr="0083241C" w:rsidR="0083241C">
        <w:t>-</w:t>
      </w:r>
      <w:r w:rsidRPr="0083241C" w:rsidR="003B1865">
        <w:t>0</w:t>
      </w:r>
      <w:r w:rsidR="003B1865">
        <w:t>20</w:t>
      </w:r>
      <w:r w:rsidRPr="0083241C" w:rsidR="0083241C">
        <w:t>.”</w:t>
      </w:r>
      <w:r w:rsidR="00E846E6">
        <w:t xml:space="preserve"> </w:t>
      </w:r>
    </w:p>
    <w:p w:rsidR="0083241C" w:rsidP="00B3087D" w:rsidRDefault="00F966F2" w14:paraId="791190F5" w14:textId="4FECF955">
      <w:pPr>
        <w:pStyle w:val="OP"/>
      </w:pPr>
      <w:r>
        <w:t>Ex Spa Holdings</w:t>
      </w:r>
      <w:r w:rsidRPr="0083241C">
        <w:t xml:space="preserve">, LLC and </w:t>
      </w:r>
      <w:proofErr w:type="spellStart"/>
      <w:r>
        <w:t>Exiant</w:t>
      </w:r>
      <w:proofErr w:type="spellEnd"/>
      <w:r>
        <w:t xml:space="preserve"> Communications LLC </w:t>
      </w:r>
      <w:r w:rsidR="005C1731">
        <w:t>must inform</w:t>
      </w:r>
      <w:r w:rsidRPr="0083241C" w:rsidR="0083241C">
        <w:t xml:space="preserve"> the </w:t>
      </w:r>
      <w:r w:rsidR="005C1731">
        <w:t xml:space="preserve">California Public Utilities </w:t>
      </w:r>
      <w:r w:rsidRPr="0083241C" w:rsidR="0083241C">
        <w:t xml:space="preserve">Commission’s Communications Division </w:t>
      </w:r>
      <w:r w:rsidR="005C1731">
        <w:t xml:space="preserve">by email </w:t>
      </w:r>
      <w:r w:rsidRPr="0083241C" w:rsidR="0083241C">
        <w:t xml:space="preserve">at </w:t>
      </w:r>
      <w:hyperlink w:history="1" r:id="rId11">
        <w:r w:rsidRPr="001F5B4B" w:rsidR="0083241C">
          <w:rPr>
            <w:rStyle w:val="Hyperlink"/>
          </w:rPr>
          <w:t>telcosurcharge@cpuc.ca.gov</w:t>
        </w:r>
      </w:hyperlink>
      <w:r w:rsidR="005C1731">
        <w:t xml:space="preserve"> upon payment of the penalty</w:t>
      </w:r>
      <w:r w:rsidRPr="0083241C" w:rsidR="0083241C">
        <w:t>.</w:t>
      </w:r>
    </w:p>
    <w:p w:rsidR="005C1731" w:rsidP="00B3087D" w:rsidRDefault="005C1731" w14:paraId="775DEE46" w14:textId="24A6C976">
      <w:pPr>
        <w:pStyle w:val="OP"/>
      </w:pPr>
      <w:r>
        <w:t>Failure to remit the penalty owed within 30 days of the payment deadline will result in additional collections or enforcement action against Ex Spa Holdings</w:t>
      </w:r>
      <w:r w:rsidRPr="0083241C">
        <w:t xml:space="preserve">, LLC and </w:t>
      </w:r>
      <w:proofErr w:type="spellStart"/>
      <w:r>
        <w:t>Exiant</w:t>
      </w:r>
      <w:proofErr w:type="spellEnd"/>
      <w:r>
        <w:t xml:space="preserve"> Communications LLC. </w:t>
      </w:r>
    </w:p>
    <w:p w:rsidR="0083241C" w:rsidP="00B3087D" w:rsidRDefault="00F966F2" w14:paraId="65845F76" w14:textId="43BA2F98">
      <w:pPr>
        <w:pStyle w:val="OP"/>
      </w:pPr>
      <w:r>
        <w:t>Ex Spa Holdings</w:t>
      </w:r>
      <w:r w:rsidRPr="0083241C">
        <w:t xml:space="preserve">, LLC and </w:t>
      </w:r>
      <w:proofErr w:type="spellStart"/>
      <w:r>
        <w:t>Exiant</w:t>
      </w:r>
      <w:proofErr w:type="spellEnd"/>
      <w:r>
        <w:t xml:space="preserve"> Communications LLC</w:t>
      </w:r>
      <w:r w:rsidRPr="0083241C" w:rsidR="0083241C">
        <w:t xml:space="preserve">’s </w:t>
      </w:r>
      <w:r>
        <w:t>December 30, 2025</w:t>
      </w:r>
      <w:r w:rsidR="002B7816">
        <w:t>,</w:t>
      </w:r>
      <w:r w:rsidRPr="0083241C" w:rsidR="0083241C">
        <w:t xml:space="preserve"> Motion to File </w:t>
      </w:r>
      <w:r>
        <w:t xml:space="preserve">Exhibit B </w:t>
      </w:r>
      <w:r w:rsidRPr="0083241C" w:rsidR="0083241C">
        <w:t xml:space="preserve">to Application </w:t>
      </w:r>
      <w:r>
        <w:t>25-12-020</w:t>
      </w:r>
      <w:r w:rsidRPr="0083241C" w:rsidR="0083241C">
        <w:t xml:space="preserve"> under seal </w:t>
      </w:r>
      <w:r>
        <w:t>is granted</w:t>
      </w:r>
      <w:r w:rsidR="005C1731">
        <w:t xml:space="preserve"> for a period of three years after the issuance date of this decision</w:t>
      </w:r>
      <w:r w:rsidRPr="0083241C" w:rsidR="0083241C">
        <w:t xml:space="preserve">. </w:t>
      </w:r>
      <w:r w:rsidR="005C1731">
        <w:t>During this three-year period, t</w:t>
      </w:r>
      <w:r>
        <w:t>his</w:t>
      </w:r>
      <w:r w:rsidRPr="0083241C" w:rsidR="0083241C">
        <w:t xml:space="preserve"> information shall not be publicly disclosed except </w:t>
      </w:r>
      <w:proofErr w:type="gramStart"/>
      <w:r w:rsidRPr="0083241C" w:rsidR="0083241C">
        <w:t>on</w:t>
      </w:r>
      <w:proofErr w:type="gramEnd"/>
      <w:r w:rsidRPr="0083241C" w:rsidR="0083241C">
        <w:t xml:space="preserve"> further Commission order or Administrative Law Judge ruling. </w:t>
      </w:r>
      <w:r w:rsidR="005C1731">
        <w:t>If Ex Spa Holdings</w:t>
      </w:r>
      <w:r w:rsidRPr="0083241C" w:rsidR="005C1731">
        <w:t xml:space="preserve">, LLC and </w:t>
      </w:r>
      <w:proofErr w:type="spellStart"/>
      <w:r w:rsidR="005C1731">
        <w:t>Exiant</w:t>
      </w:r>
      <w:proofErr w:type="spellEnd"/>
      <w:r w:rsidR="005C1731">
        <w:t xml:space="preserve"> Communications LLC believes that it is necessary for this information to remain under seal for longer than three years, Ex Spa Holdings</w:t>
      </w:r>
      <w:r w:rsidRPr="0083241C" w:rsidR="005C1731">
        <w:t xml:space="preserve">, LLC and </w:t>
      </w:r>
      <w:proofErr w:type="spellStart"/>
      <w:r w:rsidR="005C1731">
        <w:t>Exiant</w:t>
      </w:r>
      <w:proofErr w:type="spellEnd"/>
      <w:r w:rsidR="005C1731">
        <w:t xml:space="preserve"> Communications LLC may file a motion showing good cause for extending this order by no later than 30 days before the expiration of this order.</w:t>
      </w:r>
    </w:p>
    <w:p w:rsidR="005C1731" w:rsidP="00B3087D" w:rsidRDefault="005C1731" w14:paraId="6EA4B64E" w14:textId="12EEBE84">
      <w:pPr>
        <w:pStyle w:val="OP"/>
      </w:pPr>
      <w:r>
        <w:t>All rulings by the assigned Commissioner and the assigned Administrative Law Judge are affirmed.</w:t>
      </w:r>
    </w:p>
    <w:p w:rsidR="00F6397D" w:rsidP="00B3087D" w:rsidRDefault="00E23CBB" w14:paraId="0CD306AE" w14:textId="297E9B1E">
      <w:pPr>
        <w:pStyle w:val="OP"/>
      </w:pPr>
      <w:r w:rsidRPr="001E2A62">
        <w:t>Application</w:t>
      </w:r>
      <w:r w:rsidR="00482778">
        <w:t xml:space="preserve"> 25-12-020</w:t>
      </w:r>
      <w:r w:rsidRPr="001E2A62">
        <w:t xml:space="preserve"> is closed.</w:t>
      </w:r>
    </w:p>
    <w:p w:rsidR="008F0116" w:rsidP="008F0116" w:rsidRDefault="008F0116" w14:paraId="16B3F92F" w14:textId="77777777">
      <w:r>
        <w:t>This order is effective today.</w:t>
      </w:r>
    </w:p>
    <w:p w:rsidR="00756EB3" w:rsidP="00816E05" w:rsidRDefault="00756EB3" w14:paraId="2E75780E" w14:textId="77777777"/>
    <w:p w:rsidR="00756EB3" w:rsidP="00816E05" w:rsidRDefault="00756EB3" w14:paraId="61D6895B" w14:textId="77777777"/>
    <w:p w:rsidR="00714CF2" w:rsidP="00816E05" w:rsidRDefault="008F0116" w14:paraId="116B4DDA" w14:textId="6B8B80BB">
      <w:r>
        <w:lastRenderedPageBreak/>
        <w:t xml:space="preserve">Dated </w:t>
      </w:r>
      <w:r w:rsidRPr="000A4ABC" w:rsidR="000A4ABC">
        <w:t>October 8, 2026</w:t>
      </w:r>
      <w:r>
        <w:t xml:space="preserve">, </w:t>
      </w:r>
      <w:proofErr w:type="gramStart"/>
      <w:r>
        <w:t>at</w:t>
      </w:r>
      <w:proofErr w:type="gramEnd"/>
      <w:r>
        <w:t xml:space="preserve"> </w:t>
      </w:r>
      <w:r w:rsidR="0090040C">
        <w:t>Sacramento</w:t>
      </w:r>
      <w:r>
        <w:t>, California</w:t>
      </w:r>
      <w:r w:rsidR="0090040C">
        <w:t>.</w:t>
      </w:r>
    </w:p>
    <w:p w:rsidR="00756EB3" w:rsidP="00816E05" w:rsidRDefault="00756EB3" w14:paraId="35B4F93A" w14:textId="77777777"/>
    <w:p w:rsidRPr="00756EB3" w:rsidR="00756EB3" w:rsidP="00756EB3" w:rsidRDefault="00756EB3" w14:paraId="13AF22D4" w14:textId="77777777">
      <w:pPr>
        <w:autoSpaceDE w:val="0"/>
        <w:autoSpaceDN w:val="0"/>
        <w:adjustRightInd w:val="0"/>
        <w:spacing w:line="240" w:lineRule="auto"/>
        <w:ind w:left="3600" w:firstLine="1598"/>
        <w:jc w:val="both"/>
        <w:rPr>
          <w:rFonts w:eastAsia="Calibri" w:cs="Arial"/>
          <w:szCs w:val="20"/>
        </w:rPr>
      </w:pPr>
      <w:r w:rsidRPr="00756EB3">
        <w:rPr>
          <w:rFonts w:eastAsia="Calibri" w:cs="Arial"/>
          <w:szCs w:val="20"/>
        </w:rPr>
        <w:t>JOHN REYNOLDS</w:t>
      </w:r>
    </w:p>
    <w:p w:rsidRPr="00756EB3" w:rsidR="00756EB3" w:rsidP="00756EB3" w:rsidRDefault="00756EB3" w14:paraId="40D7EE24" w14:textId="77777777">
      <w:pPr>
        <w:autoSpaceDE w:val="0"/>
        <w:autoSpaceDN w:val="0"/>
        <w:adjustRightInd w:val="0"/>
        <w:spacing w:line="240" w:lineRule="auto"/>
        <w:ind w:firstLine="1598"/>
        <w:jc w:val="both"/>
        <w:rPr>
          <w:rFonts w:eastAsia="Calibri" w:cs="Arial"/>
          <w:szCs w:val="20"/>
        </w:rPr>
      </w:pPr>
      <w:r w:rsidRPr="00756EB3">
        <w:rPr>
          <w:rFonts w:eastAsia="Calibri" w:cs="Arial"/>
          <w:szCs w:val="20"/>
        </w:rPr>
        <w:tab/>
      </w:r>
      <w:r w:rsidRPr="00756EB3">
        <w:rPr>
          <w:rFonts w:eastAsia="Calibri" w:cs="Arial"/>
          <w:szCs w:val="20"/>
        </w:rPr>
        <w:tab/>
      </w:r>
      <w:r w:rsidRPr="00756EB3">
        <w:rPr>
          <w:rFonts w:eastAsia="Calibri" w:cs="Arial"/>
          <w:szCs w:val="20"/>
        </w:rPr>
        <w:tab/>
      </w:r>
      <w:r w:rsidRPr="00756EB3">
        <w:rPr>
          <w:rFonts w:eastAsia="Calibri" w:cs="Arial"/>
          <w:szCs w:val="20"/>
        </w:rPr>
        <w:tab/>
      </w:r>
      <w:r w:rsidRPr="00756EB3">
        <w:rPr>
          <w:rFonts w:eastAsia="Calibri" w:cs="Arial"/>
          <w:szCs w:val="20"/>
        </w:rPr>
        <w:tab/>
        <w:t xml:space="preserve">                          President</w:t>
      </w:r>
    </w:p>
    <w:p w:rsidRPr="00756EB3" w:rsidR="00756EB3" w:rsidP="00756EB3" w:rsidRDefault="00756EB3" w14:paraId="36D7ADBA" w14:textId="77777777">
      <w:pPr>
        <w:autoSpaceDE w:val="0"/>
        <w:autoSpaceDN w:val="0"/>
        <w:adjustRightInd w:val="0"/>
        <w:spacing w:line="240" w:lineRule="auto"/>
        <w:ind w:left="3600" w:firstLine="1598"/>
        <w:jc w:val="both"/>
        <w:rPr>
          <w:rFonts w:eastAsia="Calibri" w:cs="Arial"/>
          <w:szCs w:val="20"/>
        </w:rPr>
      </w:pPr>
      <w:r w:rsidRPr="00756EB3">
        <w:rPr>
          <w:rFonts w:eastAsia="Calibri" w:cs="Arial"/>
          <w:szCs w:val="20"/>
        </w:rPr>
        <w:t>DARCIE L. HOUCK</w:t>
      </w:r>
    </w:p>
    <w:p w:rsidRPr="00756EB3" w:rsidR="00756EB3" w:rsidP="00756EB3" w:rsidRDefault="00756EB3" w14:paraId="0B307976" w14:textId="77777777">
      <w:pPr>
        <w:autoSpaceDE w:val="0"/>
        <w:autoSpaceDN w:val="0"/>
        <w:adjustRightInd w:val="0"/>
        <w:spacing w:line="240" w:lineRule="auto"/>
        <w:ind w:left="3600" w:firstLine="1598"/>
        <w:jc w:val="both"/>
        <w:rPr>
          <w:rFonts w:eastAsia="Times New Roman" w:cs="Calibri"/>
          <w:color w:val="000000"/>
          <w:szCs w:val="26"/>
        </w:rPr>
      </w:pPr>
      <w:r w:rsidRPr="00756EB3">
        <w:rPr>
          <w:rFonts w:eastAsia="Times New Roman" w:cs="Calibri"/>
          <w:color w:val="000000"/>
          <w:szCs w:val="26"/>
        </w:rPr>
        <w:t>KAREN DOUGLAS</w:t>
      </w:r>
    </w:p>
    <w:p w:rsidRPr="00756EB3" w:rsidR="00756EB3" w:rsidP="00756EB3" w:rsidRDefault="00756EB3" w14:paraId="5DB062E1" w14:textId="77777777">
      <w:pPr>
        <w:autoSpaceDE w:val="0"/>
        <w:autoSpaceDN w:val="0"/>
        <w:adjustRightInd w:val="0"/>
        <w:spacing w:line="240" w:lineRule="auto"/>
        <w:ind w:left="3600" w:firstLine="1598"/>
        <w:jc w:val="both"/>
        <w:rPr>
          <w:rFonts w:eastAsia="Times New Roman" w:cs="Calibri"/>
          <w:color w:val="000000"/>
          <w:szCs w:val="26"/>
        </w:rPr>
      </w:pPr>
      <w:r w:rsidRPr="00756EB3">
        <w:rPr>
          <w:rFonts w:eastAsia="Times New Roman" w:cs="Calibri"/>
          <w:color w:val="000000"/>
          <w:szCs w:val="26"/>
        </w:rPr>
        <w:t>MATTHEW BAKER</w:t>
      </w:r>
    </w:p>
    <w:p w:rsidRPr="00756EB3" w:rsidR="00756EB3" w:rsidP="00756EB3" w:rsidRDefault="00756EB3" w14:paraId="52CE48B9" w14:textId="77777777">
      <w:pPr>
        <w:autoSpaceDE w:val="0"/>
        <w:autoSpaceDN w:val="0"/>
        <w:adjustRightInd w:val="0"/>
        <w:spacing w:line="240" w:lineRule="auto"/>
        <w:ind w:left="3600" w:firstLine="1598"/>
        <w:jc w:val="both"/>
        <w:rPr>
          <w:rFonts w:eastAsia="Calibri" w:cs="Arial"/>
          <w:szCs w:val="20"/>
        </w:rPr>
      </w:pPr>
      <w:r w:rsidRPr="00756EB3">
        <w:rPr>
          <w:rFonts w:eastAsia="Calibri" w:cs="Arial"/>
          <w:szCs w:val="20"/>
        </w:rPr>
        <w:t>CHRISTINE HARADA</w:t>
      </w:r>
    </w:p>
    <w:p w:rsidRPr="00756EB3" w:rsidR="00756EB3" w:rsidP="00756EB3" w:rsidRDefault="00756EB3" w14:paraId="4EC8CC21" w14:textId="77777777">
      <w:pPr>
        <w:autoSpaceDE w:val="0"/>
        <w:autoSpaceDN w:val="0"/>
        <w:adjustRightInd w:val="0"/>
        <w:spacing w:line="240" w:lineRule="auto"/>
        <w:ind w:left="4320" w:firstLine="1598"/>
        <w:jc w:val="both"/>
        <w:rPr>
          <w:rFonts w:eastAsia="Calibri" w:cs="Arial"/>
          <w:szCs w:val="20"/>
        </w:rPr>
      </w:pPr>
      <w:r w:rsidRPr="00756EB3">
        <w:rPr>
          <w:rFonts w:eastAsia="Calibri" w:cs="Arial"/>
          <w:szCs w:val="20"/>
        </w:rPr>
        <w:t xml:space="preserve">            Commissioners</w:t>
      </w:r>
    </w:p>
    <w:p w:rsidRPr="00714CF2" w:rsidR="00756EB3" w:rsidP="00816E05" w:rsidRDefault="00756EB3" w14:paraId="30ED1085" w14:textId="77777777"/>
    <w:sectPr w:rsidRPr="00714CF2" w:rsidR="00756EB3" w:rsidSect="00FE5669">
      <w:headerReference w:type="default" r:id="rId12"/>
      <w:footerReference w:type="default" r:id="rId13"/>
      <w:footerReference w:type="first" r:id="rId14"/>
      <w:pgSz w:w="12240" w:h="15840"/>
      <w:pgMar w:top="1728"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EAF35" w14:textId="77777777" w:rsidR="003A23BF" w:rsidRDefault="003A23BF" w:rsidP="0098138E">
      <w:pPr>
        <w:spacing w:line="240" w:lineRule="auto"/>
      </w:pPr>
      <w:r>
        <w:separator/>
      </w:r>
    </w:p>
  </w:endnote>
  <w:endnote w:type="continuationSeparator" w:id="0">
    <w:p w14:paraId="263AEBBD" w14:textId="77777777" w:rsidR="003A23BF" w:rsidRDefault="003A23BF"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B008A" w14:textId="473F060B" w:rsidR="00E23CBB" w:rsidRDefault="00AB4E0A" w:rsidP="00AB4E0A">
    <w:pPr>
      <w:tabs>
        <w:tab w:val="left" w:pos="388"/>
        <w:tab w:val="center" w:pos="4680"/>
      </w:tabs>
      <w:ind w:firstLine="0"/>
    </w:pPr>
    <w:r>
      <w:tab/>
    </w:r>
    <w:r>
      <w:tab/>
    </w:r>
    <w:r w:rsidR="00E23CBB">
      <w:t>-</w:t>
    </w:r>
    <w:sdt>
      <w:sdtPr>
        <w:id w:val="-1034043401"/>
        <w:docPartObj>
          <w:docPartGallery w:val="Page Numbers (Bottom of Page)"/>
          <w:docPartUnique/>
        </w:docPartObj>
      </w:sdtPr>
      <w:sdtEndPr>
        <w:rPr>
          <w:noProof/>
        </w:rPr>
      </w:sdtEndPr>
      <w:sdtContent>
        <w:r w:rsidR="00EE4315">
          <w:t xml:space="preserve"> </w:t>
        </w:r>
        <w:r w:rsidR="00E23CBB">
          <w:fldChar w:fldCharType="begin"/>
        </w:r>
        <w:r w:rsidR="00E23CBB">
          <w:instrText xml:space="preserve"> PAGE   \* MERGEFORMAT </w:instrText>
        </w:r>
        <w:r w:rsidR="00E23CBB">
          <w:fldChar w:fldCharType="separate"/>
        </w:r>
        <w:r w:rsidR="00E23CBB">
          <w:rPr>
            <w:noProof/>
          </w:rPr>
          <w:t>2</w:t>
        </w:r>
        <w:r w:rsidR="00E23CBB">
          <w:rPr>
            <w:noProof/>
          </w:rPr>
          <w:fldChar w:fldCharType="end"/>
        </w:r>
        <w:r w:rsidR="00EE4315">
          <w:rPr>
            <w:noProof/>
          </w:rPr>
          <w:t xml:space="preserve"> </w:t>
        </w:r>
        <w:r w:rsidR="00E23CBB">
          <w:rPr>
            <w:noProof/>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8551231"/>
      <w:docPartObj>
        <w:docPartGallery w:val="Page Numbers (Bottom of Page)"/>
        <w:docPartUnique/>
      </w:docPartObj>
    </w:sdtPr>
    <w:sdtEndPr>
      <w:rPr>
        <w:noProof/>
      </w:rPr>
    </w:sdtEndPr>
    <w:sdtContent>
      <w:p w14:paraId="28B5E062" w14:textId="77777777" w:rsidR="007B45A0" w:rsidRDefault="007B45A0" w:rsidP="007B45A0">
        <w:pPr>
          <w:pStyle w:val="Footer"/>
          <w:tabs>
            <w:tab w:val="center" w:pos="5040"/>
          </w:tabs>
        </w:pPr>
      </w:p>
      <w:p w14:paraId="0D090EAD" w14:textId="76EB4325" w:rsidR="007B45A0" w:rsidRDefault="00B150AA" w:rsidP="007B45A0">
        <w:pPr>
          <w:pStyle w:val="Footer"/>
          <w:tabs>
            <w:tab w:val="center" w:pos="5040"/>
          </w:tabs>
          <w:ind w:firstLine="0"/>
        </w:pPr>
        <w:r w:rsidRPr="00B150AA">
          <w:rPr>
            <w:sz w:val="16"/>
            <w:szCs w:val="16"/>
          </w:rPr>
          <w:t>623366279</w:t>
        </w:r>
        <w:r w:rsidR="007B45A0">
          <w:tab/>
          <w:t xml:space="preserve">- </w:t>
        </w:r>
        <w:r w:rsidR="007B45A0">
          <w:fldChar w:fldCharType="begin"/>
        </w:r>
        <w:r w:rsidR="007B45A0">
          <w:instrText xml:space="preserve"> PAGE   \* MERGEFORMAT </w:instrText>
        </w:r>
        <w:r w:rsidR="007B45A0">
          <w:fldChar w:fldCharType="separate"/>
        </w:r>
        <w:r w:rsidR="007B45A0">
          <w:rPr>
            <w:noProof/>
          </w:rPr>
          <w:t>2</w:t>
        </w:r>
        <w:r w:rsidR="007B45A0">
          <w:rPr>
            <w:noProof/>
          </w:rPr>
          <w:fldChar w:fldCharType="end"/>
        </w:r>
        <w:r w:rsidR="007B45A0">
          <w:rPr>
            <w:noProof/>
          </w:rPr>
          <w:t xml:space="preserve"> -</w:t>
        </w:r>
      </w:p>
    </w:sdtContent>
  </w:sdt>
  <w:p w14:paraId="67C1ED6E" w14:textId="6D3107E7" w:rsidR="00FE5669" w:rsidRPr="00077B55" w:rsidRDefault="00FE5669" w:rsidP="007B45A0">
    <w:pPr>
      <w:pStyle w:val="Footer"/>
      <w:tabs>
        <w:tab w:val="clear" w:pos="468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4EF1F" w14:textId="77777777" w:rsidR="003A23BF" w:rsidRDefault="003A23BF" w:rsidP="00DF58E7">
      <w:pPr>
        <w:spacing w:line="240" w:lineRule="auto"/>
        <w:ind w:firstLine="0"/>
      </w:pPr>
      <w:r>
        <w:separator/>
      </w:r>
    </w:p>
  </w:footnote>
  <w:footnote w:type="continuationSeparator" w:id="0">
    <w:p w14:paraId="4C3924C1" w14:textId="77777777" w:rsidR="003A23BF" w:rsidRDefault="003A23BF" w:rsidP="00DF58E7">
      <w:pPr>
        <w:spacing w:line="240" w:lineRule="auto"/>
        <w:ind w:firstLine="0"/>
      </w:pPr>
      <w:r>
        <w:continuationSeparator/>
      </w:r>
    </w:p>
  </w:footnote>
  <w:footnote w:type="continuationNotice" w:id="1">
    <w:p w14:paraId="120A2BEF" w14:textId="77777777" w:rsidR="003A23BF" w:rsidRPr="00DF58E7" w:rsidRDefault="003A23BF"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46E91475" w14:textId="30DA530B" w:rsidR="002D1A91" w:rsidRDefault="002D1A91">
      <w:pPr>
        <w:pStyle w:val="FootnoteText"/>
      </w:pPr>
      <w:r>
        <w:rPr>
          <w:rStyle w:val="FootnoteReference"/>
        </w:rPr>
        <w:footnoteRef/>
      </w:r>
      <w:r>
        <w:t xml:space="preserve"> Application at 2.</w:t>
      </w:r>
    </w:p>
  </w:footnote>
  <w:footnote w:id="3">
    <w:p w14:paraId="69C0501C" w14:textId="5C03733E" w:rsidR="00751589" w:rsidRPr="00751589" w:rsidRDefault="00751589">
      <w:pPr>
        <w:pStyle w:val="FootnoteText"/>
      </w:pPr>
      <w:r>
        <w:rPr>
          <w:rStyle w:val="FootnoteReference"/>
        </w:rPr>
        <w:footnoteRef/>
      </w:r>
      <w:r>
        <w:t xml:space="preserve"> </w:t>
      </w:r>
      <w:r>
        <w:rPr>
          <w:i/>
          <w:iCs/>
        </w:rPr>
        <w:t>I</w:t>
      </w:r>
      <w:r w:rsidR="004E4B24">
        <w:rPr>
          <w:i/>
          <w:iCs/>
        </w:rPr>
        <w:t>bi</w:t>
      </w:r>
      <w:r>
        <w:rPr>
          <w:i/>
          <w:iCs/>
        </w:rPr>
        <w:t xml:space="preserve">d. </w:t>
      </w:r>
    </w:p>
  </w:footnote>
  <w:footnote w:id="4">
    <w:p w14:paraId="7AE5754B" w14:textId="6D1BC8C2" w:rsidR="00751589" w:rsidRPr="00751589" w:rsidRDefault="00751589">
      <w:pPr>
        <w:pStyle w:val="FootnoteText"/>
        <w:rPr>
          <w:i/>
          <w:iCs/>
        </w:rPr>
      </w:pPr>
      <w:r>
        <w:rPr>
          <w:rStyle w:val="FootnoteReference"/>
        </w:rPr>
        <w:footnoteRef/>
      </w:r>
      <w:r>
        <w:t xml:space="preserve"> </w:t>
      </w:r>
      <w:r>
        <w:rPr>
          <w:i/>
          <w:iCs/>
        </w:rPr>
        <w:t>I</w:t>
      </w:r>
      <w:r w:rsidR="004E4B24">
        <w:rPr>
          <w:i/>
          <w:iCs/>
        </w:rPr>
        <w:t>bi</w:t>
      </w:r>
      <w:r>
        <w:rPr>
          <w:i/>
          <w:iCs/>
        </w:rPr>
        <w:t xml:space="preserve">d. </w:t>
      </w:r>
    </w:p>
  </w:footnote>
  <w:footnote w:id="5">
    <w:p w14:paraId="46152B9B" w14:textId="557B24F9" w:rsidR="00C06E2D" w:rsidRDefault="00C06E2D">
      <w:pPr>
        <w:pStyle w:val="FootnoteText"/>
      </w:pPr>
      <w:r>
        <w:rPr>
          <w:rStyle w:val="FootnoteReference"/>
        </w:rPr>
        <w:footnoteRef/>
      </w:r>
      <w:r>
        <w:t xml:space="preserve"> Status Filing at 1</w:t>
      </w:r>
      <w:r w:rsidR="0043350D">
        <w:t>; Application at 5</w:t>
      </w:r>
      <w:r>
        <w:t xml:space="preserve">. </w:t>
      </w:r>
    </w:p>
  </w:footnote>
  <w:footnote w:id="6">
    <w:p w14:paraId="29922E67" w14:textId="58FD1AE8" w:rsidR="006769E2" w:rsidRDefault="006769E2">
      <w:pPr>
        <w:pStyle w:val="FootnoteText"/>
      </w:pPr>
      <w:r>
        <w:rPr>
          <w:rStyle w:val="FootnoteReference"/>
        </w:rPr>
        <w:footnoteRef/>
      </w:r>
      <w:r>
        <w:t xml:space="preserve"> Application at 5.</w:t>
      </w:r>
    </w:p>
  </w:footnote>
  <w:footnote w:id="7">
    <w:p w14:paraId="747C1E67" w14:textId="13D508EB" w:rsidR="0043350D" w:rsidRDefault="0043350D">
      <w:pPr>
        <w:pStyle w:val="FootnoteText"/>
      </w:pPr>
      <w:r>
        <w:rPr>
          <w:rStyle w:val="FootnoteReference"/>
        </w:rPr>
        <w:footnoteRef/>
      </w:r>
      <w:r>
        <w:t xml:space="preserve"> </w:t>
      </w:r>
      <w:r w:rsidR="006769E2">
        <w:rPr>
          <w:i/>
          <w:iCs/>
        </w:rPr>
        <w:t>Id.</w:t>
      </w:r>
      <w:r>
        <w:t xml:space="preserve"> at 2. </w:t>
      </w:r>
    </w:p>
  </w:footnote>
  <w:footnote w:id="8">
    <w:p w14:paraId="4E0783F3" w14:textId="45D9BA15" w:rsidR="0043350D" w:rsidRPr="0043350D" w:rsidRDefault="0043350D">
      <w:pPr>
        <w:pStyle w:val="FootnoteText"/>
      </w:pPr>
      <w:r>
        <w:rPr>
          <w:rStyle w:val="FootnoteReference"/>
        </w:rPr>
        <w:footnoteRef/>
      </w:r>
      <w:r>
        <w:t xml:space="preserve"> </w:t>
      </w:r>
      <w:r>
        <w:rPr>
          <w:i/>
          <w:iCs/>
        </w:rPr>
        <w:t>I</w:t>
      </w:r>
      <w:r w:rsidR="004E4B24">
        <w:rPr>
          <w:i/>
          <w:iCs/>
        </w:rPr>
        <w:t>bi</w:t>
      </w:r>
      <w:r>
        <w:rPr>
          <w:i/>
          <w:iCs/>
        </w:rPr>
        <w:t>d.</w:t>
      </w:r>
    </w:p>
  </w:footnote>
  <w:footnote w:id="9">
    <w:p w14:paraId="795B7255" w14:textId="42EF7A87" w:rsidR="000904ED" w:rsidRPr="000904ED" w:rsidRDefault="000904ED">
      <w:pPr>
        <w:pStyle w:val="FootnoteText"/>
      </w:pPr>
      <w:r>
        <w:rPr>
          <w:rStyle w:val="FootnoteReference"/>
        </w:rPr>
        <w:footnoteRef/>
      </w:r>
      <w:r>
        <w:t xml:space="preserve"> </w:t>
      </w:r>
      <w:r>
        <w:rPr>
          <w:i/>
          <w:iCs/>
        </w:rPr>
        <w:t xml:space="preserve">Id. </w:t>
      </w:r>
      <w:r>
        <w:t xml:space="preserve">at 1. </w:t>
      </w:r>
    </w:p>
  </w:footnote>
  <w:footnote w:id="10">
    <w:p w14:paraId="7D6A45A7" w14:textId="5090D30E" w:rsidR="00962495" w:rsidRDefault="00962495">
      <w:pPr>
        <w:pStyle w:val="FootnoteText"/>
      </w:pPr>
      <w:r>
        <w:rPr>
          <w:rStyle w:val="FootnoteReference"/>
        </w:rPr>
        <w:footnoteRef/>
      </w:r>
      <w:r>
        <w:t xml:space="preserve"> </w:t>
      </w:r>
      <w:r w:rsidR="0040262C" w:rsidRPr="0040262C">
        <w:t>Unless otherwise indicated, all subsequent statutory references are to the Pub. Util. Code.</w:t>
      </w:r>
    </w:p>
  </w:footnote>
  <w:footnote w:id="11">
    <w:p w14:paraId="417D1ED0" w14:textId="7D5F61B4" w:rsidR="00042650" w:rsidRPr="00042650" w:rsidRDefault="00042650">
      <w:pPr>
        <w:pStyle w:val="FootnoteText"/>
      </w:pPr>
      <w:r>
        <w:rPr>
          <w:rStyle w:val="FootnoteReference"/>
        </w:rPr>
        <w:footnoteRef/>
      </w:r>
      <w:r>
        <w:t xml:space="preserve"> </w:t>
      </w:r>
      <w:r w:rsidR="00762168">
        <w:t>Application</w:t>
      </w:r>
      <w:r>
        <w:rPr>
          <w:i/>
          <w:iCs/>
        </w:rPr>
        <w:t xml:space="preserve"> </w:t>
      </w:r>
      <w:r>
        <w:t xml:space="preserve">at 5. </w:t>
      </w:r>
    </w:p>
  </w:footnote>
  <w:footnote w:id="12">
    <w:p w14:paraId="2ED0CE2D" w14:textId="60C651C0" w:rsidR="00042650" w:rsidRPr="00762168" w:rsidRDefault="00042650">
      <w:pPr>
        <w:pStyle w:val="FootnoteText"/>
      </w:pPr>
      <w:r>
        <w:rPr>
          <w:rStyle w:val="FootnoteReference"/>
        </w:rPr>
        <w:footnoteRef/>
      </w:r>
      <w:r>
        <w:t xml:space="preserve"> </w:t>
      </w:r>
      <w:r w:rsidR="00762168">
        <w:rPr>
          <w:i/>
          <w:iCs/>
        </w:rPr>
        <w:t xml:space="preserve">Id. </w:t>
      </w:r>
      <w:r w:rsidR="00762168">
        <w:t xml:space="preserve">at 6. </w:t>
      </w:r>
    </w:p>
  </w:footnote>
  <w:footnote w:id="13">
    <w:p w14:paraId="11AB268F" w14:textId="6578396A" w:rsidR="00AD7CB4" w:rsidRPr="00AD7CB4" w:rsidRDefault="00AD7CB4">
      <w:pPr>
        <w:pStyle w:val="FootnoteText"/>
      </w:pPr>
      <w:r>
        <w:rPr>
          <w:rStyle w:val="FootnoteReference"/>
        </w:rPr>
        <w:footnoteRef/>
      </w:r>
      <w:r>
        <w:t xml:space="preserve"> </w:t>
      </w:r>
      <w:r>
        <w:rPr>
          <w:i/>
          <w:iCs/>
        </w:rPr>
        <w:t>I</w:t>
      </w:r>
      <w:r w:rsidR="004E4B24">
        <w:rPr>
          <w:i/>
          <w:iCs/>
        </w:rPr>
        <w:t>bi</w:t>
      </w:r>
      <w:r>
        <w:rPr>
          <w:i/>
          <w:iCs/>
        </w:rPr>
        <w:t>d.</w:t>
      </w:r>
    </w:p>
  </w:footnote>
  <w:footnote w:id="14">
    <w:p w14:paraId="278104FF" w14:textId="48CE5B83" w:rsidR="00164D1E" w:rsidRDefault="00164D1E" w:rsidP="00164D1E">
      <w:pPr>
        <w:pStyle w:val="FootnoteText"/>
      </w:pPr>
      <w:r>
        <w:rPr>
          <w:rStyle w:val="FootnoteReference"/>
        </w:rPr>
        <w:footnoteRef/>
      </w:r>
      <w:r>
        <w:t xml:space="preserve"> Motion for </w:t>
      </w:r>
      <w:r w:rsidR="000A656F">
        <w:t>L</w:t>
      </w:r>
      <w:r>
        <w:t xml:space="preserve">eave to </w:t>
      </w:r>
      <w:r w:rsidR="000A656F">
        <w:t>F</w:t>
      </w:r>
      <w:r>
        <w:t xml:space="preserve">ile </w:t>
      </w:r>
      <w:r w:rsidR="004E4B24">
        <w:t>U</w:t>
      </w:r>
      <w:r>
        <w:t xml:space="preserve">nder </w:t>
      </w:r>
      <w:r w:rsidR="000A656F">
        <w:t>S</w:t>
      </w:r>
      <w:r>
        <w:t>eal at 2</w:t>
      </w:r>
      <w:r w:rsidRPr="00C45985">
        <w:t>–</w:t>
      </w:r>
      <w:r>
        <w:t>3.</w:t>
      </w:r>
    </w:p>
  </w:footnote>
  <w:footnote w:id="15">
    <w:p w14:paraId="1EF310EF" w14:textId="065B231E" w:rsidR="00164D1E" w:rsidRPr="00164D1E" w:rsidRDefault="00164D1E">
      <w:pPr>
        <w:pStyle w:val="FootnoteText"/>
        <w:rPr>
          <w:i/>
          <w:iCs/>
        </w:rPr>
      </w:pPr>
      <w:r>
        <w:rPr>
          <w:rStyle w:val="FootnoteReference"/>
        </w:rPr>
        <w:footnoteRef/>
      </w:r>
      <w:r>
        <w:t xml:space="preserve"> </w:t>
      </w:r>
      <w:r>
        <w:rPr>
          <w:i/>
          <w:iCs/>
        </w:rPr>
        <w:t>I</w:t>
      </w:r>
      <w:r w:rsidR="004E4B24">
        <w:rPr>
          <w:i/>
          <w:iCs/>
        </w:rPr>
        <w:t>bi</w:t>
      </w:r>
      <w:r>
        <w:rPr>
          <w:i/>
          <w:iCs/>
        </w:rPr>
        <w:t xml:space="preserve">d. </w:t>
      </w:r>
    </w:p>
  </w:footnote>
  <w:footnote w:id="16">
    <w:p w14:paraId="77A23039" w14:textId="2C306518" w:rsidR="00A93DC1" w:rsidRDefault="00A93DC1">
      <w:pPr>
        <w:pStyle w:val="FootnoteText"/>
      </w:pPr>
      <w:r>
        <w:rPr>
          <w:rStyle w:val="FootnoteReference"/>
        </w:rPr>
        <w:footnoteRef/>
      </w:r>
      <w:r>
        <w:t xml:space="preserve"> Prehearing Conference Statement at 3. </w:t>
      </w:r>
    </w:p>
  </w:footnote>
  <w:footnote w:id="17">
    <w:p w14:paraId="39A594B9" w14:textId="4A268265" w:rsidR="003C337D" w:rsidRDefault="003C337D">
      <w:pPr>
        <w:pStyle w:val="FootnoteText"/>
      </w:pPr>
      <w:r>
        <w:rPr>
          <w:rStyle w:val="FootnoteReference"/>
        </w:rPr>
        <w:footnoteRef/>
      </w:r>
      <w:r>
        <w:t xml:space="preserve"> R</w:t>
      </w:r>
      <w:r w:rsidR="004E4B24">
        <w:t xml:space="preserve">eporter’s </w:t>
      </w:r>
      <w:r>
        <w:t>T</w:t>
      </w:r>
      <w:r w:rsidR="004E4B24">
        <w:t>ranscript</w:t>
      </w:r>
      <w:r>
        <w:t xml:space="preserve"> 18:19-20:13</w:t>
      </w:r>
    </w:p>
  </w:footnote>
  <w:footnote w:id="18">
    <w:p w14:paraId="5E400EE1" w14:textId="5AADFE04" w:rsidR="00A93DC1" w:rsidRDefault="00A93DC1">
      <w:pPr>
        <w:pStyle w:val="FootnoteText"/>
      </w:pPr>
      <w:r>
        <w:rPr>
          <w:rStyle w:val="FootnoteReference"/>
        </w:rPr>
        <w:footnoteRef/>
      </w:r>
      <w:r>
        <w:t xml:space="preserve"> Status Filing at 1. </w:t>
      </w:r>
    </w:p>
  </w:footnote>
  <w:footnote w:id="19">
    <w:p w14:paraId="36806BC1" w14:textId="52743137" w:rsidR="008B15EB" w:rsidRDefault="008B15EB">
      <w:pPr>
        <w:pStyle w:val="FootnoteText"/>
      </w:pPr>
      <w:r>
        <w:rPr>
          <w:rStyle w:val="FootnoteReference"/>
        </w:rPr>
        <w:footnoteRef/>
      </w:r>
      <w:r>
        <w:t xml:space="preserve"> Scoping Memo at 3.</w:t>
      </w:r>
    </w:p>
  </w:footnote>
  <w:footnote w:id="20">
    <w:p w14:paraId="4297C432" w14:textId="29FCB8CA" w:rsidR="00710A8E" w:rsidRDefault="00710A8E">
      <w:pPr>
        <w:pStyle w:val="FootnoteText"/>
      </w:pPr>
      <w:r>
        <w:rPr>
          <w:rStyle w:val="FootnoteReference"/>
        </w:rPr>
        <w:footnoteRef/>
      </w:r>
      <w:r>
        <w:t xml:space="preserve"> D.24-11-003 at 15-19.</w:t>
      </w:r>
    </w:p>
  </w:footnote>
  <w:footnote w:id="21">
    <w:p w14:paraId="50FB3249" w14:textId="79A4D38A" w:rsidR="008F2D36" w:rsidRPr="008F2D36" w:rsidRDefault="008F2D36">
      <w:pPr>
        <w:pStyle w:val="FootnoteText"/>
      </w:pPr>
      <w:r>
        <w:rPr>
          <w:rStyle w:val="FootnoteReference"/>
        </w:rPr>
        <w:footnoteRef/>
      </w:r>
      <w:r>
        <w:t xml:space="preserve"> </w:t>
      </w:r>
      <w:r w:rsidR="00345BEA">
        <w:rPr>
          <w:i/>
          <w:iCs/>
        </w:rPr>
        <w:t xml:space="preserve">See </w:t>
      </w:r>
      <w:r w:rsidR="00345BEA">
        <w:t xml:space="preserve">D.26-06-007 at 13; </w:t>
      </w:r>
      <w:r w:rsidR="00F11E7A">
        <w:t>D.24-11-011 at 7</w:t>
      </w:r>
      <w:r w:rsidR="00DE227D">
        <w:t>; D.00-06-079 at 14</w:t>
      </w:r>
    </w:p>
  </w:footnote>
  <w:footnote w:id="22">
    <w:p w14:paraId="6E0F3E80" w14:textId="16ED6F40" w:rsidR="008F2D36" w:rsidRDefault="008F2D36" w:rsidP="008F2D36">
      <w:pPr>
        <w:pStyle w:val="FootnoteText"/>
      </w:pPr>
      <w:r>
        <w:rPr>
          <w:rStyle w:val="FootnoteReference"/>
        </w:rPr>
        <w:footnoteRef/>
      </w:r>
      <w:r>
        <w:t xml:space="preserve"> </w:t>
      </w:r>
      <w:r w:rsidR="00F11E7A">
        <w:rPr>
          <w:i/>
          <w:iCs/>
        </w:rPr>
        <w:t>Id.</w:t>
      </w:r>
    </w:p>
  </w:footnote>
  <w:footnote w:id="23">
    <w:p w14:paraId="1B1C0AB6" w14:textId="222BC801" w:rsidR="008E0345" w:rsidRDefault="008E0345">
      <w:pPr>
        <w:pStyle w:val="FootnoteText"/>
      </w:pPr>
      <w:r>
        <w:rPr>
          <w:rStyle w:val="FootnoteReference"/>
        </w:rPr>
        <w:footnoteRef/>
      </w:r>
      <w:r>
        <w:t xml:space="preserve"> Application at 2.</w:t>
      </w:r>
    </w:p>
  </w:footnote>
  <w:footnote w:id="24">
    <w:p w14:paraId="39DC281B" w14:textId="4250027E" w:rsidR="00F11E7A" w:rsidRPr="00F11E7A" w:rsidRDefault="00F11E7A">
      <w:pPr>
        <w:pStyle w:val="FootnoteText"/>
      </w:pPr>
      <w:r>
        <w:rPr>
          <w:rStyle w:val="FootnoteReference"/>
        </w:rPr>
        <w:footnoteRef/>
      </w:r>
      <w:r>
        <w:t xml:space="preserve"> </w:t>
      </w:r>
      <w:r>
        <w:rPr>
          <w:i/>
          <w:iCs/>
        </w:rPr>
        <w:t xml:space="preserve">See </w:t>
      </w:r>
      <w:r w:rsidRPr="00F11E7A">
        <w:t>Cal</w:t>
      </w:r>
      <w:r>
        <w:t>ifornia</w:t>
      </w:r>
      <w:r w:rsidRPr="00F11E7A">
        <w:t xml:space="preserve"> Pub</w:t>
      </w:r>
      <w:r>
        <w:t>lic</w:t>
      </w:r>
      <w:r w:rsidRPr="00F11E7A">
        <w:t xml:space="preserve"> Resources Code </w:t>
      </w:r>
      <w:r>
        <w:t>Section</w:t>
      </w:r>
      <w:r w:rsidRPr="00F11E7A">
        <w:t xml:space="preserve"> 21067</w:t>
      </w:r>
      <w:r>
        <w:t>.</w:t>
      </w:r>
    </w:p>
  </w:footnote>
  <w:footnote w:id="25">
    <w:p w14:paraId="22E7E254" w14:textId="08D47FDD" w:rsidR="00F11E7A" w:rsidRDefault="00F11E7A">
      <w:pPr>
        <w:pStyle w:val="FootnoteText"/>
      </w:pPr>
      <w:r>
        <w:rPr>
          <w:rStyle w:val="FootnoteReference"/>
        </w:rPr>
        <w:footnoteRef/>
      </w:r>
      <w:r>
        <w:t xml:space="preserve"> </w:t>
      </w:r>
      <w:r w:rsidRPr="00F11E7A">
        <w:t>California Public Resources Code Section 21065</w:t>
      </w:r>
      <w:r>
        <w:t>.</w:t>
      </w:r>
    </w:p>
  </w:footnote>
  <w:footnote w:id="26">
    <w:p w14:paraId="063E1AB4" w14:textId="026A455C" w:rsidR="008F2D36" w:rsidRPr="002D2EB3" w:rsidRDefault="008F2D36" w:rsidP="008F2D36">
      <w:pPr>
        <w:pStyle w:val="FootnoteText"/>
      </w:pPr>
      <w:r>
        <w:rPr>
          <w:rStyle w:val="FootnoteReference"/>
        </w:rPr>
        <w:footnoteRef/>
      </w:r>
      <w:r>
        <w:t xml:space="preserve"> </w:t>
      </w:r>
      <w:r w:rsidR="00F11E7A">
        <w:t>Application</w:t>
      </w:r>
      <w:r>
        <w:rPr>
          <w:i/>
          <w:iCs/>
        </w:rPr>
        <w:t xml:space="preserve"> </w:t>
      </w:r>
      <w:r>
        <w:t>at 5.</w:t>
      </w:r>
    </w:p>
  </w:footnote>
  <w:footnote w:id="27">
    <w:p w14:paraId="5EBE251F" w14:textId="5D2330B4" w:rsidR="003B7526" w:rsidRDefault="003B7526">
      <w:pPr>
        <w:pStyle w:val="FootnoteText"/>
      </w:pPr>
      <w:r>
        <w:rPr>
          <w:rStyle w:val="FootnoteReference"/>
        </w:rPr>
        <w:footnoteRef/>
      </w:r>
      <w:r>
        <w:t xml:space="preserve"> </w:t>
      </w:r>
      <w:r w:rsidR="002D2EB3">
        <w:rPr>
          <w:i/>
          <w:iCs/>
        </w:rPr>
        <w:t>Id.</w:t>
      </w:r>
      <w:r>
        <w:t xml:space="preserve"> at 1.</w:t>
      </w:r>
    </w:p>
  </w:footnote>
  <w:footnote w:id="28">
    <w:p w14:paraId="0C4B8213" w14:textId="6AC55C9A" w:rsidR="00874937" w:rsidRPr="00874937" w:rsidRDefault="00874937">
      <w:pPr>
        <w:pStyle w:val="FootnoteText"/>
      </w:pPr>
      <w:r>
        <w:rPr>
          <w:rStyle w:val="FootnoteReference"/>
        </w:rPr>
        <w:footnoteRef/>
      </w:r>
      <w:r>
        <w:t xml:space="preserve"> </w:t>
      </w:r>
      <w:r>
        <w:rPr>
          <w:i/>
          <w:iCs/>
        </w:rPr>
        <w:t xml:space="preserve">Id. </w:t>
      </w:r>
      <w:r>
        <w:t>at 6.</w:t>
      </w:r>
    </w:p>
  </w:footnote>
  <w:footnote w:id="29">
    <w:p w14:paraId="719F01FE" w14:textId="2011E255" w:rsidR="00874937" w:rsidRPr="00874937" w:rsidRDefault="00874937">
      <w:pPr>
        <w:pStyle w:val="FootnoteText"/>
      </w:pPr>
      <w:r>
        <w:rPr>
          <w:rStyle w:val="FootnoteReference"/>
        </w:rPr>
        <w:footnoteRef/>
      </w:r>
      <w:r>
        <w:t xml:space="preserve"> </w:t>
      </w:r>
      <w:r>
        <w:rPr>
          <w:i/>
          <w:iCs/>
        </w:rPr>
        <w:t xml:space="preserve">Id. </w:t>
      </w:r>
      <w:r>
        <w:t xml:space="preserve">at 7. </w:t>
      </w:r>
    </w:p>
  </w:footnote>
  <w:footnote w:id="30">
    <w:p w14:paraId="3AF72670" w14:textId="002D842D" w:rsidR="0044614A" w:rsidRDefault="0044614A">
      <w:pPr>
        <w:pStyle w:val="FootnoteText"/>
      </w:pPr>
      <w:r>
        <w:rPr>
          <w:rStyle w:val="FootnoteReference"/>
        </w:rPr>
        <w:footnoteRef/>
      </w:r>
      <w:r>
        <w:t xml:space="preserve"> D.</w:t>
      </w:r>
      <w:r w:rsidRPr="0044614A">
        <w:t>98-12-075</w:t>
      </w:r>
      <w:r>
        <w:t xml:space="preserve"> at 36</w:t>
      </w:r>
      <w:r w:rsidRPr="009A23F7">
        <w:t>–</w:t>
      </w:r>
      <w:r>
        <w:t>37.</w:t>
      </w:r>
    </w:p>
  </w:footnote>
  <w:footnote w:id="31">
    <w:p w14:paraId="49F10A25" w14:textId="78356A49" w:rsidR="0044614A" w:rsidRDefault="0044614A">
      <w:pPr>
        <w:pStyle w:val="FootnoteText"/>
      </w:pPr>
      <w:r>
        <w:rPr>
          <w:rStyle w:val="FootnoteReference"/>
        </w:rPr>
        <w:footnoteRef/>
      </w:r>
      <w:r>
        <w:t xml:space="preserve"> D.06-01-003 at 7.</w:t>
      </w:r>
    </w:p>
  </w:footnote>
  <w:footnote w:id="32">
    <w:p w14:paraId="4A5B202C" w14:textId="4159D10F" w:rsidR="00EF75FE" w:rsidRPr="00EF75FE" w:rsidRDefault="00EF75FE">
      <w:pPr>
        <w:pStyle w:val="FootnoteText"/>
      </w:pPr>
      <w:r>
        <w:rPr>
          <w:rStyle w:val="FootnoteReference"/>
        </w:rPr>
        <w:footnoteRef/>
      </w:r>
      <w:r>
        <w:t xml:space="preserve"> </w:t>
      </w:r>
      <w:r w:rsidR="0044614A">
        <w:t>Application</w:t>
      </w:r>
      <w:r>
        <w:rPr>
          <w:i/>
          <w:iCs/>
        </w:rPr>
        <w:t xml:space="preserve"> </w:t>
      </w:r>
      <w:r>
        <w:t xml:space="preserve">at 6. </w:t>
      </w:r>
    </w:p>
  </w:footnote>
  <w:footnote w:id="33">
    <w:p w14:paraId="5D6EDA0D" w14:textId="34F0A081" w:rsidR="00EF75FE" w:rsidRPr="00EF75FE" w:rsidRDefault="00EF75FE">
      <w:pPr>
        <w:pStyle w:val="FootnoteText"/>
        <w:rPr>
          <w:i/>
          <w:iCs/>
        </w:rPr>
      </w:pPr>
      <w:r>
        <w:rPr>
          <w:rStyle w:val="FootnoteReference"/>
        </w:rPr>
        <w:footnoteRef/>
      </w:r>
      <w:r>
        <w:t xml:space="preserve"> </w:t>
      </w:r>
      <w:r>
        <w:rPr>
          <w:i/>
          <w:iCs/>
        </w:rPr>
        <w:t>I</w:t>
      </w:r>
      <w:r w:rsidR="0072325D">
        <w:rPr>
          <w:i/>
          <w:iCs/>
        </w:rPr>
        <w:t>bi</w:t>
      </w:r>
      <w:r>
        <w:rPr>
          <w:i/>
          <w:iCs/>
        </w:rPr>
        <w:t>d.</w:t>
      </w:r>
    </w:p>
  </w:footnote>
  <w:footnote w:id="34">
    <w:p w14:paraId="14D3F41F" w14:textId="46C8EAF9" w:rsidR="00223F64" w:rsidRDefault="00223F64">
      <w:pPr>
        <w:pStyle w:val="FootnoteText"/>
      </w:pPr>
      <w:r>
        <w:rPr>
          <w:rStyle w:val="FootnoteReference"/>
        </w:rPr>
        <w:footnoteRef/>
      </w:r>
      <w:r>
        <w:t xml:space="preserve"> Prehearing Conference Statement at 11. </w:t>
      </w:r>
    </w:p>
  </w:footnote>
  <w:footnote w:id="35">
    <w:p w14:paraId="52EA6E9B" w14:textId="196DAC10" w:rsidR="00223F64" w:rsidRPr="00223F64" w:rsidRDefault="00223F64">
      <w:pPr>
        <w:pStyle w:val="FootnoteText"/>
      </w:pPr>
      <w:r>
        <w:rPr>
          <w:rStyle w:val="FootnoteReference"/>
        </w:rPr>
        <w:footnoteRef/>
      </w:r>
      <w:r>
        <w:t xml:space="preserve"> </w:t>
      </w:r>
      <w:r>
        <w:rPr>
          <w:i/>
          <w:iCs/>
        </w:rPr>
        <w:t>I</w:t>
      </w:r>
      <w:r w:rsidR="0072325D">
        <w:rPr>
          <w:i/>
          <w:iCs/>
        </w:rPr>
        <w:t>bi</w:t>
      </w:r>
      <w:r>
        <w:rPr>
          <w:i/>
          <w:iCs/>
        </w:rPr>
        <w:t>d.</w:t>
      </w:r>
      <w:r>
        <w:t xml:space="preserve">; Status Filing at 1. </w:t>
      </w:r>
      <w:r>
        <w:rPr>
          <w:i/>
          <w:iCs/>
        </w:rPr>
        <w:t xml:space="preserve"> </w:t>
      </w:r>
    </w:p>
  </w:footnote>
  <w:footnote w:id="36">
    <w:p w14:paraId="60EF7020" w14:textId="227101F7" w:rsidR="00223F64" w:rsidRDefault="00223F64">
      <w:pPr>
        <w:pStyle w:val="FootnoteText"/>
      </w:pPr>
      <w:r>
        <w:rPr>
          <w:rStyle w:val="FootnoteReference"/>
        </w:rPr>
        <w:footnoteRef/>
      </w:r>
      <w:r>
        <w:t xml:space="preserve"> Application at 7. </w:t>
      </w:r>
    </w:p>
  </w:footnote>
  <w:footnote w:id="37">
    <w:p w14:paraId="2E58D8F1" w14:textId="24E462C4" w:rsidR="00C93CE8" w:rsidRDefault="00C93CE8">
      <w:pPr>
        <w:pStyle w:val="FootnoteText"/>
      </w:pPr>
      <w:r>
        <w:rPr>
          <w:rStyle w:val="FootnoteReference"/>
        </w:rPr>
        <w:footnoteRef/>
      </w:r>
      <w:r>
        <w:t xml:space="preserve"> D.</w:t>
      </w:r>
      <w:r w:rsidRPr="0044614A">
        <w:t>98-12-075</w:t>
      </w:r>
      <w:r>
        <w:t xml:space="preserve"> at 38</w:t>
      </w:r>
      <w:r w:rsidRPr="009A23F7">
        <w:t>–</w:t>
      </w:r>
      <w:r>
        <w:t>39.</w:t>
      </w:r>
    </w:p>
  </w:footnote>
  <w:footnote w:id="38">
    <w:p w14:paraId="1F86D981" w14:textId="033A01CE" w:rsidR="007519BC" w:rsidRPr="00C93CE8" w:rsidRDefault="007519BC">
      <w:pPr>
        <w:pStyle w:val="FootnoteText"/>
      </w:pPr>
      <w:r>
        <w:rPr>
          <w:rStyle w:val="FootnoteReference"/>
        </w:rPr>
        <w:footnoteRef/>
      </w:r>
      <w:r>
        <w:t xml:space="preserve"> </w:t>
      </w:r>
      <w:r w:rsidR="00C93CE8">
        <w:t>Application at 7.</w:t>
      </w:r>
    </w:p>
  </w:footnote>
  <w:footnote w:id="39">
    <w:p w14:paraId="122D1595" w14:textId="566D3F6C" w:rsidR="00C93CE8" w:rsidRDefault="00C93CE8">
      <w:pPr>
        <w:pStyle w:val="FootnoteText"/>
      </w:pPr>
      <w:r>
        <w:rPr>
          <w:rStyle w:val="FootnoteReference"/>
        </w:rPr>
        <w:footnoteRef/>
      </w:r>
      <w:r>
        <w:t xml:space="preserve"> D.06-01-003 at 9.</w:t>
      </w:r>
    </w:p>
  </w:footnote>
  <w:footnote w:id="40">
    <w:p w14:paraId="7EADBABD" w14:textId="70854C1F" w:rsidR="0006055E" w:rsidRPr="0006055E" w:rsidRDefault="0006055E">
      <w:pPr>
        <w:pStyle w:val="FootnoteText"/>
      </w:pPr>
      <w:r>
        <w:rPr>
          <w:rStyle w:val="FootnoteReference"/>
        </w:rPr>
        <w:footnoteRef/>
      </w:r>
      <w:r>
        <w:t xml:space="preserve"> </w:t>
      </w:r>
      <w:r w:rsidR="00C93CE8">
        <w:t>Application</w:t>
      </w:r>
      <w:r>
        <w:rPr>
          <w:i/>
          <w:iCs/>
        </w:rPr>
        <w:t xml:space="preserve"> </w:t>
      </w:r>
      <w:r>
        <w:t xml:space="preserve">at 5. </w:t>
      </w:r>
    </w:p>
  </w:footnote>
  <w:footnote w:id="41">
    <w:p w14:paraId="21B90106" w14:textId="0672C9BE" w:rsidR="0006055E" w:rsidRPr="0006055E" w:rsidRDefault="0006055E">
      <w:pPr>
        <w:pStyle w:val="FootnoteText"/>
        <w:rPr>
          <w:i/>
          <w:iCs/>
        </w:rPr>
      </w:pPr>
      <w:r>
        <w:rPr>
          <w:rStyle w:val="FootnoteReference"/>
        </w:rPr>
        <w:footnoteRef/>
      </w:r>
      <w:r>
        <w:t xml:space="preserve"> </w:t>
      </w:r>
      <w:r>
        <w:rPr>
          <w:i/>
          <w:iCs/>
        </w:rPr>
        <w:t>I</w:t>
      </w:r>
      <w:r w:rsidR="0072325D">
        <w:rPr>
          <w:i/>
          <w:iCs/>
        </w:rPr>
        <w:t>bi</w:t>
      </w:r>
      <w:r>
        <w:rPr>
          <w:i/>
          <w:iCs/>
        </w:rPr>
        <w:t xml:space="preserve">d. </w:t>
      </w:r>
    </w:p>
  </w:footnote>
  <w:footnote w:id="42">
    <w:p w14:paraId="109572E0" w14:textId="7E110A29" w:rsidR="006769E2" w:rsidRDefault="006769E2">
      <w:pPr>
        <w:pStyle w:val="FootnoteText"/>
      </w:pPr>
      <w:r>
        <w:rPr>
          <w:rStyle w:val="FootnoteReference"/>
        </w:rPr>
        <w:footnoteRef/>
      </w:r>
      <w:r>
        <w:t xml:space="preserve"> </w:t>
      </w:r>
      <w:r w:rsidR="00EF1883">
        <w:t xml:space="preserve">Prehearing Conference Statement at 3; Status Filing at 1. </w:t>
      </w:r>
    </w:p>
  </w:footnote>
  <w:footnote w:id="43">
    <w:p w14:paraId="5A8F5216" w14:textId="77777777" w:rsidR="00C53C67" w:rsidRDefault="00C53C67" w:rsidP="00C53C67">
      <w:pPr>
        <w:pStyle w:val="FootnoteText"/>
      </w:pPr>
      <w:r>
        <w:rPr>
          <w:rStyle w:val="FootnoteReference"/>
        </w:rPr>
        <w:footnoteRef/>
      </w:r>
      <w:r>
        <w:t xml:space="preserve"> D.</w:t>
      </w:r>
      <w:r w:rsidRPr="00FF2E6D">
        <w:t>06-01-003</w:t>
      </w:r>
      <w:r>
        <w:t xml:space="preserve"> at 6</w:t>
      </w:r>
      <w:r w:rsidRPr="009A23F7">
        <w:t>–</w:t>
      </w:r>
      <w:r>
        <w:t>10.</w:t>
      </w:r>
    </w:p>
  </w:footnote>
  <w:footnote w:id="44">
    <w:p w14:paraId="474D087C" w14:textId="77777777" w:rsidR="00C53C67" w:rsidRDefault="00C53C67" w:rsidP="00C53C67">
      <w:pPr>
        <w:pStyle w:val="FootnoteText"/>
      </w:pPr>
      <w:r>
        <w:rPr>
          <w:rStyle w:val="FootnoteReference"/>
        </w:rPr>
        <w:footnoteRef/>
      </w:r>
      <w:r>
        <w:t xml:space="preserve"> D.16-05-002 at 7</w:t>
      </w:r>
      <w:r w:rsidRPr="009A23F7">
        <w:t>–</w:t>
      </w:r>
      <w:r>
        <w:t>9.</w:t>
      </w:r>
    </w:p>
  </w:footnote>
  <w:footnote w:id="45">
    <w:p w14:paraId="2262D599" w14:textId="79B4287C" w:rsidR="002F7DF5" w:rsidRDefault="002F7DF5">
      <w:pPr>
        <w:pStyle w:val="FootnoteText"/>
      </w:pPr>
      <w:r>
        <w:rPr>
          <w:rStyle w:val="FootnoteReference"/>
        </w:rPr>
        <w:footnoteRef/>
      </w:r>
      <w:r>
        <w:t xml:space="preserve"> Motion for Leave to File </w:t>
      </w:r>
      <w:r w:rsidR="00743967">
        <w:t>U</w:t>
      </w:r>
      <w:r>
        <w:t>nder Seal at 2</w:t>
      </w:r>
      <w:r w:rsidRPr="00C45985">
        <w:t>–</w:t>
      </w:r>
      <w:r>
        <w:t>3.</w:t>
      </w:r>
    </w:p>
  </w:footnote>
  <w:footnote w:id="46">
    <w:p w14:paraId="3A39AE57" w14:textId="01F2F90C" w:rsidR="00743967" w:rsidRDefault="00743967">
      <w:pPr>
        <w:pStyle w:val="FootnoteText"/>
      </w:pPr>
      <w:r>
        <w:rPr>
          <w:rStyle w:val="FootnoteReference"/>
        </w:rPr>
        <w:footnoteRef/>
      </w:r>
      <w:r>
        <w:t xml:space="preserve"> D.24-11-003 at 52-54.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AE26C" w14:textId="212F6599" w:rsidR="00FE2351" w:rsidRDefault="00B3581B" w:rsidP="00EE4315">
    <w:pPr>
      <w:pStyle w:val="Header"/>
      <w:tabs>
        <w:tab w:val="clear" w:pos="4680"/>
      </w:tabs>
      <w:ind w:firstLine="0"/>
      <w:rPr>
        <w:b/>
      </w:rPr>
    </w:pPr>
    <w:r>
      <w:t>A.25-12-</w:t>
    </w:r>
    <w:proofErr w:type="gramStart"/>
    <w:r>
      <w:t>020  ALJ</w:t>
    </w:r>
    <w:proofErr w:type="gramEnd"/>
    <w:r>
      <w:t>/EFD/vj4</w:t>
    </w:r>
    <w:r w:rsidR="00FE2351">
      <w:tab/>
    </w:r>
  </w:p>
  <w:p w14:paraId="3E14E320" w14:textId="62EA00A2" w:rsidR="00FE2351" w:rsidRPr="00B3087D" w:rsidRDefault="00FE2351" w:rsidP="00B3087D">
    <w:pPr>
      <w:pStyle w:val="Header"/>
      <w:tabs>
        <w:tab w:val="clear" w:pos="4680"/>
      </w:tabs>
      <w:ind w:firstLine="0"/>
      <w:rPr>
        <w:i/>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 w15:restartNumberingAfterBreak="0">
    <w:nsid w:val="15F056CB"/>
    <w:multiLevelType w:val="multilevel"/>
    <w:tmpl w:val="18F4A5AC"/>
    <w:numStyleLink w:val="FoFCoLOP"/>
  </w:abstractNum>
  <w:abstractNum w:abstractNumId="3"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70038F"/>
    <w:multiLevelType w:val="multilevel"/>
    <w:tmpl w:val="3C526EDE"/>
    <w:numStyleLink w:val="Headings"/>
  </w:abstractNum>
  <w:abstractNum w:abstractNumId="5" w15:restartNumberingAfterBreak="0">
    <w:nsid w:val="1E2242C9"/>
    <w:multiLevelType w:val="multilevel"/>
    <w:tmpl w:val="3C526EDE"/>
    <w:numStyleLink w:val="Headings"/>
  </w:abstractNum>
  <w:abstractNum w:abstractNumId="6" w15:restartNumberingAfterBreak="0">
    <w:nsid w:val="21FB58FE"/>
    <w:multiLevelType w:val="multilevel"/>
    <w:tmpl w:val="3C526EDE"/>
    <w:numStyleLink w:val="Headings"/>
  </w:abstractNum>
  <w:abstractNum w:abstractNumId="7" w15:restartNumberingAfterBreak="0">
    <w:nsid w:val="243663A0"/>
    <w:multiLevelType w:val="multilevel"/>
    <w:tmpl w:val="3C526EDE"/>
    <w:numStyleLink w:val="Headings"/>
  </w:abstractNum>
  <w:abstractNum w:abstractNumId="8" w15:restartNumberingAfterBreak="0">
    <w:nsid w:val="2B8124D7"/>
    <w:multiLevelType w:val="multilevel"/>
    <w:tmpl w:val="3C526EDE"/>
    <w:numStyleLink w:val="Headings"/>
  </w:abstractNum>
  <w:abstractNum w:abstractNumId="9"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0" w15:restartNumberingAfterBreak="0">
    <w:nsid w:val="59D042D7"/>
    <w:multiLevelType w:val="multilevel"/>
    <w:tmpl w:val="18F4A5AC"/>
    <w:numStyleLink w:val="FoFCoLOP"/>
  </w:abstractNum>
  <w:abstractNum w:abstractNumId="11" w15:restartNumberingAfterBreak="0">
    <w:nsid w:val="5A9E2171"/>
    <w:multiLevelType w:val="multilevel"/>
    <w:tmpl w:val="3C526EDE"/>
    <w:numStyleLink w:val="Headings"/>
  </w:abstractNum>
  <w:abstractNum w:abstractNumId="12" w15:restartNumberingAfterBreak="0">
    <w:nsid w:val="5F074F72"/>
    <w:multiLevelType w:val="hybridMultilevel"/>
    <w:tmpl w:val="41E0A2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1A25780"/>
    <w:multiLevelType w:val="multilevel"/>
    <w:tmpl w:val="3C526EDE"/>
    <w:numStyleLink w:val="Headings"/>
  </w:abstractNum>
  <w:abstractNum w:abstractNumId="14"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89A0AFE"/>
    <w:multiLevelType w:val="multilevel"/>
    <w:tmpl w:val="18F4A5AC"/>
    <w:numStyleLink w:val="FoFCoLOP"/>
  </w:abstractNum>
  <w:num w:numId="1" w16cid:durableId="1354526949">
    <w:abstractNumId w:val="11"/>
  </w:num>
  <w:num w:numId="2" w16cid:durableId="140774137">
    <w:abstractNumId w:val="1"/>
  </w:num>
  <w:num w:numId="3" w16cid:durableId="1898543446">
    <w:abstractNumId w:val="10"/>
  </w:num>
  <w:num w:numId="4" w16cid:durableId="701521005">
    <w:abstractNumId w:val="2"/>
  </w:num>
  <w:num w:numId="5" w16cid:durableId="2017029027">
    <w:abstractNumId w:val="15"/>
  </w:num>
  <w:num w:numId="6" w16cid:durableId="973756952">
    <w:abstractNumId w:val="9"/>
  </w:num>
  <w:num w:numId="7" w16cid:durableId="827667741">
    <w:abstractNumId w:val="5"/>
  </w:num>
  <w:num w:numId="8" w16cid:durableId="1760327020">
    <w:abstractNumId w:val="14"/>
  </w:num>
  <w:num w:numId="9" w16cid:durableId="816924040">
    <w:abstractNumId w:val="0"/>
  </w:num>
  <w:num w:numId="10" w16cid:durableId="1817916489">
    <w:abstractNumId w:val="4"/>
  </w:num>
  <w:num w:numId="11" w16cid:durableId="291985460">
    <w:abstractNumId w:val="6"/>
  </w:num>
  <w:num w:numId="12" w16cid:durableId="467941983">
    <w:abstractNumId w:val="3"/>
  </w:num>
  <w:num w:numId="13" w16cid:durableId="712996464">
    <w:abstractNumId w:val="7"/>
  </w:num>
  <w:num w:numId="14" w16cid:durableId="1303778653">
    <w:abstractNumId w:val="8"/>
  </w:num>
  <w:num w:numId="15" w16cid:durableId="1714382259">
    <w:abstractNumId w:val="13"/>
  </w:num>
  <w:num w:numId="16" w16cid:durableId="5481076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13"/>
  </w:num>
  <w:num w:numId="18" w16cid:durableId="1905557247">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C0F"/>
    <w:rsid w:val="00000F6A"/>
    <w:rsid w:val="000012EA"/>
    <w:rsid w:val="00011031"/>
    <w:rsid w:val="00015A37"/>
    <w:rsid w:val="00017CD5"/>
    <w:rsid w:val="0002254D"/>
    <w:rsid w:val="00026F5E"/>
    <w:rsid w:val="0003067E"/>
    <w:rsid w:val="00030C70"/>
    <w:rsid w:val="00042650"/>
    <w:rsid w:val="00046863"/>
    <w:rsid w:val="0005393A"/>
    <w:rsid w:val="00055AE1"/>
    <w:rsid w:val="00055FB8"/>
    <w:rsid w:val="00057078"/>
    <w:rsid w:val="0006055E"/>
    <w:rsid w:val="000612FE"/>
    <w:rsid w:val="0006407A"/>
    <w:rsid w:val="000704F3"/>
    <w:rsid w:val="0007115A"/>
    <w:rsid w:val="000743BB"/>
    <w:rsid w:val="00077B55"/>
    <w:rsid w:val="000904ED"/>
    <w:rsid w:val="00095A0C"/>
    <w:rsid w:val="00095C21"/>
    <w:rsid w:val="000973C8"/>
    <w:rsid w:val="000A2AA9"/>
    <w:rsid w:val="000A3C93"/>
    <w:rsid w:val="000A4ABC"/>
    <w:rsid w:val="000A56F2"/>
    <w:rsid w:val="000A656F"/>
    <w:rsid w:val="000A6E05"/>
    <w:rsid w:val="000B12FA"/>
    <w:rsid w:val="000B24EA"/>
    <w:rsid w:val="000C08BF"/>
    <w:rsid w:val="000C3B9A"/>
    <w:rsid w:val="000D25A8"/>
    <w:rsid w:val="000E270A"/>
    <w:rsid w:val="000E4C53"/>
    <w:rsid w:val="000F14B6"/>
    <w:rsid w:val="000F48C6"/>
    <w:rsid w:val="001001B2"/>
    <w:rsid w:val="00102495"/>
    <w:rsid w:val="001029FF"/>
    <w:rsid w:val="00111D09"/>
    <w:rsid w:val="00120C2D"/>
    <w:rsid w:val="00121089"/>
    <w:rsid w:val="00123B2A"/>
    <w:rsid w:val="001244A3"/>
    <w:rsid w:val="001322B3"/>
    <w:rsid w:val="00135D66"/>
    <w:rsid w:val="0014583B"/>
    <w:rsid w:val="00147214"/>
    <w:rsid w:val="00164D1E"/>
    <w:rsid w:val="00166F20"/>
    <w:rsid w:val="00184A8F"/>
    <w:rsid w:val="00184B00"/>
    <w:rsid w:val="00197FE1"/>
    <w:rsid w:val="001A70DA"/>
    <w:rsid w:val="001B6107"/>
    <w:rsid w:val="001C363F"/>
    <w:rsid w:val="001D1B64"/>
    <w:rsid w:val="001D21D7"/>
    <w:rsid w:val="001D6688"/>
    <w:rsid w:val="001E23F8"/>
    <w:rsid w:val="001E2A62"/>
    <w:rsid w:val="001E6608"/>
    <w:rsid w:val="001F2819"/>
    <w:rsid w:val="001F3204"/>
    <w:rsid w:val="002043EC"/>
    <w:rsid w:val="002133E5"/>
    <w:rsid w:val="00214F06"/>
    <w:rsid w:val="00216D6A"/>
    <w:rsid w:val="00217B81"/>
    <w:rsid w:val="00220BF8"/>
    <w:rsid w:val="00223F64"/>
    <w:rsid w:val="002300F1"/>
    <w:rsid w:val="00242404"/>
    <w:rsid w:val="00243DC0"/>
    <w:rsid w:val="00247477"/>
    <w:rsid w:val="00247C3F"/>
    <w:rsid w:val="00252091"/>
    <w:rsid w:val="00254FCA"/>
    <w:rsid w:val="002655C7"/>
    <w:rsid w:val="002668A5"/>
    <w:rsid w:val="00270440"/>
    <w:rsid w:val="00276D71"/>
    <w:rsid w:val="00284D8D"/>
    <w:rsid w:val="00287BC5"/>
    <w:rsid w:val="00292E78"/>
    <w:rsid w:val="00293DC8"/>
    <w:rsid w:val="00293DEE"/>
    <w:rsid w:val="002A0973"/>
    <w:rsid w:val="002A0B5D"/>
    <w:rsid w:val="002A1ACA"/>
    <w:rsid w:val="002A7B74"/>
    <w:rsid w:val="002B0900"/>
    <w:rsid w:val="002B7816"/>
    <w:rsid w:val="002C3CAC"/>
    <w:rsid w:val="002C4CA4"/>
    <w:rsid w:val="002C6266"/>
    <w:rsid w:val="002C7FE9"/>
    <w:rsid w:val="002D0DC5"/>
    <w:rsid w:val="002D1A91"/>
    <w:rsid w:val="002D2EB3"/>
    <w:rsid w:val="002D4EFD"/>
    <w:rsid w:val="002F7DF5"/>
    <w:rsid w:val="00313A59"/>
    <w:rsid w:val="00315A97"/>
    <w:rsid w:val="00316071"/>
    <w:rsid w:val="00323BA5"/>
    <w:rsid w:val="00343E5C"/>
    <w:rsid w:val="00344B46"/>
    <w:rsid w:val="00344FB8"/>
    <w:rsid w:val="00345BEA"/>
    <w:rsid w:val="00346820"/>
    <w:rsid w:val="00346D2E"/>
    <w:rsid w:val="0035575F"/>
    <w:rsid w:val="0036017B"/>
    <w:rsid w:val="00361A48"/>
    <w:rsid w:val="003625F0"/>
    <w:rsid w:val="00362755"/>
    <w:rsid w:val="00363826"/>
    <w:rsid w:val="00371550"/>
    <w:rsid w:val="00373B93"/>
    <w:rsid w:val="00380CD1"/>
    <w:rsid w:val="003978AD"/>
    <w:rsid w:val="003A02CA"/>
    <w:rsid w:val="003A23BF"/>
    <w:rsid w:val="003A2AC8"/>
    <w:rsid w:val="003A38F0"/>
    <w:rsid w:val="003A48E9"/>
    <w:rsid w:val="003A7D28"/>
    <w:rsid w:val="003B1865"/>
    <w:rsid w:val="003B7526"/>
    <w:rsid w:val="003C0A4B"/>
    <w:rsid w:val="003C337D"/>
    <w:rsid w:val="003D053B"/>
    <w:rsid w:val="003D4B0E"/>
    <w:rsid w:val="003D7343"/>
    <w:rsid w:val="003E637C"/>
    <w:rsid w:val="003F069A"/>
    <w:rsid w:val="003F31EB"/>
    <w:rsid w:val="003F4329"/>
    <w:rsid w:val="004001D7"/>
    <w:rsid w:val="0040262C"/>
    <w:rsid w:val="00403259"/>
    <w:rsid w:val="00411830"/>
    <w:rsid w:val="00412534"/>
    <w:rsid w:val="00412C83"/>
    <w:rsid w:val="00414339"/>
    <w:rsid w:val="00426014"/>
    <w:rsid w:val="00432CF3"/>
    <w:rsid w:val="0043350D"/>
    <w:rsid w:val="00442276"/>
    <w:rsid w:val="004425A3"/>
    <w:rsid w:val="0044374D"/>
    <w:rsid w:val="00445634"/>
    <w:rsid w:val="0044614A"/>
    <w:rsid w:val="0044617E"/>
    <w:rsid w:val="004522D1"/>
    <w:rsid w:val="0046078B"/>
    <w:rsid w:val="00460B7D"/>
    <w:rsid w:val="00464448"/>
    <w:rsid w:val="00470AD1"/>
    <w:rsid w:val="00475D23"/>
    <w:rsid w:val="00480CB0"/>
    <w:rsid w:val="00481122"/>
    <w:rsid w:val="00482778"/>
    <w:rsid w:val="00483603"/>
    <w:rsid w:val="004A0333"/>
    <w:rsid w:val="004A1B03"/>
    <w:rsid w:val="004A1B69"/>
    <w:rsid w:val="004A1EAD"/>
    <w:rsid w:val="004A47BE"/>
    <w:rsid w:val="004A7064"/>
    <w:rsid w:val="004B34EA"/>
    <w:rsid w:val="004B5494"/>
    <w:rsid w:val="004C7A2B"/>
    <w:rsid w:val="004C7D3A"/>
    <w:rsid w:val="004D5BA9"/>
    <w:rsid w:val="004D7B31"/>
    <w:rsid w:val="004E17DE"/>
    <w:rsid w:val="004E4B24"/>
    <w:rsid w:val="004E5648"/>
    <w:rsid w:val="004F0413"/>
    <w:rsid w:val="004F2D52"/>
    <w:rsid w:val="004F3D4D"/>
    <w:rsid w:val="005018A8"/>
    <w:rsid w:val="00502536"/>
    <w:rsid w:val="00505A39"/>
    <w:rsid w:val="005066B9"/>
    <w:rsid w:val="0050671C"/>
    <w:rsid w:val="005240BF"/>
    <w:rsid w:val="005277DF"/>
    <w:rsid w:val="005467A2"/>
    <w:rsid w:val="0055388A"/>
    <w:rsid w:val="0055683B"/>
    <w:rsid w:val="00556BCE"/>
    <w:rsid w:val="00561AD9"/>
    <w:rsid w:val="0056464E"/>
    <w:rsid w:val="00565ACF"/>
    <w:rsid w:val="00570AC9"/>
    <w:rsid w:val="00575E50"/>
    <w:rsid w:val="00583809"/>
    <w:rsid w:val="00583F49"/>
    <w:rsid w:val="00584ED3"/>
    <w:rsid w:val="00585390"/>
    <w:rsid w:val="00585A37"/>
    <w:rsid w:val="005939A5"/>
    <w:rsid w:val="00597058"/>
    <w:rsid w:val="005A148C"/>
    <w:rsid w:val="005A56CD"/>
    <w:rsid w:val="005B225E"/>
    <w:rsid w:val="005B2445"/>
    <w:rsid w:val="005B7437"/>
    <w:rsid w:val="005C0B2E"/>
    <w:rsid w:val="005C1731"/>
    <w:rsid w:val="005C58FA"/>
    <w:rsid w:val="005D26CB"/>
    <w:rsid w:val="005D2B42"/>
    <w:rsid w:val="005D3D3E"/>
    <w:rsid w:val="005D7747"/>
    <w:rsid w:val="005D7F64"/>
    <w:rsid w:val="005F68D3"/>
    <w:rsid w:val="00602ADA"/>
    <w:rsid w:val="00603238"/>
    <w:rsid w:val="0061379C"/>
    <w:rsid w:val="006227A1"/>
    <w:rsid w:val="00632207"/>
    <w:rsid w:val="0063491C"/>
    <w:rsid w:val="00635F20"/>
    <w:rsid w:val="00641A5C"/>
    <w:rsid w:val="00660ADE"/>
    <w:rsid w:val="00661AFE"/>
    <w:rsid w:val="00667365"/>
    <w:rsid w:val="00667943"/>
    <w:rsid w:val="006744CA"/>
    <w:rsid w:val="006769E2"/>
    <w:rsid w:val="00680F19"/>
    <w:rsid w:val="00683B2C"/>
    <w:rsid w:val="0068455A"/>
    <w:rsid w:val="006863F5"/>
    <w:rsid w:val="00686449"/>
    <w:rsid w:val="00696FC2"/>
    <w:rsid w:val="006B1E99"/>
    <w:rsid w:val="006C1F10"/>
    <w:rsid w:val="006C3632"/>
    <w:rsid w:val="006D1830"/>
    <w:rsid w:val="006D32A9"/>
    <w:rsid w:val="006E45A0"/>
    <w:rsid w:val="006E5E28"/>
    <w:rsid w:val="006E6574"/>
    <w:rsid w:val="006F45E6"/>
    <w:rsid w:val="00710A8E"/>
    <w:rsid w:val="00714CF2"/>
    <w:rsid w:val="007156B9"/>
    <w:rsid w:val="00716B11"/>
    <w:rsid w:val="00720817"/>
    <w:rsid w:val="00722850"/>
    <w:rsid w:val="0072325D"/>
    <w:rsid w:val="00732842"/>
    <w:rsid w:val="0073353F"/>
    <w:rsid w:val="00735A91"/>
    <w:rsid w:val="00742E45"/>
    <w:rsid w:val="00743967"/>
    <w:rsid w:val="007447AF"/>
    <w:rsid w:val="00750816"/>
    <w:rsid w:val="00751589"/>
    <w:rsid w:val="007519BC"/>
    <w:rsid w:val="00756EB3"/>
    <w:rsid w:val="00762168"/>
    <w:rsid w:val="007622EF"/>
    <w:rsid w:val="0076290B"/>
    <w:rsid w:val="007657C1"/>
    <w:rsid w:val="007674A8"/>
    <w:rsid w:val="0077232E"/>
    <w:rsid w:val="00774CA8"/>
    <w:rsid w:val="0077755F"/>
    <w:rsid w:val="00781246"/>
    <w:rsid w:val="00790C9C"/>
    <w:rsid w:val="00791C16"/>
    <w:rsid w:val="007A130F"/>
    <w:rsid w:val="007A3820"/>
    <w:rsid w:val="007A3A66"/>
    <w:rsid w:val="007A406D"/>
    <w:rsid w:val="007A62B0"/>
    <w:rsid w:val="007B14A6"/>
    <w:rsid w:val="007B24B9"/>
    <w:rsid w:val="007B45A0"/>
    <w:rsid w:val="007C3F5B"/>
    <w:rsid w:val="007C5A0C"/>
    <w:rsid w:val="007D775E"/>
    <w:rsid w:val="007E0FEE"/>
    <w:rsid w:val="007E37D2"/>
    <w:rsid w:val="007E4D05"/>
    <w:rsid w:val="007F2017"/>
    <w:rsid w:val="0080390E"/>
    <w:rsid w:val="00806476"/>
    <w:rsid w:val="00812A29"/>
    <w:rsid w:val="0081385D"/>
    <w:rsid w:val="00814553"/>
    <w:rsid w:val="008159CF"/>
    <w:rsid w:val="00816165"/>
    <w:rsid w:val="00816670"/>
    <w:rsid w:val="008169EB"/>
    <w:rsid w:val="00816E05"/>
    <w:rsid w:val="008211FD"/>
    <w:rsid w:val="00826989"/>
    <w:rsid w:val="00827FA2"/>
    <w:rsid w:val="00830CBC"/>
    <w:rsid w:val="00831E6A"/>
    <w:rsid w:val="0083241C"/>
    <w:rsid w:val="008339BB"/>
    <w:rsid w:val="00835953"/>
    <w:rsid w:val="00837D38"/>
    <w:rsid w:val="00841A3A"/>
    <w:rsid w:val="00841D45"/>
    <w:rsid w:val="008569D5"/>
    <w:rsid w:val="00857752"/>
    <w:rsid w:val="0086419A"/>
    <w:rsid w:val="008649D8"/>
    <w:rsid w:val="00867984"/>
    <w:rsid w:val="0087023B"/>
    <w:rsid w:val="00871602"/>
    <w:rsid w:val="00874937"/>
    <w:rsid w:val="008766FC"/>
    <w:rsid w:val="00880028"/>
    <w:rsid w:val="008802FD"/>
    <w:rsid w:val="00880416"/>
    <w:rsid w:val="00884EE6"/>
    <w:rsid w:val="00885037"/>
    <w:rsid w:val="0089356F"/>
    <w:rsid w:val="008A08BF"/>
    <w:rsid w:val="008A179F"/>
    <w:rsid w:val="008A2D58"/>
    <w:rsid w:val="008A418B"/>
    <w:rsid w:val="008A664E"/>
    <w:rsid w:val="008B0864"/>
    <w:rsid w:val="008B15EB"/>
    <w:rsid w:val="008B175A"/>
    <w:rsid w:val="008B717E"/>
    <w:rsid w:val="008C3CB7"/>
    <w:rsid w:val="008C7413"/>
    <w:rsid w:val="008D16B7"/>
    <w:rsid w:val="008D25BC"/>
    <w:rsid w:val="008D293E"/>
    <w:rsid w:val="008E0345"/>
    <w:rsid w:val="008E2DF8"/>
    <w:rsid w:val="008E6AE6"/>
    <w:rsid w:val="008F0116"/>
    <w:rsid w:val="008F143D"/>
    <w:rsid w:val="008F2D36"/>
    <w:rsid w:val="0090040C"/>
    <w:rsid w:val="00904013"/>
    <w:rsid w:val="00911FCA"/>
    <w:rsid w:val="00917040"/>
    <w:rsid w:val="00924D6C"/>
    <w:rsid w:val="009306BF"/>
    <w:rsid w:val="00931549"/>
    <w:rsid w:val="00932865"/>
    <w:rsid w:val="009352DA"/>
    <w:rsid w:val="00942471"/>
    <w:rsid w:val="0095253D"/>
    <w:rsid w:val="00962495"/>
    <w:rsid w:val="0096331D"/>
    <w:rsid w:val="00972CC1"/>
    <w:rsid w:val="0098138E"/>
    <w:rsid w:val="0098655A"/>
    <w:rsid w:val="00986AD1"/>
    <w:rsid w:val="00993CBE"/>
    <w:rsid w:val="009A23F7"/>
    <w:rsid w:val="009A3FC5"/>
    <w:rsid w:val="009A6E36"/>
    <w:rsid w:val="009B2109"/>
    <w:rsid w:val="009C1D9F"/>
    <w:rsid w:val="009C46CF"/>
    <w:rsid w:val="009C671D"/>
    <w:rsid w:val="009D3DF2"/>
    <w:rsid w:val="009D5ADF"/>
    <w:rsid w:val="009E2B1A"/>
    <w:rsid w:val="009E4477"/>
    <w:rsid w:val="009E6052"/>
    <w:rsid w:val="009E7C7F"/>
    <w:rsid w:val="009F59FC"/>
    <w:rsid w:val="009F7924"/>
    <w:rsid w:val="00A02E33"/>
    <w:rsid w:val="00A05B2E"/>
    <w:rsid w:val="00A11BC3"/>
    <w:rsid w:val="00A12B9C"/>
    <w:rsid w:val="00A17CE0"/>
    <w:rsid w:val="00A23D48"/>
    <w:rsid w:val="00A2462D"/>
    <w:rsid w:val="00A34E36"/>
    <w:rsid w:val="00A34FB0"/>
    <w:rsid w:val="00A4125E"/>
    <w:rsid w:val="00A42142"/>
    <w:rsid w:val="00A42306"/>
    <w:rsid w:val="00A44E8D"/>
    <w:rsid w:val="00A46EA8"/>
    <w:rsid w:val="00A47457"/>
    <w:rsid w:val="00A55ACD"/>
    <w:rsid w:val="00A673C0"/>
    <w:rsid w:val="00A82B85"/>
    <w:rsid w:val="00A839ED"/>
    <w:rsid w:val="00A85D27"/>
    <w:rsid w:val="00A91A8E"/>
    <w:rsid w:val="00A93DC1"/>
    <w:rsid w:val="00A941BB"/>
    <w:rsid w:val="00AA55F5"/>
    <w:rsid w:val="00AB4E0A"/>
    <w:rsid w:val="00AB7875"/>
    <w:rsid w:val="00AC10F9"/>
    <w:rsid w:val="00AC26E5"/>
    <w:rsid w:val="00AC68EE"/>
    <w:rsid w:val="00AD7CB4"/>
    <w:rsid w:val="00AE2FA6"/>
    <w:rsid w:val="00AE329C"/>
    <w:rsid w:val="00AE7E29"/>
    <w:rsid w:val="00AF68B8"/>
    <w:rsid w:val="00AF77DE"/>
    <w:rsid w:val="00B01F7E"/>
    <w:rsid w:val="00B150AA"/>
    <w:rsid w:val="00B168EE"/>
    <w:rsid w:val="00B16C2A"/>
    <w:rsid w:val="00B3087D"/>
    <w:rsid w:val="00B34794"/>
    <w:rsid w:val="00B3581B"/>
    <w:rsid w:val="00B35C0F"/>
    <w:rsid w:val="00B40723"/>
    <w:rsid w:val="00B55AC2"/>
    <w:rsid w:val="00B60421"/>
    <w:rsid w:val="00B6101F"/>
    <w:rsid w:val="00B612C5"/>
    <w:rsid w:val="00B7013B"/>
    <w:rsid w:val="00B81EB6"/>
    <w:rsid w:val="00BA2211"/>
    <w:rsid w:val="00BA570E"/>
    <w:rsid w:val="00BB0243"/>
    <w:rsid w:val="00BC1716"/>
    <w:rsid w:val="00BC2BAD"/>
    <w:rsid w:val="00BD3B72"/>
    <w:rsid w:val="00BD57CF"/>
    <w:rsid w:val="00BF4D73"/>
    <w:rsid w:val="00C05BE9"/>
    <w:rsid w:val="00C06E2D"/>
    <w:rsid w:val="00C10B5F"/>
    <w:rsid w:val="00C172E3"/>
    <w:rsid w:val="00C31266"/>
    <w:rsid w:val="00C34D26"/>
    <w:rsid w:val="00C356FB"/>
    <w:rsid w:val="00C3632D"/>
    <w:rsid w:val="00C447D2"/>
    <w:rsid w:val="00C45985"/>
    <w:rsid w:val="00C52EBE"/>
    <w:rsid w:val="00C53829"/>
    <w:rsid w:val="00C53C67"/>
    <w:rsid w:val="00C57B09"/>
    <w:rsid w:val="00C65F93"/>
    <w:rsid w:val="00C878D5"/>
    <w:rsid w:val="00C9033B"/>
    <w:rsid w:val="00C913A1"/>
    <w:rsid w:val="00C93CE8"/>
    <w:rsid w:val="00CB2133"/>
    <w:rsid w:val="00CB3F25"/>
    <w:rsid w:val="00CB71AC"/>
    <w:rsid w:val="00CC64A4"/>
    <w:rsid w:val="00CC6A99"/>
    <w:rsid w:val="00CD6E78"/>
    <w:rsid w:val="00CE53BE"/>
    <w:rsid w:val="00CE7EC3"/>
    <w:rsid w:val="00CF6448"/>
    <w:rsid w:val="00D00AA3"/>
    <w:rsid w:val="00D017CE"/>
    <w:rsid w:val="00D0504E"/>
    <w:rsid w:val="00D068F8"/>
    <w:rsid w:val="00D07F73"/>
    <w:rsid w:val="00D12661"/>
    <w:rsid w:val="00D14844"/>
    <w:rsid w:val="00D16769"/>
    <w:rsid w:val="00D2041C"/>
    <w:rsid w:val="00D217C9"/>
    <w:rsid w:val="00D221A4"/>
    <w:rsid w:val="00D2315A"/>
    <w:rsid w:val="00D25ADE"/>
    <w:rsid w:val="00D40E0E"/>
    <w:rsid w:val="00D43297"/>
    <w:rsid w:val="00D4453C"/>
    <w:rsid w:val="00D44DB6"/>
    <w:rsid w:val="00D455F1"/>
    <w:rsid w:val="00D50119"/>
    <w:rsid w:val="00D502BD"/>
    <w:rsid w:val="00D73E09"/>
    <w:rsid w:val="00D740B9"/>
    <w:rsid w:val="00D77CC9"/>
    <w:rsid w:val="00D82A43"/>
    <w:rsid w:val="00D84770"/>
    <w:rsid w:val="00D86622"/>
    <w:rsid w:val="00D87B28"/>
    <w:rsid w:val="00D92FD2"/>
    <w:rsid w:val="00D97291"/>
    <w:rsid w:val="00DA2866"/>
    <w:rsid w:val="00DA3CD9"/>
    <w:rsid w:val="00DA6F3B"/>
    <w:rsid w:val="00DA7B5D"/>
    <w:rsid w:val="00DB34C6"/>
    <w:rsid w:val="00DC593E"/>
    <w:rsid w:val="00DE227D"/>
    <w:rsid w:val="00DE3A8D"/>
    <w:rsid w:val="00DF58E7"/>
    <w:rsid w:val="00E0118B"/>
    <w:rsid w:val="00E06CDD"/>
    <w:rsid w:val="00E11876"/>
    <w:rsid w:val="00E15478"/>
    <w:rsid w:val="00E17D81"/>
    <w:rsid w:val="00E23CBB"/>
    <w:rsid w:val="00E23D1C"/>
    <w:rsid w:val="00E31D7E"/>
    <w:rsid w:val="00E37B59"/>
    <w:rsid w:val="00E41D58"/>
    <w:rsid w:val="00E47FF5"/>
    <w:rsid w:val="00E53438"/>
    <w:rsid w:val="00E54D31"/>
    <w:rsid w:val="00E577CB"/>
    <w:rsid w:val="00E63C7C"/>
    <w:rsid w:val="00E6652B"/>
    <w:rsid w:val="00E66879"/>
    <w:rsid w:val="00E725FC"/>
    <w:rsid w:val="00E7387A"/>
    <w:rsid w:val="00E821CC"/>
    <w:rsid w:val="00E846E6"/>
    <w:rsid w:val="00E87E33"/>
    <w:rsid w:val="00EA36C6"/>
    <w:rsid w:val="00EA7908"/>
    <w:rsid w:val="00EB43AA"/>
    <w:rsid w:val="00EB6C8E"/>
    <w:rsid w:val="00EC1D85"/>
    <w:rsid w:val="00EC30F9"/>
    <w:rsid w:val="00EC3D30"/>
    <w:rsid w:val="00ED5725"/>
    <w:rsid w:val="00ED7031"/>
    <w:rsid w:val="00ED7EF2"/>
    <w:rsid w:val="00EE1CE7"/>
    <w:rsid w:val="00EE2305"/>
    <w:rsid w:val="00EE3060"/>
    <w:rsid w:val="00EE4315"/>
    <w:rsid w:val="00EE5AE9"/>
    <w:rsid w:val="00EE69C7"/>
    <w:rsid w:val="00EF1883"/>
    <w:rsid w:val="00EF6925"/>
    <w:rsid w:val="00EF70CA"/>
    <w:rsid w:val="00EF75FE"/>
    <w:rsid w:val="00F04D89"/>
    <w:rsid w:val="00F1117E"/>
    <w:rsid w:val="00F11522"/>
    <w:rsid w:val="00F11E7A"/>
    <w:rsid w:val="00F12118"/>
    <w:rsid w:val="00F23A07"/>
    <w:rsid w:val="00F26ED3"/>
    <w:rsid w:val="00F33F94"/>
    <w:rsid w:val="00F340D6"/>
    <w:rsid w:val="00F51CCE"/>
    <w:rsid w:val="00F5247E"/>
    <w:rsid w:val="00F62B7A"/>
    <w:rsid w:val="00F6397D"/>
    <w:rsid w:val="00F63FFC"/>
    <w:rsid w:val="00F67869"/>
    <w:rsid w:val="00F7247A"/>
    <w:rsid w:val="00F7293E"/>
    <w:rsid w:val="00F76650"/>
    <w:rsid w:val="00F77800"/>
    <w:rsid w:val="00F80EAD"/>
    <w:rsid w:val="00F9187B"/>
    <w:rsid w:val="00F92385"/>
    <w:rsid w:val="00F966F2"/>
    <w:rsid w:val="00FA1B4F"/>
    <w:rsid w:val="00FA28F3"/>
    <w:rsid w:val="00FA4DF1"/>
    <w:rsid w:val="00FA65FD"/>
    <w:rsid w:val="00FB059E"/>
    <w:rsid w:val="00FC3BC4"/>
    <w:rsid w:val="00FC47F9"/>
    <w:rsid w:val="00FE2351"/>
    <w:rsid w:val="00FE337D"/>
    <w:rsid w:val="00FE5580"/>
    <w:rsid w:val="00FE5669"/>
    <w:rsid w:val="00FF110C"/>
    <w:rsid w:val="00FF2E6D"/>
    <w:rsid w:val="00FF6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F2741"/>
  <w15:chartTrackingRefBased/>
  <w15:docId w15:val="{2BE0CB21-616F-479A-8D84-D96B53CCE633}"/>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40"/>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40"/>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paragraph" w:styleId="Revision">
    <w:name w:val="Revision"/>
    <w:hidden/>
    <w:uiPriority w:val="99"/>
    <w:semiHidden/>
    <w:rsid w:val="007A3820"/>
    <w:pPr>
      <w:spacing w:after="0" w:line="240" w:lineRule="auto"/>
    </w:pPr>
    <w:rPr>
      <w:rFonts w:ascii="Book Antiqua" w:hAnsi="Book Antiqua"/>
      <w:sz w:val="26"/>
    </w:rPr>
  </w:style>
  <w:style w:type="character" w:styleId="CommentReference">
    <w:name w:val="annotation reference"/>
    <w:basedOn w:val="DefaultParagraphFont"/>
    <w:uiPriority w:val="99"/>
    <w:semiHidden/>
    <w:unhideWhenUsed/>
    <w:rsid w:val="007B14A6"/>
    <w:rPr>
      <w:sz w:val="16"/>
      <w:szCs w:val="16"/>
    </w:rPr>
  </w:style>
  <w:style w:type="paragraph" w:styleId="CommentText">
    <w:name w:val="annotation text"/>
    <w:basedOn w:val="Normal"/>
    <w:link w:val="CommentTextChar"/>
    <w:uiPriority w:val="99"/>
    <w:unhideWhenUsed/>
    <w:rsid w:val="007B14A6"/>
    <w:pPr>
      <w:spacing w:line="240" w:lineRule="auto"/>
    </w:pPr>
    <w:rPr>
      <w:sz w:val="20"/>
      <w:szCs w:val="20"/>
    </w:rPr>
  </w:style>
  <w:style w:type="character" w:customStyle="1" w:styleId="CommentTextChar">
    <w:name w:val="Comment Text Char"/>
    <w:basedOn w:val="DefaultParagraphFont"/>
    <w:link w:val="CommentText"/>
    <w:uiPriority w:val="99"/>
    <w:rsid w:val="007B14A6"/>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7B14A6"/>
    <w:rPr>
      <w:b/>
      <w:bCs/>
    </w:rPr>
  </w:style>
  <w:style w:type="character" w:customStyle="1" w:styleId="CommentSubjectChar">
    <w:name w:val="Comment Subject Char"/>
    <w:basedOn w:val="CommentTextChar"/>
    <w:link w:val="CommentSubject"/>
    <w:uiPriority w:val="99"/>
    <w:semiHidden/>
    <w:rsid w:val="007B14A6"/>
    <w:rPr>
      <w:rFonts w:ascii="Book Antiqua" w:hAnsi="Book Antiqua"/>
      <w:b/>
      <w:bCs/>
      <w:sz w:val="20"/>
      <w:szCs w:val="20"/>
    </w:rPr>
  </w:style>
  <w:style w:type="character" w:styleId="UnresolvedMention">
    <w:name w:val="Unresolved Mention"/>
    <w:basedOn w:val="DefaultParagraphFont"/>
    <w:uiPriority w:val="99"/>
    <w:semiHidden/>
    <w:unhideWhenUsed/>
    <w:rsid w:val="0083241C"/>
    <w:rPr>
      <w:color w:val="605E5C"/>
      <w:shd w:val="clear" w:color="auto" w:fill="E1DFDD"/>
    </w:rPr>
  </w:style>
  <w:style w:type="paragraph" w:styleId="NormalWeb">
    <w:name w:val="Normal (Web)"/>
    <w:basedOn w:val="Normal"/>
    <w:uiPriority w:val="99"/>
    <w:semiHidden/>
    <w:unhideWhenUsed/>
    <w:rsid w:val="00F11E7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lcosurcharge@cpuc.ca.go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c2bee6-72d2-4c4b-bbf2-19a975248824">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ef7e321c-44a6-4cb5-81f0-0bfd95ece253">
      <Terms xmlns="http://schemas.microsoft.com/office/infopath/2007/PartnerControls"/>
    </lcf76f155ced4ddcb4097134ff3c332f>
    <TaxCatchAll xmlns="40c2bee6-72d2-4c4b-bbf2-19a975248824" xsi:nil="true"/>
    <ContentTagLIst xmlns="ef7e321c-44a6-4cb5-81f0-0bfd95ece2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1B8BADF2214F6448E5045310EA9B796" ma:contentTypeVersion="17" ma:contentTypeDescription="Create a new document." ma:contentTypeScope="" ma:versionID="f059633148b849ba9c6542b6232e67a9">
  <xsd:schema xmlns:xsd="http://www.w3.org/2001/XMLSchema" xmlns:xs="http://www.w3.org/2001/XMLSchema" xmlns:p="http://schemas.microsoft.com/office/2006/metadata/properties" xmlns:ns2="40c2bee6-72d2-4c4b-bbf2-19a975248824" xmlns:ns3="ef7e321c-44a6-4cb5-81f0-0bfd95ece253" targetNamespace="http://schemas.microsoft.com/office/2006/metadata/properties" ma:root="true" ma:fieldsID="7e80811411858054caea8cd5d7cd81a8" ns2:_="" ns3:_="">
    <xsd:import namespace="40c2bee6-72d2-4c4b-bbf2-19a975248824"/>
    <xsd:import namespace="ef7e321c-44a6-4cb5-81f0-0bfd95ece2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Location" minOccurs="0"/>
                <xsd:element ref="ns3:ContentTagLIs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2bee6-72d2-4c4b-bbf2-19a9752488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d35960-7829-44dd-b243-a39bb7be529f}" ma:internalName="TaxCatchAll" ma:showField="CatchAllData" ma:web="40c2bee6-72d2-4c4b-bbf2-19a9752488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7e321c-44a6-4cb5-81f0-0bfd95ece2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ContentTagLIst" ma:index="23" nillable="true" ma:displayName="Content Tag" ma:format="Dropdown" ma:internalName="ContentTagLIst">
      <xsd:complexType>
        <xsd:complexContent>
          <xsd:extension base="dms:MultiChoice">
            <xsd:sequence>
              <xsd:element name="Value" maxOccurs="unbounded" minOccurs="0" nillable="true">
                <xsd:simpleType>
                  <xsd:restriction base="dms:Choice">
                    <xsd:enumeration value="ALJ Material"/>
                    <xsd:enumeration value="Support Material"/>
                    <xsd:enumeration value="Miscellaneous"/>
                  </xsd:restriction>
                </xsd:simple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40c2bee6-72d2-4c4b-bbf2-19a975248824"/>
    <ds:schemaRef ds:uri="ef7e321c-44a6-4cb5-81f0-0bfd95ece253"/>
  </ds:schemaRefs>
</ds:datastoreItem>
</file>

<file path=customXml/itemProps2.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3.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4.xml><?xml version="1.0" encoding="utf-8"?>
<ds:datastoreItem xmlns:ds="http://schemas.openxmlformats.org/officeDocument/2006/customXml" ds:itemID="{E509A696-4AC1-42AB-9197-976847DDF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2bee6-72d2-4c4b-bbf2-19a975248824"/>
    <ds:schemaRef ds:uri="ef7e321c-44a6-4cb5-81f0-0bfd95ece2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16</ap:Pages>
  <ap:Words>3230</ap:Words>
  <ap:Characters>18415</ap:Characters>
  <ap:Application>Microsoft Office Word</ap:Application>
  <ap:DocSecurity>0</ap:DocSecurity>
  <ap:Lines>153</ap:Lines>
  <ap:Paragraphs>43</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21602</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2019-07-03T22:18:00Z</cp:lastPrinted>
  <dcterms:created xsi:type="dcterms:W3CDTF">2026-10-12T13:03:59Z</dcterms:created>
  <dcterms:modified xsi:type="dcterms:W3CDTF">2026-10-12T13:03:59Z</dcterms:modified>
</cp:coreProperties>
</file>