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0E00" w:rsidR="00FC34AA" w:rsidP="00F542CC" w:rsidRDefault="00FC34AA" w14:paraId="395265A5" w14:textId="228637B6">
      <w:pPr>
        <w:spacing w:line="360" w:lineRule="auto"/>
        <w:contextualSpacing/>
        <w:rPr>
          <w:rFonts w:ascii="Times New Roman" w:hAnsi="Times New Roman" w:cs="Times New Roman"/>
          <w:sz w:val="26"/>
          <w:szCs w:val="26"/>
        </w:rPr>
      </w:pPr>
      <w:r w:rsidRPr="00B10E00">
        <w:rPr>
          <w:rFonts w:ascii="Times New Roman" w:hAnsi="Times New Roman" w:cs="Times New Roman"/>
          <w:sz w:val="26"/>
          <w:szCs w:val="26"/>
        </w:rPr>
        <w:t xml:space="preserve">Decision </w:t>
      </w:r>
      <w:r w:rsidR="005A2F78">
        <w:rPr>
          <w:rFonts w:ascii="Times New Roman" w:hAnsi="Times New Roman" w:cs="Times New Roman"/>
          <w:sz w:val="26"/>
          <w:szCs w:val="26"/>
        </w:rPr>
        <w:t>26</w:t>
      </w:r>
      <w:r w:rsidR="005819BF">
        <w:rPr>
          <w:rFonts w:ascii="Times New Roman" w:hAnsi="Times New Roman" w:cs="Times New Roman"/>
          <w:sz w:val="26"/>
          <w:szCs w:val="26"/>
        </w:rPr>
        <w:t>-</w:t>
      </w:r>
      <w:r w:rsidR="005A2F78">
        <w:rPr>
          <w:rFonts w:ascii="Times New Roman" w:hAnsi="Times New Roman" w:cs="Times New Roman"/>
          <w:sz w:val="26"/>
          <w:szCs w:val="26"/>
        </w:rPr>
        <w:t>10</w:t>
      </w:r>
      <w:r w:rsidR="005819BF">
        <w:rPr>
          <w:rFonts w:ascii="Times New Roman" w:hAnsi="Times New Roman" w:cs="Times New Roman"/>
          <w:sz w:val="26"/>
          <w:szCs w:val="26"/>
        </w:rPr>
        <w:t>-</w:t>
      </w:r>
      <w:r w:rsidR="005A2F78">
        <w:rPr>
          <w:rFonts w:ascii="Times New Roman" w:hAnsi="Times New Roman" w:cs="Times New Roman"/>
          <w:sz w:val="26"/>
          <w:szCs w:val="26"/>
        </w:rPr>
        <w:t>037</w:t>
      </w:r>
      <w:r w:rsidR="005A2F78">
        <w:rPr>
          <w:rFonts w:ascii="Times New Roman" w:hAnsi="Times New Roman" w:cs="Times New Roman"/>
          <w:sz w:val="26"/>
          <w:szCs w:val="26"/>
        </w:rPr>
        <w:tab/>
      </w:r>
      <w:r w:rsidR="005A2F78">
        <w:rPr>
          <w:rFonts w:ascii="Times New Roman" w:hAnsi="Times New Roman" w:cs="Times New Roman"/>
          <w:sz w:val="26"/>
          <w:szCs w:val="26"/>
        </w:rPr>
        <w:tab/>
        <w:t>October 8, 2026</w:t>
      </w:r>
    </w:p>
    <w:p w:rsidRPr="00B10E00" w:rsidR="00FC34AA" w:rsidP="00E736AB" w:rsidRDefault="00FC34AA" w14:paraId="28871C61" w14:textId="77777777">
      <w:pPr>
        <w:rPr>
          <w:rFonts w:ascii="Times New Roman" w:hAnsi="Times New Roman" w:cs="Times New Roman"/>
          <w:sz w:val="26"/>
          <w:szCs w:val="26"/>
        </w:rPr>
      </w:pPr>
    </w:p>
    <w:p w:rsidR="00FC34AA" w:rsidP="00E736AB" w:rsidRDefault="00FC34AA" w14:paraId="2EB99351" w14:textId="0CF6CCE9">
      <w:pPr>
        <w:pStyle w:val="BodyText"/>
        <w:spacing w:line="240" w:lineRule="auto"/>
        <w:ind w:firstLine="0"/>
        <w:jc w:val="center"/>
        <w:rPr>
          <w:smallCaps/>
          <w:szCs w:val="26"/>
        </w:rPr>
      </w:pPr>
      <w:r w:rsidRPr="00B10E00">
        <w:rPr>
          <w:smallCaps/>
          <w:szCs w:val="26"/>
        </w:rPr>
        <w:t>Before the Public Utilities Commission of the State of California</w:t>
      </w:r>
    </w:p>
    <w:p w:rsidRPr="00B10E00" w:rsidR="00C71DA2" w:rsidP="00E736AB" w:rsidRDefault="00C71DA2" w14:paraId="7D6A84C7" w14:textId="77777777">
      <w:pPr>
        <w:pStyle w:val="BodyText"/>
        <w:spacing w:line="240" w:lineRule="auto"/>
        <w:ind w:firstLine="0"/>
        <w:jc w:val="center"/>
        <w:rPr>
          <w:smallCaps/>
          <w:szCs w:val="26"/>
        </w:rPr>
      </w:pPr>
    </w:p>
    <w:p w:rsidRPr="00B10E00" w:rsidR="00F542CC" w:rsidP="00C71DA2" w:rsidRDefault="00F542CC" w14:paraId="4DED9F62" w14:textId="77777777">
      <w:pPr>
        <w:pStyle w:val="BodyText"/>
        <w:spacing w:line="240" w:lineRule="auto"/>
        <w:ind w:firstLine="0"/>
        <w:jc w:val="center"/>
        <w:rPr>
          <w:smallCaps/>
          <w:szCs w:val="26"/>
        </w:rPr>
      </w:pPr>
    </w:p>
    <w:tbl>
      <w:tblPr>
        <w:tblW w:w="0" w:type="auto"/>
        <w:tblLayout w:type="fixed"/>
        <w:tblLook w:val="0000" w:firstRow="0" w:lastRow="0" w:firstColumn="0" w:lastColumn="0" w:noHBand="0" w:noVBand="0"/>
      </w:tblPr>
      <w:tblGrid>
        <w:gridCol w:w="4770"/>
        <w:gridCol w:w="3726"/>
      </w:tblGrid>
      <w:tr w:rsidRPr="001E0481" w:rsidR="00C71DA2" w:rsidTr="00AC0C38" w14:paraId="021596A1" w14:textId="77777777">
        <w:tc>
          <w:tcPr>
            <w:tcW w:w="4770" w:type="dxa"/>
            <w:tcBorders>
              <w:bottom w:val="single" w:color="auto" w:sz="4" w:space="0"/>
              <w:right w:val="single" w:color="auto" w:sz="6" w:space="0"/>
            </w:tcBorders>
          </w:tcPr>
          <w:p w:rsidRPr="001E0481" w:rsidR="00C71DA2" w:rsidP="00894C5A" w:rsidRDefault="00C71DA2" w14:paraId="1AA3393E" w14:textId="49BF0770">
            <w:pPr>
              <w:spacing w:after="120"/>
              <w:rPr>
                <w:szCs w:val="26"/>
                <w:highlight w:val="yellow"/>
              </w:rPr>
            </w:pPr>
            <w:r w:rsidRPr="54E8C078">
              <w:rPr>
                <w:rFonts w:ascii="Times New Roman" w:hAnsi="Times New Roman" w:eastAsia="Times New Roman" w:cs="Times New Roman"/>
                <w:sz w:val="26"/>
                <w:szCs w:val="26"/>
              </w:rPr>
              <w:t>Application of Pacific Gas and Electric Company for adoption of Electric Revenue Requirements and Rates Associated with its 2026 Energy Resource Recovery Account (ERRA) and Generation Non-</w:t>
            </w:r>
            <w:proofErr w:type="spellStart"/>
            <w:r w:rsidRPr="54E8C078">
              <w:rPr>
                <w:rFonts w:ascii="Times New Roman" w:hAnsi="Times New Roman" w:eastAsia="Times New Roman" w:cs="Times New Roman"/>
                <w:sz w:val="26"/>
                <w:szCs w:val="26"/>
              </w:rPr>
              <w:t>Bypassable</w:t>
            </w:r>
            <w:proofErr w:type="spellEnd"/>
            <w:r w:rsidRPr="54E8C078">
              <w:rPr>
                <w:rFonts w:ascii="Times New Roman" w:hAnsi="Times New Roman" w:eastAsia="Times New Roman" w:cs="Times New Roman"/>
                <w:sz w:val="26"/>
                <w:szCs w:val="26"/>
              </w:rPr>
              <w:t xml:space="preserve"> Charges Forecast and Greenhouse Gas Forecast Revenue Return and Reconciliation.</w:t>
            </w:r>
          </w:p>
        </w:tc>
        <w:tc>
          <w:tcPr>
            <w:tcW w:w="3726" w:type="dxa"/>
          </w:tcPr>
          <w:p w:rsidR="00D96527" w:rsidP="00D96527" w:rsidRDefault="00D96527" w14:paraId="18AE4C7D" w14:textId="77777777">
            <w:pPr>
              <w:pStyle w:val="Body"/>
              <w:ind w:right="-158" w:hanging="43"/>
              <w:jc w:val="center"/>
              <w:rPr>
                <w:rFonts w:ascii="Times New Roman" w:hAnsi="Times New Roman" w:cs="Times New Roman"/>
                <w:sz w:val="26"/>
                <w:szCs w:val="26"/>
              </w:rPr>
            </w:pPr>
          </w:p>
          <w:p w:rsidRPr="001E0481" w:rsidR="00D96527" w:rsidP="00D96527" w:rsidRDefault="00C71DA2" w14:paraId="2C02CA3F" w14:textId="1413B265">
            <w:pPr>
              <w:pStyle w:val="Body"/>
              <w:ind w:right="-158" w:hanging="43"/>
              <w:jc w:val="center"/>
              <w:rPr>
                <w:rFonts w:ascii="Times New Roman" w:hAnsi="Times New Roman" w:cs="Times New Roman"/>
                <w:sz w:val="26"/>
                <w:szCs w:val="26"/>
                <w:highlight w:val="yellow"/>
              </w:rPr>
            </w:pPr>
            <w:r w:rsidRPr="00C71DA2">
              <w:rPr>
                <w:rFonts w:ascii="Times New Roman" w:hAnsi="Times New Roman" w:cs="Times New Roman"/>
                <w:sz w:val="26"/>
                <w:szCs w:val="26"/>
              </w:rPr>
              <w:t>Application 25-05-011</w:t>
            </w:r>
          </w:p>
        </w:tc>
      </w:tr>
      <w:tr w:rsidRPr="001E0481" w:rsidR="00C71DA2" w:rsidTr="00AC0C38" w14:paraId="565992DA" w14:textId="77777777">
        <w:trPr>
          <w:trHeight w:val="56"/>
        </w:trPr>
        <w:tc>
          <w:tcPr>
            <w:tcW w:w="4770" w:type="dxa"/>
            <w:tcBorders>
              <w:top w:val="single" w:color="auto" w:sz="4" w:space="0"/>
              <w:bottom w:val="single" w:color="auto" w:sz="4" w:space="0"/>
              <w:right w:val="single" w:color="auto" w:sz="6" w:space="0"/>
            </w:tcBorders>
          </w:tcPr>
          <w:p w:rsidRPr="001E0481" w:rsidR="00C71DA2" w:rsidP="00D96527" w:rsidRDefault="00B5371E" w14:paraId="11404A66" w14:textId="486E37DC">
            <w:pPr>
              <w:spacing w:before="120" w:after="120"/>
              <w:rPr>
                <w:szCs w:val="26"/>
                <w:highlight w:val="yellow"/>
              </w:rPr>
            </w:pPr>
            <w:r>
              <w:rPr>
                <w:rFonts w:ascii="Times New Roman" w:hAnsi="Times New Roman" w:eastAsia="Times New Roman" w:cs="Times New Roman"/>
                <w:color w:val="000000" w:themeColor="text1"/>
                <w:sz w:val="26"/>
                <w:szCs w:val="26"/>
              </w:rPr>
              <w:t>And Related Matter</w:t>
            </w:r>
            <w:r w:rsidR="00434F76">
              <w:rPr>
                <w:rFonts w:ascii="Times New Roman" w:hAnsi="Times New Roman" w:eastAsia="Times New Roman" w:cs="Times New Roman"/>
                <w:color w:val="000000" w:themeColor="text1"/>
                <w:sz w:val="26"/>
                <w:szCs w:val="26"/>
              </w:rPr>
              <w:t>s</w:t>
            </w:r>
            <w:r w:rsidR="00890944">
              <w:rPr>
                <w:rFonts w:ascii="Times New Roman" w:hAnsi="Times New Roman" w:eastAsia="Times New Roman" w:cs="Times New Roman"/>
                <w:color w:val="000000" w:themeColor="text1"/>
                <w:sz w:val="26"/>
                <w:szCs w:val="26"/>
              </w:rPr>
              <w:t>.</w:t>
            </w:r>
          </w:p>
        </w:tc>
        <w:tc>
          <w:tcPr>
            <w:tcW w:w="3726" w:type="dxa"/>
          </w:tcPr>
          <w:p w:rsidRPr="001E0481" w:rsidR="00C71DA2" w:rsidP="00D96527" w:rsidRDefault="00C71DA2" w14:paraId="6A72EF77" w14:textId="61256E2D">
            <w:pPr>
              <w:pStyle w:val="Body"/>
              <w:spacing w:before="120" w:after="120"/>
              <w:ind w:right="-158" w:hanging="43"/>
              <w:jc w:val="center"/>
              <w:rPr>
                <w:szCs w:val="26"/>
                <w:highlight w:val="yellow"/>
              </w:rPr>
            </w:pPr>
            <w:r w:rsidRPr="00C71DA2">
              <w:rPr>
                <w:rFonts w:ascii="Times New Roman" w:hAnsi="Times New Roman" w:cs="Times New Roman"/>
                <w:sz w:val="26"/>
                <w:szCs w:val="26"/>
              </w:rPr>
              <w:t>Application 25-09-015</w:t>
            </w:r>
          </w:p>
        </w:tc>
      </w:tr>
    </w:tbl>
    <w:p w:rsidRPr="005C3BC8" w:rsidR="00C71DA2" w:rsidP="00F542CC" w:rsidRDefault="00C71DA2" w14:paraId="1E96CF81" w14:textId="77777777">
      <w:pPr>
        <w:spacing w:line="360" w:lineRule="auto"/>
        <w:contextualSpacing/>
        <w:rPr>
          <w:rFonts w:ascii="Times New Roman" w:hAnsi="Times New Roman" w:cs="Times New Roman"/>
          <w:b/>
          <w:bCs/>
          <w:sz w:val="26"/>
          <w:szCs w:val="26"/>
        </w:rPr>
      </w:pPr>
    </w:p>
    <w:p w:rsidR="001E6610" w:rsidP="00DD764A" w:rsidRDefault="005A089B" w14:paraId="1A85C32D" w14:textId="3B9723F4">
      <w:pPr>
        <w:contextualSpacing/>
        <w:jc w:val="center"/>
        <w:rPr>
          <w:rFonts w:ascii="Times New Roman" w:hAnsi="Times New Roman" w:cs="Times New Roman"/>
          <w:b/>
          <w:bCs/>
          <w:color w:val="000000" w:themeColor="text1"/>
          <w:sz w:val="26"/>
          <w:szCs w:val="26"/>
          <w:u w:val="single"/>
        </w:rPr>
      </w:pPr>
      <w:r w:rsidRPr="005C3BC8">
        <w:rPr>
          <w:rFonts w:ascii="Times New Roman" w:hAnsi="Times New Roman" w:cs="Times New Roman"/>
          <w:b/>
          <w:bCs/>
          <w:sz w:val="26"/>
          <w:szCs w:val="26"/>
          <w:u w:val="single"/>
        </w:rPr>
        <w:t>ORDER</w:t>
      </w:r>
      <w:r w:rsidRPr="005C3BC8" w:rsidR="00C84746">
        <w:rPr>
          <w:rFonts w:ascii="Times New Roman" w:hAnsi="Times New Roman" w:cs="Times New Roman"/>
          <w:b/>
          <w:bCs/>
          <w:sz w:val="26"/>
          <w:szCs w:val="26"/>
          <w:u w:val="single"/>
        </w:rPr>
        <w:t xml:space="preserve"> </w:t>
      </w:r>
      <w:r w:rsidRPr="005C3BC8" w:rsidR="008A530C">
        <w:rPr>
          <w:rFonts w:ascii="Times New Roman" w:hAnsi="Times New Roman" w:cs="Times New Roman"/>
          <w:b/>
          <w:bCs/>
          <w:sz w:val="26"/>
          <w:szCs w:val="26"/>
          <w:u w:val="single"/>
        </w:rPr>
        <w:t>DENYING REHEARING OF</w:t>
      </w:r>
      <w:r w:rsidRPr="005C3BC8" w:rsidR="00C84746">
        <w:rPr>
          <w:rFonts w:ascii="Times New Roman" w:hAnsi="Times New Roman" w:cs="Times New Roman"/>
          <w:b/>
          <w:bCs/>
          <w:sz w:val="26"/>
          <w:szCs w:val="26"/>
          <w:u w:val="single"/>
        </w:rPr>
        <w:t xml:space="preserve"> </w:t>
      </w:r>
      <w:r w:rsidRPr="005C3BC8" w:rsidR="008C4400">
        <w:rPr>
          <w:rFonts w:ascii="Times New Roman" w:hAnsi="Times New Roman" w:cs="Times New Roman"/>
          <w:b/>
          <w:bCs/>
          <w:sz w:val="26"/>
          <w:szCs w:val="26"/>
          <w:u w:val="single"/>
        </w:rPr>
        <w:t xml:space="preserve">DECISION </w:t>
      </w:r>
      <w:r w:rsidRPr="00DD764A" w:rsidR="00DD764A">
        <w:rPr>
          <w:rFonts w:ascii="Times New Roman" w:hAnsi="Times New Roman" w:cs="Times New Roman"/>
          <w:b/>
          <w:bCs/>
          <w:color w:val="000000" w:themeColor="text1"/>
          <w:sz w:val="26"/>
          <w:szCs w:val="26"/>
          <w:u w:val="single"/>
        </w:rPr>
        <w:t>25-12-0</w:t>
      </w:r>
      <w:r w:rsidR="00BB533E">
        <w:rPr>
          <w:rFonts w:ascii="Times New Roman" w:hAnsi="Times New Roman" w:cs="Times New Roman"/>
          <w:b/>
          <w:bCs/>
          <w:color w:val="000000" w:themeColor="text1"/>
          <w:sz w:val="26"/>
          <w:szCs w:val="26"/>
          <w:u w:val="single"/>
        </w:rPr>
        <w:t>27</w:t>
      </w:r>
    </w:p>
    <w:p w:rsidRPr="005C3BC8" w:rsidR="00DD764A" w:rsidP="00DD764A" w:rsidRDefault="00DD764A" w14:paraId="08C91D85" w14:textId="77777777">
      <w:pPr>
        <w:contextualSpacing/>
        <w:jc w:val="center"/>
        <w:rPr>
          <w:rFonts w:ascii="Times New Roman" w:hAnsi="Times New Roman" w:cs="Times New Roman"/>
          <w:sz w:val="26"/>
          <w:szCs w:val="26"/>
        </w:rPr>
      </w:pPr>
    </w:p>
    <w:p w:rsidRPr="00B10E00" w:rsidR="005A089B" w:rsidP="005C40B5" w:rsidRDefault="005A089B" w14:paraId="6C62ACFD" w14:textId="73E4EAFC">
      <w:pPr>
        <w:pStyle w:val="Heading1"/>
        <w:rPr>
          <w:szCs w:val="26"/>
        </w:rPr>
      </w:pPr>
      <w:r w:rsidRPr="4CAF61BD">
        <w:t>INTRODUCTION</w:t>
      </w:r>
    </w:p>
    <w:p w:rsidR="30358B26" w:rsidP="4CAF61BD" w:rsidRDefault="30358B26" w14:paraId="2C304D99" w14:textId="0BA810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pPr>
      <w:r w:rsidRPr="4CAF61BD">
        <w:rPr>
          <w:rFonts w:ascii="Times New Roman" w:hAnsi="Times New Roman" w:eastAsia="Times New Roman" w:cs="Times New Roman"/>
          <w:color w:val="000000" w:themeColor="text1"/>
          <w:sz w:val="26"/>
          <w:szCs w:val="26"/>
        </w:rPr>
        <w:t>The Commission issued Decision (D.) 25-12-027 (Decision) on December 23, 2025.  (</w:t>
      </w:r>
      <w:r w:rsidRPr="43708A16">
        <w:rPr>
          <w:rFonts w:ascii="Times New Roman" w:hAnsi="Times New Roman" w:eastAsia="Times New Roman" w:cs="Times New Roman"/>
          <w:i/>
          <w:iCs/>
          <w:color w:val="000000" w:themeColor="text1"/>
          <w:sz w:val="26"/>
          <w:szCs w:val="26"/>
        </w:rPr>
        <w:t>Decision Approving Pacific Gas &amp; Electric</w:t>
      </w:r>
      <w:r w:rsidR="00533C6B">
        <w:rPr>
          <w:rFonts w:ascii="Times New Roman" w:hAnsi="Times New Roman" w:eastAsia="Times New Roman" w:cs="Times New Roman"/>
          <w:i/>
          <w:iCs/>
          <w:color w:val="000000" w:themeColor="text1"/>
          <w:sz w:val="26"/>
          <w:szCs w:val="26"/>
        </w:rPr>
        <w:t xml:space="preserve"> Company</w:t>
      </w:r>
      <w:r w:rsidRPr="43708A16">
        <w:rPr>
          <w:rFonts w:ascii="Times New Roman" w:hAnsi="Times New Roman" w:eastAsia="Times New Roman" w:cs="Times New Roman"/>
          <w:i/>
          <w:iCs/>
          <w:color w:val="000000" w:themeColor="text1"/>
          <w:sz w:val="26"/>
          <w:szCs w:val="26"/>
        </w:rPr>
        <w:t>’s</w:t>
      </w:r>
      <w:r w:rsidRPr="43708A16" w:rsidR="28560790">
        <w:rPr>
          <w:rFonts w:ascii="Times New Roman" w:hAnsi="Times New Roman" w:eastAsia="Times New Roman" w:cs="Times New Roman"/>
          <w:i/>
          <w:iCs/>
          <w:color w:val="000000" w:themeColor="text1"/>
          <w:sz w:val="26"/>
          <w:szCs w:val="26"/>
        </w:rPr>
        <w:t xml:space="preserve"> </w:t>
      </w:r>
      <w:r w:rsidRPr="43708A16">
        <w:rPr>
          <w:rFonts w:ascii="Times New Roman" w:hAnsi="Times New Roman" w:eastAsia="Times New Roman" w:cs="Times New Roman"/>
          <w:i/>
          <w:iCs/>
          <w:color w:val="000000" w:themeColor="text1"/>
          <w:sz w:val="26"/>
          <w:szCs w:val="26"/>
        </w:rPr>
        <w:t xml:space="preserve">2026 Energy Resource Recovery Account Related Forecast Revenue Requirement and 2026 Electric Sales Forecast </w:t>
      </w:r>
      <w:r w:rsidRPr="43708A16">
        <w:rPr>
          <w:rFonts w:ascii="Times New Roman" w:hAnsi="Times New Roman" w:eastAsia="Times New Roman" w:cs="Times New Roman"/>
          <w:color w:val="000000" w:themeColor="text1"/>
          <w:sz w:val="26"/>
          <w:szCs w:val="26"/>
        </w:rPr>
        <w:t>(2025) [D.25-12-027]</w:t>
      </w:r>
      <w:r w:rsidRPr="43708A16">
        <w:rPr>
          <w:rFonts w:ascii="Aptos" w:hAnsi="Aptos" w:eastAsia="Aptos" w:cs="Aptos"/>
          <w:color w:val="000000" w:themeColor="text1"/>
        </w:rPr>
        <w:t>.</w:t>
      </w:r>
      <w:r w:rsidRPr="43708A16">
        <w:rPr>
          <w:rStyle w:val="FootnoteReference"/>
          <w:rFonts w:ascii="Times New Roman" w:hAnsi="Times New Roman" w:eastAsia="Times New Roman" w:cs="Times New Roman"/>
          <w:b/>
          <w:bCs/>
          <w:color w:val="000000" w:themeColor="text1"/>
          <w:sz w:val="28"/>
          <w:szCs w:val="28"/>
          <w:u w:val="single"/>
        </w:rPr>
        <w:footnoteReference w:id="1"/>
      </w:r>
      <w:r w:rsidRPr="43708A16">
        <w:rPr>
          <w:rFonts w:ascii="Times New Roman" w:hAnsi="Times New Roman" w:eastAsia="Times New Roman" w:cs="Times New Roman"/>
          <w:color w:val="000000" w:themeColor="text1"/>
          <w:sz w:val="26"/>
          <w:szCs w:val="26"/>
        </w:rPr>
        <w:t xml:space="preserve">)  </w:t>
      </w:r>
    </w:p>
    <w:p w:rsidR="30358B26" w:rsidP="40997F2A" w:rsidRDefault="5CD6E17F" w14:paraId="23A5E046" w14:textId="7942B8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pPr>
      <w:r w:rsidRPr="2E5CEFEF">
        <w:rPr>
          <w:rFonts w:ascii="Times New Roman" w:hAnsi="Times New Roman" w:eastAsia="Times New Roman" w:cs="Times New Roman"/>
          <w:color w:val="000000" w:themeColor="text1"/>
          <w:sz w:val="26"/>
          <w:szCs w:val="26"/>
        </w:rPr>
        <w:t>Among other determinations that are not at issue in this rehearing order, the Decision adopts a 2025 Energy Resource Recovery Account (ERRA) year-end balance</w:t>
      </w:r>
      <w:r w:rsidRPr="2E5CEFEF" w:rsidR="002A0F01">
        <w:rPr>
          <w:rFonts w:ascii="Times New Roman" w:hAnsi="Times New Roman" w:eastAsia="Times New Roman" w:cs="Times New Roman"/>
          <w:color w:val="000000" w:themeColor="text1"/>
          <w:sz w:val="26"/>
          <w:szCs w:val="26"/>
        </w:rPr>
        <w:t xml:space="preserve"> for Pacific Gas and Electric Company (PG&amp;E)</w:t>
      </w:r>
      <w:r w:rsidRPr="2E5CEFEF">
        <w:rPr>
          <w:rFonts w:ascii="Times New Roman" w:hAnsi="Times New Roman" w:eastAsia="Times New Roman" w:cs="Times New Roman"/>
          <w:color w:val="000000" w:themeColor="text1"/>
          <w:sz w:val="26"/>
          <w:szCs w:val="26"/>
        </w:rPr>
        <w:t xml:space="preserve"> that incorporates the revised Resource Adequacy (RA) Market Price Benchmark (MPB) methodology previously adopted by the Commission in D.25-06-049.  (Decision, at pp. 15-17; see also </w:t>
      </w:r>
      <w:r w:rsidRPr="2E5CEFEF">
        <w:rPr>
          <w:rFonts w:ascii="Times New Roman" w:hAnsi="Times New Roman" w:eastAsia="Times New Roman" w:cs="Times New Roman"/>
          <w:i/>
          <w:iCs/>
          <w:color w:val="000000" w:themeColor="text1"/>
          <w:sz w:val="26"/>
          <w:szCs w:val="26"/>
        </w:rPr>
        <w:t>Decision Adopting Changes to the Calculation of the Resource Adequacy Market Price Benchmark</w:t>
      </w:r>
      <w:r w:rsidRPr="2E5CEFEF">
        <w:rPr>
          <w:rFonts w:ascii="Times New Roman" w:hAnsi="Times New Roman" w:eastAsia="Times New Roman" w:cs="Times New Roman"/>
          <w:color w:val="000000" w:themeColor="text1"/>
          <w:sz w:val="26"/>
          <w:szCs w:val="26"/>
        </w:rPr>
        <w:t xml:space="preserve"> (2025) [D.25-06-049], at p. 34, Conclusion of Law (COL) 10 and Ordering Paragraphs (OPs) 1 </w:t>
      </w:r>
      <w:r w:rsidRPr="2E5CEFEF">
        <w:rPr>
          <w:rFonts w:ascii="Times New Roman" w:hAnsi="Times New Roman" w:eastAsia="Times New Roman" w:cs="Times New Roman"/>
          <w:color w:val="000000" w:themeColor="text1"/>
          <w:sz w:val="26"/>
          <w:szCs w:val="26"/>
        </w:rPr>
        <w:lastRenderedPageBreak/>
        <w:t xml:space="preserve">and 2 [ordering that the revised RA MPB be applied effective immediately, including to the calculation of the final 2025 RA MPB].)  </w:t>
      </w:r>
    </w:p>
    <w:p w:rsidR="003C6C31" w:rsidP="00691479" w:rsidRDefault="0C74D54F" w14:paraId="4BD4D3CD" w14:textId="46826BA8">
      <w:pPr>
        <w:tabs>
          <w:tab w:val="left" w:pos="2240"/>
          <w:tab w:val="left" w:pos="2800"/>
          <w:tab w:val="left" w:pos="3360"/>
          <w:tab w:val="left" w:pos="3920"/>
          <w:tab w:val="left" w:pos="4480"/>
          <w:tab w:val="left" w:pos="5040"/>
          <w:tab w:val="left" w:pos="5600"/>
          <w:tab w:val="left" w:pos="6160"/>
          <w:tab w:val="left" w:pos="6720"/>
        </w:tabs>
        <w:spacing w:line="360" w:lineRule="auto"/>
        <w:ind w:firstLine="720"/>
        <w:rPr>
          <w:rFonts w:ascii="Times New Roman" w:hAnsi="Times New Roman" w:eastAsia="Times New Roman" w:cs="Times New Roman"/>
          <w:color w:val="000000" w:themeColor="text1"/>
          <w:sz w:val="26"/>
          <w:szCs w:val="26"/>
        </w:rPr>
      </w:pPr>
      <w:r w:rsidRPr="4C473D7A">
        <w:rPr>
          <w:rFonts w:ascii="Times New Roman" w:hAnsi="Times New Roman" w:eastAsia="Times New Roman" w:cs="Times New Roman"/>
          <w:color w:val="000000" w:themeColor="text1"/>
          <w:sz w:val="26"/>
          <w:szCs w:val="26"/>
        </w:rPr>
        <w:t xml:space="preserve">In addition, </w:t>
      </w:r>
      <w:r w:rsidRPr="4C473D7A" w:rsidR="57356CBC">
        <w:rPr>
          <w:rFonts w:ascii="Times New Roman" w:hAnsi="Times New Roman" w:eastAsia="Times New Roman" w:cs="Times New Roman"/>
          <w:color w:val="000000" w:themeColor="text1"/>
          <w:sz w:val="26"/>
          <w:szCs w:val="26"/>
        </w:rPr>
        <w:t>the Decision addresse</w:t>
      </w:r>
      <w:r w:rsidRPr="4C473D7A" w:rsidR="6511BA3A">
        <w:rPr>
          <w:rFonts w:ascii="Times New Roman" w:hAnsi="Times New Roman" w:eastAsia="Times New Roman" w:cs="Times New Roman"/>
          <w:color w:val="000000" w:themeColor="text1"/>
          <w:sz w:val="26"/>
          <w:szCs w:val="26"/>
        </w:rPr>
        <w:t>s</w:t>
      </w:r>
      <w:r w:rsidRPr="4C473D7A" w:rsidR="57356CBC">
        <w:rPr>
          <w:rFonts w:ascii="Times New Roman" w:hAnsi="Times New Roman" w:eastAsia="Times New Roman" w:cs="Times New Roman"/>
          <w:color w:val="000000" w:themeColor="text1"/>
          <w:sz w:val="26"/>
          <w:szCs w:val="26"/>
        </w:rPr>
        <w:t xml:space="preserve"> the valuation of </w:t>
      </w:r>
      <w:r w:rsidRPr="4C473D7A" w:rsidR="7132C39B">
        <w:rPr>
          <w:rFonts w:ascii="Times New Roman" w:hAnsi="Times New Roman" w:eastAsia="Times New Roman" w:cs="Times New Roman"/>
          <w:color w:val="000000" w:themeColor="text1"/>
          <w:sz w:val="26"/>
          <w:szCs w:val="26"/>
        </w:rPr>
        <w:t>“banked” Renewable Energy Credits (RECs)</w:t>
      </w:r>
      <w:r w:rsidRPr="4C473D7A" w:rsidR="57356CBC">
        <w:rPr>
          <w:rFonts w:ascii="Times New Roman" w:hAnsi="Times New Roman" w:eastAsia="Times New Roman" w:cs="Times New Roman"/>
          <w:color w:val="000000" w:themeColor="text1"/>
          <w:sz w:val="26"/>
          <w:szCs w:val="26"/>
        </w:rPr>
        <w:t xml:space="preserve">, which PG&amp;E anticipates using </w:t>
      </w:r>
      <w:r w:rsidRPr="4C473D7A" w:rsidR="7132C39B">
        <w:rPr>
          <w:rFonts w:ascii="Times New Roman" w:hAnsi="Times New Roman" w:eastAsia="Times New Roman" w:cs="Times New Roman"/>
          <w:color w:val="000000" w:themeColor="text1"/>
          <w:sz w:val="26"/>
          <w:szCs w:val="26"/>
        </w:rPr>
        <w:t xml:space="preserve">for compliance with its Renewable Portfolio Standard (RPS) obligations.  </w:t>
      </w:r>
      <w:r w:rsidRPr="4C473D7A" w:rsidR="59E9BA05">
        <w:rPr>
          <w:rFonts w:ascii="Times New Roman" w:hAnsi="Times New Roman" w:eastAsia="Times New Roman" w:cs="Times New Roman"/>
          <w:color w:val="000000" w:themeColor="text1"/>
          <w:sz w:val="26"/>
          <w:szCs w:val="26"/>
        </w:rPr>
        <w:t xml:space="preserve">(Decision, at p. 26.)  </w:t>
      </w:r>
      <w:r w:rsidRPr="4C473D7A" w:rsidR="5904947C">
        <w:rPr>
          <w:rFonts w:ascii="Times New Roman" w:hAnsi="Times New Roman" w:eastAsia="Times New Roman" w:cs="Times New Roman"/>
          <w:color w:val="000000" w:themeColor="text1"/>
          <w:sz w:val="26"/>
          <w:szCs w:val="26"/>
        </w:rPr>
        <w:t xml:space="preserve">PG&amp;E </w:t>
      </w:r>
      <w:r w:rsidRPr="4C473D7A" w:rsidR="55E3F86C">
        <w:rPr>
          <w:rFonts w:ascii="Times New Roman" w:hAnsi="Times New Roman" w:eastAsia="Times New Roman" w:cs="Times New Roman"/>
          <w:color w:val="000000" w:themeColor="text1"/>
          <w:sz w:val="26"/>
          <w:szCs w:val="26"/>
        </w:rPr>
        <w:t xml:space="preserve">expects </w:t>
      </w:r>
      <w:r w:rsidRPr="4C473D7A" w:rsidR="5904947C">
        <w:rPr>
          <w:rFonts w:ascii="Times New Roman" w:hAnsi="Times New Roman" w:eastAsia="Times New Roman" w:cs="Times New Roman"/>
          <w:color w:val="000000" w:themeColor="text1"/>
          <w:sz w:val="26"/>
          <w:szCs w:val="26"/>
        </w:rPr>
        <w:t xml:space="preserve">to use RECs that were banked </w:t>
      </w:r>
      <w:r w:rsidRPr="4C473D7A" w:rsidR="07F54259">
        <w:rPr>
          <w:rFonts w:ascii="Times New Roman" w:hAnsi="Times New Roman" w:eastAsia="Times New Roman" w:cs="Times New Roman"/>
          <w:color w:val="000000" w:themeColor="text1"/>
          <w:sz w:val="26"/>
          <w:szCs w:val="26"/>
        </w:rPr>
        <w:t xml:space="preserve">prior to 2019.  This date is significant as the Commission modified its treatment of </w:t>
      </w:r>
      <w:r w:rsidRPr="4C473D7A" w:rsidR="57356CBC">
        <w:rPr>
          <w:rFonts w:ascii="Times New Roman" w:hAnsi="Times New Roman" w:eastAsia="Times New Roman" w:cs="Times New Roman"/>
          <w:color w:val="000000" w:themeColor="text1"/>
          <w:sz w:val="26"/>
          <w:szCs w:val="26"/>
        </w:rPr>
        <w:t xml:space="preserve">valuing </w:t>
      </w:r>
      <w:r w:rsidRPr="4C473D7A" w:rsidR="07F54259">
        <w:rPr>
          <w:rFonts w:ascii="Times New Roman" w:hAnsi="Times New Roman" w:eastAsia="Times New Roman" w:cs="Times New Roman"/>
          <w:color w:val="000000" w:themeColor="text1"/>
          <w:sz w:val="26"/>
          <w:szCs w:val="26"/>
        </w:rPr>
        <w:t xml:space="preserve">banked RECs in 2019, so that the valuation methodology for RECs </w:t>
      </w:r>
      <w:r w:rsidRPr="4C473D7A" w:rsidR="0EA62162">
        <w:rPr>
          <w:rFonts w:ascii="Times New Roman" w:hAnsi="Times New Roman" w:eastAsia="Times New Roman" w:cs="Times New Roman"/>
          <w:color w:val="000000" w:themeColor="text1"/>
          <w:sz w:val="26"/>
          <w:szCs w:val="26"/>
        </w:rPr>
        <w:t xml:space="preserve">banked </w:t>
      </w:r>
      <w:r w:rsidRPr="4C473D7A" w:rsidR="07F54259">
        <w:rPr>
          <w:rFonts w:ascii="Times New Roman" w:hAnsi="Times New Roman" w:eastAsia="Times New Roman" w:cs="Times New Roman"/>
          <w:color w:val="000000" w:themeColor="text1"/>
          <w:sz w:val="26"/>
          <w:szCs w:val="26"/>
        </w:rPr>
        <w:t>beginning January 1, 2019</w:t>
      </w:r>
      <w:r w:rsidRPr="4C473D7A" w:rsidR="771D71CB">
        <w:rPr>
          <w:rFonts w:ascii="Times New Roman" w:hAnsi="Times New Roman" w:eastAsia="Times New Roman" w:cs="Times New Roman"/>
          <w:color w:val="000000" w:themeColor="text1"/>
          <w:sz w:val="26"/>
          <w:szCs w:val="26"/>
        </w:rPr>
        <w:t>, is different than</w:t>
      </w:r>
      <w:r w:rsidRPr="4C473D7A" w:rsidR="12E696C0">
        <w:rPr>
          <w:rFonts w:ascii="Times New Roman" w:hAnsi="Times New Roman" w:eastAsia="Times New Roman" w:cs="Times New Roman"/>
          <w:color w:val="000000" w:themeColor="text1"/>
          <w:sz w:val="26"/>
          <w:szCs w:val="26"/>
        </w:rPr>
        <w:t xml:space="preserve"> the methodology for</w:t>
      </w:r>
      <w:r w:rsidRPr="4C473D7A" w:rsidR="771D71CB">
        <w:rPr>
          <w:rFonts w:ascii="Times New Roman" w:hAnsi="Times New Roman" w:eastAsia="Times New Roman" w:cs="Times New Roman"/>
          <w:color w:val="000000" w:themeColor="text1"/>
          <w:sz w:val="26"/>
          <w:szCs w:val="26"/>
        </w:rPr>
        <w:t xml:space="preserve"> RECs </w:t>
      </w:r>
      <w:r w:rsidRPr="4C473D7A" w:rsidR="0CC91235">
        <w:rPr>
          <w:rFonts w:ascii="Times New Roman" w:hAnsi="Times New Roman" w:eastAsia="Times New Roman" w:cs="Times New Roman"/>
          <w:color w:val="000000" w:themeColor="text1"/>
          <w:sz w:val="26"/>
          <w:szCs w:val="26"/>
        </w:rPr>
        <w:t xml:space="preserve">banked </w:t>
      </w:r>
      <w:r w:rsidRPr="4C473D7A" w:rsidR="771D71CB">
        <w:rPr>
          <w:rFonts w:ascii="Times New Roman" w:hAnsi="Times New Roman" w:eastAsia="Times New Roman" w:cs="Times New Roman"/>
          <w:color w:val="000000" w:themeColor="text1"/>
          <w:sz w:val="26"/>
          <w:szCs w:val="26"/>
        </w:rPr>
        <w:t>earlier than January 1, 2019.</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Id</w:t>
      </w:r>
      <w:r w:rsidRPr="4C473D7A" w:rsidR="577C17C2">
        <w:rPr>
          <w:rFonts w:ascii="Times New Roman" w:hAnsi="Times New Roman" w:eastAsia="Times New Roman" w:cs="Times New Roman"/>
          <w:color w:val="000000" w:themeColor="text1"/>
          <w:sz w:val="26"/>
          <w:szCs w:val="26"/>
        </w:rPr>
        <w:t xml:space="preserve">. at pp. 27, 30, citing </w:t>
      </w:r>
      <w:r w:rsidRPr="4C473D7A" w:rsidR="577C17C2">
        <w:rPr>
          <w:rFonts w:ascii="Times New Roman" w:hAnsi="Times New Roman" w:eastAsia="Times New Roman" w:cs="Times New Roman"/>
          <w:i/>
          <w:iCs/>
          <w:color w:val="000000" w:themeColor="text1"/>
          <w:sz w:val="26"/>
          <w:szCs w:val="26"/>
        </w:rPr>
        <w:t>Decision</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Refining</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the</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Method</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to</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Develop</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and</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True</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up</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Market</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Price</w:t>
      </w:r>
      <w:r w:rsidRPr="4C473D7A" w:rsidR="577C17C2">
        <w:rPr>
          <w:rFonts w:ascii="Times New Roman" w:hAnsi="Times New Roman" w:eastAsia="Times New Roman" w:cs="Times New Roman"/>
          <w:color w:val="000000" w:themeColor="text1"/>
          <w:sz w:val="26"/>
          <w:szCs w:val="26"/>
        </w:rPr>
        <w:t xml:space="preserve"> </w:t>
      </w:r>
      <w:r w:rsidRPr="4C473D7A" w:rsidR="577C17C2">
        <w:rPr>
          <w:rFonts w:ascii="Times New Roman" w:hAnsi="Times New Roman" w:eastAsia="Times New Roman" w:cs="Times New Roman"/>
          <w:i/>
          <w:iCs/>
          <w:color w:val="000000" w:themeColor="text1"/>
          <w:sz w:val="26"/>
          <w:szCs w:val="26"/>
        </w:rPr>
        <w:t>Benchmarks</w:t>
      </w:r>
      <w:r w:rsidRPr="4C473D7A" w:rsidR="577C17C2">
        <w:rPr>
          <w:rFonts w:ascii="Times New Roman" w:hAnsi="Times New Roman" w:eastAsia="Times New Roman" w:cs="Times New Roman"/>
          <w:color w:val="000000" w:themeColor="text1"/>
          <w:sz w:val="26"/>
          <w:szCs w:val="26"/>
        </w:rPr>
        <w:t xml:space="preserve"> (2019) [D.19-10-001].)</w:t>
      </w:r>
    </w:p>
    <w:p w:rsidR="30358B26" w:rsidP="40997F2A" w:rsidRDefault="44D6EB34" w14:paraId="62A67F53" w14:textId="6B2A2B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pPr>
      <w:proofErr w:type="gramStart"/>
      <w:r w:rsidRPr="2E5CEFEF">
        <w:rPr>
          <w:rFonts w:ascii="Times New Roman" w:hAnsi="Times New Roman" w:eastAsia="Times New Roman" w:cs="Times New Roman"/>
          <w:color w:val="000000" w:themeColor="text1"/>
          <w:sz w:val="26"/>
          <w:szCs w:val="26"/>
        </w:rPr>
        <w:t>During the course of</w:t>
      </w:r>
      <w:proofErr w:type="gramEnd"/>
      <w:r w:rsidRPr="2E5CEFEF">
        <w:rPr>
          <w:rFonts w:ascii="Times New Roman" w:hAnsi="Times New Roman" w:eastAsia="Times New Roman" w:cs="Times New Roman"/>
          <w:color w:val="000000" w:themeColor="text1"/>
          <w:sz w:val="26"/>
          <w:szCs w:val="26"/>
        </w:rPr>
        <w:t xml:space="preserve"> the proceeding, the Commission</w:t>
      </w:r>
      <w:r w:rsidRPr="2E5CEFEF" w:rsidR="09D34EDC">
        <w:rPr>
          <w:rFonts w:ascii="Times New Roman" w:hAnsi="Times New Roman" w:eastAsia="Times New Roman" w:cs="Times New Roman"/>
          <w:color w:val="000000" w:themeColor="text1"/>
          <w:sz w:val="26"/>
          <w:szCs w:val="26"/>
        </w:rPr>
        <w:t xml:space="preserve"> was presented with two party proposals for valuing the pre-2019 banked RECs that PG&amp;E expects to use for RPS compliance: </w:t>
      </w:r>
    </w:p>
    <w:p w:rsidR="30358B26" w:rsidP="00076279" w:rsidRDefault="67A76750" w14:paraId="0B363E76" w14:textId="3DF9273D">
      <w:pPr>
        <w:pStyle w:val="ListParagraph"/>
        <w:numPr>
          <w:ilvl w:val="0"/>
          <w:numId w:val="1"/>
        </w:numPr>
        <w:spacing w:after="120"/>
        <w:ind w:left="1440" w:right="720" w:hanging="720"/>
        <w:contextualSpacing w:val="0"/>
        <w:rPr>
          <w:rFonts w:ascii="Times New Roman" w:hAnsi="Times New Roman" w:eastAsia="Times New Roman" w:cs="Times New Roman"/>
          <w:color w:val="000000" w:themeColor="text1"/>
          <w:sz w:val="26"/>
          <w:szCs w:val="26"/>
        </w:rPr>
      </w:pPr>
      <w:r w:rsidRPr="4C473D7A">
        <w:rPr>
          <w:rFonts w:ascii="Times New Roman" w:hAnsi="Times New Roman" w:eastAsia="Times New Roman" w:cs="Times New Roman"/>
          <w:color w:val="000000" w:themeColor="text1"/>
          <w:sz w:val="26"/>
          <w:szCs w:val="26"/>
        </w:rPr>
        <w:t xml:space="preserve">PG&amp;E’s proposal to value pre-2019 banked RECs at zero dollars, with </w:t>
      </w:r>
      <w:proofErr w:type="gramStart"/>
      <w:r w:rsidRPr="4C473D7A">
        <w:rPr>
          <w:rFonts w:ascii="Times New Roman" w:hAnsi="Times New Roman" w:eastAsia="Times New Roman" w:cs="Times New Roman"/>
          <w:color w:val="000000" w:themeColor="text1"/>
          <w:sz w:val="26"/>
          <w:szCs w:val="26"/>
        </w:rPr>
        <w:t xml:space="preserve">the end </w:t>
      </w:r>
      <w:r w:rsidRPr="4C473D7A" w:rsidR="5B1DED42">
        <w:rPr>
          <w:rFonts w:ascii="Times New Roman" w:hAnsi="Times New Roman" w:eastAsia="Times New Roman" w:cs="Times New Roman"/>
          <w:color w:val="000000" w:themeColor="text1"/>
          <w:sz w:val="26"/>
          <w:szCs w:val="26"/>
        </w:rPr>
        <w:t>resul</w:t>
      </w:r>
      <w:r w:rsidRPr="4C473D7A">
        <w:rPr>
          <w:rFonts w:ascii="Times New Roman" w:hAnsi="Times New Roman" w:eastAsia="Times New Roman" w:cs="Times New Roman"/>
          <w:color w:val="000000" w:themeColor="text1"/>
          <w:sz w:val="26"/>
          <w:szCs w:val="26"/>
        </w:rPr>
        <w:t>t</w:t>
      </w:r>
      <w:proofErr w:type="gramEnd"/>
      <w:r w:rsidRPr="4C473D7A">
        <w:rPr>
          <w:rFonts w:ascii="Times New Roman" w:hAnsi="Times New Roman" w:eastAsia="Times New Roman" w:cs="Times New Roman"/>
          <w:color w:val="000000" w:themeColor="text1"/>
          <w:sz w:val="26"/>
          <w:szCs w:val="26"/>
        </w:rPr>
        <w:t xml:space="preserve"> being that bundled customer</w:t>
      </w:r>
      <w:r w:rsidRPr="4C473D7A" w:rsidR="16C7AD61">
        <w:rPr>
          <w:rFonts w:ascii="Times New Roman" w:hAnsi="Times New Roman" w:eastAsia="Times New Roman" w:cs="Times New Roman"/>
          <w:color w:val="000000" w:themeColor="text1"/>
          <w:sz w:val="26"/>
          <w:szCs w:val="26"/>
        </w:rPr>
        <w:t xml:space="preserve">s do not pay any additional credit to </w:t>
      </w:r>
      <w:r w:rsidRPr="4C473D7A" w:rsidR="57356CBC">
        <w:rPr>
          <w:rFonts w:ascii="Times New Roman" w:hAnsi="Times New Roman" w:eastAsia="Times New Roman" w:cs="Times New Roman"/>
          <w:color w:val="000000" w:themeColor="text1"/>
          <w:sz w:val="26"/>
          <w:szCs w:val="26"/>
        </w:rPr>
        <w:t>community choice aggregator (</w:t>
      </w:r>
      <w:r w:rsidRPr="4C473D7A" w:rsidR="16C7AD61">
        <w:rPr>
          <w:rFonts w:ascii="Times New Roman" w:hAnsi="Times New Roman" w:eastAsia="Times New Roman" w:cs="Times New Roman"/>
          <w:color w:val="000000" w:themeColor="text1"/>
          <w:sz w:val="26"/>
          <w:szCs w:val="26"/>
        </w:rPr>
        <w:t>CCA</w:t>
      </w:r>
      <w:r w:rsidRPr="4C473D7A" w:rsidR="57356CBC">
        <w:rPr>
          <w:rFonts w:ascii="Times New Roman" w:hAnsi="Times New Roman" w:eastAsia="Times New Roman" w:cs="Times New Roman"/>
          <w:color w:val="000000" w:themeColor="text1"/>
          <w:sz w:val="26"/>
          <w:szCs w:val="26"/>
        </w:rPr>
        <w:t>)</w:t>
      </w:r>
      <w:r w:rsidRPr="4C473D7A" w:rsidR="16C7AD61">
        <w:rPr>
          <w:rFonts w:ascii="Times New Roman" w:hAnsi="Times New Roman" w:eastAsia="Times New Roman" w:cs="Times New Roman"/>
          <w:color w:val="000000" w:themeColor="text1"/>
          <w:sz w:val="26"/>
          <w:szCs w:val="26"/>
        </w:rPr>
        <w:t xml:space="preserve"> customers</w:t>
      </w:r>
      <w:r w:rsidRPr="4C473D7A" w:rsidR="51A3DD65">
        <w:rPr>
          <w:rFonts w:ascii="Times New Roman" w:hAnsi="Times New Roman" w:eastAsia="Times New Roman" w:cs="Times New Roman"/>
          <w:color w:val="000000" w:themeColor="text1"/>
          <w:sz w:val="26"/>
          <w:szCs w:val="26"/>
        </w:rPr>
        <w:t>, and</w:t>
      </w:r>
      <w:r w:rsidRPr="4C473D7A" w:rsidR="577C17C2">
        <w:rPr>
          <w:rFonts w:ascii="Times New Roman" w:hAnsi="Times New Roman" w:eastAsia="Times New Roman" w:cs="Times New Roman"/>
          <w:color w:val="000000" w:themeColor="text1"/>
          <w:sz w:val="26"/>
          <w:szCs w:val="26"/>
        </w:rPr>
        <w:t>;</w:t>
      </w:r>
    </w:p>
    <w:p w:rsidR="30358B26" w:rsidP="00076279" w:rsidRDefault="57356CBC" w14:paraId="620D6875" w14:textId="13008123">
      <w:pPr>
        <w:pStyle w:val="ListParagraph"/>
        <w:numPr>
          <w:ilvl w:val="0"/>
          <w:numId w:val="1"/>
        </w:numPr>
        <w:spacing w:after="120"/>
        <w:ind w:left="1440" w:right="720" w:hanging="720"/>
        <w:contextualSpacing w:val="0"/>
      </w:pPr>
      <w:r>
        <w:rPr>
          <w:rFonts w:ascii="Times New Roman" w:hAnsi="Times New Roman" w:eastAsia="Times New Roman" w:cs="Times New Roman"/>
          <w:color w:val="000000" w:themeColor="text1"/>
          <w:sz w:val="26"/>
          <w:szCs w:val="26"/>
        </w:rPr>
        <w:t>The California Community Choice Association’s (</w:t>
      </w:r>
      <w:r w:rsidRPr="40997F2A" w:rsidR="39750191">
        <w:rPr>
          <w:rFonts w:ascii="Times New Roman" w:hAnsi="Times New Roman" w:eastAsia="Times New Roman" w:cs="Times New Roman"/>
          <w:color w:val="000000" w:themeColor="text1"/>
          <w:sz w:val="26"/>
          <w:szCs w:val="26"/>
        </w:rPr>
        <w:t>CalCCA’s</w:t>
      </w:r>
      <w:r>
        <w:rPr>
          <w:rFonts w:ascii="Times New Roman" w:hAnsi="Times New Roman" w:eastAsia="Times New Roman" w:cs="Times New Roman"/>
          <w:color w:val="000000" w:themeColor="text1"/>
          <w:sz w:val="26"/>
          <w:szCs w:val="26"/>
        </w:rPr>
        <w:t>)</w:t>
      </w:r>
      <w:r w:rsidRPr="40997F2A" w:rsidR="39750191">
        <w:rPr>
          <w:rFonts w:ascii="Times New Roman" w:hAnsi="Times New Roman" w:eastAsia="Times New Roman" w:cs="Times New Roman"/>
          <w:color w:val="000000" w:themeColor="text1"/>
          <w:sz w:val="26"/>
          <w:szCs w:val="26"/>
        </w:rPr>
        <w:t xml:space="preserve"> proposal to value pre-2019 banked RECs at the RPS </w:t>
      </w:r>
      <w:r w:rsidRPr="4F02113D" w:rsidR="39750191">
        <w:rPr>
          <w:rFonts w:ascii="Times New Roman" w:hAnsi="Times New Roman" w:eastAsia="Times New Roman" w:cs="Times New Roman"/>
          <w:color w:val="000000" w:themeColor="text1"/>
          <w:sz w:val="26"/>
          <w:szCs w:val="26"/>
        </w:rPr>
        <w:t>Adder,</w:t>
      </w:r>
      <w:r w:rsidRPr="00076279" w:rsidR="30358B26">
        <w:rPr>
          <w:rStyle w:val="FootnoteReference"/>
          <w:rFonts w:ascii="Times New Roman" w:hAnsi="Times New Roman" w:eastAsia="Times New Roman" w:cs="Times New Roman"/>
          <w:b/>
          <w:bCs/>
          <w:color w:val="000000" w:themeColor="text1"/>
          <w:sz w:val="26"/>
          <w:szCs w:val="26"/>
          <w:u w:val="single"/>
        </w:rPr>
        <w:footnoteReference w:id="2"/>
      </w:r>
      <w:r w:rsidRPr="40997F2A" w:rsidR="39750191">
        <w:rPr>
          <w:rFonts w:ascii="Times New Roman" w:hAnsi="Times New Roman" w:eastAsia="Times New Roman" w:cs="Times New Roman"/>
          <w:color w:val="000000" w:themeColor="text1"/>
          <w:sz w:val="26"/>
          <w:szCs w:val="26"/>
        </w:rPr>
        <w:t xml:space="preserve"> with the end effect being that bundled customers would pay an additional credit to the specific vintage of CCA customers w</w:t>
      </w:r>
      <w:r w:rsidRPr="40997F2A" w:rsidR="5A961B1E">
        <w:rPr>
          <w:rFonts w:ascii="Times New Roman" w:hAnsi="Times New Roman" w:eastAsia="Times New Roman" w:cs="Times New Roman"/>
          <w:color w:val="000000" w:themeColor="text1"/>
          <w:sz w:val="26"/>
          <w:szCs w:val="26"/>
        </w:rPr>
        <w:t xml:space="preserve">ho were bundled at the time of the </w:t>
      </w:r>
      <w:proofErr w:type="spellStart"/>
      <w:r w:rsidRPr="4C473D7A" w:rsidR="5A961B1E">
        <w:rPr>
          <w:rFonts w:ascii="Times New Roman" w:hAnsi="Times New Roman" w:eastAsia="Times New Roman" w:cs="Times New Roman"/>
          <w:color w:val="000000" w:themeColor="text1"/>
          <w:sz w:val="26"/>
          <w:szCs w:val="26"/>
        </w:rPr>
        <w:t>RECs</w:t>
      </w:r>
      <w:r w:rsidRPr="7916F8C6" w:rsidR="52E5CB6B">
        <w:rPr>
          <w:rFonts w:ascii="Times New Roman" w:hAnsi="Times New Roman" w:eastAsia="Times New Roman" w:cs="Times New Roman"/>
          <w:color w:val="000000" w:themeColor="text1"/>
          <w:sz w:val="26"/>
          <w:szCs w:val="26"/>
        </w:rPr>
        <w:t>’</w:t>
      </w:r>
      <w:proofErr w:type="spellEnd"/>
      <w:r w:rsidRPr="7916F8C6" w:rsidR="5A961B1E">
        <w:rPr>
          <w:rFonts w:ascii="Times New Roman" w:hAnsi="Times New Roman" w:eastAsia="Times New Roman" w:cs="Times New Roman"/>
          <w:color w:val="000000" w:themeColor="text1"/>
          <w:sz w:val="26"/>
          <w:szCs w:val="26"/>
        </w:rPr>
        <w:t xml:space="preserve"> procurement but have since departed bundled service.</w:t>
      </w:r>
      <w:r w:rsidRPr="7916F8C6" w:rsidR="39750191">
        <w:rPr>
          <w:rFonts w:ascii="Times New Roman" w:hAnsi="Times New Roman" w:eastAsia="Times New Roman" w:cs="Times New Roman"/>
          <w:color w:val="000000" w:themeColor="text1"/>
          <w:sz w:val="26"/>
          <w:szCs w:val="26"/>
        </w:rPr>
        <w:t xml:space="preserve"> </w:t>
      </w:r>
    </w:p>
    <w:p w:rsidR="003604D1" w:rsidP="43708A16" w:rsidRDefault="71ECAD34" w14:paraId="48685C00" w14:textId="0CFAD7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pPr>
      <w:r w:rsidRPr="4C473D7A">
        <w:rPr>
          <w:rFonts w:ascii="Times New Roman" w:hAnsi="Times New Roman" w:eastAsia="Times New Roman" w:cs="Times New Roman"/>
          <w:color w:val="000000" w:themeColor="text1"/>
          <w:sz w:val="26"/>
          <w:szCs w:val="26"/>
        </w:rPr>
        <w:t>The Decision approve</w:t>
      </w:r>
      <w:r w:rsidRPr="4C473D7A" w:rsidR="1CD81CFD">
        <w:rPr>
          <w:rFonts w:ascii="Times New Roman" w:hAnsi="Times New Roman" w:eastAsia="Times New Roman" w:cs="Times New Roman"/>
          <w:color w:val="000000" w:themeColor="text1"/>
          <w:sz w:val="26"/>
          <w:szCs w:val="26"/>
        </w:rPr>
        <w:t>d</w:t>
      </w:r>
      <w:r w:rsidRPr="4C473D7A" w:rsidR="0C74D54F">
        <w:rPr>
          <w:rFonts w:ascii="Times New Roman" w:hAnsi="Times New Roman" w:eastAsia="Times New Roman" w:cs="Times New Roman"/>
          <w:color w:val="000000" w:themeColor="text1"/>
          <w:sz w:val="26"/>
          <w:szCs w:val="26"/>
        </w:rPr>
        <w:t xml:space="preserve"> PG&amp;E’s proposal to value pre-2019 banked RECs</w:t>
      </w:r>
      <w:r w:rsidRPr="4C473D7A" w:rsidR="656BA492">
        <w:rPr>
          <w:rFonts w:ascii="Times New Roman" w:hAnsi="Times New Roman" w:eastAsia="Times New Roman" w:cs="Times New Roman"/>
          <w:color w:val="000000" w:themeColor="text1"/>
          <w:sz w:val="26"/>
          <w:szCs w:val="26"/>
        </w:rPr>
        <w:t xml:space="preserve"> at zero dollars</w:t>
      </w:r>
      <w:r w:rsidRPr="4C473D7A" w:rsidR="1CD81CFD">
        <w:rPr>
          <w:rFonts w:ascii="Times New Roman" w:hAnsi="Times New Roman" w:eastAsia="Times New Roman" w:cs="Times New Roman"/>
          <w:color w:val="000000" w:themeColor="text1"/>
          <w:sz w:val="26"/>
          <w:szCs w:val="26"/>
        </w:rPr>
        <w:t xml:space="preserve"> on an interim basis pending a more comprehensive decision on the use of </w:t>
      </w:r>
      <w:r w:rsidRPr="4C473D7A" w:rsidR="104FB2C3">
        <w:rPr>
          <w:rFonts w:ascii="Times New Roman" w:hAnsi="Times New Roman" w:eastAsia="Times New Roman" w:cs="Times New Roman"/>
          <w:color w:val="000000" w:themeColor="text1"/>
          <w:sz w:val="26"/>
          <w:szCs w:val="26"/>
        </w:rPr>
        <w:t xml:space="preserve">pre-2019 </w:t>
      </w:r>
      <w:r w:rsidRPr="4C473D7A" w:rsidR="1CD81CFD">
        <w:rPr>
          <w:rFonts w:ascii="Times New Roman" w:hAnsi="Times New Roman" w:eastAsia="Times New Roman" w:cs="Times New Roman"/>
          <w:color w:val="000000" w:themeColor="text1"/>
          <w:sz w:val="26"/>
          <w:szCs w:val="26"/>
        </w:rPr>
        <w:t xml:space="preserve">banked RECs in the ERRA Rulemaking, </w:t>
      </w:r>
      <w:r w:rsidRPr="4C473D7A" w:rsidR="1CD81CFD">
        <w:rPr>
          <w:rFonts w:ascii="Times New Roman" w:hAnsi="Times New Roman" w:cs="Times New Roman"/>
          <w:color w:val="000000" w:themeColor="text1"/>
          <w:sz w:val="26"/>
          <w:szCs w:val="26"/>
        </w:rPr>
        <w:t>Rulemaking (R.) 25-02-005</w:t>
      </w:r>
      <w:r w:rsidRPr="4C473D7A" w:rsidR="656BA492">
        <w:rPr>
          <w:rFonts w:ascii="Times New Roman" w:hAnsi="Times New Roman" w:eastAsia="Times New Roman" w:cs="Times New Roman"/>
          <w:color w:val="000000" w:themeColor="text1"/>
          <w:sz w:val="26"/>
          <w:szCs w:val="26"/>
        </w:rPr>
        <w:t>.</w:t>
      </w:r>
      <w:r w:rsidRPr="4C473D7A" w:rsidR="0872A487">
        <w:rPr>
          <w:rFonts w:ascii="Times New Roman" w:hAnsi="Times New Roman" w:eastAsia="Times New Roman" w:cs="Times New Roman"/>
          <w:color w:val="000000" w:themeColor="text1"/>
          <w:sz w:val="26"/>
          <w:szCs w:val="26"/>
        </w:rPr>
        <w:t xml:space="preserve">  </w:t>
      </w:r>
    </w:p>
    <w:p w:rsidR="003604D1" w:rsidP="43708A16" w:rsidRDefault="30358B26" w14:paraId="7CCE463D" w14:textId="1D81E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rPr>
          <w:rFonts w:ascii="Times New Roman" w:hAnsi="Times New Roman" w:eastAsia="Times New Roman" w:cs="Times New Roman"/>
          <w:color w:val="000000" w:themeColor="text1"/>
          <w:sz w:val="26"/>
          <w:szCs w:val="26"/>
        </w:rPr>
      </w:pPr>
      <w:r w:rsidRPr="4C473D7A">
        <w:rPr>
          <w:rFonts w:ascii="Times New Roman" w:hAnsi="Times New Roman" w:eastAsia="Times New Roman" w:cs="Times New Roman"/>
          <w:color w:val="000000" w:themeColor="text1"/>
          <w:sz w:val="26"/>
          <w:szCs w:val="26"/>
        </w:rPr>
        <w:lastRenderedPageBreak/>
        <w:t>CalCCA filed a timely application for rehearing of the Decision on January 12, 2026.  (</w:t>
      </w:r>
      <w:r w:rsidRPr="4C473D7A">
        <w:rPr>
          <w:rFonts w:ascii="Times New Roman" w:hAnsi="Times New Roman" w:eastAsia="Times New Roman" w:cs="Times New Roman"/>
          <w:i/>
          <w:iCs/>
          <w:sz w:val="26"/>
          <w:szCs w:val="26"/>
        </w:rPr>
        <w:t>CalCCA’s Application for Rehearing of Decision Approving PG&amp;E’s 2026 ERRA-Related Revenue Requirement Forecast</w:t>
      </w:r>
      <w:r w:rsidRPr="4C473D7A">
        <w:rPr>
          <w:rFonts w:ascii="Times New Roman" w:hAnsi="Times New Roman" w:eastAsia="Times New Roman" w:cs="Times New Roman"/>
          <w:sz w:val="26"/>
          <w:szCs w:val="26"/>
        </w:rPr>
        <w:t xml:space="preserve">, A.25-05-011/A.25-09-015 (Jan. 12, 2026) [hereinafter Rehg. App.].)  </w:t>
      </w:r>
      <w:r w:rsidRPr="4C473D7A">
        <w:rPr>
          <w:rFonts w:ascii="Times New Roman" w:hAnsi="Times New Roman" w:eastAsia="Times New Roman" w:cs="Times New Roman"/>
          <w:color w:val="000000" w:themeColor="text1"/>
          <w:sz w:val="26"/>
          <w:szCs w:val="26"/>
        </w:rPr>
        <w:t xml:space="preserve">CalCCA takes issue with </w:t>
      </w:r>
      <w:r w:rsidRPr="4C473D7A" w:rsidR="44645EED">
        <w:rPr>
          <w:rFonts w:ascii="Times New Roman" w:hAnsi="Times New Roman" w:eastAsia="Times New Roman" w:cs="Times New Roman"/>
          <w:color w:val="000000" w:themeColor="text1"/>
          <w:sz w:val="26"/>
          <w:szCs w:val="26"/>
        </w:rPr>
        <w:t xml:space="preserve">the </w:t>
      </w:r>
      <w:r w:rsidRPr="4C473D7A">
        <w:rPr>
          <w:rFonts w:ascii="Times New Roman" w:hAnsi="Times New Roman" w:eastAsia="Times New Roman" w:cs="Times New Roman"/>
          <w:color w:val="000000" w:themeColor="text1"/>
          <w:sz w:val="26"/>
          <w:szCs w:val="26"/>
        </w:rPr>
        <w:t xml:space="preserve">two </w:t>
      </w:r>
      <w:proofErr w:type="gramStart"/>
      <w:r w:rsidRPr="4C473D7A" w:rsidR="01028C18">
        <w:rPr>
          <w:rFonts w:ascii="Times New Roman" w:hAnsi="Times New Roman" w:eastAsia="Times New Roman" w:cs="Times New Roman"/>
          <w:color w:val="000000" w:themeColor="text1"/>
          <w:sz w:val="26"/>
          <w:szCs w:val="26"/>
        </w:rPr>
        <w:t xml:space="preserve">aforementioned </w:t>
      </w:r>
      <w:r w:rsidRPr="4C473D7A">
        <w:rPr>
          <w:rFonts w:ascii="Times New Roman" w:hAnsi="Times New Roman" w:eastAsia="Times New Roman" w:cs="Times New Roman"/>
          <w:color w:val="000000" w:themeColor="text1"/>
          <w:sz w:val="26"/>
          <w:szCs w:val="26"/>
        </w:rPr>
        <w:t>aspects</w:t>
      </w:r>
      <w:proofErr w:type="gramEnd"/>
      <w:r w:rsidRPr="4C473D7A">
        <w:rPr>
          <w:rFonts w:ascii="Times New Roman" w:hAnsi="Times New Roman" w:eastAsia="Times New Roman" w:cs="Times New Roman"/>
          <w:color w:val="000000" w:themeColor="text1"/>
          <w:sz w:val="26"/>
          <w:szCs w:val="26"/>
        </w:rPr>
        <w:t xml:space="preserve"> of the Decision. </w:t>
      </w:r>
      <w:r w:rsidRPr="4C473D7A" w:rsidR="3F3388B3">
        <w:rPr>
          <w:rFonts w:ascii="Times New Roman" w:hAnsi="Times New Roman" w:eastAsia="Times New Roman" w:cs="Times New Roman"/>
          <w:color w:val="000000" w:themeColor="text1"/>
          <w:sz w:val="26"/>
          <w:szCs w:val="26"/>
        </w:rPr>
        <w:t xml:space="preserve"> </w:t>
      </w:r>
      <w:r w:rsidRPr="4C473D7A">
        <w:rPr>
          <w:rFonts w:ascii="Times New Roman" w:hAnsi="Times New Roman" w:eastAsia="Times New Roman" w:cs="Times New Roman"/>
          <w:color w:val="000000" w:themeColor="text1"/>
          <w:sz w:val="26"/>
          <w:szCs w:val="26"/>
        </w:rPr>
        <w:t>CalCCA alleges that the Decision commits legal error by applying the revised RA MPB as directed in D.25-06-049.  (</w:t>
      </w:r>
      <w:r w:rsidRPr="4C473D7A" w:rsidR="2EB7EFA4">
        <w:rPr>
          <w:rFonts w:ascii="Times New Roman" w:hAnsi="Times New Roman" w:eastAsia="Times New Roman" w:cs="Times New Roman"/>
          <w:i/>
          <w:iCs/>
          <w:color w:val="000000" w:themeColor="text1"/>
          <w:sz w:val="26"/>
          <w:szCs w:val="26"/>
        </w:rPr>
        <w:t>Id</w:t>
      </w:r>
      <w:r w:rsidRPr="4C473D7A" w:rsidR="2EB7EFA4">
        <w:rPr>
          <w:rFonts w:ascii="Times New Roman" w:hAnsi="Times New Roman" w:eastAsia="Times New Roman" w:cs="Times New Roman"/>
          <w:color w:val="000000" w:themeColor="text1"/>
          <w:sz w:val="26"/>
          <w:szCs w:val="26"/>
        </w:rPr>
        <w:t>.</w:t>
      </w:r>
      <w:r w:rsidRPr="4C473D7A">
        <w:rPr>
          <w:rFonts w:ascii="Times New Roman" w:hAnsi="Times New Roman" w:eastAsia="Times New Roman" w:cs="Times New Roman"/>
          <w:color w:val="000000" w:themeColor="text1"/>
          <w:sz w:val="26"/>
          <w:szCs w:val="26"/>
        </w:rPr>
        <w:t xml:space="preserve"> at pp. </w:t>
      </w:r>
      <w:r w:rsidRPr="4C473D7A" w:rsidR="4870955A">
        <w:rPr>
          <w:rFonts w:ascii="Times New Roman" w:hAnsi="Times New Roman" w:eastAsia="Times New Roman" w:cs="Times New Roman"/>
          <w:color w:val="000000" w:themeColor="text1"/>
          <w:sz w:val="26"/>
          <w:szCs w:val="26"/>
        </w:rPr>
        <w:t>14-24</w:t>
      </w:r>
      <w:r w:rsidRPr="4C473D7A">
        <w:rPr>
          <w:rFonts w:ascii="Times New Roman" w:hAnsi="Times New Roman" w:eastAsia="Times New Roman" w:cs="Times New Roman"/>
          <w:color w:val="000000" w:themeColor="text1"/>
          <w:sz w:val="26"/>
          <w:szCs w:val="26"/>
        </w:rPr>
        <w:t>.)  CalCCA asserts that D.25-06-049 engages in retroactive ratemaking in violation of Public Utilities Code section 728</w:t>
      </w:r>
      <w:r w:rsidRPr="4C473D7A" w:rsidR="00C77710">
        <w:rPr>
          <w:rFonts w:ascii="Times New Roman" w:hAnsi="Times New Roman" w:eastAsia="Times New Roman" w:cs="Times New Roman"/>
          <w:color w:val="000000" w:themeColor="text1"/>
          <w:sz w:val="26"/>
          <w:szCs w:val="26"/>
        </w:rPr>
        <w:t>,</w:t>
      </w:r>
      <w:r w:rsidRPr="4C473D7A">
        <w:rPr>
          <w:rStyle w:val="FootnoteReference"/>
          <w:rFonts w:ascii="Times New Roman" w:hAnsi="Times New Roman" w:eastAsia="Times New Roman" w:cs="Times New Roman"/>
          <w:b/>
          <w:bCs/>
          <w:color w:val="000000" w:themeColor="text1"/>
          <w:sz w:val="26"/>
          <w:szCs w:val="26"/>
          <w:u w:val="single"/>
        </w:rPr>
        <w:footnoteReference w:id="3"/>
      </w:r>
      <w:r w:rsidRPr="4C473D7A">
        <w:rPr>
          <w:rFonts w:ascii="Times New Roman" w:hAnsi="Times New Roman" w:eastAsia="Times New Roman" w:cs="Times New Roman"/>
          <w:color w:val="000000" w:themeColor="text1"/>
          <w:sz w:val="26"/>
          <w:szCs w:val="26"/>
        </w:rPr>
        <w:t xml:space="preserve"> and by applying the revised RA MPB established in D.25-06-049, the Decision at issue continues this retroactive ratemaking violation.  (</w:t>
      </w:r>
      <w:r w:rsidRPr="4C473D7A">
        <w:rPr>
          <w:rFonts w:ascii="Times New Roman" w:hAnsi="Times New Roman" w:eastAsia="Times New Roman" w:cs="Times New Roman"/>
          <w:i/>
          <w:iCs/>
          <w:color w:val="000000" w:themeColor="text1"/>
          <w:sz w:val="26"/>
          <w:szCs w:val="26"/>
        </w:rPr>
        <w:t>Id</w:t>
      </w:r>
      <w:r w:rsidRPr="4C473D7A">
        <w:rPr>
          <w:rFonts w:ascii="Times New Roman" w:hAnsi="Times New Roman" w:eastAsia="Times New Roman" w:cs="Times New Roman"/>
          <w:color w:val="000000" w:themeColor="text1"/>
          <w:sz w:val="26"/>
          <w:szCs w:val="26"/>
        </w:rPr>
        <w:t>.</w:t>
      </w:r>
      <w:r w:rsidRPr="4C473D7A" w:rsidR="20521AA1">
        <w:rPr>
          <w:rFonts w:ascii="Times New Roman" w:hAnsi="Times New Roman" w:eastAsia="Times New Roman" w:cs="Times New Roman"/>
          <w:color w:val="000000" w:themeColor="text1"/>
          <w:sz w:val="26"/>
          <w:szCs w:val="26"/>
        </w:rPr>
        <w:t xml:space="preserve"> at pp. 14-18.</w:t>
      </w:r>
      <w:r w:rsidRPr="4C473D7A">
        <w:rPr>
          <w:rFonts w:ascii="Times New Roman" w:hAnsi="Times New Roman" w:eastAsia="Times New Roman" w:cs="Times New Roman"/>
          <w:color w:val="000000" w:themeColor="text1"/>
          <w:sz w:val="26"/>
          <w:szCs w:val="26"/>
        </w:rPr>
        <w:t xml:space="preserve">)  In addition, CalCCA alleges </w:t>
      </w:r>
      <w:r w:rsidRPr="4C473D7A" w:rsidR="44FBDF45">
        <w:rPr>
          <w:rFonts w:ascii="Times New Roman" w:hAnsi="Times New Roman" w:eastAsia="Times New Roman" w:cs="Times New Roman"/>
          <w:color w:val="000000" w:themeColor="text1"/>
          <w:sz w:val="26"/>
          <w:szCs w:val="26"/>
        </w:rPr>
        <w:t>that the</w:t>
      </w:r>
      <w:r w:rsidRPr="4C473D7A">
        <w:rPr>
          <w:rFonts w:ascii="Times New Roman" w:hAnsi="Times New Roman" w:eastAsia="Times New Roman" w:cs="Times New Roman"/>
          <w:color w:val="000000" w:themeColor="text1"/>
          <w:sz w:val="26"/>
          <w:szCs w:val="26"/>
        </w:rPr>
        <w:t xml:space="preserve"> Decision</w:t>
      </w:r>
      <w:r w:rsidRPr="4C473D7A" w:rsidR="2796C170">
        <w:rPr>
          <w:rFonts w:ascii="Times New Roman" w:hAnsi="Times New Roman" w:eastAsia="Times New Roman" w:cs="Times New Roman"/>
          <w:color w:val="000000" w:themeColor="text1"/>
          <w:sz w:val="26"/>
          <w:szCs w:val="26"/>
        </w:rPr>
        <w:t xml:space="preserve"> errs by approving PG&amp;E’s proposal </w:t>
      </w:r>
      <w:r w:rsidRPr="4C473D7A">
        <w:rPr>
          <w:rFonts w:ascii="Times New Roman" w:hAnsi="Times New Roman" w:eastAsia="Times New Roman" w:cs="Times New Roman"/>
          <w:color w:val="000000" w:themeColor="text1"/>
          <w:sz w:val="26"/>
          <w:szCs w:val="26"/>
        </w:rPr>
        <w:t>to assign a value of zero</w:t>
      </w:r>
      <w:r w:rsidRPr="4C473D7A" w:rsidR="2EE7AB66">
        <w:rPr>
          <w:rFonts w:ascii="Times New Roman" w:hAnsi="Times New Roman" w:eastAsia="Times New Roman" w:cs="Times New Roman"/>
          <w:color w:val="000000" w:themeColor="text1"/>
          <w:sz w:val="26"/>
          <w:szCs w:val="26"/>
        </w:rPr>
        <w:t xml:space="preserve"> </w:t>
      </w:r>
      <w:r w:rsidRPr="4C473D7A">
        <w:rPr>
          <w:rFonts w:ascii="Times New Roman" w:hAnsi="Times New Roman" w:eastAsia="Times New Roman" w:cs="Times New Roman"/>
          <w:color w:val="000000" w:themeColor="text1"/>
          <w:sz w:val="26"/>
          <w:szCs w:val="26"/>
        </w:rPr>
        <w:t>dollars to pre-2019 banked R</w:t>
      </w:r>
      <w:r w:rsidRPr="4C473D7A" w:rsidR="5FD47E83">
        <w:rPr>
          <w:rFonts w:ascii="Times New Roman" w:hAnsi="Times New Roman" w:eastAsia="Times New Roman" w:cs="Times New Roman"/>
          <w:color w:val="000000" w:themeColor="text1"/>
          <w:sz w:val="26"/>
          <w:szCs w:val="26"/>
        </w:rPr>
        <w:t>ECs, and that the Commission should have instead</w:t>
      </w:r>
      <w:r w:rsidRPr="4C473D7A" w:rsidR="3B05703A">
        <w:rPr>
          <w:rFonts w:ascii="Times New Roman" w:hAnsi="Times New Roman" w:eastAsia="Times New Roman" w:cs="Times New Roman"/>
          <w:color w:val="000000" w:themeColor="text1"/>
          <w:sz w:val="26"/>
          <w:szCs w:val="26"/>
        </w:rPr>
        <w:t xml:space="preserve"> adopted CalCCA’s proposal to</w:t>
      </w:r>
      <w:r w:rsidRPr="4C473D7A" w:rsidR="5FD47E83">
        <w:rPr>
          <w:rFonts w:ascii="Times New Roman" w:hAnsi="Times New Roman" w:eastAsia="Times New Roman" w:cs="Times New Roman"/>
          <w:color w:val="000000" w:themeColor="text1"/>
          <w:sz w:val="26"/>
          <w:szCs w:val="26"/>
        </w:rPr>
        <w:t xml:space="preserve"> value pre-2019 banked RECs at the RPS Adder</w:t>
      </w:r>
      <w:r w:rsidRPr="4C473D7A">
        <w:rPr>
          <w:rFonts w:ascii="Times New Roman" w:hAnsi="Times New Roman" w:eastAsia="Times New Roman" w:cs="Times New Roman"/>
          <w:color w:val="000000" w:themeColor="text1"/>
          <w:sz w:val="26"/>
          <w:szCs w:val="26"/>
        </w:rPr>
        <w:t>.  (</w:t>
      </w:r>
      <w:r w:rsidRPr="4C473D7A">
        <w:rPr>
          <w:rFonts w:ascii="Times New Roman" w:hAnsi="Times New Roman" w:eastAsia="Times New Roman" w:cs="Times New Roman"/>
          <w:i/>
          <w:iCs/>
          <w:color w:val="000000" w:themeColor="text1"/>
          <w:sz w:val="26"/>
          <w:szCs w:val="26"/>
        </w:rPr>
        <w:t>Id</w:t>
      </w:r>
      <w:r w:rsidRPr="4C473D7A">
        <w:rPr>
          <w:rFonts w:ascii="Times New Roman" w:hAnsi="Times New Roman" w:eastAsia="Times New Roman" w:cs="Times New Roman"/>
          <w:color w:val="000000" w:themeColor="text1"/>
          <w:sz w:val="26"/>
          <w:szCs w:val="26"/>
        </w:rPr>
        <w:t>. at pp. 27-40.)</w:t>
      </w:r>
    </w:p>
    <w:p w:rsidRPr="0042090F" w:rsidR="30358B26" w:rsidP="2E5CEFEF" w:rsidRDefault="5178CB8B" w14:paraId="08AC9B26" w14:textId="0D9760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rPr>
          <w:sz w:val="26"/>
          <w:szCs w:val="26"/>
        </w:rPr>
      </w:pPr>
      <w:r w:rsidRPr="2E5CEFEF">
        <w:rPr>
          <w:rFonts w:ascii="Times New Roman" w:hAnsi="Times New Roman" w:eastAsia="Times New Roman" w:cs="Times New Roman"/>
          <w:color w:val="000000" w:themeColor="text1"/>
          <w:sz w:val="26"/>
          <w:szCs w:val="26"/>
        </w:rPr>
        <w:t>PG&amp;E filed a response to CalCCA’s rehearing application on January 27, 2026.  In its response, PG&amp;E argues that CalCCA’s rehearing application constitutes an improper collateral attack on D.25-06-049</w:t>
      </w:r>
      <w:r w:rsidRPr="2E5CEFEF" w:rsidR="1F296F17">
        <w:rPr>
          <w:rFonts w:ascii="Times New Roman" w:hAnsi="Times New Roman" w:eastAsia="Times New Roman" w:cs="Times New Roman"/>
          <w:color w:val="000000" w:themeColor="text1"/>
          <w:sz w:val="26"/>
          <w:szCs w:val="26"/>
        </w:rPr>
        <w:t>, and that there is no legal error in the Commission’s adoption of PG&amp;E’s zero-dollar</w:t>
      </w:r>
      <w:r w:rsidRPr="2E5CEFEF" w:rsidR="30358B26">
        <w:rPr>
          <w:rFonts w:ascii="Times New Roman" w:hAnsi="Times New Roman" w:eastAsia="Times New Roman" w:cs="Times New Roman"/>
          <w:color w:val="000000" w:themeColor="text1"/>
          <w:sz w:val="26"/>
          <w:szCs w:val="26"/>
        </w:rPr>
        <w:t xml:space="preserve"> </w:t>
      </w:r>
      <w:r w:rsidRPr="2E5CEFEF" w:rsidR="13FF53E2">
        <w:rPr>
          <w:rFonts w:ascii="Times New Roman" w:hAnsi="Times New Roman" w:eastAsia="Times New Roman" w:cs="Times New Roman"/>
          <w:color w:val="000000" w:themeColor="text1"/>
          <w:sz w:val="26"/>
          <w:szCs w:val="26"/>
        </w:rPr>
        <w:t xml:space="preserve">valuation for pre-2019 banked </w:t>
      </w:r>
      <w:proofErr w:type="spellStart"/>
      <w:r w:rsidRPr="2E5CEFEF" w:rsidR="13FF53E2">
        <w:rPr>
          <w:rFonts w:ascii="Times New Roman" w:hAnsi="Times New Roman" w:eastAsia="Times New Roman" w:cs="Times New Roman"/>
          <w:color w:val="000000" w:themeColor="text1"/>
          <w:sz w:val="26"/>
          <w:szCs w:val="26"/>
        </w:rPr>
        <w:t>RECs.</w:t>
      </w:r>
      <w:proofErr w:type="spellEnd"/>
      <w:r w:rsidRPr="2E5CEFEF" w:rsidR="13FF53E2">
        <w:rPr>
          <w:rFonts w:ascii="Times New Roman" w:hAnsi="Times New Roman" w:eastAsia="Times New Roman" w:cs="Times New Roman"/>
          <w:color w:val="000000" w:themeColor="text1"/>
          <w:sz w:val="26"/>
          <w:szCs w:val="26"/>
        </w:rPr>
        <w:t xml:space="preserve">  (See </w:t>
      </w:r>
      <w:r w:rsidRPr="00BB56A3" w:rsidR="13FF53E2">
        <w:rPr>
          <w:rFonts w:ascii="Times New Roman" w:hAnsi="Times New Roman" w:eastAsia="Times New Roman" w:cs="Times New Roman"/>
          <w:i/>
          <w:iCs/>
          <w:color w:val="000000" w:themeColor="text1"/>
          <w:sz w:val="26"/>
          <w:szCs w:val="26"/>
        </w:rPr>
        <w:t>PG&amp;E’s Response to Application for Rehearing</w:t>
      </w:r>
      <w:r w:rsidRPr="2E5CEFEF" w:rsidR="13FF53E2">
        <w:rPr>
          <w:rFonts w:ascii="Times New Roman" w:hAnsi="Times New Roman" w:eastAsia="Times New Roman" w:cs="Times New Roman"/>
          <w:color w:val="000000" w:themeColor="text1"/>
          <w:sz w:val="26"/>
          <w:szCs w:val="26"/>
        </w:rPr>
        <w:t xml:space="preserve">, </w:t>
      </w:r>
      <w:r w:rsidRPr="2E5CEFEF" w:rsidR="13FF53E2">
        <w:rPr>
          <w:rFonts w:ascii="Times New Roman" w:hAnsi="Times New Roman" w:eastAsia="Times New Roman" w:cs="Times New Roman"/>
          <w:sz w:val="26"/>
          <w:szCs w:val="26"/>
        </w:rPr>
        <w:t>A.25-05-011/A.25-09-015 (Jan. 27, 2026).)</w:t>
      </w:r>
      <w:r w:rsidRPr="2E5CEFEF" w:rsidR="30358B26">
        <w:rPr>
          <w:rFonts w:ascii="Times New Roman" w:hAnsi="Times New Roman" w:eastAsia="Times New Roman" w:cs="Times New Roman"/>
          <w:color w:val="000000" w:themeColor="text1"/>
          <w:sz w:val="26"/>
          <w:szCs w:val="26"/>
        </w:rPr>
        <w:t xml:space="preserve"> </w:t>
      </w:r>
      <w:r w:rsidRPr="2E5CEFEF" w:rsidR="13FF53E2">
        <w:rPr>
          <w:rFonts w:ascii="Times New Roman" w:hAnsi="Times New Roman" w:eastAsia="Times New Roman" w:cs="Times New Roman"/>
          <w:color w:val="000000" w:themeColor="text1"/>
          <w:sz w:val="26"/>
          <w:szCs w:val="26"/>
        </w:rPr>
        <w:t xml:space="preserve"> </w:t>
      </w:r>
    </w:p>
    <w:p w:rsidR="30358B26" w:rsidP="4CAF61BD" w:rsidRDefault="30358B26" w14:paraId="5A9DC1BF" w14:textId="066D5B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pPr>
      <w:r w:rsidRPr="2E5CEFEF">
        <w:rPr>
          <w:rFonts w:ascii="Times New Roman" w:hAnsi="Times New Roman" w:eastAsia="Times New Roman" w:cs="Times New Roman"/>
          <w:color w:val="000000" w:themeColor="text1"/>
          <w:sz w:val="26"/>
          <w:szCs w:val="26"/>
        </w:rPr>
        <w:t xml:space="preserve">The Commission has carefully reviewed and considered </w:t>
      </w:r>
      <w:r w:rsidRPr="2E5CEFEF" w:rsidR="003604D1">
        <w:rPr>
          <w:rFonts w:ascii="Times New Roman" w:hAnsi="Times New Roman" w:eastAsia="Times New Roman" w:cs="Times New Roman"/>
          <w:color w:val="000000" w:themeColor="text1"/>
          <w:sz w:val="26"/>
          <w:szCs w:val="26"/>
        </w:rPr>
        <w:t xml:space="preserve">CalCCA’s </w:t>
      </w:r>
      <w:r w:rsidRPr="2E5CEFEF">
        <w:rPr>
          <w:rFonts w:ascii="Times New Roman" w:hAnsi="Times New Roman" w:eastAsia="Times New Roman" w:cs="Times New Roman"/>
          <w:color w:val="000000" w:themeColor="text1"/>
          <w:sz w:val="26"/>
          <w:szCs w:val="26"/>
        </w:rPr>
        <w:t>claims of legal error and finds no basis for rehearing.</w:t>
      </w:r>
    </w:p>
    <w:p w:rsidR="00E12D96" w:rsidP="005C40B5" w:rsidRDefault="000D0499" w14:paraId="6256B548" w14:textId="3C1AA9AB">
      <w:pPr>
        <w:pStyle w:val="Heading1"/>
      </w:pPr>
      <w:r w:rsidRPr="00B10E00">
        <w:t>DISCUSSION</w:t>
      </w:r>
    </w:p>
    <w:p w:rsidRPr="00CB26BE" w:rsidR="0081190F" w:rsidP="005C40B5" w:rsidRDefault="0081190F" w14:paraId="72EC86D9" w14:textId="58A12380">
      <w:pPr>
        <w:pStyle w:val="Heading2"/>
      </w:pPr>
      <w:r w:rsidRPr="00CB26BE">
        <w:t xml:space="preserve">CalCCA’s claim of retroactive ratemaking </w:t>
      </w:r>
      <w:r w:rsidRPr="00CB26BE" w:rsidR="003C6C31">
        <w:t>is a collateral attack of a determination made in</w:t>
      </w:r>
      <w:r w:rsidRPr="00CB26BE">
        <w:t xml:space="preserve"> D.25-06-049. </w:t>
      </w:r>
    </w:p>
    <w:p w:rsidRPr="00CE0E23" w:rsidR="0081190F" w:rsidP="4CAF61BD" w:rsidRDefault="0081190F" w14:paraId="092E7473" w14:textId="6D40D708">
      <w:pPr>
        <w:spacing w:line="360" w:lineRule="auto"/>
        <w:ind w:firstLine="720"/>
        <w:rPr>
          <w:rFonts w:ascii="Times New Roman" w:hAnsi="Times New Roman" w:cs="Times New Roman"/>
          <w:color w:val="000000" w:themeColor="text1"/>
          <w:sz w:val="26"/>
          <w:szCs w:val="26"/>
        </w:rPr>
      </w:pPr>
      <w:r w:rsidRPr="2E5CEFEF">
        <w:rPr>
          <w:rFonts w:ascii="Times New Roman" w:hAnsi="Times New Roman" w:cs="Times New Roman"/>
          <w:color w:val="000000" w:themeColor="text1"/>
          <w:sz w:val="26"/>
          <w:szCs w:val="26"/>
        </w:rPr>
        <w:t xml:space="preserve">In 2025, the Commission initiated R.25-02-005 to consider changes to the annual ERRA forecast and compliance proceedings, with Track 1 of R.25-02-005 focused on revising the RA MPB to ensure that RA costs were being accurately captured and distributed between bundled and unbundled customers.  (See D.25-06-049, </w:t>
      </w:r>
      <w:r w:rsidRPr="2E5CEFEF">
        <w:rPr>
          <w:rFonts w:ascii="Times New Roman" w:hAnsi="Times New Roman" w:cs="Times New Roman"/>
          <w:i/>
          <w:iCs/>
          <w:color w:val="000000" w:themeColor="text1"/>
          <w:sz w:val="26"/>
          <w:szCs w:val="26"/>
        </w:rPr>
        <w:t>supra</w:t>
      </w:r>
      <w:r w:rsidRPr="2E5CEFEF">
        <w:rPr>
          <w:rFonts w:ascii="Times New Roman" w:hAnsi="Times New Roman" w:cs="Times New Roman"/>
          <w:color w:val="000000" w:themeColor="text1"/>
          <w:sz w:val="26"/>
          <w:szCs w:val="26"/>
        </w:rPr>
        <w:t>,</w:t>
      </w:r>
      <w:r w:rsidR="00167BD1">
        <w:rPr>
          <w:rFonts w:ascii="Times New Roman" w:hAnsi="Times New Roman" w:cs="Times New Roman"/>
          <w:color w:val="000000" w:themeColor="text1"/>
          <w:sz w:val="26"/>
          <w:szCs w:val="26"/>
        </w:rPr>
        <w:br/>
      </w:r>
      <w:r w:rsidRPr="2E5CEFEF">
        <w:rPr>
          <w:rFonts w:ascii="Times New Roman" w:hAnsi="Times New Roman" w:cs="Times New Roman"/>
          <w:color w:val="000000" w:themeColor="text1"/>
          <w:sz w:val="26"/>
          <w:szCs w:val="26"/>
        </w:rPr>
        <w:lastRenderedPageBreak/>
        <w:t>at pp. 2-7.)  Track 1 of R.25-02-005 culminated in D.25-06-049, which adopted a revised RA MPB methodology.  D.25-06-049 directed that the revised RA MPB be applied effectively immediately</w:t>
      </w:r>
      <w:r w:rsidRPr="2E5CEFEF" w:rsidR="4452EAB3">
        <w:rPr>
          <w:rFonts w:ascii="Times New Roman" w:hAnsi="Times New Roman" w:cs="Times New Roman"/>
          <w:color w:val="000000" w:themeColor="text1"/>
          <w:sz w:val="26"/>
          <w:szCs w:val="26"/>
        </w:rPr>
        <w:t xml:space="preserve"> </w:t>
      </w:r>
      <w:r w:rsidRPr="2E5CEFEF">
        <w:rPr>
          <w:rFonts w:ascii="Times New Roman" w:hAnsi="Times New Roman" w:cs="Times New Roman"/>
          <w:color w:val="000000" w:themeColor="text1"/>
          <w:sz w:val="26"/>
          <w:szCs w:val="26"/>
        </w:rPr>
        <w:t>and included a specific directive that the revised RA MPB be applied in each Investor-Owned Utilit</w:t>
      </w:r>
      <w:r w:rsidRPr="2E5CEFEF" w:rsidR="00076628">
        <w:rPr>
          <w:rFonts w:ascii="Times New Roman" w:hAnsi="Times New Roman" w:cs="Times New Roman"/>
          <w:color w:val="000000" w:themeColor="text1"/>
          <w:sz w:val="26"/>
          <w:szCs w:val="26"/>
        </w:rPr>
        <w:t>y’s</w:t>
      </w:r>
      <w:r w:rsidRPr="2E5CEFEF">
        <w:rPr>
          <w:rFonts w:ascii="Times New Roman" w:hAnsi="Times New Roman" w:cs="Times New Roman"/>
          <w:color w:val="000000" w:themeColor="text1"/>
          <w:sz w:val="26"/>
          <w:szCs w:val="26"/>
        </w:rPr>
        <w:t xml:space="preserve"> (IOU</w:t>
      </w:r>
      <w:r w:rsidRPr="2E5CEFEF" w:rsidR="00076628">
        <w:rPr>
          <w:rFonts w:ascii="Times New Roman" w:hAnsi="Times New Roman" w:cs="Times New Roman"/>
          <w:color w:val="000000" w:themeColor="text1"/>
          <w:sz w:val="26"/>
          <w:szCs w:val="26"/>
        </w:rPr>
        <w:t>’</w:t>
      </w:r>
      <w:r w:rsidRPr="2E5CEFEF">
        <w:rPr>
          <w:rFonts w:ascii="Times New Roman" w:hAnsi="Times New Roman" w:cs="Times New Roman"/>
          <w:color w:val="000000" w:themeColor="text1"/>
          <w:sz w:val="26"/>
          <w:szCs w:val="26"/>
        </w:rPr>
        <w:t>s) ERRA forecast proceeding.</w:t>
      </w:r>
      <w:r w:rsidR="00167BD1">
        <w:rPr>
          <w:rFonts w:ascii="Times New Roman" w:hAnsi="Times New Roman" w:cs="Times New Roman"/>
          <w:color w:val="000000" w:themeColor="text1"/>
          <w:sz w:val="26"/>
          <w:szCs w:val="26"/>
        </w:rPr>
        <w:br/>
      </w:r>
      <w:r w:rsidRPr="2E5CEFEF">
        <w:rPr>
          <w:rFonts w:ascii="Times New Roman" w:hAnsi="Times New Roman" w:cs="Times New Roman"/>
          <w:color w:val="000000" w:themeColor="text1"/>
          <w:sz w:val="26"/>
          <w:szCs w:val="26"/>
        </w:rPr>
        <w:t>(</w:t>
      </w:r>
      <w:r w:rsidRPr="2E5CEFEF">
        <w:rPr>
          <w:rFonts w:ascii="Times New Roman" w:hAnsi="Times New Roman" w:cs="Times New Roman"/>
          <w:i/>
          <w:iCs/>
          <w:color w:val="000000" w:themeColor="text1"/>
          <w:sz w:val="26"/>
          <w:szCs w:val="26"/>
        </w:rPr>
        <w:t>Id</w:t>
      </w:r>
      <w:r w:rsidRPr="2E5CEFEF">
        <w:rPr>
          <w:rFonts w:ascii="Times New Roman" w:hAnsi="Times New Roman" w:cs="Times New Roman"/>
          <w:color w:val="000000" w:themeColor="text1"/>
          <w:sz w:val="26"/>
          <w:szCs w:val="26"/>
        </w:rPr>
        <w:t xml:space="preserve">. at p. 34, COL 10 and OPs 1 and 2.) </w:t>
      </w:r>
    </w:p>
    <w:p w:rsidR="0081190F" w:rsidP="4CAF61BD" w:rsidRDefault="0081190F" w14:paraId="09EF9B8D" w14:textId="08745C86">
      <w:pPr>
        <w:spacing w:line="360" w:lineRule="auto"/>
        <w:ind w:firstLine="720"/>
        <w:rPr>
          <w:rFonts w:ascii="Times New Roman" w:hAnsi="Times New Roman" w:cs="Times New Roman"/>
          <w:sz w:val="26"/>
          <w:szCs w:val="26"/>
        </w:rPr>
      </w:pPr>
      <w:proofErr w:type="gramStart"/>
      <w:r w:rsidRPr="00CE0E23">
        <w:rPr>
          <w:rFonts w:ascii="Times New Roman" w:hAnsi="Times New Roman" w:cs="Times New Roman"/>
          <w:color w:val="000000" w:themeColor="text1"/>
          <w:sz w:val="26"/>
          <w:szCs w:val="26"/>
        </w:rPr>
        <w:t>During the course of</w:t>
      </w:r>
      <w:proofErr w:type="gramEnd"/>
      <w:r w:rsidRPr="4CAF61BD">
        <w:rPr>
          <w:rFonts w:ascii="Times New Roman" w:hAnsi="Times New Roman" w:cs="Times New Roman"/>
          <w:color w:val="000000" w:themeColor="text1"/>
          <w:sz w:val="26"/>
          <w:szCs w:val="26"/>
        </w:rPr>
        <w:t xml:space="preserve"> R.25-02-005, CalCCA raised the issue of retroactive ratemaking, alleging that application of a revised </w:t>
      </w:r>
      <w:r w:rsidRPr="4CAF61BD" w:rsidR="5E86C87F">
        <w:rPr>
          <w:rFonts w:ascii="Times New Roman" w:hAnsi="Times New Roman" w:cs="Times New Roman"/>
          <w:color w:val="000000" w:themeColor="text1"/>
          <w:sz w:val="26"/>
          <w:szCs w:val="26"/>
        </w:rPr>
        <w:t>methodology</w:t>
      </w:r>
      <w:r w:rsidRPr="3C8DCF92" w:rsidR="5E86C87F">
        <w:rPr>
          <w:rFonts w:ascii="Times New Roman" w:hAnsi="Times New Roman" w:cs="Times New Roman"/>
          <w:color w:val="000000" w:themeColor="text1"/>
          <w:sz w:val="26"/>
          <w:szCs w:val="26"/>
        </w:rPr>
        <w:t xml:space="preserve"> </w:t>
      </w:r>
      <w:r w:rsidRPr="4CAF61BD">
        <w:rPr>
          <w:rFonts w:ascii="Times New Roman" w:hAnsi="Times New Roman" w:cs="Times New Roman"/>
          <w:color w:val="000000" w:themeColor="text1"/>
          <w:sz w:val="26"/>
          <w:szCs w:val="26"/>
        </w:rPr>
        <w:t xml:space="preserve">to the final 2025 RA MPB would violate section </w:t>
      </w:r>
      <w:r w:rsidRPr="3C8DCF92">
        <w:rPr>
          <w:rFonts w:ascii="Times New Roman" w:hAnsi="Times New Roman" w:cs="Times New Roman"/>
          <w:color w:val="000000" w:themeColor="text1"/>
          <w:sz w:val="26"/>
          <w:szCs w:val="26"/>
        </w:rPr>
        <w:t xml:space="preserve">728.  (See </w:t>
      </w:r>
      <w:r w:rsidRPr="3C8DCF92">
        <w:rPr>
          <w:rFonts w:ascii="Times New Roman" w:hAnsi="Times New Roman" w:cs="Times New Roman"/>
          <w:i/>
          <w:iCs/>
          <w:color w:val="000000" w:themeColor="text1"/>
          <w:sz w:val="26"/>
          <w:szCs w:val="26"/>
        </w:rPr>
        <w:t>id</w:t>
      </w:r>
      <w:r w:rsidRPr="3C8DCF92">
        <w:rPr>
          <w:rFonts w:ascii="Times New Roman" w:hAnsi="Times New Roman" w:cs="Times New Roman"/>
          <w:color w:val="000000" w:themeColor="text1"/>
          <w:sz w:val="26"/>
          <w:szCs w:val="26"/>
        </w:rPr>
        <w:t xml:space="preserve">. at pp. 28-29.)  D.25-06-049 rejected this argument, explaining that the Supreme Court in </w:t>
      </w:r>
      <w:r w:rsidRPr="3C8DCF92">
        <w:rPr>
          <w:rFonts w:ascii="Times New Roman" w:hAnsi="Times New Roman" w:cs="Times New Roman"/>
          <w:i/>
          <w:iCs/>
          <w:color w:val="000000" w:themeColor="text1"/>
          <w:sz w:val="26"/>
          <w:szCs w:val="26"/>
        </w:rPr>
        <w:t>Southern California Edison Co. v. Public Utilities Commission</w:t>
      </w:r>
      <w:r w:rsidRPr="3C8DCF92">
        <w:rPr>
          <w:rFonts w:ascii="Times New Roman" w:hAnsi="Times New Roman" w:cs="Times New Roman"/>
          <w:color w:val="000000" w:themeColor="text1"/>
          <w:sz w:val="26"/>
          <w:szCs w:val="26"/>
        </w:rPr>
        <w:t xml:space="preserve"> held that the “prohibition against retroactive ratemaking was not intended to apply to every situation where action by the Commission results in retroactive application.”  (</w:t>
      </w:r>
      <w:r w:rsidRPr="3C8DCF92">
        <w:rPr>
          <w:rFonts w:ascii="Times New Roman" w:hAnsi="Times New Roman" w:cs="Times New Roman"/>
          <w:i/>
          <w:iCs/>
          <w:color w:val="000000" w:themeColor="text1"/>
          <w:sz w:val="26"/>
          <w:szCs w:val="26"/>
        </w:rPr>
        <w:t>Id</w:t>
      </w:r>
      <w:r w:rsidRPr="3C8DCF92">
        <w:rPr>
          <w:rFonts w:ascii="Times New Roman" w:hAnsi="Times New Roman" w:cs="Times New Roman"/>
          <w:color w:val="000000" w:themeColor="text1"/>
          <w:sz w:val="26"/>
          <w:szCs w:val="26"/>
        </w:rPr>
        <w:t xml:space="preserve">. at p. 29 citing </w:t>
      </w:r>
      <w:r w:rsidRPr="3C8DCF92">
        <w:rPr>
          <w:rFonts w:ascii="Times New Roman" w:hAnsi="Times New Roman" w:cs="Times New Roman"/>
          <w:i/>
          <w:iCs/>
          <w:color w:val="000000" w:themeColor="text1"/>
          <w:sz w:val="26"/>
          <w:szCs w:val="26"/>
        </w:rPr>
        <w:t>Southern California Edison Co. v. Public Utilities Commission</w:t>
      </w:r>
      <w:r w:rsidRPr="3C8DCF92">
        <w:rPr>
          <w:rFonts w:ascii="Times New Roman" w:hAnsi="Times New Roman" w:cs="Times New Roman"/>
          <w:color w:val="000000" w:themeColor="text1"/>
          <w:sz w:val="26"/>
          <w:szCs w:val="26"/>
        </w:rPr>
        <w:t xml:space="preserve"> (1978) 20 Cal.3d 813, 817.)  To this end, D.25-06-049 includes </w:t>
      </w:r>
      <w:r w:rsidR="0041367D">
        <w:rPr>
          <w:rFonts w:ascii="Times New Roman" w:hAnsi="Times New Roman" w:cs="Times New Roman"/>
          <w:color w:val="000000" w:themeColor="text1"/>
          <w:sz w:val="26"/>
          <w:szCs w:val="26"/>
        </w:rPr>
        <w:t xml:space="preserve">a </w:t>
      </w:r>
      <w:r w:rsidRPr="3C8DCF92">
        <w:rPr>
          <w:rFonts w:ascii="Times New Roman" w:hAnsi="Times New Roman" w:cs="Times New Roman"/>
          <w:color w:val="000000" w:themeColor="text1"/>
          <w:sz w:val="26"/>
          <w:szCs w:val="26"/>
        </w:rPr>
        <w:t>conclusion of law that the “</w:t>
      </w:r>
      <w:r w:rsidRPr="3C8DCF92">
        <w:rPr>
          <w:rFonts w:ascii="Times New Roman" w:hAnsi="Times New Roman" w:cs="Times New Roman"/>
          <w:sz w:val="26"/>
          <w:szCs w:val="26"/>
        </w:rPr>
        <w:t>[a]</w:t>
      </w:r>
      <w:proofErr w:type="spellStart"/>
      <w:r w:rsidRPr="3C8DCF92">
        <w:rPr>
          <w:rFonts w:ascii="Times New Roman" w:hAnsi="Times New Roman" w:cs="Times New Roman"/>
          <w:sz w:val="26"/>
          <w:szCs w:val="26"/>
        </w:rPr>
        <w:t>pplication</w:t>
      </w:r>
      <w:proofErr w:type="spellEnd"/>
      <w:r w:rsidRPr="3C8DCF92">
        <w:rPr>
          <w:rFonts w:ascii="Times New Roman" w:hAnsi="Times New Roman" w:cs="Times New Roman"/>
          <w:sz w:val="26"/>
          <w:szCs w:val="26"/>
        </w:rPr>
        <w:t xml:space="preserve"> of these [RA MPB] changes to the 2025 Final RA MPB does not violate the prohibition against retroactive ratemaking.”  (</w:t>
      </w:r>
      <w:r w:rsidRPr="3C8DCF92">
        <w:rPr>
          <w:rFonts w:ascii="Times New Roman" w:hAnsi="Times New Roman" w:cs="Times New Roman"/>
          <w:i/>
          <w:iCs/>
          <w:sz w:val="26"/>
          <w:szCs w:val="26"/>
        </w:rPr>
        <w:t>Id</w:t>
      </w:r>
      <w:r w:rsidRPr="3C8DCF92">
        <w:rPr>
          <w:rFonts w:ascii="Times New Roman" w:hAnsi="Times New Roman" w:cs="Times New Roman"/>
          <w:sz w:val="26"/>
          <w:szCs w:val="26"/>
        </w:rPr>
        <w:t xml:space="preserve">. at p. 34, COL 9.)  </w:t>
      </w:r>
    </w:p>
    <w:p w:rsidR="0081190F" w:rsidP="0081190F" w:rsidRDefault="0081190F" w14:paraId="40072004" w14:textId="730E3474">
      <w:pPr>
        <w:spacing w:line="360" w:lineRule="auto"/>
        <w:ind w:firstLine="720"/>
        <w:rPr>
          <w:rFonts w:ascii="Times New Roman" w:hAnsi="Times New Roman" w:cs="Times New Roman"/>
          <w:sz w:val="26"/>
          <w:szCs w:val="26"/>
        </w:rPr>
      </w:pPr>
      <w:r w:rsidRPr="2E5CEFEF">
        <w:rPr>
          <w:rFonts w:ascii="Times New Roman" w:hAnsi="Times New Roman" w:cs="Times New Roman"/>
          <w:color w:val="000000" w:themeColor="text1"/>
          <w:sz w:val="26"/>
          <w:szCs w:val="26"/>
        </w:rPr>
        <w:t xml:space="preserve">CalCCA then filed a rehearing application </w:t>
      </w:r>
      <w:r w:rsidRPr="2E5CEFEF" w:rsidR="00076628">
        <w:rPr>
          <w:rFonts w:ascii="Times New Roman" w:hAnsi="Times New Roman" w:cs="Times New Roman"/>
          <w:color w:val="000000" w:themeColor="text1"/>
          <w:sz w:val="26"/>
          <w:szCs w:val="26"/>
        </w:rPr>
        <w:t>of</w:t>
      </w:r>
      <w:r w:rsidRPr="2E5CEFEF">
        <w:rPr>
          <w:rFonts w:ascii="Times New Roman" w:hAnsi="Times New Roman" w:cs="Times New Roman"/>
          <w:color w:val="000000" w:themeColor="text1"/>
          <w:sz w:val="26"/>
          <w:szCs w:val="26"/>
        </w:rPr>
        <w:t xml:space="preserve"> D.25-06-049, arguing that the Commission engaged in retroactive ratemaking by applying the revised RA MPB “midstream,” i.e., after the 2025 ERRA forecast occurred but before the 2025 ERRA true-up.  (See </w:t>
      </w:r>
      <w:r w:rsidRPr="2E5CEFEF">
        <w:rPr>
          <w:rFonts w:ascii="Times New Roman" w:hAnsi="Times New Roman" w:cs="Times New Roman"/>
          <w:i/>
          <w:iCs/>
          <w:color w:val="000000" w:themeColor="text1"/>
          <w:sz w:val="26"/>
          <w:szCs w:val="26"/>
        </w:rPr>
        <w:t>CalCCA Application for Rehearing of D.25-06-049</w:t>
      </w:r>
      <w:r w:rsidRPr="2E5CEFEF">
        <w:rPr>
          <w:rFonts w:ascii="Times New Roman" w:hAnsi="Times New Roman" w:cs="Times New Roman"/>
          <w:color w:val="000000" w:themeColor="text1"/>
          <w:sz w:val="26"/>
          <w:szCs w:val="26"/>
        </w:rPr>
        <w:t>, R.25-02-005 (July 28, 2025).)  The Commission denied CalCCA’s rehearing application, explaining that the prohibition on retroactive ratemaking applies in the context of general ratemaking and that the California Supreme Court has already evaluated an allegation of general and retroactive ratemaking in an ERRA-equivalent proceeding and held that section 728’s prohibition did not apply.  (</w:t>
      </w:r>
      <w:r w:rsidRPr="2E5CEFEF">
        <w:rPr>
          <w:rFonts w:ascii="Times New Roman" w:hAnsi="Times New Roman" w:cs="Times New Roman"/>
          <w:i/>
          <w:iCs/>
          <w:sz w:val="26"/>
          <w:szCs w:val="26"/>
        </w:rPr>
        <w:t>Order Denying Rehearing of D.25-06-049</w:t>
      </w:r>
      <w:r w:rsidRPr="2E5CEFEF">
        <w:rPr>
          <w:rFonts w:ascii="Times New Roman" w:hAnsi="Times New Roman" w:cs="Times New Roman"/>
          <w:sz w:val="26"/>
          <w:szCs w:val="26"/>
        </w:rPr>
        <w:t xml:space="preserve"> (2025) </w:t>
      </w:r>
      <w:r>
        <w:br/>
      </w:r>
      <w:r w:rsidRPr="2E5CEFEF">
        <w:rPr>
          <w:rFonts w:ascii="Times New Roman" w:hAnsi="Times New Roman" w:cs="Times New Roman"/>
          <w:sz w:val="26"/>
          <w:szCs w:val="26"/>
        </w:rPr>
        <w:t xml:space="preserve">[D.25-10-061], at pp. 4-5 citing </w:t>
      </w:r>
      <w:r w:rsidRPr="2E5CEFEF">
        <w:rPr>
          <w:rFonts w:ascii="Times New Roman" w:hAnsi="Times New Roman" w:cs="Times New Roman"/>
          <w:i/>
          <w:iCs/>
          <w:color w:val="000000" w:themeColor="text1"/>
          <w:sz w:val="26"/>
          <w:szCs w:val="26"/>
        </w:rPr>
        <w:t>Southern California Edison Co</w:t>
      </w:r>
      <w:r w:rsidR="0041367D">
        <w:rPr>
          <w:rFonts w:ascii="Times New Roman" w:hAnsi="Times New Roman" w:cs="Times New Roman"/>
          <w:i/>
          <w:iCs/>
          <w:color w:val="000000" w:themeColor="text1"/>
          <w:sz w:val="26"/>
          <w:szCs w:val="26"/>
        </w:rPr>
        <w:t>.</w:t>
      </w:r>
      <w:r w:rsidRPr="2E5CEFEF">
        <w:rPr>
          <w:rFonts w:ascii="Times New Roman" w:hAnsi="Times New Roman" w:cs="Times New Roman"/>
          <w:i/>
          <w:iCs/>
          <w:color w:val="000000" w:themeColor="text1"/>
          <w:sz w:val="26"/>
          <w:szCs w:val="26"/>
        </w:rPr>
        <w:t xml:space="preserve">, supra, </w:t>
      </w:r>
      <w:r w:rsidRPr="2E5CEFEF">
        <w:rPr>
          <w:rFonts w:ascii="Times New Roman" w:hAnsi="Times New Roman" w:cs="Times New Roman"/>
          <w:color w:val="000000" w:themeColor="text1"/>
          <w:sz w:val="26"/>
          <w:szCs w:val="26"/>
        </w:rPr>
        <w:t>20 Cal.3d at pp. 816-817</w:t>
      </w:r>
      <w:r w:rsidRPr="2E5CEFEF">
        <w:rPr>
          <w:rFonts w:ascii="Times New Roman" w:hAnsi="Times New Roman" w:cs="Times New Roman"/>
          <w:sz w:val="26"/>
          <w:szCs w:val="26"/>
        </w:rPr>
        <w:t>.)</w:t>
      </w:r>
    </w:p>
    <w:p w:rsidRPr="0041367D" w:rsidR="0081190F" w:rsidP="0041367D" w:rsidRDefault="64B71269" w14:paraId="6F06A2E6" w14:textId="116D9EAA">
      <w:pPr>
        <w:spacing w:line="360" w:lineRule="auto"/>
        <w:ind w:firstLine="720"/>
        <w:rPr>
          <w:rFonts w:ascii="Times New Roman" w:hAnsi="Times New Roman" w:cs="Times New Roman"/>
          <w:color w:val="000000" w:themeColor="text1"/>
          <w:sz w:val="26"/>
          <w:szCs w:val="26"/>
          <w:shd w:val="clear" w:color="auto" w:fill="FFFFFF"/>
        </w:rPr>
      </w:pPr>
      <w:r w:rsidRPr="0041367D">
        <w:rPr>
          <w:rFonts w:ascii="Times New Roman" w:hAnsi="Times New Roman" w:cs="Times New Roman"/>
          <w:color w:val="000000" w:themeColor="text1"/>
          <w:sz w:val="26"/>
          <w:szCs w:val="26"/>
        </w:rPr>
        <w:t xml:space="preserve">CalCCA then </w:t>
      </w:r>
      <w:r w:rsidRPr="7916F8C6">
        <w:rPr>
          <w:rFonts w:ascii="Times New Roman" w:hAnsi="Times New Roman" w:cs="Times New Roman"/>
          <w:color w:val="000000" w:themeColor="text1"/>
          <w:sz w:val="26"/>
          <w:szCs w:val="26"/>
        </w:rPr>
        <w:t xml:space="preserve">attempted to challenge D.25-06-049 at the Court of Appeal, again asserting that the Commission engaged in retroactive ratemaking.  This challenge was summarily denied by the Court of Appeal.  (See </w:t>
      </w:r>
      <w:r w:rsidRPr="4C473D7A">
        <w:rPr>
          <w:rFonts w:ascii="Times New Roman" w:hAnsi="Times New Roman" w:cs="Times New Roman"/>
          <w:i/>
          <w:iCs/>
          <w:color w:val="000000" w:themeColor="text1"/>
          <w:sz w:val="26"/>
          <w:szCs w:val="26"/>
        </w:rPr>
        <w:t>Order Denying Petition</w:t>
      </w:r>
      <w:r w:rsidRPr="0041367D">
        <w:rPr>
          <w:rFonts w:ascii="Times New Roman" w:hAnsi="Times New Roman" w:cs="Times New Roman"/>
          <w:color w:val="000000" w:themeColor="text1"/>
          <w:sz w:val="26"/>
          <w:szCs w:val="26"/>
        </w:rPr>
        <w:t xml:space="preserve">, C105174 (June </w:t>
      </w:r>
      <w:r w:rsidRPr="0041367D">
        <w:rPr>
          <w:rFonts w:ascii="Times New Roman" w:hAnsi="Times New Roman" w:cs="Times New Roman"/>
          <w:color w:val="000000" w:themeColor="text1"/>
          <w:sz w:val="26"/>
          <w:szCs w:val="26"/>
        </w:rPr>
        <w:lastRenderedPageBreak/>
        <w:t>25, 2026</w:t>
      </w:r>
      <w:r w:rsidRPr="7916F8C6">
        <w:rPr>
          <w:rFonts w:ascii="Times New Roman" w:hAnsi="Times New Roman" w:cs="Times New Roman"/>
          <w:color w:val="000000" w:themeColor="text1"/>
          <w:sz w:val="26"/>
          <w:szCs w:val="26"/>
          <w:shd w:val="clear" w:color="auto" w:fill="FFFFFF"/>
        </w:rPr>
        <w:t>).)</w:t>
      </w:r>
      <w:r w:rsidRPr="7916F8C6" w:rsidR="59DAFE3E">
        <w:rPr>
          <w:rFonts w:ascii="Times New Roman" w:hAnsi="Times New Roman" w:cs="Times New Roman"/>
          <w:color w:val="000000" w:themeColor="text1"/>
          <w:sz w:val="26"/>
          <w:szCs w:val="26"/>
          <w:shd w:val="clear" w:color="auto" w:fill="FFFFFF"/>
        </w:rPr>
        <w:t xml:space="preserve">  </w:t>
      </w:r>
      <w:r w:rsidRPr="0041367D" w:rsidR="59DAFE3E">
        <w:rPr>
          <w:rStyle w:val="normaltextrun"/>
          <w:rFonts w:ascii="Times New Roman" w:hAnsi="Times New Roman" w:cs="Times New Roman"/>
          <w:color w:val="000000" w:themeColor="text1"/>
          <w:sz w:val="26"/>
          <w:szCs w:val="26"/>
          <w:shd w:val="clear" w:color="auto" w:fill="FFFFFF"/>
        </w:rPr>
        <w:t>On September 23, 2026</w:t>
      </w:r>
      <w:r w:rsidRPr="7916F8C6" w:rsidR="155E4EFE">
        <w:rPr>
          <w:rStyle w:val="normaltextrun"/>
          <w:rFonts w:ascii="Times New Roman" w:hAnsi="Times New Roman" w:cs="Times New Roman"/>
          <w:color w:val="000000" w:themeColor="text1"/>
          <w:sz w:val="26"/>
          <w:szCs w:val="26"/>
        </w:rPr>
        <w:t>, however</w:t>
      </w:r>
      <w:r w:rsidRPr="7916F8C6" w:rsidR="59DAFE3E">
        <w:rPr>
          <w:rStyle w:val="normaltextrun"/>
          <w:rFonts w:ascii="Times New Roman" w:hAnsi="Times New Roman" w:cs="Times New Roman"/>
          <w:color w:val="000000" w:themeColor="text1"/>
          <w:sz w:val="26"/>
          <w:szCs w:val="26"/>
        </w:rPr>
        <w:t>, the California Supreme Court granted CalCCA’s petition for review of the Court of Appeal’s summarily denial and</w:t>
      </w:r>
      <w:r w:rsidR="00CB26BE">
        <w:rPr>
          <w:rStyle w:val="normaltextrun"/>
          <w:rFonts w:ascii="Times New Roman" w:hAnsi="Times New Roman" w:cs="Times New Roman"/>
          <w:color w:val="000000" w:themeColor="text1"/>
          <w:sz w:val="26"/>
          <w:szCs w:val="26"/>
        </w:rPr>
        <w:t xml:space="preserve"> </w:t>
      </w:r>
      <w:r w:rsidRPr="7916F8C6" w:rsidR="59DAFE3E">
        <w:rPr>
          <w:rStyle w:val="normaltextrun"/>
          <w:rFonts w:ascii="Times New Roman" w:hAnsi="Times New Roman" w:cs="Times New Roman"/>
          <w:color w:val="000000" w:themeColor="text1"/>
          <w:sz w:val="26"/>
          <w:szCs w:val="26"/>
        </w:rPr>
        <w:t>transferred the matter back to the Court of Appeal with directions to vacate the order denying the petition for writ of review and to issue a writ of review to be heard before the Court.</w:t>
      </w:r>
      <w:r w:rsidR="00CB26BE">
        <w:rPr>
          <w:rStyle w:val="normaltextrun"/>
          <w:rFonts w:ascii="Times New Roman" w:hAnsi="Times New Roman" w:cs="Times New Roman"/>
          <w:color w:val="000000" w:themeColor="text1"/>
          <w:sz w:val="26"/>
          <w:szCs w:val="26"/>
        </w:rPr>
        <w:t xml:space="preserve"> </w:t>
      </w:r>
      <w:r w:rsidRPr="7916F8C6" w:rsidR="59DAFE3E">
        <w:rPr>
          <w:rStyle w:val="normaltextrun"/>
          <w:rFonts w:ascii="Times New Roman" w:hAnsi="Times New Roman" w:cs="Times New Roman"/>
          <w:color w:val="000000" w:themeColor="text1"/>
          <w:sz w:val="26"/>
          <w:szCs w:val="26"/>
        </w:rPr>
        <w:t>(</w:t>
      </w:r>
      <w:r w:rsidRPr="4C473D7A" w:rsidR="59DAFE3E">
        <w:rPr>
          <w:rStyle w:val="normaltextrun"/>
          <w:rFonts w:ascii="Times New Roman" w:hAnsi="Times New Roman" w:cs="Times New Roman"/>
          <w:i/>
          <w:iCs/>
          <w:color w:val="000000" w:themeColor="text1"/>
          <w:sz w:val="26"/>
          <w:szCs w:val="26"/>
        </w:rPr>
        <w:t>Order</w:t>
      </w:r>
      <w:r w:rsidR="00CB26BE">
        <w:rPr>
          <w:rStyle w:val="normaltextrun"/>
          <w:rFonts w:ascii="Times New Roman" w:hAnsi="Times New Roman" w:cs="Times New Roman"/>
          <w:i/>
          <w:iCs/>
          <w:color w:val="000000" w:themeColor="text1"/>
          <w:sz w:val="26"/>
          <w:szCs w:val="26"/>
        </w:rPr>
        <w:t xml:space="preserve"> </w:t>
      </w:r>
      <w:r w:rsidRPr="4C473D7A" w:rsidR="59DAFE3E">
        <w:rPr>
          <w:rStyle w:val="normaltextrun"/>
          <w:rFonts w:ascii="Times New Roman" w:hAnsi="Times New Roman" w:cs="Times New Roman"/>
          <w:i/>
          <w:iCs/>
          <w:color w:val="000000" w:themeColor="text1"/>
          <w:sz w:val="26"/>
          <w:szCs w:val="26"/>
        </w:rPr>
        <w:t>Granting Petition for Review</w:t>
      </w:r>
      <w:r w:rsidRPr="7916F8C6" w:rsidR="59DAFE3E">
        <w:rPr>
          <w:rStyle w:val="normaltextrun"/>
          <w:rFonts w:ascii="Times New Roman" w:hAnsi="Times New Roman" w:cs="Times New Roman"/>
          <w:color w:val="000000" w:themeColor="text1"/>
          <w:sz w:val="26"/>
          <w:szCs w:val="26"/>
        </w:rPr>
        <w:t>,</w:t>
      </w:r>
      <w:r w:rsidR="00CB26BE">
        <w:rPr>
          <w:rStyle w:val="normaltextrun"/>
          <w:rFonts w:ascii="Times New Roman" w:hAnsi="Times New Roman" w:cs="Times New Roman"/>
          <w:color w:val="000000" w:themeColor="text1"/>
          <w:sz w:val="26"/>
          <w:szCs w:val="26"/>
        </w:rPr>
        <w:t xml:space="preserve"> </w:t>
      </w:r>
      <w:r w:rsidRPr="4C473D7A" w:rsidR="59DAFE3E">
        <w:rPr>
          <w:rStyle w:val="normaltextrun"/>
          <w:rFonts w:ascii="Times New Roman" w:hAnsi="Times New Roman" w:cs="Times New Roman"/>
          <w:i/>
          <w:iCs/>
          <w:color w:val="000000" w:themeColor="text1"/>
          <w:sz w:val="26"/>
          <w:szCs w:val="26"/>
        </w:rPr>
        <w:t>CalCCA v. Public</w:t>
      </w:r>
      <w:r w:rsidR="00CB26BE">
        <w:rPr>
          <w:rStyle w:val="normaltextrun"/>
          <w:rFonts w:ascii="Times New Roman" w:hAnsi="Times New Roman" w:cs="Times New Roman"/>
          <w:i/>
          <w:iCs/>
          <w:color w:val="000000" w:themeColor="text1"/>
          <w:sz w:val="26"/>
          <w:szCs w:val="26"/>
        </w:rPr>
        <w:t xml:space="preserve"> </w:t>
      </w:r>
      <w:r w:rsidRPr="4C473D7A" w:rsidR="59DAFE3E">
        <w:rPr>
          <w:rStyle w:val="normaltextrun"/>
          <w:rFonts w:ascii="Times New Roman" w:hAnsi="Times New Roman" w:cs="Times New Roman"/>
          <w:i/>
          <w:iCs/>
          <w:color w:val="000000" w:themeColor="text1"/>
          <w:sz w:val="26"/>
          <w:szCs w:val="26"/>
        </w:rPr>
        <w:t>Utilities</w:t>
      </w:r>
      <w:r w:rsidR="00CB26BE">
        <w:rPr>
          <w:rStyle w:val="normaltextrun"/>
          <w:rFonts w:ascii="Times New Roman" w:hAnsi="Times New Roman" w:cs="Times New Roman"/>
          <w:i/>
          <w:iCs/>
          <w:color w:val="000000" w:themeColor="text1"/>
          <w:sz w:val="26"/>
          <w:szCs w:val="26"/>
        </w:rPr>
        <w:t xml:space="preserve"> </w:t>
      </w:r>
      <w:r w:rsidRPr="4C473D7A" w:rsidR="59DAFE3E">
        <w:rPr>
          <w:rStyle w:val="normaltextrun"/>
          <w:rFonts w:ascii="Times New Roman" w:hAnsi="Times New Roman" w:cs="Times New Roman"/>
          <w:i/>
          <w:iCs/>
          <w:color w:val="000000" w:themeColor="text1"/>
          <w:sz w:val="26"/>
          <w:szCs w:val="26"/>
        </w:rPr>
        <w:t>Commission</w:t>
      </w:r>
      <w:r w:rsidRPr="7916F8C6" w:rsidR="59DAFE3E">
        <w:rPr>
          <w:rStyle w:val="normaltextrun"/>
          <w:rFonts w:ascii="Times New Roman" w:hAnsi="Times New Roman" w:cs="Times New Roman"/>
          <w:color w:val="000000" w:themeColor="text1"/>
          <w:sz w:val="26"/>
          <w:szCs w:val="26"/>
        </w:rPr>
        <w:t>, S297373 (September 23, 2026).)</w:t>
      </w:r>
    </w:p>
    <w:p w:rsidRPr="00CE0E23" w:rsidR="0081190F" w:rsidP="2E5CEFEF" w:rsidRDefault="64B71269" w14:paraId="5028FE7A" w14:textId="16529F71">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contextualSpacing/>
        <w:rPr>
          <w:rFonts w:ascii="Times New Roman" w:hAnsi="Times New Roman" w:cs="Times New Roman"/>
          <w:color w:val="000000" w:themeColor="text1"/>
          <w:sz w:val="26"/>
          <w:szCs w:val="26"/>
        </w:rPr>
      </w:pPr>
      <w:r w:rsidRPr="7916F8C6">
        <w:rPr>
          <w:rFonts w:ascii="Times New Roman" w:hAnsi="Times New Roman" w:cs="Times New Roman"/>
          <w:color w:val="000000" w:themeColor="text1"/>
          <w:sz w:val="26"/>
          <w:szCs w:val="26"/>
        </w:rPr>
        <w:t xml:space="preserve">CalCCA’s rehearing application </w:t>
      </w:r>
      <w:r w:rsidRPr="7916F8C6" w:rsidR="35937E6D">
        <w:rPr>
          <w:rFonts w:ascii="Times New Roman" w:hAnsi="Times New Roman" w:cs="Times New Roman"/>
          <w:color w:val="000000" w:themeColor="text1"/>
          <w:sz w:val="26"/>
          <w:szCs w:val="26"/>
        </w:rPr>
        <w:t>of</w:t>
      </w:r>
      <w:r w:rsidRPr="7916F8C6">
        <w:rPr>
          <w:rFonts w:ascii="Times New Roman" w:hAnsi="Times New Roman" w:cs="Times New Roman"/>
          <w:color w:val="000000" w:themeColor="text1"/>
          <w:sz w:val="26"/>
          <w:szCs w:val="26"/>
        </w:rPr>
        <w:t xml:space="preserve"> the Decision at issue raises the identical claim of retroactive ratemaking.  CalCCA again asserts that D.25-06-049 unlawfully engages in retroactive ratemaking by changing the RA MPB methodology “midstream.”  (Rehg. App., at p. </w:t>
      </w:r>
      <w:r w:rsidRPr="7916F8C6" w:rsidR="66764645">
        <w:rPr>
          <w:rFonts w:ascii="Times New Roman" w:hAnsi="Times New Roman" w:cs="Times New Roman"/>
          <w:color w:val="000000" w:themeColor="text1"/>
          <w:sz w:val="26"/>
          <w:szCs w:val="26"/>
        </w:rPr>
        <w:t>10</w:t>
      </w:r>
      <w:r w:rsidRPr="7916F8C6">
        <w:rPr>
          <w:rFonts w:ascii="Times New Roman" w:hAnsi="Times New Roman" w:cs="Times New Roman"/>
          <w:color w:val="000000" w:themeColor="text1"/>
          <w:sz w:val="26"/>
          <w:szCs w:val="26"/>
        </w:rPr>
        <w:t>.)  CalCCA alleges that the Decision at issue perpetuates this alleged legal violation by carrying out D.25-06-049’s directive to apply the revised RA MPB to the final 2025 ERRA balances.  (</w:t>
      </w:r>
      <w:r w:rsidRPr="7916F8C6">
        <w:rPr>
          <w:rFonts w:ascii="Times New Roman" w:hAnsi="Times New Roman" w:cs="Times New Roman"/>
          <w:i/>
          <w:iCs/>
          <w:color w:val="000000" w:themeColor="text1"/>
          <w:sz w:val="26"/>
          <w:szCs w:val="26"/>
        </w:rPr>
        <w:t>Id</w:t>
      </w:r>
      <w:r w:rsidRPr="7916F8C6">
        <w:rPr>
          <w:rFonts w:ascii="Times New Roman" w:hAnsi="Times New Roman" w:cs="Times New Roman"/>
          <w:color w:val="000000" w:themeColor="text1"/>
          <w:sz w:val="26"/>
          <w:szCs w:val="26"/>
        </w:rPr>
        <w:t xml:space="preserve">., at </w:t>
      </w:r>
      <w:r w:rsidRPr="7916F8C6">
        <w:rPr>
          <w:rFonts w:ascii="Times New Roman" w:hAnsi="Times New Roman" w:cs="Times New Roman"/>
          <w:sz w:val="26"/>
          <w:szCs w:val="26"/>
        </w:rPr>
        <w:t>pp. 11-12, 14-</w:t>
      </w:r>
      <w:r w:rsidRPr="7916F8C6">
        <w:rPr>
          <w:rFonts w:ascii="Times New Roman" w:hAnsi="Times New Roman" w:cs="Times New Roman"/>
          <w:color w:val="000000" w:themeColor="text1"/>
          <w:sz w:val="26"/>
          <w:szCs w:val="26"/>
        </w:rPr>
        <w:t xml:space="preserve">20.)  </w:t>
      </w:r>
    </w:p>
    <w:p w:rsidR="417F4FC5" w:rsidP="7916F8C6" w:rsidRDefault="0D93ECBF" w14:paraId="3EBED63A" w14:textId="33A154A7">
      <w:pPr>
        <w:spacing w:line="360" w:lineRule="auto"/>
        <w:ind w:firstLine="720"/>
        <w:rPr>
          <w:rFonts w:ascii="Times New Roman" w:hAnsi="Times New Roman" w:eastAsia="Times New Roman" w:cs="Times New Roman"/>
          <w:color w:val="000000" w:themeColor="text1"/>
          <w:sz w:val="26"/>
          <w:szCs w:val="26"/>
        </w:rPr>
      </w:pPr>
      <w:r w:rsidRPr="4C473D7A">
        <w:rPr>
          <w:rFonts w:ascii="Times New Roman" w:hAnsi="Times New Roman" w:eastAsia="Times New Roman" w:cs="Times New Roman"/>
          <w:color w:val="000000" w:themeColor="text1"/>
          <w:sz w:val="25"/>
          <w:szCs w:val="25"/>
        </w:rPr>
        <w:t xml:space="preserve">The Commission made the determination to apply the revised RA MPB to the final 2025 ERRA balances in D.25-06-049.  The Decision was merely implementing this prior decision.  CalCCA is using its rehearing application of the Decision to collaterally attack a determination made in D.25-06-049, which is not permitted.  (See §§ 1731, 1756.)  </w:t>
      </w:r>
      <w:r w:rsidRPr="4C473D7A" w:rsidR="4FD9CA15">
        <w:rPr>
          <w:rFonts w:ascii="Times New Roman" w:hAnsi="Times New Roman" w:eastAsia="Times New Roman" w:cs="Times New Roman"/>
          <w:color w:val="000000" w:themeColor="text1"/>
          <w:sz w:val="26"/>
          <w:szCs w:val="26"/>
        </w:rPr>
        <w:t xml:space="preserve">CalCCA’s direct attack of D.25-06-049 </w:t>
      </w:r>
      <w:r w:rsidRPr="4C473D7A" w:rsidR="59DAFE3E">
        <w:rPr>
          <w:rFonts w:ascii="Times New Roman" w:hAnsi="Times New Roman" w:eastAsia="Times New Roman" w:cs="Times New Roman"/>
          <w:color w:val="000000" w:themeColor="text1"/>
          <w:sz w:val="26"/>
          <w:szCs w:val="26"/>
        </w:rPr>
        <w:t>is pending and will</w:t>
      </w:r>
      <w:r w:rsidRPr="4C473D7A" w:rsidR="4FD9CA15">
        <w:rPr>
          <w:rFonts w:ascii="Times New Roman" w:hAnsi="Times New Roman" w:eastAsia="Times New Roman" w:cs="Times New Roman"/>
          <w:color w:val="000000" w:themeColor="text1"/>
          <w:sz w:val="26"/>
          <w:szCs w:val="26"/>
        </w:rPr>
        <w:t xml:space="preserve"> be considered by the </w:t>
      </w:r>
      <w:r w:rsidRPr="4C473D7A" w:rsidR="59DAFE3E">
        <w:rPr>
          <w:rFonts w:ascii="Times New Roman" w:hAnsi="Times New Roman" w:eastAsia="Times New Roman" w:cs="Times New Roman"/>
          <w:color w:val="000000" w:themeColor="text1"/>
          <w:sz w:val="26"/>
          <w:szCs w:val="26"/>
        </w:rPr>
        <w:t>Court of Appeal</w:t>
      </w:r>
      <w:r w:rsidRPr="4C473D7A" w:rsidR="4FD9CA15">
        <w:rPr>
          <w:rFonts w:ascii="Times New Roman" w:hAnsi="Times New Roman" w:eastAsia="Times New Roman" w:cs="Times New Roman"/>
          <w:color w:val="000000" w:themeColor="text1"/>
          <w:sz w:val="26"/>
          <w:szCs w:val="26"/>
        </w:rPr>
        <w:t>.  (</w:t>
      </w:r>
      <w:r w:rsidRPr="4C473D7A" w:rsidR="59DAFE3E">
        <w:rPr>
          <w:rFonts w:ascii="Times New Roman" w:hAnsi="Times New Roman" w:eastAsia="Times New Roman" w:cs="Times New Roman"/>
          <w:i/>
          <w:iCs/>
          <w:color w:val="000000" w:themeColor="text1"/>
          <w:sz w:val="26"/>
          <w:szCs w:val="26"/>
        </w:rPr>
        <w:t>Order</w:t>
      </w:r>
      <w:r w:rsidRPr="4C473D7A" w:rsidR="59DAFE3E">
        <w:rPr>
          <w:rFonts w:ascii="Times New Roman" w:hAnsi="Times New Roman" w:eastAsia="Times New Roman" w:cs="Times New Roman"/>
          <w:color w:val="000000" w:themeColor="text1"/>
          <w:sz w:val="26"/>
          <w:szCs w:val="26"/>
        </w:rPr>
        <w:t xml:space="preserve"> </w:t>
      </w:r>
      <w:r w:rsidRPr="4C473D7A" w:rsidR="59DAFE3E">
        <w:rPr>
          <w:rFonts w:ascii="Times New Roman" w:hAnsi="Times New Roman" w:eastAsia="Times New Roman" w:cs="Times New Roman"/>
          <w:i/>
          <w:iCs/>
          <w:color w:val="000000" w:themeColor="text1"/>
          <w:sz w:val="26"/>
          <w:szCs w:val="26"/>
        </w:rPr>
        <w:t>Granting</w:t>
      </w:r>
      <w:r w:rsidRPr="4C473D7A" w:rsidR="59DAFE3E">
        <w:rPr>
          <w:rFonts w:ascii="Times New Roman" w:hAnsi="Times New Roman" w:eastAsia="Times New Roman" w:cs="Times New Roman"/>
          <w:color w:val="000000" w:themeColor="text1"/>
          <w:sz w:val="26"/>
          <w:szCs w:val="26"/>
        </w:rPr>
        <w:t xml:space="preserve"> </w:t>
      </w:r>
      <w:r w:rsidRPr="4C473D7A" w:rsidR="59DAFE3E">
        <w:rPr>
          <w:rFonts w:ascii="Times New Roman" w:hAnsi="Times New Roman" w:eastAsia="Times New Roman" w:cs="Times New Roman"/>
          <w:i/>
          <w:iCs/>
          <w:color w:val="000000" w:themeColor="text1"/>
          <w:sz w:val="26"/>
          <w:szCs w:val="26"/>
        </w:rPr>
        <w:t>Petition</w:t>
      </w:r>
      <w:r w:rsidRPr="4C473D7A" w:rsidR="59DAFE3E">
        <w:rPr>
          <w:rFonts w:ascii="Times New Roman" w:hAnsi="Times New Roman" w:eastAsia="Times New Roman" w:cs="Times New Roman"/>
          <w:color w:val="000000" w:themeColor="text1"/>
          <w:sz w:val="26"/>
          <w:szCs w:val="26"/>
        </w:rPr>
        <w:t xml:space="preserve"> </w:t>
      </w:r>
      <w:r w:rsidRPr="4C473D7A" w:rsidR="59DAFE3E">
        <w:rPr>
          <w:rFonts w:ascii="Times New Roman" w:hAnsi="Times New Roman" w:eastAsia="Times New Roman" w:cs="Times New Roman"/>
          <w:i/>
          <w:iCs/>
          <w:color w:val="000000" w:themeColor="text1"/>
          <w:sz w:val="26"/>
          <w:szCs w:val="26"/>
        </w:rPr>
        <w:t>for</w:t>
      </w:r>
      <w:r w:rsidRPr="4C473D7A" w:rsidR="59DAFE3E">
        <w:rPr>
          <w:rFonts w:ascii="Times New Roman" w:hAnsi="Times New Roman" w:eastAsia="Times New Roman" w:cs="Times New Roman"/>
          <w:color w:val="000000" w:themeColor="text1"/>
          <w:sz w:val="26"/>
          <w:szCs w:val="26"/>
        </w:rPr>
        <w:t xml:space="preserve"> </w:t>
      </w:r>
      <w:r w:rsidRPr="4C473D7A" w:rsidR="59DAFE3E">
        <w:rPr>
          <w:rFonts w:ascii="Times New Roman" w:hAnsi="Times New Roman" w:eastAsia="Times New Roman" w:cs="Times New Roman"/>
          <w:i/>
          <w:iCs/>
          <w:color w:val="000000" w:themeColor="text1"/>
          <w:sz w:val="26"/>
          <w:szCs w:val="26"/>
        </w:rPr>
        <w:t>Review</w:t>
      </w:r>
      <w:r w:rsidRPr="4C473D7A" w:rsidR="59DAFE3E">
        <w:rPr>
          <w:rFonts w:ascii="Times New Roman" w:hAnsi="Times New Roman" w:eastAsia="Times New Roman" w:cs="Times New Roman"/>
          <w:color w:val="000000" w:themeColor="text1"/>
          <w:sz w:val="26"/>
          <w:szCs w:val="26"/>
        </w:rPr>
        <w:t xml:space="preserve">, </w:t>
      </w:r>
      <w:r w:rsidRPr="4C473D7A" w:rsidR="59DAFE3E">
        <w:rPr>
          <w:rFonts w:ascii="Times New Roman" w:hAnsi="Times New Roman" w:eastAsia="Times New Roman" w:cs="Times New Roman"/>
          <w:i/>
          <w:iCs/>
          <w:color w:val="000000" w:themeColor="text1"/>
          <w:sz w:val="26"/>
          <w:szCs w:val="26"/>
        </w:rPr>
        <w:t>supra</w:t>
      </w:r>
      <w:r w:rsidRPr="4C473D7A" w:rsidR="59DAFE3E">
        <w:rPr>
          <w:rFonts w:ascii="Times New Roman" w:hAnsi="Times New Roman" w:eastAsia="Times New Roman" w:cs="Times New Roman"/>
          <w:color w:val="000000" w:themeColor="text1"/>
          <w:sz w:val="26"/>
          <w:szCs w:val="26"/>
        </w:rPr>
        <w:t>, S297373</w:t>
      </w:r>
      <w:r w:rsidRPr="4C473D7A" w:rsidR="4FD9CA15">
        <w:rPr>
          <w:rFonts w:ascii="Times New Roman" w:hAnsi="Times New Roman" w:eastAsia="Times New Roman" w:cs="Times New Roman"/>
          <w:color w:val="000000" w:themeColor="text1"/>
          <w:sz w:val="26"/>
          <w:szCs w:val="26"/>
        </w:rPr>
        <w:t>).</w:t>
      </w:r>
      <w:r w:rsidRPr="4C473D7A" w:rsidR="59DAFE3E">
        <w:rPr>
          <w:rFonts w:ascii="Times New Roman" w:hAnsi="Times New Roman" w:eastAsia="Times New Roman" w:cs="Times New Roman"/>
          <w:color w:val="000000" w:themeColor="text1"/>
          <w:sz w:val="26"/>
          <w:szCs w:val="26"/>
        </w:rPr>
        <w:t xml:space="preserve">  If a Court determines that the application of the revised RA MPB to the 2025 ERRA true-up is unlawful, the Commission may modify the </w:t>
      </w:r>
      <w:proofErr w:type="gramStart"/>
      <w:r w:rsidRPr="4C473D7A" w:rsidR="59DAFE3E">
        <w:rPr>
          <w:rFonts w:ascii="Times New Roman" w:hAnsi="Times New Roman" w:eastAsia="Times New Roman" w:cs="Times New Roman"/>
          <w:color w:val="000000" w:themeColor="text1"/>
          <w:sz w:val="26"/>
          <w:szCs w:val="26"/>
        </w:rPr>
        <w:t>Decision</w:t>
      </w:r>
      <w:proofErr w:type="gramEnd"/>
      <w:r w:rsidRPr="4C473D7A" w:rsidR="59DAFE3E">
        <w:rPr>
          <w:rFonts w:ascii="Times New Roman" w:hAnsi="Times New Roman" w:eastAsia="Times New Roman" w:cs="Times New Roman"/>
          <w:color w:val="000000" w:themeColor="text1"/>
          <w:sz w:val="26"/>
          <w:szCs w:val="26"/>
        </w:rPr>
        <w:t xml:space="preserve"> and</w:t>
      </w:r>
      <w:r w:rsidRPr="4C473D7A" w:rsidR="4FD9CA15">
        <w:rPr>
          <w:rFonts w:ascii="Times New Roman" w:hAnsi="Times New Roman" w:eastAsia="Times New Roman" w:cs="Times New Roman"/>
          <w:color w:val="000000" w:themeColor="text1"/>
          <w:sz w:val="26"/>
          <w:szCs w:val="26"/>
        </w:rPr>
        <w:t xml:space="preserve"> parties</w:t>
      </w:r>
      <w:r w:rsidRPr="4C473D7A" w:rsidR="4264BF23">
        <w:rPr>
          <w:rFonts w:ascii="Times New Roman" w:hAnsi="Times New Roman" w:eastAsia="Times New Roman" w:cs="Times New Roman"/>
          <w:color w:val="000000" w:themeColor="text1"/>
          <w:sz w:val="26"/>
          <w:szCs w:val="26"/>
        </w:rPr>
        <w:t xml:space="preserve"> also</w:t>
      </w:r>
      <w:r w:rsidRPr="4C473D7A" w:rsidR="4FD9CA15">
        <w:rPr>
          <w:rFonts w:ascii="Times New Roman" w:hAnsi="Times New Roman" w:eastAsia="Times New Roman" w:cs="Times New Roman"/>
          <w:color w:val="000000" w:themeColor="text1"/>
          <w:sz w:val="26"/>
          <w:szCs w:val="26"/>
        </w:rPr>
        <w:t xml:space="preserve"> </w:t>
      </w:r>
      <w:r w:rsidRPr="4C473D7A" w:rsidR="06436D4E">
        <w:rPr>
          <w:rFonts w:ascii="Times New Roman" w:hAnsi="Times New Roman" w:eastAsia="Times New Roman" w:cs="Times New Roman"/>
          <w:color w:val="000000" w:themeColor="text1"/>
          <w:sz w:val="26"/>
          <w:szCs w:val="26"/>
        </w:rPr>
        <w:t xml:space="preserve">have the option </w:t>
      </w:r>
      <w:r w:rsidRPr="4C473D7A" w:rsidR="4FD9CA15">
        <w:rPr>
          <w:rFonts w:ascii="Times New Roman" w:hAnsi="Times New Roman" w:eastAsia="Times New Roman" w:cs="Times New Roman"/>
          <w:color w:val="000000" w:themeColor="text1"/>
          <w:sz w:val="26"/>
          <w:szCs w:val="26"/>
        </w:rPr>
        <w:t xml:space="preserve">to file a petition to modify the </w:t>
      </w:r>
      <w:r w:rsidRPr="4C473D7A" w:rsidR="4264BF23">
        <w:rPr>
          <w:rFonts w:ascii="Times New Roman" w:hAnsi="Times New Roman" w:eastAsia="Times New Roman" w:cs="Times New Roman"/>
          <w:color w:val="000000" w:themeColor="text1"/>
          <w:sz w:val="26"/>
          <w:szCs w:val="26"/>
        </w:rPr>
        <w:t>D</w:t>
      </w:r>
      <w:r w:rsidRPr="4C473D7A" w:rsidR="4FD9CA15">
        <w:rPr>
          <w:rFonts w:ascii="Times New Roman" w:hAnsi="Times New Roman" w:eastAsia="Times New Roman" w:cs="Times New Roman"/>
          <w:color w:val="000000" w:themeColor="text1"/>
          <w:sz w:val="26"/>
          <w:szCs w:val="26"/>
        </w:rPr>
        <w:t xml:space="preserve">ecision.  (§ 1708; </w:t>
      </w:r>
      <w:r w:rsidRPr="4C473D7A" w:rsidR="4FD9CA15">
        <w:rPr>
          <w:rFonts w:ascii="Times New Roman" w:hAnsi="Times New Roman" w:eastAsia="Times New Roman" w:cs="Times New Roman"/>
          <w:sz w:val="26"/>
          <w:szCs w:val="26"/>
        </w:rPr>
        <w:t>Rule of Practice and Procedure</w:t>
      </w:r>
      <w:r w:rsidRPr="4C473D7A" w:rsidR="4FD9CA15">
        <w:rPr>
          <w:rFonts w:ascii="Times New Roman" w:hAnsi="Times New Roman" w:eastAsia="Times New Roman" w:cs="Times New Roman"/>
          <w:color w:val="000000" w:themeColor="text1"/>
          <w:sz w:val="26"/>
          <w:szCs w:val="26"/>
        </w:rPr>
        <w:t>, Rule 16.4.</w:t>
      </w:r>
      <w:r w:rsidRPr="4C473D7A" w:rsidR="417F4FC5">
        <w:rPr>
          <w:rStyle w:val="FootnoteReference"/>
          <w:rFonts w:ascii="Times New Roman" w:hAnsi="Times New Roman" w:eastAsia="Times New Roman" w:cs="Times New Roman"/>
          <w:b/>
          <w:bCs/>
          <w:color w:val="000000" w:themeColor="text1"/>
          <w:sz w:val="26"/>
          <w:szCs w:val="26"/>
          <w:u w:val="single"/>
        </w:rPr>
        <w:footnoteReference w:id="4"/>
      </w:r>
      <w:r w:rsidRPr="4C473D7A" w:rsidR="4FD9CA15">
        <w:rPr>
          <w:rFonts w:ascii="Times New Roman" w:hAnsi="Times New Roman" w:eastAsia="Times New Roman" w:cs="Times New Roman"/>
          <w:color w:val="000000" w:themeColor="text1"/>
          <w:sz w:val="26"/>
          <w:szCs w:val="26"/>
        </w:rPr>
        <w:t xml:space="preserve">)  </w:t>
      </w:r>
    </w:p>
    <w:p w:rsidR="0081190F" w:rsidP="2E5CEFEF" w:rsidRDefault="0081190F" w14:paraId="01FD7364" w14:textId="01CC6C64">
      <w:pPr>
        <w:spacing w:line="360" w:lineRule="auto"/>
        <w:ind w:firstLine="720"/>
        <w:contextualSpacing/>
      </w:pPr>
      <w:r w:rsidRPr="2E5CEFEF">
        <w:rPr>
          <w:rFonts w:ascii="Times New Roman" w:hAnsi="Times New Roman" w:cs="Times New Roman"/>
          <w:color w:val="000000" w:themeColor="text1"/>
          <w:sz w:val="26"/>
          <w:szCs w:val="26"/>
        </w:rPr>
        <w:t>In sum,</w:t>
      </w:r>
      <w:r w:rsidRPr="2E5CEFEF" w:rsidR="00076628">
        <w:rPr>
          <w:rFonts w:ascii="Times New Roman" w:hAnsi="Times New Roman" w:cs="Times New Roman"/>
          <w:color w:val="000000" w:themeColor="text1"/>
          <w:sz w:val="26"/>
          <w:szCs w:val="26"/>
        </w:rPr>
        <w:t xml:space="preserve"> the determination that the revised RA MPB should appl</w:t>
      </w:r>
      <w:r w:rsidR="00BD228C">
        <w:rPr>
          <w:rFonts w:ascii="Times New Roman" w:hAnsi="Times New Roman" w:cs="Times New Roman"/>
          <w:color w:val="000000" w:themeColor="text1"/>
          <w:sz w:val="26"/>
          <w:szCs w:val="26"/>
        </w:rPr>
        <w:t>y</w:t>
      </w:r>
      <w:r w:rsidRPr="2E5CEFEF" w:rsidR="00076628">
        <w:rPr>
          <w:rFonts w:ascii="Times New Roman" w:hAnsi="Times New Roman" w:cs="Times New Roman"/>
          <w:color w:val="000000" w:themeColor="text1"/>
          <w:sz w:val="26"/>
          <w:szCs w:val="26"/>
        </w:rPr>
        <w:t xml:space="preserve"> to the 2025 ERRA</w:t>
      </w:r>
      <w:r w:rsidR="00BD228C">
        <w:rPr>
          <w:rFonts w:ascii="Times New Roman" w:hAnsi="Times New Roman" w:cs="Times New Roman"/>
          <w:color w:val="000000" w:themeColor="text1"/>
          <w:sz w:val="26"/>
          <w:szCs w:val="26"/>
        </w:rPr>
        <w:t xml:space="preserve"> true-up was made</w:t>
      </w:r>
      <w:r w:rsidRPr="2E5CEFEF" w:rsidR="00076628">
        <w:rPr>
          <w:rFonts w:ascii="Times New Roman" w:hAnsi="Times New Roman" w:cs="Times New Roman"/>
          <w:color w:val="000000" w:themeColor="text1"/>
          <w:sz w:val="26"/>
          <w:szCs w:val="26"/>
        </w:rPr>
        <w:t xml:space="preserve"> </w:t>
      </w:r>
      <w:proofErr w:type="gramStart"/>
      <w:r w:rsidRPr="2E5CEFEF" w:rsidR="00076628">
        <w:rPr>
          <w:rFonts w:ascii="Times New Roman" w:hAnsi="Times New Roman" w:cs="Times New Roman"/>
          <w:color w:val="000000" w:themeColor="text1"/>
          <w:sz w:val="26"/>
          <w:szCs w:val="26"/>
        </w:rPr>
        <w:t>in</w:t>
      </w:r>
      <w:proofErr w:type="gramEnd"/>
      <w:r w:rsidRPr="2E5CEFEF" w:rsidR="00076628">
        <w:rPr>
          <w:rFonts w:ascii="Times New Roman" w:hAnsi="Times New Roman" w:cs="Times New Roman"/>
          <w:color w:val="000000" w:themeColor="text1"/>
          <w:sz w:val="26"/>
          <w:szCs w:val="26"/>
        </w:rPr>
        <w:t xml:space="preserve"> D.25-06-049</w:t>
      </w:r>
      <w:r w:rsidRPr="2E5CEFEF" w:rsidR="0C4EAD04">
        <w:rPr>
          <w:rFonts w:ascii="Times New Roman" w:hAnsi="Times New Roman" w:cs="Times New Roman"/>
          <w:color w:val="000000" w:themeColor="text1"/>
          <w:sz w:val="26"/>
          <w:szCs w:val="26"/>
        </w:rPr>
        <w:t>.  W</w:t>
      </w:r>
      <w:r w:rsidRPr="2E5CEFEF">
        <w:rPr>
          <w:rFonts w:ascii="Times New Roman" w:hAnsi="Times New Roman" w:cs="Times New Roman"/>
          <w:color w:val="000000" w:themeColor="text1"/>
          <w:sz w:val="26"/>
          <w:szCs w:val="26"/>
        </w:rPr>
        <w:t xml:space="preserve">e decline CalCCA’s attempt to </w:t>
      </w:r>
      <w:r w:rsidR="00BD228C">
        <w:rPr>
          <w:rFonts w:ascii="Times New Roman" w:hAnsi="Times New Roman" w:cs="Times New Roman"/>
          <w:color w:val="000000" w:themeColor="text1"/>
          <w:sz w:val="26"/>
          <w:szCs w:val="26"/>
        </w:rPr>
        <w:t>use a rehearing application of the Decision to collaterally attack the determination made in D.25-06-049.</w:t>
      </w:r>
    </w:p>
    <w:p w:rsidRPr="00CE0E23" w:rsidR="0081190F" w:rsidP="005C40B5" w:rsidRDefault="0081190F" w14:paraId="3CE8763B" w14:textId="2D2E3170">
      <w:pPr>
        <w:pStyle w:val="Heading2"/>
      </w:pPr>
      <w:r w:rsidRPr="3C8DCF92">
        <w:lastRenderedPageBreak/>
        <w:t>CalCCA fails to show that the Decision</w:t>
      </w:r>
      <w:r w:rsidRPr="3C8DCF92" w:rsidR="0C42887E">
        <w:t>’s application of the revised RA MPB</w:t>
      </w:r>
      <w:r w:rsidRPr="3C8DCF92">
        <w:t xml:space="preserve"> is inadequately supported by findings</w:t>
      </w:r>
      <w:r w:rsidRPr="3C8DCF92" w:rsidR="666EA496">
        <w:t xml:space="preserve"> </w:t>
      </w:r>
      <w:r w:rsidRPr="3C8DCF92">
        <w:t xml:space="preserve">and fails to show that the Decision is arbitrary or an abuse of the Commission’s discretion.   </w:t>
      </w:r>
    </w:p>
    <w:p w:rsidR="0081190F" w:rsidP="4341D8DB" w:rsidRDefault="0081190F" w14:paraId="731CFA77" w14:textId="02776180">
      <w:pPr>
        <w:spacing w:line="360" w:lineRule="auto"/>
        <w:ind w:firstLine="720"/>
        <w:rPr>
          <w:rFonts w:ascii="Times New Roman" w:hAnsi="Times New Roman" w:cs="Times New Roman"/>
          <w:sz w:val="26"/>
          <w:szCs w:val="26"/>
        </w:rPr>
      </w:pPr>
      <w:r w:rsidRPr="2E5CEFEF">
        <w:rPr>
          <w:rFonts w:ascii="Times New Roman" w:hAnsi="Times New Roman" w:cs="Times New Roman"/>
          <w:sz w:val="26"/>
          <w:szCs w:val="26"/>
        </w:rPr>
        <w:t>CalCCA alleges that the Decision</w:t>
      </w:r>
      <w:r w:rsidRPr="2E5CEFEF" w:rsidR="278B9620">
        <w:rPr>
          <w:rFonts w:ascii="Times New Roman" w:hAnsi="Times New Roman" w:cs="Times New Roman"/>
          <w:sz w:val="26"/>
          <w:szCs w:val="26"/>
        </w:rPr>
        <w:t>’s use of the RA MPB</w:t>
      </w:r>
      <w:r w:rsidRPr="2E5CEFEF">
        <w:rPr>
          <w:rFonts w:ascii="Times New Roman" w:hAnsi="Times New Roman" w:cs="Times New Roman"/>
          <w:sz w:val="26"/>
          <w:szCs w:val="26"/>
        </w:rPr>
        <w:t xml:space="preserve"> is inadequately supported by the Decision’s findings and is arbitrary or an abuse of the Commission’s discretion.  (Rehg. App., at pp. 2</w:t>
      </w:r>
      <w:r w:rsidRPr="2E5CEFEF" w:rsidR="69FE98D1">
        <w:rPr>
          <w:rFonts w:ascii="Times New Roman" w:hAnsi="Times New Roman" w:cs="Times New Roman"/>
          <w:sz w:val="26"/>
          <w:szCs w:val="26"/>
        </w:rPr>
        <w:t>0</w:t>
      </w:r>
      <w:r w:rsidRPr="2E5CEFEF">
        <w:rPr>
          <w:rFonts w:ascii="Times New Roman" w:hAnsi="Times New Roman" w:cs="Times New Roman"/>
          <w:sz w:val="26"/>
          <w:szCs w:val="26"/>
        </w:rPr>
        <w:t>-2</w:t>
      </w:r>
      <w:r w:rsidRPr="2E5CEFEF" w:rsidR="3F75474E">
        <w:rPr>
          <w:rFonts w:ascii="Times New Roman" w:hAnsi="Times New Roman" w:cs="Times New Roman"/>
          <w:sz w:val="26"/>
          <w:szCs w:val="26"/>
        </w:rPr>
        <w:t>4</w:t>
      </w:r>
      <w:r w:rsidRPr="2E5CEFEF">
        <w:rPr>
          <w:rFonts w:ascii="Times New Roman" w:hAnsi="Times New Roman" w:cs="Times New Roman"/>
          <w:sz w:val="26"/>
          <w:szCs w:val="26"/>
        </w:rPr>
        <w:t>.)  CalCCA claim</w:t>
      </w:r>
      <w:r w:rsidRPr="2E5CEFEF" w:rsidR="26ED91DD">
        <w:rPr>
          <w:rFonts w:ascii="Times New Roman" w:hAnsi="Times New Roman" w:cs="Times New Roman"/>
          <w:sz w:val="26"/>
          <w:szCs w:val="26"/>
        </w:rPr>
        <w:t>s</w:t>
      </w:r>
      <w:r w:rsidRPr="2E5CEFEF">
        <w:rPr>
          <w:rFonts w:ascii="Times New Roman" w:hAnsi="Times New Roman" w:cs="Times New Roman"/>
          <w:sz w:val="26"/>
          <w:szCs w:val="26"/>
        </w:rPr>
        <w:t xml:space="preserve"> that </w:t>
      </w:r>
      <w:r w:rsidRPr="2E5CEFEF" w:rsidR="1351BE8F">
        <w:rPr>
          <w:rFonts w:ascii="Times New Roman" w:hAnsi="Times New Roman" w:cs="Times New Roman"/>
          <w:sz w:val="26"/>
          <w:szCs w:val="26"/>
        </w:rPr>
        <w:t xml:space="preserve">the </w:t>
      </w:r>
      <w:r w:rsidRPr="2E5CEFEF">
        <w:rPr>
          <w:rFonts w:ascii="Times New Roman" w:hAnsi="Times New Roman" w:cs="Times New Roman"/>
          <w:sz w:val="26"/>
          <w:szCs w:val="26"/>
        </w:rPr>
        <w:t>findings “do not adequately wrestle with how the use of the new, unlawfully applied [RA MPB] methodology has changed rates, the magnitude of those changes, or why the Commission believes such changes are legal and justified in the face of allegations that they are unlawfully retroactive.”</w:t>
      </w:r>
      <w:r w:rsidR="00CB26BE">
        <w:rPr>
          <w:rFonts w:ascii="Times New Roman" w:hAnsi="Times New Roman" w:cs="Times New Roman"/>
          <w:sz w:val="26"/>
          <w:szCs w:val="26"/>
        </w:rPr>
        <w:br/>
      </w:r>
      <w:r w:rsidRPr="2E5CEFEF">
        <w:rPr>
          <w:rFonts w:ascii="Times New Roman" w:hAnsi="Times New Roman" w:cs="Times New Roman"/>
          <w:sz w:val="26"/>
          <w:szCs w:val="26"/>
        </w:rPr>
        <w:t>(</w:t>
      </w:r>
      <w:r w:rsidRPr="2E5CEFEF">
        <w:rPr>
          <w:rFonts w:ascii="Times New Roman" w:hAnsi="Times New Roman" w:cs="Times New Roman"/>
          <w:i/>
          <w:iCs/>
          <w:sz w:val="26"/>
          <w:szCs w:val="26"/>
        </w:rPr>
        <w:t>Id</w:t>
      </w:r>
      <w:r w:rsidRPr="2E5CEFEF">
        <w:rPr>
          <w:rFonts w:ascii="Times New Roman" w:hAnsi="Times New Roman" w:cs="Times New Roman"/>
          <w:sz w:val="26"/>
          <w:szCs w:val="26"/>
        </w:rPr>
        <w:t>. at p. 2</w:t>
      </w:r>
      <w:r w:rsidRPr="2E5CEFEF" w:rsidR="08F6D6E2">
        <w:rPr>
          <w:rFonts w:ascii="Times New Roman" w:hAnsi="Times New Roman" w:cs="Times New Roman"/>
          <w:sz w:val="26"/>
          <w:szCs w:val="26"/>
        </w:rPr>
        <w:t>2</w:t>
      </w:r>
      <w:r w:rsidRPr="2E5CEFEF">
        <w:rPr>
          <w:rFonts w:ascii="Times New Roman" w:hAnsi="Times New Roman" w:cs="Times New Roman"/>
          <w:sz w:val="26"/>
          <w:szCs w:val="26"/>
        </w:rPr>
        <w:t>.)</w:t>
      </w:r>
      <w:r w:rsidRPr="2E5CEFEF" w:rsidR="00076628">
        <w:rPr>
          <w:rFonts w:ascii="Times New Roman" w:hAnsi="Times New Roman" w:cs="Times New Roman"/>
          <w:sz w:val="26"/>
          <w:szCs w:val="26"/>
        </w:rPr>
        <w:t xml:space="preserve">  These claims of legal error fail.</w:t>
      </w:r>
      <w:r w:rsidRPr="2E5CEFEF">
        <w:rPr>
          <w:rFonts w:ascii="Times New Roman" w:hAnsi="Times New Roman" w:cs="Times New Roman"/>
          <w:sz w:val="26"/>
          <w:szCs w:val="26"/>
        </w:rPr>
        <w:t xml:space="preserve">  </w:t>
      </w:r>
    </w:p>
    <w:p w:rsidR="0081190F" w:rsidP="4341D8DB" w:rsidRDefault="64B71269" w14:paraId="39C1A124" w14:textId="16E9ED07">
      <w:pPr>
        <w:spacing w:line="360" w:lineRule="auto"/>
        <w:ind w:firstLine="720"/>
        <w:rPr>
          <w:rFonts w:ascii="Times New Roman" w:hAnsi="Times New Roman" w:cs="Times New Roman"/>
          <w:sz w:val="26"/>
          <w:szCs w:val="26"/>
        </w:rPr>
      </w:pPr>
      <w:r w:rsidRPr="7916F8C6">
        <w:rPr>
          <w:rFonts w:ascii="Times New Roman" w:hAnsi="Times New Roman" w:cs="Times New Roman"/>
          <w:sz w:val="26"/>
          <w:szCs w:val="26"/>
        </w:rPr>
        <w:t>CalCCA seems to suggest that the Commission is required to again justify</w:t>
      </w:r>
      <w:r w:rsidRPr="7916F8C6" w:rsidR="4264BF23">
        <w:rPr>
          <w:rFonts w:ascii="Times New Roman" w:hAnsi="Times New Roman" w:cs="Times New Roman"/>
          <w:sz w:val="26"/>
          <w:szCs w:val="26"/>
        </w:rPr>
        <w:t xml:space="preserve"> </w:t>
      </w:r>
      <w:r w:rsidRPr="7916F8C6">
        <w:rPr>
          <w:rFonts w:ascii="Times New Roman" w:hAnsi="Times New Roman" w:cs="Times New Roman"/>
          <w:sz w:val="26"/>
          <w:szCs w:val="26"/>
        </w:rPr>
        <w:t>application of the revised RA MPB.  As explained</w:t>
      </w:r>
      <w:r w:rsidRPr="7916F8C6" w:rsidR="755B8B65">
        <w:rPr>
          <w:rFonts w:ascii="Times New Roman" w:hAnsi="Times New Roman" w:cs="Times New Roman"/>
          <w:sz w:val="26"/>
          <w:szCs w:val="26"/>
        </w:rPr>
        <w:t>,</w:t>
      </w:r>
      <w:r w:rsidRPr="7916F8C6">
        <w:rPr>
          <w:rFonts w:ascii="Times New Roman" w:hAnsi="Times New Roman" w:cs="Times New Roman"/>
          <w:sz w:val="26"/>
          <w:szCs w:val="26"/>
        </w:rPr>
        <w:t xml:space="preserve"> </w:t>
      </w:r>
      <w:r w:rsidRPr="7916F8C6" w:rsidR="0A0C2E0A">
        <w:rPr>
          <w:rFonts w:ascii="Times New Roman" w:hAnsi="Times New Roman" w:cs="Times New Roman"/>
          <w:sz w:val="26"/>
          <w:szCs w:val="26"/>
        </w:rPr>
        <w:t>however</w:t>
      </w:r>
      <w:r w:rsidRPr="7916F8C6">
        <w:rPr>
          <w:rFonts w:ascii="Times New Roman" w:hAnsi="Times New Roman" w:cs="Times New Roman"/>
          <w:sz w:val="26"/>
          <w:szCs w:val="26"/>
        </w:rPr>
        <w:t xml:space="preserve">, this issue </w:t>
      </w:r>
      <w:r w:rsidRPr="7916F8C6" w:rsidR="3EB80AB4">
        <w:rPr>
          <w:rFonts w:ascii="Times New Roman" w:hAnsi="Times New Roman" w:cs="Times New Roman"/>
          <w:sz w:val="26"/>
          <w:szCs w:val="26"/>
        </w:rPr>
        <w:t xml:space="preserve">has </w:t>
      </w:r>
      <w:r w:rsidRPr="7916F8C6">
        <w:rPr>
          <w:rFonts w:ascii="Times New Roman" w:hAnsi="Times New Roman" w:cs="Times New Roman"/>
          <w:sz w:val="26"/>
          <w:szCs w:val="26"/>
        </w:rPr>
        <w:t>already</w:t>
      </w:r>
      <w:r w:rsidRPr="7916F8C6" w:rsidR="1C435492">
        <w:rPr>
          <w:rFonts w:ascii="Times New Roman" w:hAnsi="Times New Roman" w:cs="Times New Roman"/>
          <w:sz w:val="26"/>
          <w:szCs w:val="26"/>
        </w:rPr>
        <w:t xml:space="preserve"> been</w:t>
      </w:r>
      <w:r w:rsidRPr="7916F8C6">
        <w:rPr>
          <w:rFonts w:ascii="Times New Roman" w:hAnsi="Times New Roman" w:cs="Times New Roman"/>
          <w:sz w:val="26"/>
          <w:szCs w:val="26"/>
        </w:rPr>
        <w:t xml:space="preserve"> decided </w:t>
      </w:r>
      <w:proofErr w:type="gramStart"/>
      <w:r w:rsidRPr="7916F8C6">
        <w:rPr>
          <w:rFonts w:ascii="Times New Roman" w:hAnsi="Times New Roman" w:cs="Times New Roman"/>
          <w:sz w:val="26"/>
          <w:szCs w:val="26"/>
        </w:rPr>
        <w:t>in</w:t>
      </w:r>
      <w:proofErr w:type="gramEnd"/>
      <w:r w:rsidRPr="7916F8C6">
        <w:rPr>
          <w:rFonts w:ascii="Times New Roman" w:hAnsi="Times New Roman" w:cs="Times New Roman"/>
          <w:sz w:val="26"/>
          <w:szCs w:val="26"/>
        </w:rPr>
        <w:t xml:space="preserve"> D.25-06-049.  (See section II.A., </w:t>
      </w:r>
      <w:r w:rsidRPr="7916F8C6">
        <w:rPr>
          <w:rFonts w:ascii="Times New Roman" w:hAnsi="Times New Roman" w:cs="Times New Roman"/>
          <w:i/>
          <w:iCs/>
          <w:sz w:val="26"/>
          <w:szCs w:val="26"/>
        </w:rPr>
        <w:t>supra</w:t>
      </w:r>
      <w:r w:rsidRPr="7916F8C6">
        <w:rPr>
          <w:rFonts w:ascii="Times New Roman" w:hAnsi="Times New Roman" w:cs="Times New Roman"/>
          <w:sz w:val="26"/>
          <w:szCs w:val="26"/>
        </w:rPr>
        <w:t xml:space="preserve">.)  D.25-06-049 specifically directed that the revised RA MPB be applied to the 2025 final RA MPB, which is exactly what the Decision does.  (See </w:t>
      </w:r>
      <w:r w:rsidRPr="7916F8C6">
        <w:rPr>
          <w:rFonts w:ascii="Times New Roman" w:hAnsi="Times New Roman" w:cs="Times New Roman"/>
          <w:color w:val="000000" w:themeColor="text1"/>
          <w:sz w:val="26"/>
          <w:szCs w:val="26"/>
        </w:rPr>
        <w:t xml:space="preserve">D.25-06-049, at p. 34, COL 10 and OPs 1 and 2.)  </w:t>
      </w:r>
      <w:r w:rsidRPr="7916F8C6">
        <w:rPr>
          <w:rFonts w:ascii="Times New Roman" w:hAnsi="Times New Roman" w:cs="Times New Roman"/>
          <w:sz w:val="26"/>
          <w:szCs w:val="26"/>
        </w:rPr>
        <w:t>D.25-06-049 already adopted findings explaining why the RA MPB “changes are legal and justified in the face of allegations that they are unlawfully retroactive.”  (Rehg. App., at p. 2</w:t>
      </w:r>
      <w:r w:rsidRPr="7916F8C6" w:rsidR="0742BB29">
        <w:rPr>
          <w:rFonts w:ascii="Times New Roman" w:hAnsi="Times New Roman" w:cs="Times New Roman"/>
          <w:sz w:val="26"/>
          <w:szCs w:val="26"/>
        </w:rPr>
        <w:t>2</w:t>
      </w:r>
      <w:r w:rsidRPr="7916F8C6">
        <w:rPr>
          <w:rFonts w:ascii="Times New Roman" w:hAnsi="Times New Roman" w:cs="Times New Roman"/>
          <w:sz w:val="26"/>
          <w:szCs w:val="26"/>
        </w:rPr>
        <w:t xml:space="preserve">.)  There is no legal requirement – and CalCCA points to no legal authority supporting its assertion – that the Commission must re-litigate or re-justify a final determination made in a prior decision.  </w:t>
      </w:r>
    </w:p>
    <w:p w:rsidRPr="004852B5" w:rsidR="0081190F" w:rsidP="4341D8DB" w:rsidRDefault="64B71269" w14:paraId="544FC0DD" w14:textId="1E6EFBF6">
      <w:pPr>
        <w:spacing w:line="360" w:lineRule="auto"/>
        <w:ind w:firstLine="720"/>
        <w:rPr>
          <w:rFonts w:ascii="Times New Roman" w:hAnsi="Times New Roman" w:cs="Times New Roman"/>
          <w:sz w:val="26"/>
          <w:szCs w:val="26"/>
        </w:rPr>
      </w:pPr>
      <w:r w:rsidRPr="4C473D7A">
        <w:rPr>
          <w:rFonts w:ascii="Times New Roman" w:hAnsi="Times New Roman" w:cs="Times New Roman"/>
          <w:sz w:val="26"/>
          <w:szCs w:val="26"/>
        </w:rPr>
        <w:t xml:space="preserve">CalCCA’s allegation of arbitrary decision-making or </w:t>
      </w:r>
      <w:r w:rsidRPr="4C473D7A" w:rsidR="0936D9B9">
        <w:rPr>
          <w:rFonts w:ascii="Times New Roman" w:hAnsi="Times New Roman" w:cs="Times New Roman"/>
          <w:sz w:val="26"/>
          <w:szCs w:val="26"/>
        </w:rPr>
        <w:t xml:space="preserve">an </w:t>
      </w:r>
      <w:r w:rsidRPr="4C473D7A">
        <w:rPr>
          <w:rFonts w:ascii="Times New Roman" w:hAnsi="Times New Roman" w:cs="Times New Roman"/>
          <w:sz w:val="26"/>
          <w:szCs w:val="26"/>
        </w:rPr>
        <w:t xml:space="preserve">abuse of discretion fails </w:t>
      </w:r>
      <w:r w:rsidRPr="4C473D7A" w:rsidR="261BBA02">
        <w:rPr>
          <w:rFonts w:ascii="Times New Roman" w:hAnsi="Times New Roman" w:cs="Times New Roman"/>
          <w:sz w:val="26"/>
          <w:szCs w:val="26"/>
        </w:rPr>
        <w:t>for</w:t>
      </w:r>
      <w:r w:rsidRPr="4C473D7A">
        <w:rPr>
          <w:rFonts w:ascii="Times New Roman" w:hAnsi="Times New Roman" w:cs="Times New Roman"/>
          <w:sz w:val="26"/>
          <w:szCs w:val="26"/>
        </w:rPr>
        <w:t xml:space="preserve"> similar reasons.  CalCCA claims that the Commission abused its discretion “by arbitrarily approving the retroactive application of the new RA MPB methodology to the calculation of rates set in this proceeding.”  (</w:t>
      </w:r>
      <w:r w:rsidRPr="4C473D7A" w:rsidR="6257C6ED">
        <w:rPr>
          <w:rFonts w:ascii="Times New Roman" w:hAnsi="Times New Roman" w:cs="Times New Roman"/>
          <w:i/>
          <w:iCs/>
          <w:sz w:val="26"/>
          <w:szCs w:val="26"/>
        </w:rPr>
        <w:t>I</w:t>
      </w:r>
      <w:r w:rsidRPr="4C473D7A" w:rsidR="110BE0A3">
        <w:rPr>
          <w:rFonts w:ascii="Times New Roman" w:hAnsi="Times New Roman" w:cs="Times New Roman"/>
          <w:i/>
          <w:iCs/>
          <w:sz w:val="26"/>
          <w:szCs w:val="26"/>
        </w:rPr>
        <w:t>bid</w:t>
      </w:r>
      <w:r w:rsidRPr="4C473D7A">
        <w:rPr>
          <w:rFonts w:ascii="Times New Roman" w:hAnsi="Times New Roman" w:cs="Times New Roman"/>
          <w:sz w:val="26"/>
          <w:szCs w:val="26"/>
        </w:rPr>
        <w:t xml:space="preserve">.)  </w:t>
      </w:r>
      <w:r w:rsidRPr="4C473D7A" w:rsidR="4264BF23">
        <w:rPr>
          <w:rFonts w:ascii="Times New Roman" w:hAnsi="Times New Roman" w:cs="Times New Roman"/>
          <w:sz w:val="26"/>
          <w:szCs w:val="26"/>
        </w:rPr>
        <w:t xml:space="preserve">The Commission previously determined </w:t>
      </w:r>
      <w:proofErr w:type="gramStart"/>
      <w:r w:rsidRPr="4C473D7A" w:rsidR="4264BF23">
        <w:rPr>
          <w:rFonts w:ascii="Times New Roman" w:hAnsi="Times New Roman" w:cs="Times New Roman"/>
          <w:sz w:val="26"/>
          <w:szCs w:val="26"/>
        </w:rPr>
        <w:t>in</w:t>
      </w:r>
      <w:proofErr w:type="gramEnd"/>
      <w:r w:rsidRPr="4C473D7A" w:rsidR="4264BF23">
        <w:rPr>
          <w:rFonts w:ascii="Times New Roman" w:hAnsi="Times New Roman" w:cs="Times New Roman"/>
          <w:sz w:val="26"/>
          <w:szCs w:val="26"/>
        </w:rPr>
        <w:t xml:space="preserve"> </w:t>
      </w:r>
      <w:r w:rsidRPr="4C473D7A">
        <w:rPr>
          <w:rFonts w:ascii="Times New Roman" w:hAnsi="Times New Roman" w:cs="Times New Roman"/>
          <w:sz w:val="26"/>
          <w:szCs w:val="26"/>
        </w:rPr>
        <w:t xml:space="preserve">D.25-06-049 </w:t>
      </w:r>
      <w:r w:rsidRPr="4C473D7A" w:rsidR="4264BF23">
        <w:rPr>
          <w:rFonts w:ascii="Times New Roman" w:hAnsi="Times New Roman" w:cs="Times New Roman"/>
          <w:sz w:val="26"/>
          <w:szCs w:val="26"/>
        </w:rPr>
        <w:t xml:space="preserve">that the revised RA MPB should be applied effective immediately and found that there was no </w:t>
      </w:r>
      <w:r w:rsidRPr="4C473D7A">
        <w:rPr>
          <w:rFonts w:ascii="Times New Roman" w:hAnsi="Times New Roman" w:cs="Times New Roman"/>
          <w:sz w:val="26"/>
          <w:szCs w:val="26"/>
        </w:rPr>
        <w:t xml:space="preserve">retroactive ratemaking.  (See </w:t>
      </w:r>
      <w:r w:rsidRPr="4C473D7A">
        <w:rPr>
          <w:rFonts w:ascii="Times New Roman" w:hAnsi="Times New Roman" w:cs="Times New Roman"/>
          <w:color w:val="000000" w:themeColor="text1"/>
          <w:sz w:val="26"/>
          <w:szCs w:val="26"/>
        </w:rPr>
        <w:t xml:space="preserve">D.25-06-049, </w:t>
      </w:r>
      <w:r w:rsidRPr="4C473D7A">
        <w:rPr>
          <w:rFonts w:ascii="Times New Roman" w:hAnsi="Times New Roman" w:cs="Times New Roman"/>
          <w:i/>
          <w:iCs/>
          <w:color w:val="000000" w:themeColor="text1"/>
          <w:sz w:val="26"/>
          <w:szCs w:val="26"/>
        </w:rPr>
        <w:t>supra</w:t>
      </w:r>
      <w:r w:rsidRPr="4C473D7A">
        <w:rPr>
          <w:rFonts w:ascii="Times New Roman" w:hAnsi="Times New Roman" w:cs="Times New Roman"/>
          <w:color w:val="000000" w:themeColor="text1"/>
          <w:sz w:val="26"/>
          <w:szCs w:val="26"/>
        </w:rPr>
        <w:t>,</w:t>
      </w:r>
      <w:r w:rsidRPr="4C473D7A">
        <w:rPr>
          <w:rFonts w:ascii="Times New Roman" w:hAnsi="Times New Roman" w:cs="Times New Roman"/>
          <w:sz w:val="26"/>
          <w:szCs w:val="26"/>
        </w:rPr>
        <w:t xml:space="preserve"> at p. 34, COL 9.)  There is nothing arbitrary about complying with a prior</w:t>
      </w:r>
      <w:r w:rsidRPr="4C473D7A" w:rsidR="4264BF23">
        <w:rPr>
          <w:rFonts w:ascii="Times New Roman" w:hAnsi="Times New Roman" w:cs="Times New Roman"/>
          <w:sz w:val="26"/>
          <w:szCs w:val="26"/>
        </w:rPr>
        <w:t xml:space="preserve"> </w:t>
      </w:r>
      <w:r w:rsidRPr="4C473D7A">
        <w:rPr>
          <w:rFonts w:ascii="Times New Roman" w:hAnsi="Times New Roman" w:cs="Times New Roman"/>
          <w:sz w:val="26"/>
          <w:szCs w:val="26"/>
        </w:rPr>
        <w:t xml:space="preserve">decision. </w:t>
      </w:r>
    </w:p>
    <w:p w:rsidRPr="005B6498" w:rsidR="0081190F" w:rsidP="3C8DCF92" w:rsidRDefault="0081190F" w14:paraId="295028A3" w14:textId="5A25AA40">
      <w:pPr>
        <w:spacing w:line="360" w:lineRule="auto"/>
        <w:ind w:firstLine="720"/>
        <w:rPr>
          <w:rFonts w:ascii="Times New Roman" w:hAnsi="Times New Roman" w:cs="Times New Roman"/>
          <w:sz w:val="26"/>
          <w:szCs w:val="26"/>
        </w:rPr>
      </w:pPr>
      <w:r w:rsidRPr="3C8DCF92">
        <w:rPr>
          <w:rFonts w:ascii="Times New Roman" w:hAnsi="Times New Roman" w:cs="Times New Roman"/>
          <w:sz w:val="26"/>
          <w:szCs w:val="26"/>
        </w:rPr>
        <w:lastRenderedPageBreak/>
        <w:t>CalCCA also takes issue with what it construes as a failure to publish an “Alternate Final 2025 RA MPB,” using the prior iteration of the RA MPB.  (Rehg. App., at p. 2</w:t>
      </w:r>
      <w:r w:rsidRPr="3C8DCF92" w:rsidR="0E7B8B83">
        <w:rPr>
          <w:rFonts w:ascii="Times New Roman" w:hAnsi="Times New Roman" w:cs="Times New Roman"/>
          <w:sz w:val="26"/>
          <w:szCs w:val="26"/>
        </w:rPr>
        <w:t>3</w:t>
      </w:r>
      <w:r w:rsidRPr="3C8DCF92">
        <w:rPr>
          <w:rFonts w:ascii="Times New Roman" w:hAnsi="Times New Roman" w:cs="Times New Roman"/>
          <w:sz w:val="26"/>
          <w:szCs w:val="26"/>
        </w:rPr>
        <w:t>.)  CalCCA claims that this figure is “necessary to identify the precise impact of the Commission’s decision to calculate the 2025 Final RA MPB using the new RA MPB methodology instead of the existing RA MPB methodology.”  (</w:t>
      </w:r>
      <w:r w:rsidRPr="3C8DCF92">
        <w:rPr>
          <w:rFonts w:ascii="Times New Roman" w:hAnsi="Times New Roman" w:cs="Times New Roman"/>
          <w:i/>
          <w:iCs/>
          <w:sz w:val="26"/>
          <w:szCs w:val="26"/>
        </w:rPr>
        <w:t>Ibid</w:t>
      </w:r>
      <w:r w:rsidRPr="3C8DCF92">
        <w:rPr>
          <w:rFonts w:ascii="Times New Roman" w:hAnsi="Times New Roman" w:cs="Times New Roman"/>
          <w:sz w:val="26"/>
          <w:szCs w:val="26"/>
        </w:rPr>
        <w:t xml:space="preserve">.)  CalCCA points to no legal authority for the notion that the Commission must </w:t>
      </w:r>
      <w:r w:rsidRPr="3C8DCF92" w:rsidR="6428B5A4">
        <w:rPr>
          <w:rFonts w:ascii="Times New Roman" w:hAnsi="Times New Roman" w:cs="Times New Roman"/>
          <w:sz w:val="26"/>
          <w:szCs w:val="26"/>
        </w:rPr>
        <w:t xml:space="preserve">engage in a hypothetical inquiry as to what would have occurred had prior determinations not been adopted.  </w:t>
      </w:r>
    </w:p>
    <w:p w:rsidRPr="00CE0E23" w:rsidR="0081190F" w:rsidP="005C40B5" w:rsidRDefault="0081190F" w14:paraId="26721FB4" w14:textId="74D4F527">
      <w:pPr>
        <w:pStyle w:val="Heading2"/>
      </w:pPr>
      <w:r>
        <w:t xml:space="preserve">CalCCA fails to show </w:t>
      </w:r>
      <w:r w:rsidR="57D587AD">
        <w:t>legal</w:t>
      </w:r>
      <w:r>
        <w:t xml:space="preserve"> </w:t>
      </w:r>
      <w:r w:rsidR="4BFC9517">
        <w:t>error</w:t>
      </w:r>
      <w:r w:rsidR="2CC2907C">
        <w:t xml:space="preserve"> </w:t>
      </w:r>
      <w:r>
        <w:t xml:space="preserve">in the Commission’s adoption of a zero-dollar value for pre-2019 banked </w:t>
      </w:r>
      <w:proofErr w:type="spellStart"/>
      <w:r>
        <w:t>REC</w:t>
      </w:r>
      <w:r w:rsidR="00076628">
        <w:t>s</w:t>
      </w:r>
      <w:r>
        <w:t>.</w:t>
      </w:r>
      <w:proofErr w:type="spellEnd"/>
      <w:r>
        <w:t xml:space="preserve">   </w:t>
      </w:r>
    </w:p>
    <w:p w:rsidRPr="005B6498" w:rsidR="0081190F" w:rsidP="2E5CEFEF" w:rsidRDefault="64B71269" w14:paraId="28364923" w14:textId="516479B1">
      <w:pPr>
        <w:spacing w:line="360" w:lineRule="auto"/>
        <w:ind w:firstLine="720"/>
        <w:rPr>
          <w:rFonts w:ascii="Times New Roman" w:hAnsi="Times New Roman" w:cs="Times New Roman"/>
          <w:sz w:val="26"/>
          <w:szCs w:val="26"/>
        </w:rPr>
      </w:pPr>
      <w:r w:rsidRPr="4C473D7A">
        <w:rPr>
          <w:rFonts w:ascii="Times New Roman" w:hAnsi="Times New Roman" w:cs="Times New Roman"/>
          <w:color w:val="000000" w:themeColor="text1"/>
          <w:sz w:val="26"/>
          <w:szCs w:val="26"/>
        </w:rPr>
        <w:t xml:space="preserve">CalCCA argues that the Decision errs by adopting </w:t>
      </w:r>
      <w:r w:rsidRPr="4C473D7A" w:rsidR="53441A07">
        <w:rPr>
          <w:rFonts w:ascii="Times New Roman" w:hAnsi="Times New Roman" w:cs="Times New Roman"/>
          <w:color w:val="000000" w:themeColor="text1"/>
          <w:sz w:val="26"/>
          <w:szCs w:val="26"/>
        </w:rPr>
        <w:t>PG&amp;</w:t>
      </w:r>
      <w:r w:rsidRPr="4C473D7A">
        <w:rPr>
          <w:rFonts w:ascii="Times New Roman" w:hAnsi="Times New Roman" w:cs="Times New Roman"/>
          <w:color w:val="000000" w:themeColor="text1"/>
          <w:sz w:val="26"/>
          <w:szCs w:val="26"/>
        </w:rPr>
        <w:t xml:space="preserve">E’s proposal to value pre-2019 banked RECs at zero dollars, as opposed to CalCCA’s proposal to value pre-2019 banked RECs at the RPS Adder. </w:t>
      </w:r>
      <w:r w:rsidRPr="4C473D7A" w:rsidR="1A508119">
        <w:rPr>
          <w:rFonts w:ascii="Times New Roman" w:hAnsi="Times New Roman" w:cs="Times New Roman"/>
          <w:color w:val="000000" w:themeColor="text1"/>
          <w:sz w:val="26"/>
          <w:szCs w:val="26"/>
        </w:rPr>
        <w:t xml:space="preserve"> </w:t>
      </w:r>
      <w:r w:rsidRPr="4C473D7A">
        <w:rPr>
          <w:rFonts w:ascii="Times New Roman" w:hAnsi="Times New Roman" w:cs="Times New Roman"/>
          <w:color w:val="000000" w:themeColor="text1"/>
          <w:sz w:val="26"/>
          <w:szCs w:val="26"/>
        </w:rPr>
        <w:t>(Rehg. App.</w:t>
      </w:r>
      <w:r w:rsidRPr="4C473D7A" w:rsidR="426CFEFC">
        <w:rPr>
          <w:rFonts w:ascii="Times New Roman" w:hAnsi="Times New Roman" w:cs="Times New Roman"/>
          <w:color w:val="000000" w:themeColor="text1"/>
          <w:sz w:val="26"/>
          <w:szCs w:val="26"/>
        </w:rPr>
        <w:t>,</w:t>
      </w:r>
      <w:r w:rsidRPr="4C473D7A">
        <w:rPr>
          <w:rFonts w:ascii="Times New Roman" w:hAnsi="Times New Roman" w:cs="Times New Roman"/>
          <w:color w:val="000000" w:themeColor="text1"/>
          <w:sz w:val="26"/>
          <w:szCs w:val="26"/>
        </w:rPr>
        <w:t xml:space="preserve"> at pp. 24-</w:t>
      </w:r>
      <w:r w:rsidRPr="4C473D7A" w:rsidR="3E83CB18">
        <w:rPr>
          <w:rFonts w:ascii="Times New Roman" w:hAnsi="Times New Roman" w:cs="Times New Roman"/>
          <w:color w:val="000000" w:themeColor="text1"/>
          <w:sz w:val="26"/>
          <w:szCs w:val="26"/>
        </w:rPr>
        <w:t>2</w:t>
      </w:r>
      <w:r w:rsidRPr="4C473D7A">
        <w:rPr>
          <w:rFonts w:ascii="Times New Roman" w:hAnsi="Times New Roman" w:cs="Times New Roman"/>
          <w:color w:val="000000" w:themeColor="text1"/>
          <w:sz w:val="26"/>
          <w:szCs w:val="26"/>
        </w:rPr>
        <w:t xml:space="preserve">5.)  CalCCA alleges that a zero-dollar value for pre-2019 banked RECs </w:t>
      </w:r>
      <w:r w:rsidRPr="4C473D7A" w:rsidR="561E3803">
        <w:rPr>
          <w:rFonts w:ascii="Times New Roman" w:hAnsi="Times New Roman" w:cs="Times New Roman"/>
          <w:color w:val="000000" w:themeColor="text1"/>
          <w:sz w:val="26"/>
          <w:szCs w:val="26"/>
        </w:rPr>
        <w:t>is</w:t>
      </w:r>
      <w:r w:rsidRPr="4C473D7A">
        <w:rPr>
          <w:rFonts w:ascii="Times New Roman" w:hAnsi="Times New Roman" w:cs="Times New Roman"/>
          <w:color w:val="000000" w:themeColor="text1"/>
          <w:sz w:val="26"/>
          <w:szCs w:val="26"/>
        </w:rPr>
        <w:t xml:space="preserve"> a violation of the indifference mandate as set forth in </w:t>
      </w:r>
      <w:r w:rsidRPr="4C473D7A" w:rsidR="5B56D94B">
        <w:rPr>
          <w:rFonts w:ascii="Times New Roman" w:hAnsi="Times New Roman" w:cs="Times New Roman"/>
          <w:color w:val="000000" w:themeColor="text1"/>
          <w:sz w:val="26"/>
          <w:szCs w:val="26"/>
        </w:rPr>
        <w:t xml:space="preserve">sections </w:t>
      </w:r>
      <w:r w:rsidRPr="4C473D7A" w:rsidR="6F5D84CF">
        <w:rPr>
          <w:rFonts w:ascii="Times New Roman" w:hAnsi="Times New Roman" w:cs="Times New Roman"/>
          <w:sz w:val="26"/>
          <w:szCs w:val="26"/>
        </w:rPr>
        <w:t xml:space="preserve">365.2, </w:t>
      </w:r>
      <w:r w:rsidRPr="4C473D7A">
        <w:rPr>
          <w:rFonts w:ascii="Times New Roman" w:hAnsi="Times New Roman" w:cs="Times New Roman"/>
          <w:sz w:val="26"/>
          <w:szCs w:val="26"/>
        </w:rPr>
        <w:t xml:space="preserve">366.2(a)(4), </w:t>
      </w:r>
      <w:r w:rsidRPr="4C473D7A" w:rsidR="3945C474">
        <w:rPr>
          <w:rFonts w:ascii="Times New Roman" w:hAnsi="Times New Roman" w:cs="Times New Roman"/>
          <w:sz w:val="26"/>
          <w:szCs w:val="26"/>
        </w:rPr>
        <w:t xml:space="preserve">366.2(g), and </w:t>
      </w:r>
      <w:r w:rsidRPr="4C473D7A">
        <w:rPr>
          <w:rFonts w:ascii="Times New Roman" w:hAnsi="Times New Roman" w:cs="Times New Roman"/>
          <w:sz w:val="26"/>
          <w:szCs w:val="26"/>
        </w:rPr>
        <w:t>366.3.  (</w:t>
      </w:r>
      <w:r w:rsidRPr="4C473D7A">
        <w:rPr>
          <w:rFonts w:ascii="Times New Roman" w:hAnsi="Times New Roman" w:cs="Times New Roman"/>
          <w:i/>
          <w:iCs/>
          <w:sz w:val="26"/>
          <w:szCs w:val="26"/>
        </w:rPr>
        <w:t>I</w:t>
      </w:r>
      <w:r w:rsidRPr="4C473D7A" w:rsidR="1182D034">
        <w:rPr>
          <w:rFonts w:ascii="Times New Roman" w:hAnsi="Times New Roman" w:cs="Times New Roman"/>
          <w:i/>
          <w:iCs/>
          <w:sz w:val="26"/>
          <w:szCs w:val="26"/>
        </w:rPr>
        <w:t>bi</w:t>
      </w:r>
      <w:r w:rsidRPr="4C473D7A">
        <w:rPr>
          <w:rFonts w:ascii="Times New Roman" w:hAnsi="Times New Roman" w:cs="Times New Roman"/>
          <w:i/>
          <w:iCs/>
          <w:sz w:val="26"/>
          <w:szCs w:val="26"/>
        </w:rPr>
        <w:t>d</w:t>
      </w:r>
      <w:r w:rsidRPr="4C473D7A">
        <w:rPr>
          <w:rFonts w:ascii="Times New Roman" w:hAnsi="Times New Roman" w:cs="Times New Roman"/>
          <w:sz w:val="26"/>
          <w:szCs w:val="26"/>
        </w:rPr>
        <w:t xml:space="preserve">.)  </w:t>
      </w:r>
    </w:p>
    <w:p w:rsidR="0081190F" w:rsidP="54E8C078" w:rsidRDefault="0081190F" w14:paraId="662C55BC" w14:textId="71F45707">
      <w:pPr>
        <w:spacing w:line="360" w:lineRule="auto"/>
        <w:ind w:firstLine="720"/>
      </w:pPr>
      <w:r w:rsidRPr="3C8DCF92">
        <w:rPr>
          <w:rFonts w:ascii="Times New Roman" w:hAnsi="Times New Roman" w:cs="Times New Roman"/>
          <w:sz w:val="26"/>
          <w:szCs w:val="26"/>
        </w:rPr>
        <w:t xml:space="preserve">CalCCA fails to show a violation of the indifference mandate.  The code sections relied on by CalCCA require the Commission to hold bundled and unbundled customers indifferent by ensuring that </w:t>
      </w:r>
      <w:r w:rsidRPr="3C8DCF92">
        <w:rPr>
          <w:rFonts w:ascii="Times New Roman" w:hAnsi="Times New Roman" w:cs="Times New Roman"/>
          <w:color w:val="000000" w:themeColor="text1"/>
          <w:sz w:val="26"/>
          <w:szCs w:val="26"/>
        </w:rPr>
        <w:t>bundled customers “do not experience any cost increases as a result of retail customers of an electrical corporation electing to receive service from other providers” and likewise, that “departing load does not experience any cost increases as a result of an allocation of costs that were not incurred on behalf of the departing load.”  (</w:t>
      </w:r>
      <w:r w:rsidRPr="3C8DCF92" w:rsidR="132D93D1">
        <w:rPr>
          <w:rFonts w:ascii="Times New Roman" w:hAnsi="Times New Roman" w:cs="Times New Roman"/>
          <w:color w:val="000000" w:themeColor="text1"/>
          <w:sz w:val="26"/>
          <w:szCs w:val="26"/>
        </w:rPr>
        <w:t xml:space="preserve">§ </w:t>
      </w:r>
      <w:r w:rsidRPr="3C8DCF92">
        <w:rPr>
          <w:rFonts w:ascii="Times New Roman" w:hAnsi="Times New Roman" w:cs="Times New Roman"/>
          <w:color w:val="000000" w:themeColor="text1"/>
          <w:sz w:val="26"/>
          <w:szCs w:val="26"/>
        </w:rPr>
        <w:t>365.2; see also</w:t>
      </w:r>
      <w:r w:rsidRPr="3C8DCF92" w:rsidR="0E71F80E">
        <w:rPr>
          <w:rFonts w:ascii="Times New Roman" w:hAnsi="Times New Roman" w:cs="Times New Roman"/>
          <w:color w:val="000000" w:themeColor="text1"/>
          <w:sz w:val="26"/>
          <w:szCs w:val="26"/>
        </w:rPr>
        <w:t xml:space="preserve"> </w:t>
      </w:r>
      <w:r w:rsidRPr="3C8DCF92" w:rsidR="4CA5DE73">
        <w:rPr>
          <w:rFonts w:ascii="Times New Roman" w:hAnsi="Times New Roman" w:cs="Times New Roman"/>
          <w:color w:val="000000" w:themeColor="text1"/>
          <w:sz w:val="26"/>
          <w:szCs w:val="26"/>
        </w:rPr>
        <w:t xml:space="preserve">§§ </w:t>
      </w:r>
      <w:r w:rsidRPr="3C8DCF92">
        <w:rPr>
          <w:rFonts w:ascii="Times New Roman" w:hAnsi="Times New Roman" w:cs="Times New Roman"/>
          <w:color w:val="000000" w:themeColor="text1"/>
          <w:sz w:val="26"/>
          <w:szCs w:val="26"/>
        </w:rPr>
        <w:t>366.3</w:t>
      </w:r>
      <w:r w:rsidRPr="3C8DCF92" w:rsidR="683B405A">
        <w:rPr>
          <w:rFonts w:ascii="Times New Roman" w:hAnsi="Times New Roman" w:cs="Times New Roman"/>
          <w:color w:val="000000" w:themeColor="text1"/>
          <w:sz w:val="26"/>
          <w:szCs w:val="26"/>
        </w:rPr>
        <w:t xml:space="preserve"> and </w:t>
      </w:r>
      <w:r w:rsidRPr="3C8DCF92">
        <w:rPr>
          <w:rFonts w:ascii="Times New Roman" w:hAnsi="Times New Roman" w:cs="Times New Roman"/>
          <w:color w:val="000000" w:themeColor="text1"/>
          <w:sz w:val="26"/>
          <w:szCs w:val="26"/>
        </w:rPr>
        <w:t xml:space="preserve">366.2 (a)(4) [stating substantially similar language].)  </w:t>
      </w:r>
    </w:p>
    <w:p w:rsidR="4B1087F2" w:rsidP="54E8C078" w:rsidRDefault="4B1087F2" w14:paraId="6F834865" w14:textId="303DE3E3">
      <w:pPr>
        <w:spacing w:line="360" w:lineRule="auto"/>
        <w:ind w:firstLine="720"/>
      </w:pPr>
      <w:r w:rsidRPr="40997F2A">
        <w:rPr>
          <w:rFonts w:ascii="Times New Roman" w:hAnsi="Times New Roman" w:cs="Times New Roman"/>
          <w:color w:val="000000" w:themeColor="text1"/>
          <w:sz w:val="26"/>
          <w:szCs w:val="26"/>
        </w:rPr>
        <w:t>The Decision</w:t>
      </w:r>
      <w:r w:rsidRPr="40997F2A" w:rsidR="1E634891">
        <w:rPr>
          <w:rFonts w:ascii="Times New Roman" w:hAnsi="Times New Roman" w:cs="Times New Roman"/>
          <w:color w:val="000000" w:themeColor="text1"/>
          <w:sz w:val="26"/>
          <w:szCs w:val="26"/>
        </w:rPr>
        <w:t>’s determination to value pre-2019 banked RECs at zero</w:t>
      </w:r>
      <w:r w:rsidRPr="40997F2A">
        <w:rPr>
          <w:rFonts w:ascii="Times New Roman" w:hAnsi="Times New Roman" w:cs="Times New Roman"/>
          <w:color w:val="000000" w:themeColor="text1"/>
          <w:sz w:val="26"/>
          <w:szCs w:val="26"/>
        </w:rPr>
        <w:t xml:space="preserve"> does not result in</w:t>
      </w:r>
      <w:r w:rsidRPr="40997F2A" w:rsidR="7C004ACE">
        <w:rPr>
          <w:rFonts w:ascii="Times New Roman" w:hAnsi="Times New Roman" w:cs="Times New Roman"/>
          <w:color w:val="000000" w:themeColor="text1"/>
          <w:sz w:val="26"/>
          <w:szCs w:val="26"/>
        </w:rPr>
        <w:t xml:space="preserve"> either</w:t>
      </w:r>
      <w:r w:rsidRPr="40997F2A">
        <w:rPr>
          <w:rFonts w:ascii="Times New Roman" w:hAnsi="Times New Roman" w:cs="Times New Roman"/>
          <w:color w:val="000000" w:themeColor="text1"/>
          <w:sz w:val="26"/>
          <w:szCs w:val="26"/>
        </w:rPr>
        <w:t xml:space="preserve"> bundled or unbundled customers paying increased costs</w:t>
      </w:r>
      <w:r w:rsidRPr="40997F2A" w:rsidR="1347F004">
        <w:rPr>
          <w:rFonts w:ascii="Times New Roman" w:hAnsi="Times New Roman" w:cs="Times New Roman"/>
          <w:color w:val="000000" w:themeColor="text1"/>
          <w:sz w:val="26"/>
          <w:szCs w:val="26"/>
        </w:rPr>
        <w:t>.  Under the Decision’s adopted REC valu</w:t>
      </w:r>
      <w:r w:rsidRPr="40997F2A" w:rsidR="131C3B06">
        <w:rPr>
          <w:rFonts w:ascii="Times New Roman" w:hAnsi="Times New Roman" w:cs="Times New Roman"/>
          <w:color w:val="000000" w:themeColor="text1"/>
          <w:sz w:val="26"/>
          <w:szCs w:val="26"/>
        </w:rPr>
        <w:t>e</w:t>
      </w:r>
      <w:r w:rsidRPr="40997F2A" w:rsidR="1347F004">
        <w:rPr>
          <w:rFonts w:ascii="Times New Roman" w:hAnsi="Times New Roman" w:cs="Times New Roman"/>
          <w:color w:val="000000" w:themeColor="text1"/>
          <w:sz w:val="26"/>
          <w:szCs w:val="26"/>
        </w:rPr>
        <w:t xml:space="preserve">, neither bundled </w:t>
      </w:r>
      <w:r w:rsidR="0071400C">
        <w:rPr>
          <w:rFonts w:ascii="Times New Roman" w:hAnsi="Times New Roman" w:cs="Times New Roman"/>
          <w:color w:val="000000" w:themeColor="text1"/>
          <w:sz w:val="26"/>
          <w:szCs w:val="26"/>
        </w:rPr>
        <w:t>n</w:t>
      </w:r>
      <w:r w:rsidRPr="40997F2A" w:rsidR="1347F004">
        <w:rPr>
          <w:rFonts w:ascii="Times New Roman" w:hAnsi="Times New Roman" w:cs="Times New Roman"/>
          <w:color w:val="000000" w:themeColor="text1"/>
          <w:sz w:val="26"/>
          <w:szCs w:val="26"/>
        </w:rPr>
        <w:t xml:space="preserve">or unbundled customers pay an additional amount associated with pre-2019 banked </w:t>
      </w:r>
      <w:proofErr w:type="spellStart"/>
      <w:r w:rsidRPr="40997F2A" w:rsidR="1347F004">
        <w:rPr>
          <w:rFonts w:ascii="Times New Roman" w:hAnsi="Times New Roman" w:cs="Times New Roman"/>
          <w:color w:val="000000" w:themeColor="text1"/>
          <w:sz w:val="26"/>
          <w:szCs w:val="26"/>
        </w:rPr>
        <w:t>RECs</w:t>
      </w:r>
      <w:r w:rsidRPr="40997F2A">
        <w:rPr>
          <w:rFonts w:ascii="Times New Roman" w:hAnsi="Times New Roman" w:cs="Times New Roman"/>
          <w:color w:val="000000" w:themeColor="text1"/>
          <w:sz w:val="26"/>
          <w:szCs w:val="26"/>
        </w:rPr>
        <w:t>.</w:t>
      </w:r>
      <w:proofErr w:type="spellEnd"/>
      <w:r w:rsidRPr="40997F2A" w:rsidR="2C16B07D">
        <w:rPr>
          <w:rFonts w:ascii="Times New Roman" w:hAnsi="Times New Roman" w:cs="Times New Roman"/>
          <w:color w:val="000000" w:themeColor="text1"/>
          <w:sz w:val="26"/>
          <w:szCs w:val="26"/>
        </w:rPr>
        <w:t xml:space="preserve"> </w:t>
      </w:r>
    </w:p>
    <w:p w:rsidR="4ACE0BE4" w:rsidP="40997F2A" w:rsidRDefault="4ACE0BE4" w14:paraId="0C54FE8C" w14:textId="29EB0B20">
      <w:pPr>
        <w:spacing w:line="360" w:lineRule="auto"/>
        <w:ind w:firstLine="720"/>
      </w:pPr>
      <w:r w:rsidRPr="40997F2A">
        <w:rPr>
          <w:rFonts w:ascii="Times New Roman" w:hAnsi="Times New Roman" w:cs="Times New Roman"/>
          <w:color w:val="000000" w:themeColor="text1"/>
          <w:sz w:val="26"/>
          <w:szCs w:val="26"/>
        </w:rPr>
        <w:t xml:space="preserve">CalCCA also fails to show a violation of section 366.2(g).  This code section requires that </w:t>
      </w:r>
      <w:r w:rsidRPr="40997F2A" w:rsidR="50B9BCDF">
        <w:rPr>
          <w:rFonts w:ascii="Times New Roman" w:hAnsi="Times New Roman" w:cs="Times New Roman"/>
          <w:color w:val="000000" w:themeColor="text1"/>
          <w:sz w:val="26"/>
          <w:szCs w:val="26"/>
        </w:rPr>
        <w:t>e</w:t>
      </w:r>
      <w:r w:rsidRPr="40997F2A" w:rsidR="50B9BCDF">
        <w:rPr>
          <w:rFonts w:ascii="Times New Roman" w:hAnsi="Times New Roman" w:eastAsia="Times New Roman" w:cs="Times New Roman"/>
          <w:color w:val="000000" w:themeColor="text1"/>
          <w:sz w:val="26"/>
          <w:szCs w:val="26"/>
        </w:rPr>
        <w:t xml:space="preserve">stimated net unavoidable electricity costs paid by CCA customers be reduced by the value of any benefits that remain with bundled customers, unless CCA </w:t>
      </w:r>
      <w:r w:rsidRPr="40997F2A" w:rsidR="50B9BCDF">
        <w:rPr>
          <w:rFonts w:ascii="Times New Roman" w:hAnsi="Times New Roman" w:eastAsia="Times New Roman" w:cs="Times New Roman"/>
          <w:color w:val="000000" w:themeColor="text1"/>
          <w:sz w:val="26"/>
          <w:szCs w:val="26"/>
        </w:rPr>
        <w:lastRenderedPageBreak/>
        <w:t xml:space="preserve">customers are allocated a fair and equitable share of those benefits.  </w:t>
      </w:r>
      <w:r w:rsidRPr="40997F2A" w:rsidR="0EAAA74E">
        <w:rPr>
          <w:rFonts w:ascii="Times New Roman" w:hAnsi="Times New Roman" w:eastAsia="Times New Roman" w:cs="Times New Roman"/>
          <w:color w:val="000000" w:themeColor="text1"/>
          <w:sz w:val="26"/>
          <w:szCs w:val="26"/>
        </w:rPr>
        <w:t>CalCCA interpret</w:t>
      </w:r>
      <w:r w:rsidRPr="40997F2A" w:rsidR="04419DD1">
        <w:rPr>
          <w:rFonts w:ascii="Times New Roman" w:hAnsi="Times New Roman" w:eastAsia="Times New Roman" w:cs="Times New Roman"/>
          <w:color w:val="000000" w:themeColor="text1"/>
          <w:sz w:val="26"/>
          <w:szCs w:val="26"/>
        </w:rPr>
        <w:t>s</w:t>
      </w:r>
      <w:r w:rsidRPr="40997F2A" w:rsidR="0EAAA74E">
        <w:rPr>
          <w:rFonts w:ascii="Times New Roman" w:hAnsi="Times New Roman" w:eastAsia="Times New Roman" w:cs="Times New Roman"/>
          <w:color w:val="000000" w:themeColor="text1"/>
          <w:sz w:val="26"/>
          <w:szCs w:val="26"/>
        </w:rPr>
        <w:t xml:space="preserve"> this code section to mean that </w:t>
      </w:r>
      <w:r w:rsidRPr="40997F2A" w:rsidR="2E077CF0">
        <w:rPr>
          <w:rFonts w:ascii="Times New Roman" w:hAnsi="Times New Roman" w:eastAsia="Times New Roman" w:cs="Times New Roman"/>
          <w:color w:val="000000" w:themeColor="text1"/>
          <w:sz w:val="26"/>
          <w:szCs w:val="26"/>
        </w:rPr>
        <w:t xml:space="preserve">departed load customers are owed </w:t>
      </w:r>
      <w:proofErr w:type="gramStart"/>
      <w:r w:rsidRPr="40997F2A" w:rsidR="2E077CF0">
        <w:rPr>
          <w:rFonts w:ascii="Times New Roman" w:hAnsi="Times New Roman" w:eastAsia="Times New Roman" w:cs="Times New Roman"/>
          <w:color w:val="000000" w:themeColor="text1"/>
          <w:sz w:val="26"/>
          <w:szCs w:val="26"/>
        </w:rPr>
        <w:t>a credit</w:t>
      </w:r>
      <w:proofErr w:type="gramEnd"/>
      <w:r w:rsidRPr="40997F2A" w:rsidR="2E077CF0">
        <w:rPr>
          <w:rFonts w:ascii="Times New Roman" w:hAnsi="Times New Roman" w:eastAsia="Times New Roman" w:cs="Times New Roman"/>
          <w:color w:val="000000" w:themeColor="text1"/>
          <w:sz w:val="26"/>
          <w:szCs w:val="26"/>
        </w:rPr>
        <w:t xml:space="preserve"> from </w:t>
      </w:r>
      <w:r w:rsidRPr="40997F2A" w:rsidR="0EAAA74E">
        <w:rPr>
          <w:rFonts w:ascii="Times New Roman" w:hAnsi="Times New Roman" w:eastAsia="Times New Roman" w:cs="Times New Roman"/>
          <w:color w:val="000000" w:themeColor="text1"/>
          <w:sz w:val="26"/>
          <w:szCs w:val="26"/>
        </w:rPr>
        <w:t>bundled customers</w:t>
      </w:r>
      <w:r w:rsidRPr="40997F2A" w:rsidR="4CB9FFDC">
        <w:rPr>
          <w:rFonts w:ascii="Times New Roman" w:hAnsi="Times New Roman" w:eastAsia="Times New Roman" w:cs="Times New Roman"/>
          <w:color w:val="000000" w:themeColor="text1"/>
          <w:sz w:val="26"/>
          <w:szCs w:val="26"/>
        </w:rPr>
        <w:t>, now that a pre-2019 banked REC is anticipated to be used for RPS compliance.</w:t>
      </w:r>
      <w:r w:rsidRPr="40997F2A" w:rsidR="0EAAA74E">
        <w:rPr>
          <w:rFonts w:ascii="Times New Roman" w:hAnsi="Times New Roman" w:eastAsia="Times New Roman" w:cs="Times New Roman"/>
          <w:color w:val="000000" w:themeColor="text1"/>
          <w:sz w:val="26"/>
          <w:szCs w:val="26"/>
        </w:rPr>
        <w:t xml:space="preserve"> </w:t>
      </w:r>
      <w:r w:rsidRPr="40997F2A" w:rsidR="2B8AD337">
        <w:rPr>
          <w:rFonts w:ascii="Times New Roman" w:hAnsi="Times New Roman" w:eastAsia="Times New Roman" w:cs="Times New Roman"/>
          <w:color w:val="000000" w:themeColor="text1"/>
          <w:sz w:val="26"/>
          <w:szCs w:val="26"/>
        </w:rPr>
        <w:t xml:space="preserve"> </w:t>
      </w:r>
      <w:r w:rsidRPr="40997F2A" w:rsidR="53AA8745">
        <w:rPr>
          <w:rFonts w:ascii="Times New Roman" w:hAnsi="Times New Roman" w:eastAsia="Times New Roman" w:cs="Times New Roman"/>
          <w:color w:val="000000" w:themeColor="text1"/>
          <w:sz w:val="26"/>
          <w:szCs w:val="26"/>
        </w:rPr>
        <w:t xml:space="preserve">(See Rehg. App., at pp. </w:t>
      </w:r>
      <w:r w:rsidRPr="40997F2A" w:rsidR="459885A2">
        <w:rPr>
          <w:rFonts w:ascii="Times New Roman" w:hAnsi="Times New Roman" w:eastAsia="Times New Roman" w:cs="Times New Roman"/>
          <w:color w:val="000000" w:themeColor="text1"/>
          <w:sz w:val="26"/>
          <w:szCs w:val="26"/>
        </w:rPr>
        <w:t>26-29.)</w:t>
      </w:r>
      <w:r w:rsidRPr="40997F2A" w:rsidR="35B7ED62">
        <w:rPr>
          <w:rFonts w:ascii="Times New Roman" w:hAnsi="Times New Roman" w:eastAsia="Times New Roman" w:cs="Times New Roman"/>
          <w:color w:val="000000" w:themeColor="text1"/>
          <w:sz w:val="26"/>
          <w:szCs w:val="26"/>
        </w:rPr>
        <w:t xml:space="preserve">  </w:t>
      </w:r>
    </w:p>
    <w:p w:rsidR="052103EF" w:rsidP="7916F8C6" w:rsidRDefault="086D7EFF" w14:paraId="0B980F50" w14:textId="55A83ADD">
      <w:pPr>
        <w:spacing w:line="360" w:lineRule="auto"/>
        <w:ind w:firstLine="720"/>
        <w:rPr>
          <w:rFonts w:ascii="Times New Roman" w:hAnsi="Times New Roman" w:eastAsia="Times New Roman" w:cs="Times New Roman"/>
          <w:sz w:val="26"/>
          <w:szCs w:val="26"/>
        </w:rPr>
      </w:pPr>
      <w:r w:rsidRPr="4C473D7A">
        <w:rPr>
          <w:rFonts w:ascii="Times New Roman" w:hAnsi="Times New Roman" w:eastAsia="Times New Roman" w:cs="Times New Roman"/>
          <w:color w:val="000000" w:themeColor="text1"/>
          <w:sz w:val="26"/>
          <w:szCs w:val="26"/>
        </w:rPr>
        <w:t>However, t</w:t>
      </w:r>
      <w:r w:rsidRPr="4C473D7A" w:rsidR="5CC88582">
        <w:rPr>
          <w:rFonts w:ascii="Times New Roman" w:hAnsi="Times New Roman" w:eastAsia="Times New Roman" w:cs="Times New Roman"/>
          <w:color w:val="000000" w:themeColor="text1"/>
          <w:sz w:val="26"/>
          <w:szCs w:val="26"/>
        </w:rPr>
        <w:t>he record evidence s</w:t>
      </w:r>
      <w:r w:rsidRPr="4C473D7A" w:rsidR="7295419C">
        <w:rPr>
          <w:rFonts w:ascii="Times New Roman" w:hAnsi="Times New Roman" w:eastAsia="Times New Roman" w:cs="Times New Roman"/>
          <w:color w:val="000000" w:themeColor="text1"/>
          <w:sz w:val="26"/>
          <w:szCs w:val="26"/>
        </w:rPr>
        <w:t>how</w:t>
      </w:r>
      <w:r w:rsidRPr="4C473D7A" w:rsidR="5CC88582">
        <w:rPr>
          <w:rFonts w:ascii="Times New Roman" w:hAnsi="Times New Roman" w:eastAsia="Times New Roman" w:cs="Times New Roman"/>
          <w:color w:val="000000" w:themeColor="text1"/>
          <w:sz w:val="26"/>
          <w:szCs w:val="26"/>
        </w:rPr>
        <w:t>s that there was a system in place to comply with section 366.2(g) prior to 2019</w:t>
      </w:r>
      <w:r w:rsidRPr="4C473D7A" w:rsidR="551CD8E7">
        <w:rPr>
          <w:rFonts w:ascii="Times New Roman" w:hAnsi="Times New Roman" w:eastAsia="Times New Roman" w:cs="Times New Roman"/>
          <w:color w:val="000000" w:themeColor="text1"/>
          <w:sz w:val="26"/>
          <w:szCs w:val="26"/>
        </w:rPr>
        <w:t xml:space="preserve">, with the result being that bundled customers paid an amount associated with the value of </w:t>
      </w:r>
      <w:r w:rsidRPr="4C473D7A" w:rsidR="410EC44A">
        <w:rPr>
          <w:rFonts w:ascii="Times New Roman" w:hAnsi="Times New Roman" w:eastAsia="Times New Roman" w:cs="Times New Roman"/>
          <w:color w:val="000000" w:themeColor="text1"/>
          <w:sz w:val="26"/>
          <w:szCs w:val="26"/>
        </w:rPr>
        <w:t xml:space="preserve">the </w:t>
      </w:r>
      <w:r w:rsidRPr="4C473D7A" w:rsidR="551CD8E7">
        <w:rPr>
          <w:rFonts w:ascii="Times New Roman" w:hAnsi="Times New Roman" w:eastAsia="Times New Roman" w:cs="Times New Roman"/>
          <w:color w:val="000000" w:themeColor="text1"/>
          <w:sz w:val="26"/>
          <w:szCs w:val="26"/>
        </w:rPr>
        <w:t xml:space="preserve">REC to </w:t>
      </w:r>
      <w:r w:rsidRPr="4C473D7A" w:rsidR="107D2207">
        <w:rPr>
          <w:rFonts w:ascii="Times New Roman" w:hAnsi="Times New Roman" w:eastAsia="Times New Roman" w:cs="Times New Roman"/>
          <w:color w:val="000000" w:themeColor="text1"/>
          <w:sz w:val="26"/>
          <w:szCs w:val="26"/>
        </w:rPr>
        <w:t xml:space="preserve">CCA </w:t>
      </w:r>
      <w:r w:rsidRPr="4C473D7A" w:rsidR="551CD8E7">
        <w:rPr>
          <w:rFonts w:ascii="Times New Roman" w:hAnsi="Times New Roman" w:eastAsia="Times New Roman" w:cs="Times New Roman"/>
          <w:color w:val="000000" w:themeColor="text1"/>
          <w:sz w:val="26"/>
          <w:szCs w:val="26"/>
        </w:rPr>
        <w:t xml:space="preserve">customers – via the </w:t>
      </w:r>
      <w:r w:rsidRPr="4C473D7A" w:rsidR="35937E6D">
        <w:rPr>
          <w:rFonts w:ascii="Times New Roman" w:hAnsi="Times New Roman" w:eastAsia="Times New Roman" w:cs="Times New Roman"/>
          <w:color w:val="000000" w:themeColor="text1"/>
          <w:sz w:val="26"/>
          <w:szCs w:val="26"/>
        </w:rPr>
        <w:t>Power Charge Indifference Adjustment (</w:t>
      </w:r>
      <w:r w:rsidRPr="4C473D7A" w:rsidR="551CD8E7">
        <w:rPr>
          <w:rFonts w:ascii="Times New Roman" w:hAnsi="Times New Roman" w:eastAsia="Times New Roman" w:cs="Times New Roman"/>
          <w:color w:val="000000" w:themeColor="text1"/>
          <w:sz w:val="26"/>
          <w:szCs w:val="26"/>
        </w:rPr>
        <w:t>PCIA</w:t>
      </w:r>
      <w:r w:rsidRPr="4C473D7A" w:rsidR="35937E6D">
        <w:rPr>
          <w:rFonts w:ascii="Times New Roman" w:hAnsi="Times New Roman" w:eastAsia="Times New Roman" w:cs="Times New Roman"/>
          <w:color w:val="000000" w:themeColor="text1"/>
          <w:sz w:val="26"/>
          <w:szCs w:val="26"/>
        </w:rPr>
        <w:t>)</w:t>
      </w:r>
      <w:r w:rsidRPr="4C473D7A" w:rsidR="551CD8E7">
        <w:rPr>
          <w:rFonts w:ascii="Times New Roman" w:hAnsi="Times New Roman" w:eastAsia="Times New Roman" w:cs="Times New Roman"/>
          <w:color w:val="000000" w:themeColor="text1"/>
          <w:sz w:val="26"/>
          <w:szCs w:val="26"/>
        </w:rPr>
        <w:t xml:space="preserve"> –</w:t>
      </w:r>
      <w:r w:rsidRPr="4C473D7A" w:rsidR="26B8584B">
        <w:rPr>
          <w:rFonts w:ascii="Times New Roman" w:hAnsi="Times New Roman" w:eastAsia="Times New Roman" w:cs="Times New Roman"/>
          <w:color w:val="000000" w:themeColor="text1"/>
          <w:sz w:val="26"/>
          <w:szCs w:val="26"/>
        </w:rPr>
        <w:t xml:space="preserve"> at the time the REC was </w:t>
      </w:r>
      <w:r w:rsidRPr="4C473D7A" w:rsidR="4DBAC47C">
        <w:rPr>
          <w:rFonts w:ascii="Times New Roman" w:hAnsi="Times New Roman" w:eastAsia="Times New Roman" w:cs="Times New Roman"/>
          <w:color w:val="000000" w:themeColor="text1"/>
          <w:sz w:val="26"/>
          <w:szCs w:val="26"/>
        </w:rPr>
        <w:t>generated</w:t>
      </w:r>
      <w:r w:rsidRPr="4C473D7A" w:rsidR="5CC88582">
        <w:rPr>
          <w:rFonts w:ascii="Times New Roman" w:hAnsi="Times New Roman" w:eastAsia="Times New Roman" w:cs="Times New Roman"/>
          <w:color w:val="000000" w:themeColor="text1"/>
          <w:sz w:val="26"/>
          <w:szCs w:val="26"/>
        </w:rPr>
        <w:t xml:space="preserve">.  (See e.g., </w:t>
      </w:r>
      <w:r w:rsidRPr="4C473D7A" w:rsidR="254984B8">
        <w:rPr>
          <w:rFonts w:ascii="Times New Roman" w:hAnsi="Times New Roman" w:eastAsia="Times New Roman" w:cs="Times New Roman"/>
          <w:i/>
          <w:iCs/>
          <w:sz w:val="26"/>
          <w:szCs w:val="26"/>
        </w:rPr>
        <w:t>Opening Brief of PG&amp;E</w:t>
      </w:r>
      <w:r w:rsidRPr="4C473D7A" w:rsidR="254984B8">
        <w:rPr>
          <w:rFonts w:ascii="Times New Roman" w:hAnsi="Times New Roman" w:eastAsia="Times New Roman" w:cs="Times New Roman"/>
          <w:sz w:val="26"/>
          <w:szCs w:val="26"/>
        </w:rPr>
        <w:t>, A</w:t>
      </w:r>
      <w:r w:rsidRPr="4C473D7A" w:rsidR="20EB9686">
        <w:rPr>
          <w:rFonts w:ascii="Times New Roman" w:hAnsi="Times New Roman" w:eastAsia="Times New Roman" w:cs="Times New Roman"/>
          <w:sz w:val="26"/>
          <w:szCs w:val="26"/>
        </w:rPr>
        <w:t>.</w:t>
      </w:r>
      <w:r w:rsidRPr="4C473D7A" w:rsidR="254984B8">
        <w:rPr>
          <w:rFonts w:ascii="Times New Roman" w:hAnsi="Times New Roman" w:eastAsia="Times New Roman" w:cs="Times New Roman"/>
          <w:sz w:val="26"/>
          <w:szCs w:val="26"/>
        </w:rPr>
        <w:t>25-05-011 (Oct. 24, 2025), at p. 28</w:t>
      </w:r>
      <w:r w:rsidRPr="4C473D7A" w:rsidR="23BB8E26">
        <w:rPr>
          <w:rFonts w:ascii="Times New Roman" w:hAnsi="Times New Roman" w:eastAsia="Times New Roman" w:cs="Times New Roman"/>
          <w:color w:val="000000" w:themeColor="text1"/>
          <w:sz w:val="26"/>
          <w:szCs w:val="26"/>
        </w:rPr>
        <w:t xml:space="preserve">; </w:t>
      </w:r>
      <w:r w:rsidRPr="4C473D7A" w:rsidR="6D6BA1E2">
        <w:rPr>
          <w:rFonts w:ascii="Times New Roman" w:hAnsi="Times New Roman" w:eastAsia="Times New Roman" w:cs="Times New Roman"/>
          <w:color w:val="000000" w:themeColor="text1"/>
          <w:sz w:val="26"/>
          <w:szCs w:val="26"/>
        </w:rPr>
        <w:t xml:space="preserve">Reporter’s </w:t>
      </w:r>
      <w:r w:rsidRPr="4C473D7A" w:rsidR="2E0D9DF9">
        <w:rPr>
          <w:rFonts w:ascii="Times New Roman" w:hAnsi="Times New Roman" w:eastAsia="Times New Roman" w:cs="Times New Roman"/>
          <w:color w:val="000000" w:themeColor="text1"/>
          <w:sz w:val="26"/>
          <w:szCs w:val="26"/>
        </w:rPr>
        <w:t xml:space="preserve">Transcript, </w:t>
      </w:r>
      <w:r w:rsidRPr="4C473D7A" w:rsidR="23BB8E26">
        <w:rPr>
          <w:rFonts w:ascii="Times New Roman" w:hAnsi="Times New Roman" w:eastAsia="Times New Roman" w:cs="Times New Roman"/>
          <w:sz w:val="26"/>
          <w:szCs w:val="26"/>
        </w:rPr>
        <w:t>Vol</w:t>
      </w:r>
      <w:r w:rsidRPr="4C473D7A" w:rsidR="11ACB2BF">
        <w:rPr>
          <w:rFonts w:ascii="Times New Roman" w:hAnsi="Times New Roman" w:eastAsia="Times New Roman" w:cs="Times New Roman"/>
          <w:sz w:val="26"/>
          <w:szCs w:val="26"/>
        </w:rPr>
        <w:t>ume</w:t>
      </w:r>
      <w:r w:rsidRPr="4C473D7A" w:rsidR="23BB8E26">
        <w:rPr>
          <w:rFonts w:ascii="Times New Roman" w:hAnsi="Times New Roman" w:eastAsia="Times New Roman" w:cs="Times New Roman"/>
          <w:sz w:val="26"/>
          <w:szCs w:val="26"/>
        </w:rPr>
        <w:t xml:space="preserve"> 1, </w:t>
      </w:r>
      <w:r w:rsidRPr="4C473D7A" w:rsidR="4EBD94F8">
        <w:rPr>
          <w:rFonts w:ascii="Times New Roman" w:hAnsi="Times New Roman" w:eastAsia="Times New Roman" w:cs="Times New Roman"/>
          <w:sz w:val="26"/>
          <w:szCs w:val="26"/>
        </w:rPr>
        <w:t>A.</w:t>
      </w:r>
      <w:r w:rsidRPr="4C473D7A" w:rsidR="53C2B92A">
        <w:rPr>
          <w:rFonts w:ascii="Times New Roman" w:hAnsi="Times New Roman" w:eastAsia="Times New Roman" w:cs="Times New Roman"/>
          <w:sz w:val="26"/>
          <w:szCs w:val="26"/>
        </w:rPr>
        <w:t>25-05-011 (Oct. 13, 2025), at pp. 88-</w:t>
      </w:r>
      <w:r w:rsidRPr="4C473D7A" w:rsidR="23BB8E26">
        <w:rPr>
          <w:rFonts w:ascii="Times New Roman" w:hAnsi="Times New Roman" w:eastAsia="Times New Roman" w:cs="Times New Roman"/>
          <w:sz w:val="26"/>
          <w:szCs w:val="26"/>
        </w:rPr>
        <w:t>89.</w:t>
      </w:r>
      <w:r w:rsidRPr="4C473D7A" w:rsidR="57C9630B">
        <w:rPr>
          <w:rFonts w:ascii="Times New Roman" w:hAnsi="Times New Roman" w:eastAsia="Times New Roman" w:cs="Times New Roman"/>
          <w:sz w:val="26"/>
          <w:szCs w:val="26"/>
        </w:rPr>
        <w:t xml:space="preserve">) </w:t>
      </w:r>
      <w:r w:rsidRPr="4C473D7A" w:rsidR="03C9D4A3">
        <w:rPr>
          <w:rFonts w:ascii="Times New Roman" w:hAnsi="Times New Roman" w:eastAsia="Times New Roman" w:cs="Times New Roman"/>
          <w:sz w:val="26"/>
          <w:szCs w:val="26"/>
        </w:rPr>
        <w:t xml:space="preserve"> </w:t>
      </w:r>
      <w:r w:rsidRPr="4C473D7A" w:rsidR="0707CA69">
        <w:rPr>
          <w:rFonts w:ascii="Times New Roman" w:hAnsi="Times New Roman" w:eastAsia="Times New Roman" w:cs="Times New Roman"/>
          <w:sz w:val="26"/>
          <w:szCs w:val="26"/>
        </w:rPr>
        <w:t xml:space="preserve">Thus, section 366.2(g) compliance was achieved when the pre-2019 banked REC was </w:t>
      </w:r>
      <w:r w:rsidRPr="4C473D7A" w:rsidR="5B6339D4">
        <w:rPr>
          <w:rFonts w:ascii="Times New Roman" w:hAnsi="Times New Roman" w:eastAsia="Times New Roman" w:cs="Times New Roman"/>
          <w:sz w:val="26"/>
          <w:szCs w:val="26"/>
        </w:rPr>
        <w:t>generated</w:t>
      </w:r>
      <w:r w:rsidRPr="4C473D7A" w:rsidR="0707CA69">
        <w:rPr>
          <w:rFonts w:ascii="Times New Roman" w:hAnsi="Times New Roman" w:eastAsia="Times New Roman" w:cs="Times New Roman"/>
          <w:sz w:val="26"/>
          <w:szCs w:val="26"/>
        </w:rPr>
        <w:t xml:space="preserve">.  </w:t>
      </w:r>
    </w:p>
    <w:p w:rsidR="00AF28AD" w:rsidP="40997F2A" w:rsidRDefault="147DA122" w14:paraId="1D08FFD9" w14:textId="33B72D9D">
      <w:pPr>
        <w:spacing w:line="360" w:lineRule="auto"/>
        <w:ind w:firstLine="720"/>
        <w:rPr>
          <w:rFonts w:ascii="Times New Roman" w:hAnsi="Times New Roman" w:eastAsia="Times New Roman" w:cs="Times New Roman"/>
          <w:color w:val="000000" w:themeColor="text1"/>
          <w:sz w:val="26"/>
          <w:szCs w:val="26"/>
        </w:rPr>
      </w:pPr>
      <w:r w:rsidRPr="2E5CEFEF">
        <w:rPr>
          <w:rFonts w:ascii="Times New Roman" w:hAnsi="Times New Roman" w:eastAsia="Times New Roman" w:cs="Times New Roman"/>
          <w:sz w:val="26"/>
          <w:szCs w:val="26"/>
        </w:rPr>
        <w:t>The Decision explains that t</w:t>
      </w:r>
      <w:r w:rsidRPr="2E5CEFEF" w:rsidR="20CE7DDB">
        <w:rPr>
          <w:rFonts w:ascii="Times New Roman" w:hAnsi="Times New Roman" w:eastAsia="Times New Roman" w:cs="Times New Roman"/>
          <w:sz w:val="26"/>
          <w:szCs w:val="26"/>
        </w:rPr>
        <w:t>he Commission modif</w:t>
      </w:r>
      <w:r w:rsidRPr="2E5CEFEF" w:rsidR="1EDD69D7">
        <w:rPr>
          <w:rFonts w:ascii="Times New Roman" w:hAnsi="Times New Roman" w:eastAsia="Times New Roman" w:cs="Times New Roman"/>
          <w:sz w:val="26"/>
          <w:szCs w:val="26"/>
        </w:rPr>
        <w:t xml:space="preserve">ied </w:t>
      </w:r>
      <w:r w:rsidRPr="2E5CEFEF" w:rsidR="20CE7DDB">
        <w:rPr>
          <w:rFonts w:ascii="Times New Roman" w:hAnsi="Times New Roman" w:eastAsia="Times New Roman" w:cs="Times New Roman"/>
          <w:sz w:val="26"/>
          <w:szCs w:val="26"/>
        </w:rPr>
        <w:t xml:space="preserve">this </w:t>
      </w:r>
      <w:r w:rsidRPr="2E5CEFEF" w:rsidR="7775D441">
        <w:rPr>
          <w:rFonts w:ascii="Times New Roman" w:hAnsi="Times New Roman" w:eastAsia="Times New Roman" w:cs="Times New Roman"/>
          <w:sz w:val="26"/>
          <w:szCs w:val="26"/>
        </w:rPr>
        <w:t xml:space="preserve">then-existing </w:t>
      </w:r>
      <w:r w:rsidRPr="2E5CEFEF" w:rsidR="20CE7DDB">
        <w:rPr>
          <w:rFonts w:ascii="Times New Roman" w:hAnsi="Times New Roman" w:eastAsia="Times New Roman" w:cs="Times New Roman"/>
          <w:sz w:val="26"/>
          <w:szCs w:val="26"/>
        </w:rPr>
        <w:t xml:space="preserve">process in </w:t>
      </w:r>
      <w:r w:rsidRPr="2E5CEFEF" w:rsidR="371578D5">
        <w:rPr>
          <w:rFonts w:ascii="Times New Roman" w:hAnsi="Times New Roman" w:eastAsia="Times New Roman" w:cs="Times New Roman"/>
          <w:sz w:val="26"/>
          <w:szCs w:val="26"/>
        </w:rPr>
        <w:t xml:space="preserve">its </w:t>
      </w:r>
      <w:r w:rsidRPr="2E5CEFEF" w:rsidR="20CE7DDB">
        <w:rPr>
          <w:rFonts w:ascii="Times New Roman" w:hAnsi="Times New Roman" w:eastAsia="Times New Roman" w:cs="Times New Roman"/>
          <w:sz w:val="26"/>
          <w:szCs w:val="26"/>
        </w:rPr>
        <w:t xml:space="preserve">2019 decision – </w:t>
      </w:r>
      <w:r w:rsidRPr="2E5CEFEF" w:rsidR="4C351E3A">
        <w:rPr>
          <w:rFonts w:ascii="Times New Roman" w:hAnsi="Times New Roman" w:eastAsia="Times New Roman" w:cs="Times New Roman"/>
          <w:color w:val="000000" w:themeColor="text1"/>
          <w:sz w:val="25"/>
          <w:szCs w:val="25"/>
        </w:rPr>
        <w:t xml:space="preserve">D.19-10-001.  (See </w:t>
      </w:r>
      <w:r w:rsidRPr="2E5CEFEF" w:rsidR="1549289B">
        <w:rPr>
          <w:rFonts w:ascii="Times New Roman" w:hAnsi="Times New Roman" w:eastAsia="Times New Roman" w:cs="Times New Roman"/>
          <w:color w:val="000000" w:themeColor="text1"/>
          <w:sz w:val="25"/>
          <w:szCs w:val="25"/>
        </w:rPr>
        <w:t>Decision, at p</w:t>
      </w:r>
      <w:r w:rsidRPr="2E5CEFEF" w:rsidR="02BD0795">
        <w:rPr>
          <w:rFonts w:ascii="Times New Roman" w:hAnsi="Times New Roman" w:eastAsia="Times New Roman" w:cs="Times New Roman"/>
          <w:color w:val="000000" w:themeColor="text1"/>
          <w:sz w:val="25"/>
          <w:szCs w:val="25"/>
        </w:rPr>
        <w:t>p</w:t>
      </w:r>
      <w:r w:rsidRPr="2E5CEFEF" w:rsidR="1549289B">
        <w:rPr>
          <w:rFonts w:ascii="Times New Roman" w:hAnsi="Times New Roman" w:eastAsia="Times New Roman" w:cs="Times New Roman"/>
          <w:color w:val="000000" w:themeColor="text1"/>
          <w:sz w:val="25"/>
          <w:szCs w:val="25"/>
        </w:rPr>
        <w:t xml:space="preserve">. </w:t>
      </w:r>
      <w:r w:rsidRPr="2E5CEFEF" w:rsidR="613DACC1">
        <w:rPr>
          <w:rFonts w:ascii="Times New Roman" w:hAnsi="Times New Roman" w:eastAsia="Times New Roman" w:cs="Times New Roman"/>
          <w:color w:val="000000" w:themeColor="text1"/>
          <w:sz w:val="25"/>
          <w:szCs w:val="25"/>
        </w:rPr>
        <w:t>30-31</w:t>
      </w:r>
      <w:r w:rsidRPr="2E5CEFEF" w:rsidR="1549289B">
        <w:rPr>
          <w:rFonts w:ascii="Times New Roman" w:hAnsi="Times New Roman" w:eastAsia="Times New Roman" w:cs="Times New Roman"/>
          <w:color w:val="000000" w:themeColor="text1"/>
          <w:sz w:val="25"/>
          <w:szCs w:val="25"/>
        </w:rPr>
        <w:t xml:space="preserve"> citing </w:t>
      </w:r>
      <w:r w:rsidRPr="2E5CEFEF" w:rsidR="4C351E3A">
        <w:rPr>
          <w:rFonts w:ascii="Times New Roman" w:hAnsi="Times New Roman" w:eastAsia="Times New Roman" w:cs="Times New Roman"/>
          <w:i/>
          <w:iCs/>
          <w:color w:val="000000" w:themeColor="text1"/>
          <w:sz w:val="26"/>
          <w:szCs w:val="26"/>
        </w:rPr>
        <w:t>Decision Refining the Method to Develop and True up Market Price Benchmarks</w:t>
      </w:r>
      <w:r w:rsidRPr="2E5CEFEF" w:rsidR="4C351E3A">
        <w:rPr>
          <w:rFonts w:ascii="Times New Roman" w:hAnsi="Times New Roman" w:eastAsia="Times New Roman" w:cs="Times New Roman"/>
          <w:color w:val="000000" w:themeColor="text1"/>
          <w:sz w:val="26"/>
          <w:szCs w:val="26"/>
        </w:rPr>
        <w:t xml:space="preserve"> (2010</w:t>
      </w:r>
      <w:r w:rsidRPr="2E5CEFEF" w:rsidR="4C351E3A">
        <w:rPr>
          <w:rFonts w:ascii="Times New Roman" w:hAnsi="Times New Roman" w:eastAsia="Times New Roman" w:cs="Times New Roman"/>
          <w:color w:val="000000" w:themeColor="text1"/>
        </w:rPr>
        <w:t>) [</w:t>
      </w:r>
      <w:r w:rsidRPr="2E5CEFEF" w:rsidR="4C351E3A">
        <w:rPr>
          <w:rFonts w:ascii="Times New Roman" w:hAnsi="Times New Roman" w:eastAsia="Times New Roman" w:cs="Times New Roman"/>
          <w:color w:val="000000" w:themeColor="text1"/>
          <w:sz w:val="26"/>
          <w:szCs w:val="26"/>
        </w:rPr>
        <w:t xml:space="preserve">D.19-10-001].) </w:t>
      </w:r>
      <w:r w:rsidRPr="2E5CEFEF" w:rsidR="00AF28AD">
        <w:rPr>
          <w:rFonts w:ascii="Times New Roman" w:hAnsi="Times New Roman" w:eastAsia="Times New Roman" w:cs="Times New Roman"/>
          <w:color w:val="000000" w:themeColor="text1"/>
          <w:sz w:val="26"/>
          <w:szCs w:val="26"/>
        </w:rPr>
        <w:t xml:space="preserve"> In contrast to a REC banked before 2019, under D.19-10-001, a REC is valued at the time it is used for RPS compliance, rather than when banked.  </w:t>
      </w:r>
      <w:r w:rsidRPr="2E5CEFEF" w:rsidR="4C351E3A">
        <w:rPr>
          <w:rFonts w:ascii="Times New Roman" w:hAnsi="Times New Roman" w:eastAsia="Times New Roman" w:cs="Times New Roman"/>
          <w:color w:val="000000" w:themeColor="text1"/>
          <w:sz w:val="26"/>
          <w:szCs w:val="26"/>
        </w:rPr>
        <w:t>However, D.19-10-001 specifically states that “[t]he methods adopted in this Decision apply to RECs generated commencing January 1, 2019, and going forward.”  (</w:t>
      </w:r>
      <w:r w:rsidRPr="2E5CEFEF" w:rsidR="4C351E3A">
        <w:rPr>
          <w:rFonts w:ascii="Times New Roman" w:hAnsi="Times New Roman" w:eastAsia="Times New Roman" w:cs="Times New Roman"/>
          <w:i/>
          <w:iCs/>
          <w:color w:val="000000" w:themeColor="text1"/>
          <w:sz w:val="26"/>
          <w:szCs w:val="26"/>
        </w:rPr>
        <w:t>Id</w:t>
      </w:r>
      <w:r w:rsidRPr="2E5CEFEF" w:rsidR="4C351E3A">
        <w:rPr>
          <w:rFonts w:ascii="Times New Roman" w:hAnsi="Times New Roman" w:eastAsia="Times New Roman" w:cs="Times New Roman"/>
          <w:color w:val="000000" w:themeColor="text1"/>
          <w:sz w:val="26"/>
          <w:szCs w:val="26"/>
        </w:rPr>
        <w:t xml:space="preserve">. </w:t>
      </w:r>
      <w:proofErr w:type="gramStart"/>
      <w:r w:rsidRPr="2E5CEFEF" w:rsidR="4C351E3A">
        <w:rPr>
          <w:rFonts w:ascii="Times New Roman" w:hAnsi="Times New Roman" w:eastAsia="Times New Roman" w:cs="Times New Roman"/>
          <w:color w:val="000000" w:themeColor="text1"/>
          <w:sz w:val="26"/>
          <w:szCs w:val="26"/>
        </w:rPr>
        <w:t>at p.</w:t>
      </w:r>
      <w:proofErr w:type="gramEnd"/>
      <w:r w:rsidRPr="2E5CEFEF" w:rsidR="4C351E3A">
        <w:rPr>
          <w:rFonts w:ascii="Times New Roman" w:hAnsi="Times New Roman" w:eastAsia="Times New Roman" w:cs="Times New Roman"/>
          <w:color w:val="000000" w:themeColor="text1"/>
          <w:sz w:val="26"/>
          <w:szCs w:val="26"/>
        </w:rPr>
        <w:t xml:space="preserve"> 47, FOF 8.)  </w:t>
      </w:r>
    </w:p>
    <w:p w:rsidR="052103EF" w:rsidP="40997F2A" w:rsidRDefault="1D6A76AE" w14:paraId="69D27708" w14:textId="2566BEBF">
      <w:pPr>
        <w:spacing w:line="360" w:lineRule="auto"/>
        <w:ind w:firstLine="720"/>
      </w:pPr>
      <w:r w:rsidRPr="2E5CEFEF">
        <w:rPr>
          <w:rFonts w:ascii="Times New Roman" w:hAnsi="Times New Roman" w:eastAsia="Times New Roman" w:cs="Times New Roman"/>
          <w:color w:val="000000" w:themeColor="text1"/>
          <w:sz w:val="26"/>
          <w:szCs w:val="26"/>
        </w:rPr>
        <w:t xml:space="preserve">As explained in the Decision, D.19-10-001 does not </w:t>
      </w:r>
      <w:r w:rsidRPr="2E5CEFEF" w:rsidR="7C0364C7">
        <w:rPr>
          <w:rFonts w:ascii="Times New Roman" w:hAnsi="Times New Roman" w:eastAsia="Times New Roman" w:cs="Times New Roman"/>
          <w:color w:val="000000" w:themeColor="text1"/>
          <w:sz w:val="26"/>
          <w:szCs w:val="26"/>
        </w:rPr>
        <w:t xml:space="preserve">conclusively resolve </w:t>
      </w:r>
      <w:r w:rsidRPr="2E5CEFEF">
        <w:rPr>
          <w:rFonts w:ascii="Times New Roman" w:hAnsi="Times New Roman" w:eastAsia="Times New Roman" w:cs="Times New Roman"/>
          <w:color w:val="000000" w:themeColor="text1"/>
          <w:sz w:val="26"/>
          <w:szCs w:val="26"/>
        </w:rPr>
        <w:t xml:space="preserve">what methodology should be used to value pre-2019 banked </w:t>
      </w:r>
      <w:proofErr w:type="spellStart"/>
      <w:r w:rsidRPr="2E5CEFEF">
        <w:rPr>
          <w:rFonts w:ascii="Times New Roman" w:hAnsi="Times New Roman" w:eastAsia="Times New Roman" w:cs="Times New Roman"/>
          <w:color w:val="000000" w:themeColor="text1"/>
          <w:sz w:val="26"/>
          <w:szCs w:val="26"/>
        </w:rPr>
        <w:t>RECs.</w:t>
      </w:r>
      <w:proofErr w:type="spellEnd"/>
      <w:r w:rsidRPr="2E5CEFEF">
        <w:rPr>
          <w:rFonts w:ascii="Times New Roman" w:hAnsi="Times New Roman" w:eastAsia="Times New Roman" w:cs="Times New Roman"/>
          <w:color w:val="000000" w:themeColor="text1"/>
          <w:sz w:val="26"/>
          <w:szCs w:val="26"/>
        </w:rPr>
        <w:t xml:space="preserve">  (</w:t>
      </w:r>
      <w:r w:rsidRPr="2E5CEFEF">
        <w:rPr>
          <w:rFonts w:ascii="Times New Roman" w:hAnsi="Times New Roman" w:eastAsia="Times New Roman" w:cs="Times New Roman"/>
          <w:i/>
          <w:iCs/>
          <w:color w:val="000000" w:themeColor="text1"/>
          <w:sz w:val="26"/>
          <w:szCs w:val="26"/>
        </w:rPr>
        <w:t>Id</w:t>
      </w:r>
      <w:r w:rsidRPr="2E5CEFEF">
        <w:rPr>
          <w:rFonts w:ascii="Times New Roman" w:hAnsi="Times New Roman" w:eastAsia="Times New Roman" w:cs="Times New Roman"/>
          <w:color w:val="000000" w:themeColor="text1"/>
          <w:sz w:val="26"/>
          <w:szCs w:val="26"/>
        </w:rPr>
        <w:t xml:space="preserve">. </w:t>
      </w:r>
      <w:r w:rsidRPr="2E5CEFEF" w:rsidR="6E381D3B">
        <w:rPr>
          <w:rFonts w:ascii="Times New Roman" w:hAnsi="Times New Roman" w:eastAsia="Times New Roman" w:cs="Times New Roman"/>
          <w:color w:val="000000" w:themeColor="text1"/>
          <w:sz w:val="26"/>
          <w:szCs w:val="26"/>
        </w:rPr>
        <w:t>a</w:t>
      </w:r>
      <w:r w:rsidRPr="2E5CEFEF">
        <w:rPr>
          <w:rFonts w:ascii="Times New Roman" w:hAnsi="Times New Roman" w:eastAsia="Times New Roman" w:cs="Times New Roman"/>
          <w:color w:val="000000" w:themeColor="text1"/>
          <w:sz w:val="26"/>
          <w:szCs w:val="26"/>
        </w:rPr>
        <w:t xml:space="preserve">t p. </w:t>
      </w:r>
      <w:r w:rsidRPr="2E5CEFEF" w:rsidR="0D6ED9BB">
        <w:rPr>
          <w:rFonts w:ascii="Times New Roman" w:hAnsi="Times New Roman" w:eastAsia="Times New Roman" w:cs="Times New Roman"/>
          <w:color w:val="000000" w:themeColor="text1"/>
          <w:sz w:val="26"/>
          <w:szCs w:val="26"/>
        </w:rPr>
        <w:t>31</w:t>
      </w:r>
      <w:r w:rsidRPr="2E5CEFEF">
        <w:rPr>
          <w:rFonts w:ascii="Times New Roman" w:hAnsi="Times New Roman" w:eastAsia="Times New Roman" w:cs="Times New Roman"/>
          <w:color w:val="000000" w:themeColor="text1"/>
          <w:sz w:val="26"/>
          <w:szCs w:val="26"/>
        </w:rPr>
        <w:t>.)  Further, s</w:t>
      </w:r>
      <w:r w:rsidRPr="2E5CEFEF" w:rsidR="4C351E3A">
        <w:rPr>
          <w:rFonts w:ascii="Times New Roman" w:hAnsi="Times New Roman" w:eastAsia="Times New Roman" w:cs="Times New Roman"/>
          <w:color w:val="000000" w:themeColor="text1"/>
          <w:sz w:val="26"/>
          <w:szCs w:val="26"/>
        </w:rPr>
        <w:t xml:space="preserve">ince </w:t>
      </w:r>
      <w:r w:rsidRPr="2E5CEFEF" w:rsidR="18B1083D">
        <w:rPr>
          <w:rFonts w:ascii="Times New Roman" w:hAnsi="Times New Roman" w:eastAsia="Times New Roman" w:cs="Times New Roman"/>
          <w:color w:val="000000" w:themeColor="text1"/>
          <w:sz w:val="26"/>
          <w:szCs w:val="26"/>
        </w:rPr>
        <w:t>2019</w:t>
      </w:r>
      <w:r w:rsidRPr="2E5CEFEF" w:rsidR="4C351E3A">
        <w:rPr>
          <w:rFonts w:ascii="Times New Roman" w:hAnsi="Times New Roman" w:eastAsia="Times New Roman" w:cs="Times New Roman"/>
          <w:color w:val="000000" w:themeColor="text1"/>
          <w:sz w:val="26"/>
          <w:szCs w:val="26"/>
        </w:rPr>
        <w:t>, the Co</w:t>
      </w:r>
      <w:r w:rsidRPr="2E5CEFEF" w:rsidR="2508FFCD">
        <w:rPr>
          <w:rFonts w:ascii="Times New Roman" w:hAnsi="Times New Roman" w:eastAsia="Times New Roman" w:cs="Times New Roman"/>
          <w:color w:val="000000" w:themeColor="text1"/>
          <w:sz w:val="26"/>
          <w:szCs w:val="26"/>
        </w:rPr>
        <w:t>mmission has n</w:t>
      </w:r>
      <w:r w:rsidRPr="2E5CEFEF" w:rsidR="0534B159">
        <w:rPr>
          <w:rFonts w:ascii="Times New Roman" w:hAnsi="Times New Roman" w:eastAsia="Times New Roman" w:cs="Times New Roman"/>
          <w:color w:val="000000" w:themeColor="text1"/>
          <w:sz w:val="26"/>
          <w:szCs w:val="26"/>
        </w:rPr>
        <w:t>ot</w:t>
      </w:r>
      <w:r w:rsidRPr="2E5CEFEF" w:rsidR="2508FFCD">
        <w:rPr>
          <w:rFonts w:ascii="Times New Roman" w:hAnsi="Times New Roman" w:eastAsia="Times New Roman" w:cs="Times New Roman"/>
          <w:color w:val="000000" w:themeColor="text1"/>
          <w:sz w:val="26"/>
          <w:szCs w:val="26"/>
        </w:rPr>
        <w:t xml:space="preserve"> held that section 366.2(g)</w:t>
      </w:r>
      <w:r w:rsidRPr="2E5CEFEF" w:rsidR="09CA12D3">
        <w:rPr>
          <w:rFonts w:ascii="Times New Roman" w:hAnsi="Times New Roman" w:eastAsia="Times New Roman" w:cs="Times New Roman"/>
          <w:color w:val="000000" w:themeColor="text1"/>
          <w:sz w:val="26"/>
          <w:szCs w:val="26"/>
        </w:rPr>
        <w:t>,</w:t>
      </w:r>
      <w:r w:rsidRPr="2E5CEFEF" w:rsidR="2508FFCD">
        <w:rPr>
          <w:rFonts w:ascii="Times New Roman" w:hAnsi="Times New Roman" w:eastAsia="Times New Roman" w:cs="Times New Roman"/>
          <w:color w:val="000000" w:themeColor="text1"/>
          <w:sz w:val="26"/>
          <w:szCs w:val="26"/>
        </w:rPr>
        <w:t xml:space="preserve"> </w:t>
      </w:r>
      <w:r w:rsidRPr="2E5CEFEF" w:rsidR="031D92D1">
        <w:rPr>
          <w:rFonts w:ascii="Times New Roman" w:hAnsi="Times New Roman" w:eastAsia="Times New Roman" w:cs="Times New Roman"/>
          <w:color w:val="000000" w:themeColor="text1"/>
          <w:sz w:val="26"/>
          <w:szCs w:val="26"/>
        </w:rPr>
        <w:t xml:space="preserve">or </w:t>
      </w:r>
      <w:r w:rsidR="00355F50">
        <w:rPr>
          <w:rFonts w:ascii="Times New Roman" w:hAnsi="Times New Roman" w:eastAsia="Times New Roman" w:cs="Times New Roman"/>
          <w:color w:val="000000" w:themeColor="text1"/>
          <w:sz w:val="26"/>
          <w:szCs w:val="26"/>
        </w:rPr>
        <w:t>any</w:t>
      </w:r>
      <w:r w:rsidRPr="2E5CEFEF" w:rsidR="00355F50">
        <w:rPr>
          <w:rFonts w:ascii="Times New Roman" w:hAnsi="Times New Roman" w:eastAsia="Times New Roman" w:cs="Times New Roman"/>
          <w:color w:val="000000" w:themeColor="text1"/>
          <w:sz w:val="26"/>
          <w:szCs w:val="26"/>
        </w:rPr>
        <w:t xml:space="preserve"> </w:t>
      </w:r>
      <w:r w:rsidRPr="2E5CEFEF" w:rsidR="031D92D1">
        <w:rPr>
          <w:rFonts w:ascii="Times New Roman" w:hAnsi="Times New Roman" w:eastAsia="Times New Roman" w:cs="Times New Roman"/>
          <w:color w:val="000000" w:themeColor="text1"/>
          <w:sz w:val="26"/>
          <w:szCs w:val="26"/>
        </w:rPr>
        <w:t xml:space="preserve">related indifference statute, </w:t>
      </w:r>
      <w:r w:rsidRPr="2E5CEFEF" w:rsidR="2508FFCD">
        <w:rPr>
          <w:rFonts w:ascii="Times New Roman" w:hAnsi="Times New Roman" w:eastAsia="Times New Roman" w:cs="Times New Roman"/>
          <w:i/>
          <w:iCs/>
          <w:color w:val="000000" w:themeColor="text1"/>
          <w:sz w:val="26"/>
          <w:szCs w:val="26"/>
        </w:rPr>
        <w:t xml:space="preserve">requires </w:t>
      </w:r>
      <w:r w:rsidRPr="2E5CEFEF" w:rsidR="2508FFCD">
        <w:rPr>
          <w:rFonts w:ascii="Times New Roman" w:hAnsi="Times New Roman" w:eastAsia="Times New Roman" w:cs="Times New Roman"/>
          <w:color w:val="000000" w:themeColor="text1"/>
          <w:sz w:val="26"/>
          <w:szCs w:val="26"/>
        </w:rPr>
        <w:t xml:space="preserve">bundled customers to again pay an additional amount associated with a pre-2019 banked REC once that REC is used for RPS compliance in a later year.  </w:t>
      </w:r>
      <w:r w:rsidRPr="2E5CEFEF" w:rsidR="739A30DE">
        <w:rPr>
          <w:rFonts w:ascii="Times New Roman" w:hAnsi="Times New Roman" w:eastAsia="Times New Roman" w:cs="Times New Roman"/>
          <w:color w:val="000000" w:themeColor="text1"/>
          <w:sz w:val="26"/>
          <w:szCs w:val="26"/>
        </w:rPr>
        <w:t xml:space="preserve">(See e.g., </w:t>
      </w:r>
      <w:r w:rsidRPr="2E5CEFEF" w:rsidR="739A30DE">
        <w:rPr>
          <w:rFonts w:ascii="Times New Roman" w:hAnsi="Times New Roman" w:eastAsia="Times New Roman" w:cs="Times New Roman"/>
          <w:i/>
          <w:iCs/>
          <w:color w:val="000000" w:themeColor="text1"/>
          <w:sz w:val="26"/>
          <w:szCs w:val="26"/>
        </w:rPr>
        <w:t>S</w:t>
      </w:r>
      <w:r w:rsidRPr="2E5CEFEF" w:rsidR="00AF28AD">
        <w:rPr>
          <w:rFonts w:ascii="Times New Roman" w:hAnsi="Times New Roman" w:eastAsia="Times New Roman" w:cs="Times New Roman"/>
          <w:i/>
          <w:iCs/>
          <w:color w:val="000000" w:themeColor="text1"/>
          <w:sz w:val="26"/>
          <w:szCs w:val="26"/>
        </w:rPr>
        <w:t>outhern California Edison Company</w:t>
      </w:r>
      <w:r w:rsidRPr="2E5CEFEF" w:rsidR="739A30DE">
        <w:rPr>
          <w:rFonts w:ascii="Times New Roman" w:hAnsi="Times New Roman" w:eastAsia="Times New Roman" w:cs="Times New Roman"/>
          <w:i/>
          <w:iCs/>
          <w:color w:val="000000" w:themeColor="text1"/>
          <w:sz w:val="26"/>
          <w:szCs w:val="26"/>
        </w:rPr>
        <w:t>’s 2024 ERRA Forecast</w:t>
      </w:r>
      <w:r w:rsidRPr="2E5CEFEF" w:rsidR="739A30DE">
        <w:rPr>
          <w:rFonts w:ascii="Times New Roman" w:hAnsi="Times New Roman" w:eastAsia="Times New Roman" w:cs="Times New Roman"/>
          <w:color w:val="000000" w:themeColor="text1"/>
          <w:sz w:val="26"/>
          <w:szCs w:val="26"/>
        </w:rPr>
        <w:t xml:space="preserve"> (2023) [D.23-11-094] at pp. 53</w:t>
      </w:r>
      <w:r w:rsidRPr="2E5CEFEF" w:rsidR="5C749544">
        <w:rPr>
          <w:rFonts w:ascii="Times New Roman" w:hAnsi="Times New Roman" w:eastAsia="Times New Roman" w:cs="Times New Roman"/>
          <w:color w:val="000000" w:themeColor="text1"/>
          <w:sz w:val="26"/>
          <w:szCs w:val="26"/>
        </w:rPr>
        <w:t xml:space="preserve"> [</w:t>
      </w:r>
      <w:r w:rsidRPr="2E5CEFEF" w:rsidR="739A30DE">
        <w:rPr>
          <w:rFonts w:ascii="Times New Roman" w:hAnsi="Times New Roman" w:eastAsia="Times New Roman" w:cs="Times New Roman"/>
          <w:color w:val="000000" w:themeColor="text1"/>
          <w:sz w:val="26"/>
          <w:szCs w:val="26"/>
        </w:rPr>
        <w:t xml:space="preserve">“the Commission has not, to this date, found that </w:t>
      </w:r>
      <w:r w:rsidRPr="2E5CEFEF" w:rsidR="2333A86E">
        <w:rPr>
          <w:rFonts w:ascii="Times New Roman" w:hAnsi="Times New Roman" w:eastAsia="Times New Roman" w:cs="Times New Roman"/>
          <w:color w:val="000000" w:themeColor="text1"/>
          <w:sz w:val="26"/>
          <w:szCs w:val="26"/>
        </w:rPr>
        <w:t>[</w:t>
      </w:r>
      <w:r w:rsidRPr="2E5CEFEF" w:rsidR="00C77710">
        <w:rPr>
          <w:rFonts w:ascii="Times New Roman" w:hAnsi="Times New Roman" w:eastAsia="Times New Roman" w:cs="Times New Roman"/>
          <w:color w:val="000000" w:themeColor="text1"/>
          <w:sz w:val="26"/>
          <w:szCs w:val="26"/>
        </w:rPr>
        <w:t>a utility’s</w:t>
      </w:r>
      <w:r w:rsidRPr="2E5CEFEF" w:rsidR="2333A86E">
        <w:rPr>
          <w:rFonts w:ascii="Times New Roman" w:hAnsi="Times New Roman" w:eastAsia="Times New Roman" w:cs="Times New Roman"/>
          <w:color w:val="000000" w:themeColor="text1"/>
          <w:sz w:val="26"/>
          <w:szCs w:val="26"/>
        </w:rPr>
        <w:t xml:space="preserve">] </w:t>
      </w:r>
      <w:r w:rsidRPr="2E5CEFEF" w:rsidR="739A30DE">
        <w:rPr>
          <w:rFonts w:ascii="Times New Roman" w:hAnsi="Times New Roman" w:eastAsia="Times New Roman" w:cs="Times New Roman"/>
          <w:color w:val="000000" w:themeColor="text1"/>
          <w:sz w:val="26"/>
          <w:szCs w:val="26"/>
        </w:rPr>
        <w:t xml:space="preserve">bundled service customers owe additional credits to Departing Load customers when </w:t>
      </w:r>
      <w:r w:rsidRPr="2E5CEFEF" w:rsidR="08B5CC79">
        <w:rPr>
          <w:rFonts w:ascii="Times New Roman" w:hAnsi="Times New Roman" w:eastAsia="Times New Roman" w:cs="Times New Roman"/>
          <w:color w:val="000000" w:themeColor="text1"/>
          <w:sz w:val="26"/>
          <w:szCs w:val="26"/>
        </w:rPr>
        <w:t xml:space="preserve">[a utility] </w:t>
      </w:r>
      <w:r w:rsidRPr="2E5CEFEF" w:rsidR="739A30DE">
        <w:rPr>
          <w:rFonts w:ascii="Times New Roman" w:hAnsi="Times New Roman" w:eastAsia="Times New Roman" w:cs="Times New Roman"/>
          <w:color w:val="000000" w:themeColor="text1"/>
          <w:sz w:val="26"/>
          <w:szCs w:val="26"/>
        </w:rPr>
        <w:t>uses RECs banked in or before 2018”</w:t>
      </w:r>
      <w:r w:rsidRPr="2E5CEFEF" w:rsidR="715D9355">
        <w:rPr>
          <w:rFonts w:ascii="Times New Roman" w:hAnsi="Times New Roman" w:eastAsia="Times New Roman" w:cs="Times New Roman"/>
          <w:color w:val="000000" w:themeColor="text1"/>
          <w:sz w:val="26"/>
          <w:szCs w:val="26"/>
        </w:rPr>
        <w:t xml:space="preserve">].)  </w:t>
      </w:r>
    </w:p>
    <w:p w:rsidR="6DD0680B" w:rsidP="40997F2A" w:rsidRDefault="6DD0680B" w14:paraId="48BC5E7E" w14:textId="29382C00">
      <w:pPr>
        <w:spacing w:line="360" w:lineRule="auto"/>
        <w:ind w:firstLine="720"/>
        <w:rPr>
          <w:rFonts w:ascii="Times New Roman" w:hAnsi="Times New Roman" w:eastAsia="Times New Roman" w:cs="Times New Roman"/>
          <w:sz w:val="26"/>
          <w:szCs w:val="26"/>
        </w:rPr>
      </w:pPr>
      <w:r w:rsidRPr="2E5CEFEF">
        <w:rPr>
          <w:rFonts w:ascii="Times New Roman" w:hAnsi="Times New Roman" w:eastAsia="Times New Roman" w:cs="Times New Roman"/>
          <w:sz w:val="26"/>
          <w:szCs w:val="26"/>
        </w:rPr>
        <w:t>CalCCA does not appear to dispute that</w:t>
      </w:r>
      <w:r w:rsidRPr="2E5CEFEF" w:rsidR="5447BC17">
        <w:rPr>
          <w:rFonts w:ascii="Times New Roman" w:hAnsi="Times New Roman" w:eastAsia="Times New Roman" w:cs="Times New Roman"/>
          <w:sz w:val="26"/>
          <w:szCs w:val="26"/>
        </w:rPr>
        <w:t>, prior to 2019,</w:t>
      </w:r>
      <w:r w:rsidRPr="2E5CEFEF">
        <w:rPr>
          <w:rFonts w:ascii="Times New Roman" w:hAnsi="Times New Roman" w:eastAsia="Times New Roman" w:cs="Times New Roman"/>
          <w:sz w:val="26"/>
          <w:szCs w:val="26"/>
        </w:rPr>
        <w:t xml:space="preserve"> bundled customers paid an amount to departed load customers </w:t>
      </w:r>
      <w:r w:rsidRPr="2E5CEFEF" w:rsidR="00AF28AD">
        <w:rPr>
          <w:rFonts w:ascii="Times New Roman" w:hAnsi="Times New Roman" w:eastAsia="Times New Roman" w:cs="Times New Roman"/>
          <w:sz w:val="26"/>
          <w:szCs w:val="26"/>
        </w:rPr>
        <w:t xml:space="preserve">to reflect the REC’s value </w:t>
      </w:r>
      <w:r w:rsidRPr="2E5CEFEF">
        <w:rPr>
          <w:rFonts w:ascii="Times New Roman" w:hAnsi="Times New Roman" w:eastAsia="Times New Roman" w:cs="Times New Roman"/>
          <w:sz w:val="26"/>
          <w:szCs w:val="26"/>
        </w:rPr>
        <w:t xml:space="preserve">via the PCIA at the time of </w:t>
      </w:r>
      <w:r w:rsidRPr="2E5CEFEF">
        <w:rPr>
          <w:rFonts w:ascii="Times New Roman" w:hAnsi="Times New Roman" w:eastAsia="Times New Roman" w:cs="Times New Roman"/>
          <w:sz w:val="26"/>
          <w:szCs w:val="26"/>
        </w:rPr>
        <w:lastRenderedPageBreak/>
        <w:t xml:space="preserve">REC procurement, or that PG&amp;E complied with this then-existing process.  However, CalCCA </w:t>
      </w:r>
      <w:r w:rsidRPr="2E5CEFEF" w:rsidR="49868C15">
        <w:rPr>
          <w:rFonts w:ascii="Times New Roman" w:hAnsi="Times New Roman" w:eastAsia="Times New Roman" w:cs="Times New Roman"/>
          <w:sz w:val="26"/>
          <w:szCs w:val="26"/>
        </w:rPr>
        <w:t xml:space="preserve">offers an interpretation </w:t>
      </w:r>
      <w:r w:rsidRPr="2E5CEFEF">
        <w:rPr>
          <w:rFonts w:ascii="Times New Roman" w:hAnsi="Times New Roman" w:eastAsia="Times New Roman" w:cs="Times New Roman"/>
          <w:sz w:val="26"/>
          <w:szCs w:val="26"/>
        </w:rPr>
        <w:t>of section 366.2(g), and the other indifference-related statutes cited above,</w:t>
      </w:r>
      <w:r w:rsidRPr="2E5CEFEF" w:rsidR="489AA6FA">
        <w:rPr>
          <w:rFonts w:ascii="Times New Roman" w:hAnsi="Times New Roman" w:eastAsia="Times New Roman" w:cs="Times New Roman"/>
          <w:sz w:val="26"/>
          <w:szCs w:val="26"/>
        </w:rPr>
        <w:t xml:space="preserve"> in which </w:t>
      </w:r>
      <w:r w:rsidRPr="2E5CEFEF">
        <w:rPr>
          <w:rFonts w:ascii="Times New Roman" w:hAnsi="Times New Roman" w:eastAsia="Times New Roman" w:cs="Times New Roman"/>
          <w:sz w:val="26"/>
          <w:szCs w:val="26"/>
        </w:rPr>
        <w:t xml:space="preserve">bundled customers </w:t>
      </w:r>
      <w:r w:rsidRPr="2E5CEFEF" w:rsidR="00C77710">
        <w:rPr>
          <w:rFonts w:ascii="Times New Roman" w:hAnsi="Times New Roman" w:eastAsia="Times New Roman" w:cs="Times New Roman"/>
          <w:sz w:val="26"/>
          <w:szCs w:val="26"/>
        </w:rPr>
        <w:t xml:space="preserve">would be required </w:t>
      </w:r>
      <w:r w:rsidRPr="2E5CEFEF">
        <w:rPr>
          <w:rFonts w:ascii="Times New Roman" w:hAnsi="Times New Roman" w:eastAsia="Times New Roman" w:cs="Times New Roman"/>
          <w:sz w:val="26"/>
          <w:szCs w:val="26"/>
        </w:rPr>
        <w:t xml:space="preserve">to pay an additional amount associated with the REC to </w:t>
      </w:r>
      <w:r w:rsidRPr="2E5CEFEF" w:rsidR="3B19ABFB">
        <w:rPr>
          <w:rFonts w:ascii="Times New Roman" w:hAnsi="Times New Roman" w:eastAsia="Times New Roman" w:cs="Times New Roman"/>
          <w:sz w:val="26"/>
          <w:szCs w:val="26"/>
        </w:rPr>
        <w:t xml:space="preserve">departed load </w:t>
      </w:r>
      <w:r w:rsidRPr="2E5CEFEF">
        <w:rPr>
          <w:rFonts w:ascii="Times New Roman" w:hAnsi="Times New Roman" w:eastAsia="Times New Roman" w:cs="Times New Roman"/>
          <w:sz w:val="26"/>
          <w:szCs w:val="26"/>
        </w:rPr>
        <w:t>customers</w:t>
      </w:r>
      <w:r w:rsidRPr="2E5CEFEF" w:rsidR="00C77710">
        <w:rPr>
          <w:rFonts w:ascii="Times New Roman" w:hAnsi="Times New Roman" w:eastAsia="Times New Roman" w:cs="Times New Roman"/>
          <w:sz w:val="26"/>
          <w:szCs w:val="26"/>
        </w:rPr>
        <w:t>, once the REC is used for RPS compliance</w:t>
      </w:r>
      <w:r w:rsidRPr="2E5CEFEF">
        <w:rPr>
          <w:rFonts w:ascii="Times New Roman" w:hAnsi="Times New Roman" w:eastAsia="Times New Roman" w:cs="Times New Roman"/>
          <w:sz w:val="26"/>
          <w:szCs w:val="26"/>
        </w:rPr>
        <w:t xml:space="preserve">.  </w:t>
      </w:r>
    </w:p>
    <w:p w:rsidR="125C4847" w:rsidP="40997F2A" w:rsidRDefault="3C20FEC3" w14:paraId="0E52712B" w14:textId="1B24F2C1">
      <w:pPr>
        <w:spacing w:line="360" w:lineRule="auto"/>
        <w:ind w:firstLine="720"/>
      </w:pPr>
      <w:r w:rsidRPr="4C473D7A">
        <w:rPr>
          <w:rFonts w:ascii="Times New Roman" w:hAnsi="Times New Roman" w:eastAsia="Times New Roman" w:cs="Times New Roman"/>
          <w:color w:val="000000" w:themeColor="text1"/>
          <w:sz w:val="26"/>
          <w:szCs w:val="26"/>
        </w:rPr>
        <w:t xml:space="preserve">This interpretation does not follow from the plain language of the statute.  </w:t>
      </w:r>
      <w:r w:rsidRPr="4C473D7A" w:rsidR="1D7F5304">
        <w:rPr>
          <w:rFonts w:ascii="Times New Roman" w:hAnsi="Times New Roman" w:cs="Times New Roman"/>
          <w:color w:val="000000" w:themeColor="text1"/>
          <w:sz w:val="26"/>
          <w:szCs w:val="26"/>
        </w:rPr>
        <w:t xml:space="preserve">Section 366.2(g) requires </w:t>
      </w:r>
      <w:r w:rsidRPr="4C473D7A" w:rsidR="1D7F5304">
        <w:rPr>
          <w:rFonts w:ascii="Times New Roman" w:hAnsi="Times New Roman" w:eastAsia="Times New Roman" w:cs="Times New Roman"/>
          <w:color w:val="000000" w:themeColor="text1"/>
          <w:sz w:val="26"/>
          <w:szCs w:val="26"/>
        </w:rPr>
        <w:t xml:space="preserve">electricity costs paid by CCA customers </w:t>
      </w:r>
      <w:r w:rsidRPr="4C473D7A" w:rsidR="6D6BA1E2">
        <w:rPr>
          <w:rFonts w:ascii="Times New Roman" w:hAnsi="Times New Roman" w:eastAsia="Times New Roman" w:cs="Times New Roman"/>
          <w:color w:val="000000" w:themeColor="text1"/>
          <w:sz w:val="26"/>
          <w:szCs w:val="26"/>
        </w:rPr>
        <w:t xml:space="preserve">to </w:t>
      </w:r>
      <w:r w:rsidRPr="4C473D7A" w:rsidR="1D7F5304">
        <w:rPr>
          <w:rFonts w:ascii="Times New Roman" w:hAnsi="Times New Roman" w:eastAsia="Times New Roman" w:cs="Times New Roman"/>
          <w:color w:val="000000" w:themeColor="text1"/>
          <w:sz w:val="26"/>
          <w:szCs w:val="26"/>
        </w:rPr>
        <w:t xml:space="preserve">be reduced by the value of any benefits that remain with bundled customers, unless CCA customers are allocated a fair and equitable share of those benefits.  </w:t>
      </w:r>
      <w:r w:rsidRPr="4C473D7A" w:rsidR="21FAC623">
        <w:rPr>
          <w:rFonts w:ascii="Times New Roman" w:hAnsi="Times New Roman" w:eastAsia="Times New Roman" w:cs="Times New Roman"/>
          <w:color w:val="000000" w:themeColor="text1"/>
          <w:sz w:val="26"/>
          <w:szCs w:val="26"/>
        </w:rPr>
        <w:t xml:space="preserve">Prior to 2019, bundled customers paid </w:t>
      </w:r>
      <w:proofErr w:type="gramStart"/>
      <w:r w:rsidRPr="4C473D7A" w:rsidR="21FAC623">
        <w:rPr>
          <w:rFonts w:ascii="Times New Roman" w:hAnsi="Times New Roman" w:eastAsia="Times New Roman" w:cs="Times New Roman"/>
          <w:color w:val="000000" w:themeColor="text1"/>
          <w:sz w:val="26"/>
          <w:szCs w:val="26"/>
        </w:rPr>
        <w:t>a credit</w:t>
      </w:r>
      <w:proofErr w:type="gramEnd"/>
      <w:r w:rsidRPr="4C473D7A" w:rsidR="21FAC623">
        <w:rPr>
          <w:rFonts w:ascii="Times New Roman" w:hAnsi="Times New Roman" w:eastAsia="Times New Roman" w:cs="Times New Roman"/>
          <w:color w:val="000000" w:themeColor="text1"/>
          <w:sz w:val="26"/>
          <w:szCs w:val="26"/>
        </w:rPr>
        <w:t xml:space="preserve"> via the PCIA to CCA customers to reflect the value of a REC, at the time the REC was </w:t>
      </w:r>
      <w:r w:rsidRPr="4C473D7A" w:rsidR="255146F5">
        <w:rPr>
          <w:rFonts w:ascii="Times New Roman" w:hAnsi="Times New Roman" w:eastAsia="Times New Roman" w:cs="Times New Roman"/>
          <w:color w:val="000000" w:themeColor="text1"/>
          <w:sz w:val="26"/>
          <w:szCs w:val="26"/>
        </w:rPr>
        <w:t>generated</w:t>
      </w:r>
      <w:r w:rsidRPr="4C473D7A" w:rsidR="21FAC623">
        <w:rPr>
          <w:rFonts w:ascii="Times New Roman" w:hAnsi="Times New Roman" w:eastAsia="Times New Roman" w:cs="Times New Roman"/>
          <w:color w:val="000000" w:themeColor="text1"/>
          <w:sz w:val="26"/>
          <w:szCs w:val="26"/>
        </w:rPr>
        <w:t>.  Compliance with section 366.2(g)</w:t>
      </w:r>
      <w:r w:rsidRPr="4C473D7A" w:rsidR="1D7F5304">
        <w:rPr>
          <w:rFonts w:ascii="Times New Roman" w:hAnsi="Times New Roman" w:eastAsia="Times New Roman" w:cs="Times New Roman"/>
          <w:color w:val="000000" w:themeColor="text1"/>
          <w:sz w:val="26"/>
          <w:szCs w:val="26"/>
        </w:rPr>
        <w:t xml:space="preserve"> was achieved under the pre-D.19-10-001 process</w:t>
      </w:r>
      <w:r w:rsidRPr="4C473D7A" w:rsidR="2D74E6B7">
        <w:rPr>
          <w:rFonts w:ascii="Times New Roman" w:hAnsi="Times New Roman" w:eastAsia="Times New Roman" w:cs="Times New Roman"/>
          <w:color w:val="000000" w:themeColor="text1"/>
          <w:sz w:val="26"/>
          <w:szCs w:val="26"/>
        </w:rPr>
        <w:t>, and nothing in the code section requires this indifference adjustment to be re-d</w:t>
      </w:r>
      <w:r w:rsidRPr="4C473D7A" w:rsidR="1AEA8BA1">
        <w:rPr>
          <w:rFonts w:ascii="Times New Roman" w:hAnsi="Times New Roman" w:eastAsia="Times New Roman" w:cs="Times New Roman"/>
          <w:color w:val="000000" w:themeColor="text1"/>
          <w:sz w:val="26"/>
          <w:szCs w:val="26"/>
        </w:rPr>
        <w:t>one</w:t>
      </w:r>
      <w:r w:rsidRPr="4C473D7A" w:rsidR="2D74E6B7">
        <w:rPr>
          <w:rFonts w:ascii="Times New Roman" w:hAnsi="Times New Roman" w:eastAsia="Times New Roman" w:cs="Times New Roman"/>
          <w:color w:val="000000" w:themeColor="text1"/>
          <w:sz w:val="26"/>
          <w:szCs w:val="26"/>
        </w:rPr>
        <w:t xml:space="preserve"> merely because additional customers have departed bundled service for CCA service or that a </w:t>
      </w:r>
      <w:r w:rsidRPr="4C473D7A" w:rsidR="2732521F">
        <w:rPr>
          <w:rFonts w:ascii="Times New Roman" w:hAnsi="Times New Roman" w:eastAsia="Times New Roman" w:cs="Times New Roman"/>
          <w:color w:val="000000" w:themeColor="text1"/>
          <w:sz w:val="26"/>
          <w:szCs w:val="26"/>
        </w:rPr>
        <w:t xml:space="preserve">generated </w:t>
      </w:r>
      <w:r w:rsidRPr="4C473D7A" w:rsidR="2D74E6B7">
        <w:rPr>
          <w:rFonts w:ascii="Times New Roman" w:hAnsi="Times New Roman" w:eastAsia="Times New Roman" w:cs="Times New Roman"/>
          <w:color w:val="000000" w:themeColor="text1"/>
          <w:sz w:val="26"/>
          <w:szCs w:val="26"/>
        </w:rPr>
        <w:t>and banked REC is now being used for RPS compliance.</w:t>
      </w:r>
    </w:p>
    <w:p w:rsidR="1B98DF3E" w:rsidP="2E5CEFEF" w:rsidRDefault="0AD43AE9" w14:paraId="42A7D237" w14:textId="3BA67209">
      <w:pPr>
        <w:spacing w:line="360" w:lineRule="auto"/>
        <w:ind w:firstLine="720"/>
        <w:rPr>
          <w:rFonts w:ascii="Times New Roman" w:hAnsi="Times New Roman" w:cs="Times New Roman"/>
          <w:color w:val="000000" w:themeColor="text1"/>
          <w:sz w:val="26"/>
          <w:szCs w:val="26"/>
        </w:rPr>
      </w:pPr>
      <w:r w:rsidRPr="4C473D7A">
        <w:rPr>
          <w:rFonts w:ascii="Times New Roman" w:hAnsi="Times New Roman" w:eastAsia="Times New Roman" w:cs="Times New Roman"/>
          <w:color w:val="000000" w:themeColor="text1"/>
          <w:sz w:val="26"/>
          <w:szCs w:val="26"/>
        </w:rPr>
        <w:t>What’s more, PG&amp;E raised valid concerns about the legal, policy, and practical implications</w:t>
      </w:r>
      <w:r w:rsidRPr="4C473D7A" w:rsidR="1D7F5304">
        <w:rPr>
          <w:rFonts w:ascii="Times New Roman" w:hAnsi="Times New Roman" w:eastAsia="Times New Roman" w:cs="Times New Roman"/>
          <w:color w:val="000000" w:themeColor="text1"/>
          <w:sz w:val="26"/>
          <w:szCs w:val="26"/>
        </w:rPr>
        <w:t xml:space="preserve"> </w:t>
      </w:r>
      <w:r w:rsidRPr="4C473D7A" w:rsidR="603D3854">
        <w:rPr>
          <w:rFonts w:ascii="Times New Roman" w:hAnsi="Times New Roman" w:eastAsia="Times New Roman" w:cs="Times New Roman"/>
          <w:color w:val="000000" w:themeColor="text1"/>
          <w:sz w:val="26"/>
          <w:szCs w:val="26"/>
        </w:rPr>
        <w:t xml:space="preserve">if the Commission were to adopt such an interpretation.  </w:t>
      </w:r>
      <w:r w:rsidRPr="4C473D7A" w:rsidR="72A87A5D">
        <w:rPr>
          <w:rFonts w:ascii="Times New Roman" w:hAnsi="Times New Roman" w:eastAsia="Times New Roman" w:cs="Times New Roman"/>
          <w:color w:val="000000" w:themeColor="text1"/>
          <w:sz w:val="26"/>
          <w:szCs w:val="26"/>
        </w:rPr>
        <w:t xml:space="preserve">For instance, CalCCA’s proposal </w:t>
      </w:r>
      <w:r w:rsidRPr="4C473D7A" w:rsidR="1AEA8BA1">
        <w:rPr>
          <w:rFonts w:ascii="Times New Roman" w:hAnsi="Times New Roman" w:eastAsia="Times New Roman" w:cs="Times New Roman"/>
          <w:color w:val="000000" w:themeColor="text1"/>
          <w:sz w:val="26"/>
          <w:szCs w:val="26"/>
        </w:rPr>
        <w:t xml:space="preserve">arguably </w:t>
      </w:r>
      <w:r w:rsidRPr="4C473D7A" w:rsidR="72A87A5D">
        <w:rPr>
          <w:rFonts w:ascii="Times New Roman" w:hAnsi="Times New Roman" w:eastAsia="Times New Roman" w:cs="Times New Roman"/>
          <w:color w:val="000000" w:themeColor="text1"/>
          <w:sz w:val="26"/>
          <w:szCs w:val="26"/>
        </w:rPr>
        <w:t>violat</w:t>
      </w:r>
      <w:r w:rsidRPr="4C473D7A" w:rsidR="1AEA8BA1">
        <w:rPr>
          <w:rFonts w:ascii="Times New Roman" w:hAnsi="Times New Roman" w:eastAsia="Times New Roman" w:cs="Times New Roman"/>
          <w:color w:val="000000" w:themeColor="text1"/>
          <w:sz w:val="26"/>
          <w:szCs w:val="26"/>
        </w:rPr>
        <w:t>es</w:t>
      </w:r>
      <w:r w:rsidRPr="4C473D7A" w:rsidR="72A87A5D">
        <w:rPr>
          <w:rFonts w:ascii="Times New Roman" w:hAnsi="Times New Roman" w:eastAsia="Times New Roman" w:cs="Times New Roman"/>
          <w:color w:val="000000" w:themeColor="text1"/>
          <w:sz w:val="26"/>
          <w:szCs w:val="26"/>
        </w:rPr>
        <w:t xml:space="preserve"> the</w:t>
      </w:r>
      <w:r w:rsidRPr="4C473D7A" w:rsidR="603D3854">
        <w:rPr>
          <w:rFonts w:ascii="Times New Roman" w:hAnsi="Times New Roman" w:eastAsia="Times New Roman" w:cs="Times New Roman"/>
          <w:color w:val="000000" w:themeColor="text1"/>
          <w:sz w:val="26"/>
          <w:szCs w:val="26"/>
        </w:rPr>
        <w:t xml:space="preserve"> indifference requirements set forth in </w:t>
      </w:r>
      <w:r w:rsidRPr="4C473D7A" w:rsidR="23598494">
        <w:rPr>
          <w:rFonts w:ascii="Times New Roman" w:hAnsi="Times New Roman" w:eastAsia="Times New Roman" w:cs="Times New Roman"/>
          <w:color w:val="000000" w:themeColor="text1"/>
          <w:sz w:val="26"/>
          <w:szCs w:val="26"/>
        </w:rPr>
        <w:t xml:space="preserve">sections </w:t>
      </w:r>
      <w:r w:rsidRPr="4C473D7A" w:rsidR="23598494">
        <w:rPr>
          <w:rFonts w:ascii="Times New Roman" w:hAnsi="Times New Roman" w:cs="Times New Roman"/>
          <w:color w:val="000000" w:themeColor="text1"/>
          <w:sz w:val="26"/>
          <w:szCs w:val="26"/>
        </w:rPr>
        <w:t xml:space="preserve">365.2, 366.3, and 366.2 (a)(4).  These code sections expressly require that both bundled and unbundled customers be held indifferent by “not </w:t>
      </w:r>
      <w:proofErr w:type="spellStart"/>
      <w:r w:rsidRPr="4C473D7A" w:rsidR="23598494">
        <w:rPr>
          <w:rFonts w:ascii="Times New Roman" w:hAnsi="Times New Roman" w:cs="Times New Roman"/>
          <w:color w:val="000000" w:themeColor="text1"/>
          <w:sz w:val="26"/>
          <w:szCs w:val="26"/>
        </w:rPr>
        <w:t>experienc</w:t>
      </w:r>
      <w:proofErr w:type="spellEnd"/>
      <w:r w:rsidRPr="4C473D7A" w:rsidR="18874233">
        <w:rPr>
          <w:rFonts w:ascii="Times New Roman" w:hAnsi="Times New Roman" w:cs="Times New Roman"/>
          <w:color w:val="000000" w:themeColor="text1"/>
          <w:sz w:val="26"/>
          <w:szCs w:val="26"/>
        </w:rPr>
        <w:t>[</w:t>
      </w:r>
      <w:proofErr w:type="spellStart"/>
      <w:r w:rsidRPr="4C473D7A" w:rsidR="18874233">
        <w:rPr>
          <w:rFonts w:ascii="Times New Roman" w:hAnsi="Times New Roman" w:cs="Times New Roman"/>
          <w:color w:val="000000" w:themeColor="text1"/>
          <w:sz w:val="26"/>
          <w:szCs w:val="26"/>
        </w:rPr>
        <w:t>ing</w:t>
      </w:r>
      <w:proofErr w:type="spellEnd"/>
      <w:r w:rsidRPr="4C473D7A" w:rsidR="18874233">
        <w:rPr>
          <w:rFonts w:ascii="Times New Roman" w:hAnsi="Times New Roman" w:cs="Times New Roman"/>
          <w:color w:val="000000" w:themeColor="text1"/>
          <w:sz w:val="26"/>
          <w:szCs w:val="26"/>
        </w:rPr>
        <w:t xml:space="preserve">] any cost increases.”  CalCCA’s proposal directly calls for </w:t>
      </w:r>
      <w:r w:rsidRPr="4C473D7A" w:rsidR="48EF4C1B">
        <w:rPr>
          <w:rFonts w:ascii="Times New Roman" w:hAnsi="Times New Roman" w:cs="Times New Roman"/>
          <w:color w:val="000000" w:themeColor="text1"/>
          <w:sz w:val="26"/>
          <w:szCs w:val="26"/>
        </w:rPr>
        <w:t xml:space="preserve">bundled customers to pay an additional credit associated with a banked REC, </w:t>
      </w:r>
      <w:proofErr w:type="gramStart"/>
      <w:r w:rsidRPr="4C473D7A" w:rsidR="48EF4C1B">
        <w:rPr>
          <w:rFonts w:ascii="Times New Roman" w:hAnsi="Times New Roman" w:cs="Times New Roman"/>
          <w:color w:val="000000" w:themeColor="text1"/>
          <w:sz w:val="26"/>
          <w:szCs w:val="26"/>
        </w:rPr>
        <w:t>despite the fact that</w:t>
      </w:r>
      <w:proofErr w:type="gramEnd"/>
      <w:r w:rsidRPr="4C473D7A" w:rsidR="48EF4C1B">
        <w:rPr>
          <w:rFonts w:ascii="Times New Roman" w:hAnsi="Times New Roman" w:cs="Times New Roman"/>
          <w:color w:val="000000" w:themeColor="text1"/>
          <w:sz w:val="26"/>
          <w:szCs w:val="26"/>
        </w:rPr>
        <w:t xml:space="preserve"> those customers already paid for the REC when that</w:t>
      </w:r>
      <w:r w:rsidRPr="4C473D7A" w:rsidR="73E17964">
        <w:rPr>
          <w:rFonts w:ascii="Times New Roman" w:hAnsi="Times New Roman" w:cs="Times New Roman"/>
          <w:color w:val="000000" w:themeColor="text1"/>
          <w:sz w:val="26"/>
          <w:szCs w:val="26"/>
        </w:rPr>
        <w:t xml:space="preserve"> REC </w:t>
      </w:r>
      <w:r w:rsidRPr="4C473D7A" w:rsidR="70906DA7">
        <w:rPr>
          <w:rFonts w:ascii="Times New Roman" w:hAnsi="Times New Roman" w:cs="Times New Roman"/>
          <w:color w:val="000000" w:themeColor="text1"/>
          <w:sz w:val="26"/>
          <w:szCs w:val="26"/>
        </w:rPr>
        <w:t xml:space="preserve">was </w:t>
      </w:r>
      <w:r w:rsidRPr="4C473D7A" w:rsidR="307E3A4D">
        <w:rPr>
          <w:rFonts w:ascii="Times New Roman" w:hAnsi="Times New Roman" w:cs="Times New Roman"/>
          <w:color w:val="000000" w:themeColor="text1"/>
          <w:sz w:val="26"/>
          <w:szCs w:val="26"/>
        </w:rPr>
        <w:t xml:space="preserve">generated </w:t>
      </w:r>
      <w:r w:rsidRPr="4C473D7A" w:rsidR="70906DA7">
        <w:rPr>
          <w:rFonts w:ascii="Times New Roman" w:hAnsi="Times New Roman" w:cs="Times New Roman"/>
          <w:color w:val="000000" w:themeColor="text1"/>
          <w:sz w:val="26"/>
          <w:szCs w:val="26"/>
        </w:rPr>
        <w:t>prior</w:t>
      </w:r>
      <w:r w:rsidRPr="4C473D7A" w:rsidR="73E17964">
        <w:rPr>
          <w:rFonts w:ascii="Times New Roman" w:hAnsi="Times New Roman" w:cs="Times New Roman"/>
          <w:color w:val="000000" w:themeColor="text1"/>
          <w:sz w:val="26"/>
          <w:szCs w:val="26"/>
        </w:rPr>
        <w:t xml:space="preserve"> </w:t>
      </w:r>
      <w:r w:rsidRPr="4C473D7A" w:rsidR="1AEA8BA1">
        <w:rPr>
          <w:rFonts w:ascii="Times New Roman" w:hAnsi="Times New Roman" w:cs="Times New Roman"/>
          <w:color w:val="000000" w:themeColor="text1"/>
          <w:sz w:val="26"/>
          <w:szCs w:val="26"/>
        </w:rPr>
        <w:t xml:space="preserve">to </w:t>
      </w:r>
      <w:r w:rsidRPr="4C473D7A" w:rsidR="73E17964">
        <w:rPr>
          <w:rFonts w:ascii="Times New Roman" w:hAnsi="Times New Roman" w:cs="Times New Roman"/>
          <w:color w:val="000000" w:themeColor="text1"/>
          <w:sz w:val="26"/>
          <w:szCs w:val="26"/>
        </w:rPr>
        <w:t>2019.</w:t>
      </w:r>
      <w:r w:rsidRPr="4C473D7A" w:rsidR="4264BF23">
        <w:rPr>
          <w:rFonts w:ascii="Times New Roman" w:hAnsi="Times New Roman" w:cs="Times New Roman"/>
          <w:color w:val="000000" w:themeColor="text1"/>
          <w:sz w:val="26"/>
          <w:szCs w:val="26"/>
        </w:rPr>
        <w:t xml:space="preserve">  Because this is an issue that was to be thoroughly considered in the ERRA Rulemaking, the Decision at issue avoids </w:t>
      </w:r>
      <w:proofErr w:type="gramStart"/>
      <w:r w:rsidRPr="4C473D7A" w:rsidR="4264BF23">
        <w:rPr>
          <w:rFonts w:ascii="Times New Roman" w:hAnsi="Times New Roman" w:cs="Times New Roman"/>
          <w:color w:val="000000" w:themeColor="text1"/>
          <w:sz w:val="26"/>
          <w:szCs w:val="26"/>
        </w:rPr>
        <w:t>making a determination</w:t>
      </w:r>
      <w:proofErr w:type="gramEnd"/>
      <w:r w:rsidRPr="4C473D7A" w:rsidR="4264BF23">
        <w:rPr>
          <w:rFonts w:ascii="Times New Roman" w:hAnsi="Times New Roman" w:cs="Times New Roman"/>
          <w:color w:val="000000" w:themeColor="text1"/>
          <w:sz w:val="26"/>
          <w:szCs w:val="26"/>
        </w:rPr>
        <w:t xml:space="preserve"> as to whether a zero-dollar valuation, a valuation based on the RPS Adder, or some other valuation methodology is legally required.  (</w:t>
      </w:r>
      <w:r w:rsidRPr="4C473D7A" w:rsidR="371B90C1">
        <w:rPr>
          <w:rFonts w:ascii="Times New Roman" w:hAnsi="Times New Roman" w:cs="Times New Roman"/>
          <w:color w:val="000000" w:themeColor="text1"/>
          <w:sz w:val="26"/>
          <w:szCs w:val="26"/>
        </w:rPr>
        <w:t>Decision, at p</w:t>
      </w:r>
      <w:r w:rsidRPr="4C473D7A" w:rsidR="0A0EA084">
        <w:rPr>
          <w:rFonts w:ascii="Times New Roman" w:hAnsi="Times New Roman" w:cs="Times New Roman"/>
          <w:color w:val="000000" w:themeColor="text1"/>
          <w:sz w:val="26"/>
          <w:szCs w:val="26"/>
        </w:rPr>
        <w:t>p</w:t>
      </w:r>
      <w:r w:rsidRPr="4C473D7A" w:rsidR="371B90C1">
        <w:rPr>
          <w:rFonts w:ascii="Times New Roman" w:hAnsi="Times New Roman" w:cs="Times New Roman"/>
          <w:color w:val="000000" w:themeColor="text1"/>
          <w:sz w:val="26"/>
          <w:szCs w:val="26"/>
        </w:rPr>
        <w:t>. 26</w:t>
      </w:r>
      <w:r w:rsidRPr="4C473D7A" w:rsidR="0A0EA084">
        <w:rPr>
          <w:rFonts w:ascii="Times New Roman" w:hAnsi="Times New Roman" w:cs="Times New Roman"/>
          <w:color w:val="000000" w:themeColor="text1"/>
          <w:sz w:val="26"/>
          <w:szCs w:val="26"/>
        </w:rPr>
        <w:t>, 31, 67, FOF 15</w:t>
      </w:r>
      <w:r w:rsidRPr="4C473D7A" w:rsidR="371B90C1">
        <w:rPr>
          <w:rFonts w:ascii="Times New Roman" w:hAnsi="Times New Roman" w:cs="Times New Roman"/>
          <w:color w:val="000000" w:themeColor="text1"/>
          <w:sz w:val="26"/>
          <w:szCs w:val="26"/>
        </w:rPr>
        <w:t>.)</w:t>
      </w:r>
      <w:r w:rsidRPr="4C473D7A" w:rsidR="0A0EA084">
        <w:rPr>
          <w:rFonts w:ascii="Times New Roman" w:hAnsi="Times New Roman" w:cs="Times New Roman"/>
          <w:color w:val="000000" w:themeColor="text1"/>
          <w:sz w:val="26"/>
          <w:szCs w:val="26"/>
        </w:rPr>
        <w:t xml:space="preserve">  After thoroughly considering the legality of adopting CalCCA’s proposal in Track 2 of the ERRA Rulemaking, the Commission adopted a methodology of valuing pre-2019 banked RECs that is consistent with the Decision at issue.  (</w:t>
      </w:r>
      <w:r w:rsidRPr="4C473D7A" w:rsidR="29E27BF4">
        <w:rPr>
          <w:rFonts w:ascii="Times New Roman" w:hAnsi="Times New Roman" w:cs="Times New Roman"/>
          <w:color w:val="000000" w:themeColor="text1"/>
          <w:sz w:val="26"/>
          <w:szCs w:val="26"/>
        </w:rPr>
        <w:t xml:space="preserve">See </w:t>
      </w:r>
      <w:r w:rsidRPr="4C473D7A" w:rsidR="29E27BF4">
        <w:rPr>
          <w:rFonts w:ascii="Times New Roman" w:hAnsi="Times New Roman" w:cs="Times New Roman"/>
          <w:i/>
          <w:iCs/>
          <w:color w:val="000000" w:themeColor="text1"/>
          <w:sz w:val="26"/>
          <w:szCs w:val="26"/>
        </w:rPr>
        <w:t xml:space="preserve">Decision Resolving Track Two Issues </w:t>
      </w:r>
      <w:r w:rsidRPr="4C473D7A" w:rsidR="29E27BF4">
        <w:rPr>
          <w:rFonts w:ascii="Times New Roman" w:hAnsi="Times New Roman" w:cs="Times New Roman"/>
          <w:color w:val="000000" w:themeColor="text1"/>
          <w:sz w:val="26"/>
          <w:szCs w:val="26"/>
        </w:rPr>
        <w:t>(2026) [</w:t>
      </w:r>
      <w:r w:rsidRPr="4C473D7A" w:rsidR="5B789DB9">
        <w:rPr>
          <w:rFonts w:ascii="Times New Roman" w:hAnsi="Times New Roman" w:cs="Times New Roman"/>
          <w:color w:val="000000" w:themeColor="text1"/>
          <w:sz w:val="26"/>
          <w:szCs w:val="26"/>
        </w:rPr>
        <w:t>D.26-09-047</w:t>
      </w:r>
      <w:r w:rsidRPr="4C473D7A" w:rsidR="29E27BF4">
        <w:rPr>
          <w:rFonts w:ascii="Times New Roman" w:hAnsi="Times New Roman" w:cs="Times New Roman"/>
          <w:color w:val="000000" w:themeColor="text1"/>
          <w:sz w:val="26"/>
          <w:szCs w:val="26"/>
        </w:rPr>
        <w:t>]</w:t>
      </w:r>
      <w:r w:rsidRPr="4C473D7A" w:rsidR="5B789DB9">
        <w:rPr>
          <w:rFonts w:ascii="Times New Roman" w:hAnsi="Times New Roman" w:cs="Times New Roman"/>
          <w:color w:val="000000" w:themeColor="text1"/>
          <w:sz w:val="26"/>
          <w:szCs w:val="26"/>
        </w:rPr>
        <w:t xml:space="preserve">, </w:t>
      </w:r>
      <w:r w:rsidRPr="4C473D7A" w:rsidR="5B789DB9">
        <w:rPr>
          <w:rFonts w:ascii="Times New Roman" w:hAnsi="Times New Roman" w:cs="Times New Roman"/>
          <w:i/>
          <w:iCs/>
          <w:color w:val="000000" w:themeColor="text1"/>
          <w:sz w:val="26"/>
          <w:szCs w:val="26"/>
        </w:rPr>
        <w:t>supra</w:t>
      </w:r>
      <w:r w:rsidRPr="4C473D7A" w:rsidR="5B789DB9">
        <w:rPr>
          <w:rFonts w:ascii="Times New Roman" w:hAnsi="Times New Roman" w:cs="Times New Roman"/>
          <w:color w:val="000000" w:themeColor="text1"/>
          <w:sz w:val="26"/>
          <w:szCs w:val="26"/>
        </w:rPr>
        <w:t>, at p. 2.)</w:t>
      </w:r>
    </w:p>
    <w:p w:rsidR="5DDA5954" w:rsidP="40997F2A" w:rsidRDefault="5DDA5954" w14:paraId="10A12681" w14:textId="6F8F1687">
      <w:pPr>
        <w:spacing w:line="360" w:lineRule="auto"/>
        <w:ind w:firstLine="720"/>
      </w:pPr>
      <w:r w:rsidRPr="2E5CEFEF">
        <w:rPr>
          <w:rFonts w:ascii="Times New Roman" w:hAnsi="Times New Roman" w:cs="Times New Roman"/>
          <w:color w:val="000000" w:themeColor="text1"/>
          <w:sz w:val="26"/>
          <w:szCs w:val="26"/>
        </w:rPr>
        <w:lastRenderedPageBreak/>
        <w:t xml:space="preserve">In sum, in the absence of any legal requirement to adopt the RPS Adder, the Commission’s determination to adopt PG&amp;E’s proposal </w:t>
      </w:r>
      <w:r w:rsidRPr="2E5CEFEF" w:rsidR="7C8C7D5D">
        <w:rPr>
          <w:rFonts w:ascii="Times New Roman" w:hAnsi="Times New Roman" w:cs="Times New Roman"/>
          <w:color w:val="000000" w:themeColor="text1"/>
          <w:sz w:val="26"/>
          <w:szCs w:val="26"/>
        </w:rPr>
        <w:t xml:space="preserve">as an interim measure is reasonable and supported by the record.  CalCCA fails to show </w:t>
      </w:r>
      <w:r w:rsidRPr="2E5CEFEF" w:rsidR="5212C3E1">
        <w:rPr>
          <w:rFonts w:ascii="Times New Roman" w:hAnsi="Times New Roman" w:cs="Times New Roman"/>
          <w:color w:val="000000" w:themeColor="text1"/>
          <w:sz w:val="26"/>
          <w:szCs w:val="26"/>
        </w:rPr>
        <w:t xml:space="preserve">a legal requirement to adopt its RPS Adder valuation methodology.  </w:t>
      </w:r>
    </w:p>
    <w:p w:rsidRPr="00304D28" w:rsidR="1ABCA174" w:rsidP="00533C6B" w:rsidRDefault="00FE0F3E" w14:paraId="34770020" w14:textId="5588AD60">
      <w:pPr>
        <w:pStyle w:val="Heading2"/>
      </w:pPr>
      <w:r w:rsidRPr="00304D28">
        <w:t>C</w:t>
      </w:r>
      <w:r w:rsidR="00533C6B">
        <w:t>al</w:t>
      </w:r>
      <w:r w:rsidRPr="00304D28">
        <w:t xml:space="preserve">CCA </w:t>
      </w:r>
      <w:r w:rsidR="00533C6B">
        <w:t>fails to</w:t>
      </w:r>
      <w:r w:rsidRPr="00C77710">
        <w:t xml:space="preserve"> </w:t>
      </w:r>
      <w:r w:rsidR="00533C6B">
        <w:t>show</w:t>
      </w:r>
      <w:r w:rsidRPr="00C77710">
        <w:t xml:space="preserve"> </w:t>
      </w:r>
      <w:r w:rsidR="00533C6B">
        <w:t>that</w:t>
      </w:r>
      <w:r w:rsidRPr="00C77710">
        <w:t xml:space="preserve"> </w:t>
      </w:r>
      <w:r w:rsidR="00533C6B">
        <w:t>the</w:t>
      </w:r>
      <w:r w:rsidRPr="00C77710">
        <w:t xml:space="preserve"> D</w:t>
      </w:r>
      <w:r w:rsidR="00533C6B">
        <w:t>ecision’s</w:t>
      </w:r>
      <w:r w:rsidRPr="00C77710">
        <w:t xml:space="preserve"> </w:t>
      </w:r>
      <w:r w:rsidR="00533C6B">
        <w:t>determination</w:t>
      </w:r>
      <w:r w:rsidRPr="00C77710">
        <w:t xml:space="preserve"> </w:t>
      </w:r>
      <w:r w:rsidR="00533C6B">
        <w:t>regarding</w:t>
      </w:r>
      <w:r w:rsidRPr="00C77710">
        <w:t xml:space="preserve"> </w:t>
      </w:r>
      <w:r w:rsidR="00533C6B">
        <w:t>pre</w:t>
      </w:r>
      <w:r w:rsidRPr="00C77710">
        <w:t xml:space="preserve">-2019 </w:t>
      </w:r>
      <w:r w:rsidR="00533C6B">
        <w:t>banked</w:t>
      </w:r>
      <w:r w:rsidRPr="00C77710">
        <w:t xml:space="preserve"> </w:t>
      </w:r>
      <w:r w:rsidR="00533C6B">
        <w:t>RECs</w:t>
      </w:r>
      <w:r w:rsidRPr="00C77710">
        <w:t xml:space="preserve"> </w:t>
      </w:r>
      <w:proofErr w:type="gramStart"/>
      <w:r w:rsidR="00533C6B">
        <w:t>is</w:t>
      </w:r>
      <w:proofErr w:type="gramEnd"/>
      <w:r w:rsidRPr="00C77710">
        <w:t xml:space="preserve"> </w:t>
      </w:r>
      <w:r w:rsidR="00533C6B">
        <w:t>not supported</w:t>
      </w:r>
      <w:r w:rsidRPr="00C77710">
        <w:t xml:space="preserve"> </w:t>
      </w:r>
      <w:r w:rsidR="00533C6B">
        <w:t>by</w:t>
      </w:r>
      <w:r w:rsidRPr="00C77710">
        <w:t xml:space="preserve"> </w:t>
      </w:r>
      <w:r w:rsidR="00533C6B">
        <w:t>adequate findings</w:t>
      </w:r>
      <w:r w:rsidRPr="00C77710">
        <w:t>.</w:t>
      </w:r>
      <w:r>
        <w:t xml:space="preserve"> </w:t>
      </w:r>
    </w:p>
    <w:p w:rsidR="3FEDF359" w:rsidP="3C8DCF92" w:rsidRDefault="137EAF78" w14:paraId="78436725" w14:textId="1C8DBE7C">
      <w:pPr>
        <w:spacing w:line="360" w:lineRule="auto"/>
        <w:ind w:firstLine="720"/>
      </w:pPr>
      <w:r w:rsidRPr="40997F2A">
        <w:rPr>
          <w:rFonts w:ascii="Times New Roman" w:hAnsi="Times New Roman" w:eastAsia="Times New Roman" w:cs="Times New Roman"/>
          <w:color w:val="000000" w:themeColor="text1"/>
          <w:sz w:val="26"/>
          <w:szCs w:val="26"/>
        </w:rPr>
        <w:t>CalC</w:t>
      </w:r>
      <w:r w:rsidRPr="40997F2A" w:rsidR="65264D51">
        <w:rPr>
          <w:rFonts w:ascii="Times New Roman" w:hAnsi="Times New Roman" w:eastAsia="Times New Roman" w:cs="Times New Roman"/>
          <w:color w:val="000000" w:themeColor="text1"/>
          <w:sz w:val="26"/>
          <w:szCs w:val="26"/>
        </w:rPr>
        <w:t xml:space="preserve">CA </w:t>
      </w:r>
      <w:r w:rsidRPr="40997F2A">
        <w:rPr>
          <w:rFonts w:ascii="Times New Roman" w:hAnsi="Times New Roman" w:eastAsia="Times New Roman" w:cs="Times New Roman"/>
          <w:color w:val="000000" w:themeColor="text1"/>
          <w:sz w:val="26"/>
          <w:szCs w:val="26"/>
        </w:rPr>
        <w:t>alleg</w:t>
      </w:r>
      <w:r w:rsidRPr="40997F2A" w:rsidR="7355FEC0">
        <w:rPr>
          <w:rFonts w:ascii="Times New Roman" w:hAnsi="Times New Roman" w:eastAsia="Times New Roman" w:cs="Times New Roman"/>
          <w:color w:val="000000" w:themeColor="text1"/>
          <w:sz w:val="26"/>
          <w:szCs w:val="26"/>
        </w:rPr>
        <w:t>es</w:t>
      </w:r>
      <w:r w:rsidRPr="40997F2A">
        <w:rPr>
          <w:rFonts w:ascii="Times New Roman" w:hAnsi="Times New Roman" w:eastAsia="Times New Roman" w:cs="Times New Roman"/>
          <w:color w:val="000000" w:themeColor="text1"/>
          <w:sz w:val="26"/>
          <w:szCs w:val="26"/>
        </w:rPr>
        <w:t xml:space="preserve"> </w:t>
      </w:r>
      <w:r w:rsidRPr="40997F2A" w:rsidR="466FC244">
        <w:rPr>
          <w:rFonts w:ascii="Times New Roman" w:hAnsi="Times New Roman" w:eastAsia="Times New Roman" w:cs="Times New Roman"/>
          <w:color w:val="000000" w:themeColor="text1"/>
          <w:sz w:val="26"/>
          <w:szCs w:val="26"/>
        </w:rPr>
        <w:t xml:space="preserve">that </w:t>
      </w:r>
      <w:r w:rsidRPr="40997F2A">
        <w:rPr>
          <w:rFonts w:ascii="Times New Roman" w:hAnsi="Times New Roman" w:eastAsia="Times New Roman" w:cs="Times New Roman"/>
          <w:color w:val="000000" w:themeColor="text1"/>
          <w:sz w:val="26"/>
          <w:szCs w:val="26"/>
        </w:rPr>
        <w:t xml:space="preserve">the Decision’s determination </w:t>
      </w:r>
      <w:r w:rsidRPr="40997F2A" w:rsidR="27CE46CF">
        <w:rPr>
          <w:rFonts w:ascii="Times New Roman" w:hAnsi="Times New Roman" w:eastAsia="Times New Roman" w:cs="Times New Roman"/>
          <w:color w:val="000000" w:themeColor="text1"/>
          <w:sz w:val="26"/>
          <w:szCs w:val="26"/>
        </w:rPr>
        <w:t xml:space="preserve">on </w:t>
      </w:r>
      <w:r w:rsidRPr="40997F2A">
        <w:rPr>
          <w:rFonts w:ascii="Times New Roman" w:hAnsi="Times New Roman" w:eastAsia="Times New Roman" w:cs="Times New Roman"/>
          <w:color w:val="000000" w:themeColor="text1"/>
          <w:sz w:val="26"/>
          <w:szCs w:val="26"/>
        </w:rPr>
        <w:t>pre-2019 banked RECs</w:t>
      </w:r>
      <w:r w:rsidRPr="40997F2A" w:rsidR="12AC9ED7">
        <w:rPr>
          <w:rFonts w:ascii="Times New Roman" w:hAnsi="Times New Roman" w:eastAsia="Times New Roman" w:cs="Times New Roman"/>
          <w:color w:val="000000" w:themeColor="text1"/>
          <w:sz w:val="26"/>
          <w:szCs w:val="26"/>
        </w:rPr>
        <w:t xml:space="preserve"> </w:t>
      </w:r>
      <w:proofErr w:type="gramStart"/>
      <w:r w:rsidRPr="40997F2A" w:rsidR="12AC9ED7">
        <w:rPr>
          <w:rFonts w:ascii="Times New Roman" w:hAnsi="Times New Roman" w:eastAsia="Times New Roman" w:cs="Times New Roman"/>
          <w:color w:val="000000" w:themeColor="text1"/>
          <w:sz w:val="26"/>
          <w:szCs w:val="26"/>
        </w:rPr>
        <w:t>is</w:t>
      </w:r>
      <w:proofErr w:type="gramEnd"/>
      <w:r w:rsidRPr="40997F2A" w:rsidR="12AC9ED7">
        <w:rPr>
          <w:rFonts w:ascii="Times New Roman" w:hAnsi="Times New Roman" w:eastAsia="Times New Roman" w:cs="Times New Roman"/>
          <w:color w:val="000000" w:themeColor="text1"/>
          <w:sz w:val="26"/>
          <w:szCs w:val="26"/>
        </w:rPr>
        <w:t xml:space="preserve"> </w:t>
      </w:r>
      <w:r w:rsidRPr="40997F2A" w:rsidR="4A09E0E7">
        <w:rPr>
          <w:rFonts w:ascii="Times New Roman" w:hAnsi="Times New Roman" w:eastAsia="Times New Roman" w:cs="Times New Roman"/>
          <w:color w:val="000000" w:themeColor="text1"/>
          <w:sz w:val="26"/>
          <w:szCs w:val="26"/>
        </w:rPr>
        <w:t>not supported by adequate findings</w:t>
      </w:r>
      <w:r w:rsidRPr="40997F2A" w:rsidR="05CFA34E">
        <w:rPr>
          <w:rFonts w:ascii="Times New Roman" w:hAnsi="Times New Roman" w:eastAsia="Times New Roman" w:cs="Times New Roman"/>
          <w:color w:val="000000" w:themeColor="text1"/>
          <w:sz w:val="26"/>
          <w:szCs w:val="26"/>
        </w:rPr>
        <w:t xml:space="preserve"> pursuant to section </w:t>
      </w:r>
      <w:r w:rsidRPr="40997F2A" w:rsidR="05CFA34E">
        <w:rPr>
          <w:rFonts w:ascii="Times New Roman" w:hAnsi="Times New Roman" w:eastAsia="Times New Roman" w:cs="Times New Roman"/>
          <w:color w:val="000000" w:themeColor="text1"/>
          <w:sz w:val="25"/>
          <w:szCs w:val="25"/>
        </w:rPr>
        <w:t>1757(a)(3)</w:t>
      </w:r>
      <w:r w:rsidRPr="40997F2A" w:rsidR="3CB4ED8B">
        <w:rPr>
          <w:rFonts w:ascii="Times New Roman" w:hAnsi="Times New Roman" w:eastAsia="Times New Roman" w:cs="Times New Roman"/>
          <w:color w:val="000000" w:themeColor="text1"/>
          <w:sz w:val="26"/>
          <w:szCs w:val="26"/>
        </w:rPr>
        <w:t xml:space="preserve">. </w:t>
      </w:r>
      <w:r w:rsidRPr="40997F2A" w:rsidR="2DF9777C">
        <w:rPr>
          <w:rFonts w:ascii="Times New Roman" w:hAnsi="Times New Roman" w:eastAsia="Times New Roman" w:cs="Times New Roman"/>
          <w:color w:val="000000" w:themeColor="text1"/>
          <w:sz w:val="26"/>
          <w:szCs w:val="26"/>
        </w:rPr>
        <w:t xml:space="preserve"> </w:t>
      </w:r>
      <w:r w:rsidRPr="40997F2A" w:rsidR="1B5DBCE8">
        <w:rPr>
          <w:rFonts w:ascii="Times New Roman" w:hAnsi="Times New Roman" w:eastAsia="Times New Roman" w:cs="Times New Roman"/>
          <w:color w:val="000000" w:themeColor="text1"/>
          <w:sz w:val="26"/>
          <w:szCs w:val="26"/>
        </w:rPr>
        <w:t xml:space="preserve">CalCCA </w:t>
      </w:r>
      <w:r w:rsidRPr="40997F2A" w:rsidR="3107682E">
        <w:rPr>
          <w:rFonts w:ascii="Times New Roman" w:hAnsi="Times New Roman" w:eastAsia="Times New Roman" w:cs="Times New Roman"/>
          <w:color w:val="000000" w:themeColor="text1"/>
          <w:sz w:val="26"/>
          <w:szCs w:val="26"/>
        </w:rPr>
        <w:t>assert</w:t>
      </w:r>
      <w:r w:rsidRPr="40997F2A" w:rsidR="1B5DBCE8">
        <w:rPr>
          <w:rFonts w:ascii="Times New Roman" w:hAnsi="Times New Roman" w:eastAsia="Times New Roman" w:cs="Times New Roman"/>
          <w:color w:val="000000" w:themeColor="text1"/>
          <w:sz w:val="26"/>
          <w:szCs w:val="26"/>
        </w:rPr>
        <w:t xml:space="preserve">s that </w:t>
      </w:r>
      <w:r w:rsidRPr="40997F2A" w:rsidR="18060034">
        <w:rPr>
          <w:rFonts w:ascii="Times New Roman" w:hAnsi="Times New Roman" w:eastAsia="Times New Roman" w:cs="Times New Roman"/>
          <w:color w:val="000000" w:themeColor="text1"/>
          <w:sz w:val="26"/>
          <w:szCs w:val="26"/>
        </w:rPr>
        <w:t>the Decision errs because it does not evaluate the merits of PG&amp;E’s methodology, but</w:t>
      </w:r>
      <w:r w:rsidRPr="40997F2A" w:rsidR="3CD9056E">
        <w:rPr>
          <w:rFonts w:ascii="Times New Roman" w:hAnsi="Times New Roman" w:eastAsia="Times New Roman" w:cs="Times New Roman"/>
          <w:color w:val="000000" w:themeColor="text1"/>
          <w:sz w:val="26"/>
          <w:szCs w:val="26"/>
        </w:rPr>
        <w:t xml:space="preserve"> “instead punt[s] the entire issue to a separate proceeding</w:t>
      </w:r>
      <w:r w:rsidRPr="40997F2A" w:rsidR="7CBDD4D2">
        <w:rPr>
          <w:rFonts w:ascii="Times New Roman" w:hAnsi="Times New Roman" w:eastAsia="Times New Roman" w:cs="Times New Roman"/>
          <w:color w:val="000000" w:themeColor="text1"/>
          <w:sz w:val="26"/>
          <w:szCs w:val="26"/>
        </w:rPr>
        <w:t>,</w:t>
      </w:r>
      <w:r w:rsidRPr="40997F2A" w:rsidR="4945397B">
        <w:rPr>
          <w:rFonts w:ascii="Times New Roman" w:hAnsi="Times New Roman" w:eastAsia="Times New Roman" w:cs="Times New Roman"/>
          <w:color w:val="000000" w:themeColor="text1"/>
          <w:sz w:val="26"/>
          <w:szCs w:val="26"/>
        </w:rPr>
        <w:t>”</w:t>
      </w:r>
      <w:r w:rsidRPr="40997F2A" w:rsidR="32B1EB55">
        <w:rPr>
          <w:rFonts w:ascii="Times New Roman" w:hAnsi="Times New Roman" w:eastAsia="Times New Roman" w:cs="Times New Roman"/>
          <w:color w:val="000000" w:themeColor="text1"/>
          <w:sz w:val="26"/>
          <w:szCs w:val="26"/>
        </w:rPr>
        <w:t xml:space="preserve"> referring to the ongoing ERRA Rulemaking.</w:t>
      </w:r>
      <w:r w:rsidRPr="40997F2A" w:rsidR="3CD9056E">
        <w:rPr>
          <w:rFonts w:ascii="Times New Roman" w:hAnsi="Times New Roman" w:eastAsia="Times New Roman" w:cs="Times New Roman"/>
          <w:color w:val="000000" w:themeColor="text1"/>
          <w:sz w:val="26"/>
          <w:szCs w:val="26"/>
        </w:rPr>
        <w:t xml:space="preserve">  (</w:t>
      </w:r>
      <w:r w:rsidRPr="40997F2A" w:rsidR="61C2E89C">
        <w:rPr>
          <w:rFonts w:ascii="Times New Roman" w:hAnsi="Times New Roman" w:eastAsia="Times New Roman" w:cs="Times New Roman"/>
          <w:color w:val="000000" w:themeColor="text1"/>
          <w:sz w:val="26"/>
          <w:szCs w:val="26"/>
        </w:rPr>
        <w:t xml:space="preserve">Rehg. App., </w:t>
      </w:r>
      <w:r w:rsidRPr="40997F2A" w:rsidR="3CD9056E">
        <w:rPr>
          <w:rFonts w:ascii="Times New Roman" w:hAnsi="Times New Roman" w:eastAsia="Times New Roman" w:cs="Times New Roman"/>
          <w:color w:val="000000" w:themeColor="text1"/>
          <w:sz w:val="26"/>
          <w:szCs w:val="26"/>
        </w:rPr>
        <w:t xml:space="preserve">at p. 35.) </w:t>
      </w:r>
      <w:r w:rsidRPr="40997F2A" w:rsidR="47B79C87">
        <w:rPr>
          <w:rFonts w:ascii="Times New Roman" w:hAnsi="Times New Roman" w:eastAsia="Times New Roman" w:cs="Times New Roman"/>
          <w:color w:val="000000" w:themeColor="text1"/>
          <w:sz w:val="26"/>
          <w:szCs w:val="26"/>
        </w:rPr>
        <w:t xml:space="preserve"> </w:t>
      </w:r>
      <w:r w:rsidRPr="40997F2A" w:rsidR="53DC07CA">
        <w:rPr>
          <w:rFonts w:ascii="Times New Roman" w:hAnsi="Times New Roman" w:eastAsia="Times New Roman" w:cs="Times New Roman"/>
          <w:color w:val="000000" w:themeColor="text1"/>
          <w:sz w:val="26"/>
          <w:szCs w:val="26"/>
        </w:rPr>
        <w:t>As such, CalCCA asserts that the Decision</w:t>
      </w:r>
      <w:r w:rsidRPr="40997F2A" w:rsidR="7DE5E357">
        <w:rPr>
          <w:rFonts w:ascii="Times New Roman" w:hAnsi="Times New Roman" w:eastAsia="Times New Roman" w:cs="Times New Roman"/>
          <w:color w:val="000000" w:themeColor="text1"/>
          <w:sz w:val="26"/>
          <w:szCs w:val="26"/>
        </w:rPr>
        <w:t xml:space="preserve"> errs</w:t>
      </w:r>
      <w:r w:rsidRPr="40997F2A" w:rsidR="53DC07CA">
        <w:rPr>
          <w:rFonts w:ascii="Times New Roman" w:hAnsi="Times New Roman" w:eastAsia="Times New Roman" w:cs="Times New Roman"/>
          <w:color w:val="000000" w:themeColor="text1"/>
          <w:sz w:val="26"/>
          <w:szCs w:val="26"/>
        </w:rPr>
        <w:t xml:space="preserve"> because it does not rely on the merits of PG&amp;E’s methodology.  (</w:t>
      </w:r>
      <w:r w:rsidRPr="40997F2A" w:rsidR="53DC07CA">
        <w:rPr>
          <w:rFonts w:ascii="Times New Roman" w:hAnsi="Times New Roman" w:eastAsia="Times New Roman" w:cs="Times New Roman"/>
          <w:i/>
          <w:iCs/>
          <w:color w:val="000000" w:themeColor="text1"/>
          <w:sz w:val="26"/>
          <w:szCs w:val="26"/>
        </w:rPr>
        <w:t>Id</w:t>
      </w:r>
      <w:r w:rsidRPr="40997F2A" w:rsidR="53DC07CA">
        <w:rPr>
          <w:rFonts w:ascii="Times New Roman" w:hAnsi="Times New Roman" w:eastAsia="Times New Roman" w:cs="Times New Roman"/>
          <w:color w:val="000000" w:themeColor="text1"/>
          <w:sz w:val="26"/>
          <w:szCs w:val="26"/>
        </w:rPr>
        <w:t>. at pp. 35-36.)</w:t>
      </w:r>
    </w:p>
    <w:p w:rsidR="3FEDF359" w:rsidP="005C40B5" w:rsidRDefault="3F7A73F5" w14:paraId="389717AF" w14:textId="63EAAB74">
      <w:pPr>
        <w:spacing w:line="360" w:lineRule="auto"/>
        <w:ind w:firstLine="720"/>
      </w:pPr>
      <w:r w:rsidRPr="2E5CEFEF">
        <w:rPr>
          <w:rFonts w:ascii="Times New Roman" w:hAnsi="Times New Roman" w:eastAsia="Times New Roman" w:cs="Times New Roman"/>
          <w:color w:val="000000" w:themeColor="text1"/>
          <w:sz w:val="26"/>
          <w:szCs w:val="26"/>
        </w:rPr>
        <w:t xml:space="preserve">The Decision’s determination to adopt PG&amp;E’s proposed valuation is supported by </w:t>
      </w:r>
      <w:r w:rsidR="00764670">
        <w:rPr>
          <w:rFonts w:ascii="Times New Roman" w:hAnsi="Times New Roman" w:eastAsia="Times New Roman" w:cs="Times New Roman"/>
          <w:color w:val="000000" w:themeColor="text1"/>
          <w:sz w:val="26"/>
          <w:szCs w:val="26"/>
        </w:rPr>
        <w:t>F</w:t>
      </w:r>
      <w:r w:rsidRPr="2E5CEFEF">
        <w:rPr>
          <w:rFonts w:ascii="Times New Roman" w:hAnsi="Times New Roman" w:eastAsia="Times New Roman" w:cs="Times New Roman"/>
          <w:color w:val="000000" w:themeColor="text1"/>
          <w:sz w:val="26"/>
          <w:szCs w:val="26"/>
        </w:rPr>
        <w:t xml:space="preserve">indings of </w:t>
      </w:r>
      <w:r w:rsidR="00764670">
        <w:rPr>
          <w:rFonts w:ascii="Times New Roman" w:hAnsi="Times New Roman" w:eastAsia="Times New Roman" w:cs="Times New Roman"/>
          <w:color w:val="000000" w:themeColor="text1"/>
          <w:sz w:val="26"/>
          <w:szCs w:val="26"/>
        </w:rPr>
        <w:t>F</w:t>
      </w:r>
      <w:r w:rsidRPr="2E5CEFEF">
        <w:rPr>
          <w:rFonts w:ascii="Times New Roman" w:hAnsi="Times New Roman" w:eastAsia="Times New Roman" w:cs="Times New Roman"/>
          <w:color w:val="000000" w:themeColor="text1"/>
          <w:sz w:val="26"/>
          <w:szCs w:val="26"/>
        </w:rPr>
        <w:t xml:space="preserve">act </w:t>
      </w:r>
      <w:r w:rsidRPr="2E5CEFEF" w:rsidR="1AEC49AC">
        <w:rPr>
          <w:rFonts w:ascii="Times New Roman" w:hAnsi="Times New Roman" w:eastAsia="Times New Roman" w:cs="Times New Roman"/>
          <w:color w:val="000000" w:themeColor="text1"/>
          <w:sz w:val="26"/>
          <w:szCs w:val="26"/>
        </w:rPr>
        <w:t xml:space="preserve">15 and 16, which find that it is reasonable to adopt PG&amp;E’s pre-2019 banked RECs methodology on an interim basis, and that the proposal to address conflicting understandings regarding the pre-2019 banked RECs valuation methodology is appropriate for consideration in a rulemaking.  (Decision, at p. 67.)  </w:t>
      </w:r>
      <w:r w:rsidRPr="2E5CEFEF" w:rsidR="3506F8A5">
        <w:rPr>
          <w:rFonts w:ascii="Times New Roman" w:hAnsi="Times New Roman" w:eastAsia="Times New Roman" w:cs="Times New Roman"/>
          <w:color w:val="000000" w:themeColor="text1"/>
          <w:sz w:val="26"/>
          <w:szCs w:val="26"/>
        </w:rPr>
        <w:t xml:space="preserve">CalCCA does not explain why these findings are inadequate pursuant to section 1757(a)(3).  What CalCCA’s argument really amounts to is a disagreement with the Commission’s determination to approve PG&amp;E’s proposal.  However, </w:t>
      </w:r>
      <w:r w:rsidRPr="2E5CEFEF" w:rsidR="3A2BDC81">
        <w:rPr>
          <w:rFonts w:ascii="Times New Roman" w:hAnsi="Times New Roman" w:cs="Times New Roman" w:eastAsiaTheme="minorEastAsia"/>
          <w:color w:val="000000" w:themeColor="text1"/>
          <w:sz w:val="26"/>
          <w:szCs w:val="26"/>
        </w:rPr>
        <w:t>merely because the Decision does not reach the rehearing applicants</w:t>
      </w:r>
      <w:r w:rsidR="00764670">
        <w:rPr>
          <w:rFonts w:ascii="Times New Roman" w:hAnsi="Times New Roman" w:cs="Times New Roman" w:eastAsiaTheme="minorEastAsia"/>
          <w:color w:val="000000" w:themeColor="text1"/>
          <w:sz w:val="26"/>
          <w:szCs w:val="26"/>
        </w:rPr>
        <w:t>’</w:t>
      </w:r>
      <w:r w:rsidRPr="2E5CEFEF" w:rsidR="3A2BDC81">
        <w:rPr>
          <w:rFonts w:ascii="Times New Roman" w:hAnsi="Times New Roman" w:cs="Times New Roman" w:eastAsiaTheme="minorEastAsia"/>
          <w:color w:val="000000" w:themeColor="text1"/>
          <w:sz w:val="26"/>
          <w:szCs w:val="26"/>
        </w:rPr>
        <w:t xml:space="preserve"> preferred findings does not equate to a legal error.  (See </w:t>
      </w:r>
      <w:r w:rsidRPr="2E5CEFEF" w:rsidR="3A2BDC81">
        <w:rPr>
          <w:rFonts w:ascii="Times New Roman" w:hAnsi="Times New Roman" w:cs="Times New Roman" w:eastAsiaTheme="minorEastAsia"/>
          <w:i/>
          <w:iCs/>
          <w:color w:val="000000" w:themeColor="text1"/>
          <w:sz w:val="26"/>
          <w:szCs w:val="26"/>
        </w:rPr>
        <w:t xml:space="preserve">Order Denying Rehearing of Decision 21-03-056 </w:t>
      </w:r>
      <w:r w:rsidRPr="2E5CEFEF" w:rsidR="3A2BDC81">
        <w:rPr>
          <w:rFonts w:ascii="Times New Roman" w:hAnsi="Times New Roman" w:cs="Times New Roman" w:eastAsiaTheme="minorEastAsia"/>
          <w:color w:val="000000" w:themeColor="text1"/>
          <w:sz w:val="26"/>
          <w:szCs w:val="26"/>
        </w:rPr>
        <w:t xml:space="preserve">(2021) [D.21-09-045], p. 7.)  Regardless, we examine additional substantive support for the Decision’s determination further below.  </w:t>
      </w:r>
    </w:p>
    <w:p w:rsidRPr="005C40B5" w:rsidR="2BF60850" w:rsidP="005C40B5" w:rsidRDefault="2BF60850" w14:paraId="3D9E60D3" w14:textId="77701FC0">
      <w:pPr>
        <w:pStyle w:val="Heading2"/>
      </w:pPr>
      <w:r w:rsidRPr="005C40B5">
        <w:t xml:space="preserve">CalCCA fails to show that the Decision’s determination regarding pre-2019 banked RECs </w:t>
      </w:r>
      <w:proofErr w:type="gramStart"/>
      <w:r w:rsidRPr="005C40B5">
        <w:t>is</w:t>
      </w:r>
      <w:proofErr w:type="gramEnd"/>
      <w:r w:rsidRPr="005C40B5">
        <w:t xml:space="preserve"> not supported by s</w:t>
      </w:r>
      <w:r w:rsidRPr="005C40B5" w:rsidR="496A7631">
        <w:t>ubstantial evidence</w:t>
      </w:r>
      <w:r w:rsidRPr="005C40B5" w:rsidR="2D7DB6B8">
        <w:t xml:space="preserve"> on the record</w:t>
      </w:r>
      <w:r w:rsidRPr="005C40B5" w:rsidR="496A7631">
        <w:t xml:space="preserve">. </w:t>
      </w:r>
    </w:p>
    <w:p w:rsidR="2F4ACEAA" w:rsidP="4341D8DB" w:rsidRDefault="4A09E0E7" w14:paraId="282618F4" w14:textId="57A48944">
      <w:pPr>
        <w:spacing w:line="360" w:lineRule="auto"/>
        <w:ind w:firstLine="720"/>
      </w:pPr>
      <w:r w:rsidRPr="2E5CEFEF">
        <w:rPr>
          <w:rFonts w:ascii="Times New Roman" w:hAnsi="Times New Roman" w:eastAsia="Times New Roman" w:cs="Times New Roman"/>
          <w:color w:val="000000" w:themeColor="text1"/>
          <w:sz w:val="26"/>
          <w:szCs w:val="26"/>
        </w:rPr>
        <w:t xml:space="preserve">CalCCA asserts </w:t>
      </w:r>
      <w:r w:rsidRPr="2E5CEFEF" w:rsidR="511B2071">
        <w:rPr>
          <w:rFonts w:ascii="Times New Roman" w:hAnsi="Times New Roman" w:eastAsia="Times New Roman" w:cs="Times New Roman"/>
          <w:color w:val="000000" w:themeColor="text1"/>
          <w:sz w:val="26"/>
          <w:szCs w:val="26"/>
        </w:rPr>
        <w:t xml:space="preserve">the Decision is not backed by substantial evidence on the record because – according to CalCCA – </w:t>
      </w:r>
      <w:r w:rsidRPr="2E5CEFEF">
        <w:rPr>
          <w:rFonts w:ascii="Times New Roman" w:hAnsi="Times New Roman" w:eastAsia="Times New Roman" w:cs="Times New Roman"/>
          <w:color w:val="000000" w:themeColor="text1"/>
          <w:sz w:val="26"/>
          <w:szCs w:val="26"/>
        </w:rPr>
        <w:t>a reasonable person could not have adopt</w:t>
      </w:r>
      <w:r w:rsidRPr="2E5CEFEF" w:rsidR="67EA81AC">
        <w:rPr>
          <w:rFonts w:ascii="Times New Roman" w:hAnsi="Times New Roman" w:eastAsia="Times New Roman" w:cs="Times New Roman"/>
          <w:color w:val="000000" w:themeColor="text1"/>
          <w:sz w:val="26"/>
          <w:szCs w:val="26"/>
        </w:rPr>
        <w:t>ed</w:t>
      </w:r>
      <w:r w:rsidRPr="2E5CEFEF">
        <w:rPr>
          <w:rFonts w:ascii="Times New Roman" w:hAnsi="Times New Roman" w:eastAsia="Times New Roman" w:cs="Times New Roman"/>
          <w:color w:val="000000" w:themeColor="text1"/>
          <w:sz w:val="26"/>
          <w:szCs w:val="26"/>
        </w:rPr>
        <w:t xml:space="preserve"> PG&amp;E’s </w:t>
      </w:r>
      <w:r w:rsidRPr="2E5CEFEF">
        <w:rPr>
          <w:rFonts w:ascii="Times New Roman" w:hAnsi="Times New Roman" w:eastAsia="Times New Roman" w:cs="Times New Roman"/>
          <w:color w:val="000000" w:themeColor="text1"/>
          <w:sz w:val="26"/>
          <w:szCs w:val="26"/>
        </w:rPr>
        <w:lastRenderedPageBreak/>
        <w:t xml:space="preserve">methodology </w:t>
      </w:r>
      <w:proofErr w:type="gramStart"/>
      <w:r w:rsidRPr="2E5CEFEF">
        <w:rPr>
          <w:rFonts w:ascii="Times New Roman" w:hAnsi="Times New Roman" w:eastAsia="Times New Roman" w:cs="Times New Roman"/>
          <w:color w:val="000000" w:themeColor="text1"/>
          <w:sz w:val="26"/>
          <w:szCs w:val="26"/>
        </w:rPr>
        <w:t>in light of</w:t>
      </w:r>
      <w:proofErr w:type="gramEnd"/>
      <w:r w:rsidRPr="2E5CEFEF">
        <w:rPr>
          <w:rFonts w:ascii="Times New Roman" w:hAnsi="Times New Roman" w:eastAsia="Times New Roman" w:cs="Times New Roman"/>
          <w:color w:val="000000" w:themeColor="text1"/>
          <w:sz w:val="26"/>
          <w:szCs w:val="26"/>
        </w:rPr>
        <w:t xml:space="preserve"> the whole record. </w:t>
      </w:r>
      <w:r w:rsidRPr="2E5CEFEF" w:rsidR="0F2093E4">
        <w:rPr>
          <w:rFonts w:ascii="Times New Roman" w:hAnsi="Times New Roman" w:eastAsia="Times New Roman" w:cs="Times New Roman"/>
          <w:color w:val="000000" w:themeColor="text1"/>
          <w:sz w:val="26"/>
          <w:szCs w:val="26"/>
        </w:rPr>
        <w:t xml:space="preserve"> (Rehg. App., at p. 36.)  </w:t>
      </w:r>
      <w:r w:rsidRPr="2E5CEFEF" w:rsidR="62FB948D">
        <w:rPr>
          <w:rFonts w:ascii="Times New Roman" w:hAnsi="Times New Roman" w:eastAsia="Times New Roman" w:cs="Times New Roman"/>
          <w:color w:val="000000" w:themeColor="text1"/>
          <w:sz w:val="26"/>
          <w:szCs w:val="26"/>
        </w:rPr>
        <w:t xml:space="preserve">As explained, the Decision’s </w:t>
      </w:r>
      <w:r w:rsidRPr="2E5CEFEF" w:rsidR="00E12D96">
        <w:rPr>
          <w:rFonts w:ascii="Times New Roman" w:hAnsi="Times New Roman" w:eastAsia="Times New Roman" w:cs="Times New Roman"/>
          <w:color w:val="000000" w:themeColor="text1"/>
          <w:sz w:val="26"/>
          <w:szCs w:val="26"/>
        </w:rPr>
        <w:t xml:space="preserve">explanation and resulting </w:t>
      </w:r>
      <w:r w:rsidRPr="2E5CEFEF" w:rsidR="62FB948D">
        <w:rPr>
          <w:rFonts w:ascii="Times New Roman" w:hAnsi="Times New Roman" w:eastAsia="Times New Roman" w:cs="Times New Roman"/>
          <w:color w:val="000000" w:themeColor="text1"/>
          <w:sz w:val="26"/>
          <w:szCs w:val="26"/>
        </w:rPr>
        <w:t xml:space="preserve">determination is reasonable.  </w:t>
      </w:r>
      <w:r w:rsidRPr="2E5CEFEF" w:rsidR="0089336E">
        <w:rPr>
          <w:rFonts w:ascii="Times New Roman" w:hAnsi="Times New Roman" w:eastAsia="Times New Roman" w:cs="Times New Roman"/>
          <w:color w:val="000000" w:themeColor="text1"/>
          <w:sz w:val="26"/>
          <w:szCs w:val="26"/>
        </w:rPr>
        <w:t xml:space="preserve">The </w:t>
      </w:r>
      <w:r w:rsidRPr="2E5CEFEF" w:rsidR="0089336E">
        <w:rPr>
          <w:rFonts w:ascii="Times New Roman" w:hAnsi="Times New Roman" w:eastAsia="Times New Roman" w:cs="Times New Roman"/>
          <w:color w:val="000000" w:themeColor="text1"/>
          <w:sz w:val="26"/>
          <w:szCs w:val="26"/>
          <w:lang w:val="en-ZW"/>
        </w:rPr>
        <w:t>burden is on the rehearing applicant to show a reasonable person could not have reached that conclusion</w:t>
      </w:r>
      <w:r w:rsidRPr="2E5CEFEF" w:rsidR="0089336E">
        <w:rPr>
          <w:rFonts w:ascii="Times New Roman" w:hAnsi="Times New Roman" w:eastAsia="Times New Roman" w:cs="Times New Roman"/>
          <w:color w:val="000000" w:themeColor="text1"/>
          <w:sz w:val="26"/>
          <w:szCs w:val="26"/>
        </w:rPr>
        <w:t xml:space="preserve"> and CalCCA fails to meet this burden.</w:t>
      </w:r>
      <w:r w:rsidRPr="2E5CEFEF" w:rsidR="62FB948D">
        <w:rPr>
          <w:rFonts w:ascii="Times New Roman" w:hAnsi="Times New Roman" w:eastAsia="Times New Roman" w:cs="Times New Roman"/>
          <w:color w:val="000000" w:themeColor="text1"/>
          <w:sz w:val="26"/>
          <w:szCs w:val="26"/>
        </w:rPr>
        <w:t xml:space="preserve"> </w:t>
      </w:r>
      <w:r w:rsidRPr="2E5CEFEF" w:rsidR="08E303B7">
        <w:rPr>
          <w:rFonts w:ascii="Times New Roman" w:hAnsi="Times New Roman" w:eastAsia="Times New Roman" w:cs="Times New Roman"/>
          <w:color w:val="000000" w:themeColor="text1"/>
          <w:sz w:val="26"/>
          <w:szCs w:val="26"/>
        </w:rPr>
        <w:t xml:space="preserve"> </w:t>
      </w:r>
      <w:r w:rsidRPr="2E5CEFEF" w:rsidR="62FB948D">
        <w:rPr>
          <w:rFonts w:ascii="Times New Roman" w:hAnsi="Times New Roman" w:eastAsia="Times New Roman" w:cs="Times New Roman"/>
          <w:color w:val="000000" w:themeColor="text1"/>
          <w:sz w:val="26"/>
          <w:szCs w:val="26"/>
        </w:rPr>
        <w:t>(</w:t>
      </w:r>
      <w:r w:rsidRPr="2E5CEFEF" w:rsidR="62FB948D">
        <w:rPr>
          <w:rFonts w:ascii="Times New Roman" w:hAnsi="Times New Roman" w:eastAsia="Times New Roman" w:cs="Times New Roman"/>
          <w:i/>
          <w:iCs/>
          <w:color w:val="000000" w:themeColor="text1"/>
          <w:sz w:val="26"/>
          <w:szCs w:val="26"/>
          <w:lang w:val="en-ZW"/>
        </w:rPr>
        <w:t>See Securus Technologies, LLC v. Pub</w:t>
      </w:r>
      <w:r w:rsidRPr="2E5CEFEF" w:rsidR="0089336E">
        <w:rPr>
          <w:rFonts w:ascii="Times New Roman" w:hAnsi="Times New Roman" w:eastAsia="Times New Roman" w:cs="Times New Roman"/>
          <w:i/>
          <w:iCs/>
          <w:color w:val="000000" w:themeColor="text1"/>
          <w:sz w:val="26"/>
          <w:szCs w:val="26"/>
          <w:lang w:val="en-ZW"/>
        </w:rPr>
        <w:t>lic Utilities</w:t>
      </w:r>
      <w:r w:rsidRPr="2E5CEFEF" w:rsidR="62FB948D">
        <w:rPr>
          <w:rFonts w:ascii="Times New Roman" w:hAnsi="Times New Roman" w:eastAsia="Times New Roman" w:cs="Times New Roman"/>
          <w:i/>
          <w:iCs/>
          <w:color w:val="000000" w:themeColor="text1"/>
          <w:sz w:val="26"/>
          <w:szCs w:val="26"/>
          <w:lang w:val="en-ZW"/>
        </w:rPr>
        <w:t xml:space="preserve"> Com.</w:t>
      </w:r>
      <w:r w:rsidRPr="2E5CEFEF" w:rsidR="62FB948D">
        <w:rPr>
          <w:rFonts w:ascii="Times New Roman" w:hAnsi="Times New Roman" w:eastAsia="Times New Roman" w:cs="Times New Roman"/>
          <w:color w:val="000000" w:themeColor="text1"/>
          <w:sz w:val="26"/>
          <w:szCs w:val="26"/>
          <w:lang w:val="en-ZW"/>
        </w:rPr>
        <w:t xml:space="preserve"> (2023) 88 Cal.App.5</w:t>
      </w:r>
      <w:r w:rsidRPr="2E5CEFEF" w:rsidR="0089336E">
        <w:rPr>
          <w:rFonts w:ascii="Times New Roman" w:hAnsi="Times New Roman" w:eastAsia="Times New Roman" w:cs="Times New Roman"/>
          <w:color w:val="000000" w:themeColor="text1"/>
          <w:sz w:val="26"/>
          <w:szCs w:val="26"/>
          <w:lang w:val="en-ZW"/>
        </w:rPr>
        <w:t>th</w:t>
      </w:r>
      <w:r w:rsidRPr="2E5CEFEF" w:rsidR="62FB948D">
        <w:rPr>
          <w:rFonts w:ascii="Times New Roman" w:hAnsi="Times New Roman" w:eastAsia="Times New Roman" w:cs="Times New Roman"/>
          <w:color w:val="000000" w:themeColor="text1"/>
          <w:sz w:val="26"/>
          <w:szCs w:val="26"/>
          <w:lang w:val="en-ZW"/>
        </w:rPr>
        <w:t xml:space="preserve"> 787, 802.)</w:t>
      </w:r>
      <w:r w:rsidR="00764670">
        <w:rPr>
          <w:rFonts w:ascii="Times New Roman" w:hAnsi="Times New Roman" w:eastAsia="Times New Roman" w:cs="Times New Roman"/>
          <w:color w:val="000000" w:themeColor="text1"/>
          <w:sz w:val="26"/>
          <w:szCs w:val="26"/>
          <w:lang w:val="en-ZW"/>
        </w:rPr>
        <w:t xml:space="preserve">  CalCCA fails to meet this burden.  </w:t>
      </w:r>
      <w:r w:rsidRPr="2E5CEFEF" w:rsidR="62FB948D">
        <w:rPr>
          <w:rFonts w:ascii="Times New Roman" w:hAnsi="Times New Roman" w:eastAsia="Times New Roman" w:cs="Times New Roman"/>
          <w:color w:val="000000" w:themeColor="text1"/>
          <w:sz w:val="26"/>
          <w:szCs w:val="26"/>
          <w:lang w:val="en-ZW"/>
        </w:rPr>
        <w:t xml:space="preserve">  </w:t>
      </w:r>
    </w:p>
    <w:p w:rsidR="43708A16" w:rsidP="43708A16" w:rsidRDefault="4A09E0E7" w14:paraId="47A4664B" w14:textId="19A655E9">
      <w:pPr>
        <w:spacing w:line="360" w:lineRule="auto"/>
        <w:ind w:firstLine="720"/>
      </w:pPr>
      <w:r w:rsidRPr="2E5CEFEF">
        <w:rPr>
          <w:rFonts w:ascii="Times New Roman" w:hAnsi="Times New Roman" w:eastAsia="Times New Roman" w:cs="Times New Roman"/>
          <w:color w:val="000000" w:themeColor="text1"/>
          <w:sz w:val="26"/>
          <w:szCs w:val="26"/>
        </w:rPr>
        <w:t>CalCCA</w:t>
      </w:r>
      <w:r w:rsidRPr="2E5CEFEF" w:rsidR="08E793BF">
        <w:rPr>
          <w:rFonts w:ascii="Times New Roman" w:hAnsi="Times New Roman" w:eastAsia="Times New Roman" w:cs="Times New Roman"/>
          <w:color w:val="000000" w:themeColor="text1"/>
          <w:sz w:val="26"/>
          <w:szCs w:val="26"/>
        </w:rPr>
        <w:t xml:space="preserve"> also asserts that</w:t>
      </w:r>
      <w:r w:rsidRPr="2E5CEFEF" w:rsidR="03841D4E">
        <w:rPr>
          <w:rFonts w:ascii="Times New Roman" w:hAnsi="Times New Roman" w:eastAsia="Times New Roman" w:cs="Times New Roman"/>
          <w:color w:val="000000" w:themeColor="text1"/>
          <w:sz w:val="26"/>
          <w:szCs w:val="26"/>
        </w:rPr>
        <w:t xml:space="preserve"> </w:t>
      </w:r>
      <w:r w:rsidRPr="2E5CEFEF" w:rsidR="67AC4D15">
        <w:rPr>
          <w:rFonts w:ascii="Times New Roman" w:hAnsi="Times New Roman" w:eastAsia="Times New Roman" w:cs="Times New Roman"/>
          <w:color w:val="000000" w:themeColor="text1"/>
          <w:sz w:val="26"/>
          <w:szCs w:val="26"/>
        </w:rPr>
        <w:t>the</w:t>
      </w:r>
      <w:r w:rsidRPr="2E5CEFEF" w:rsidR="73D73A32">
        <w:rPr>
          <w:rFonts w:ascii="Times New Roman" w:hAnsi="Times New Roman" w:eastAsia="Times New Roman" w:cs="Times New Roman"/>
          <w:color w:val="000000" w:themeColor="text1"/>
          <w:sz w:val="26"/>
          <w:szCs w:val="26"/>
        </w:rPr>
        <w:t xml:space="preserve"> Decision </w:t>
      </w:r>
      <w:r w:rsidRPr="2E5CEFEF">
        <w:rPr>
          <w:rFonts w:ascii="Times New Roman" w:hAnsi="Times New Roman" w:eastAsia="Times New Roman" w:cs="Times New Roman"/>
          <w:color w:val="000000" w:themeColor="text1"/>
          <w:sz w:val="26"/>
          <w:szCs w:val="26"/>
        </w:rPr>
        <w:t xml:space="preserve">does not analyze or tie its conclusion to the </w:t>
      </w:r>
      <w:r w:rsidRPr="2E5CEFEF" w:rsidR="6C9DE285">
        <w:rPr>
          <w:rFonts w:ascii="Times New Roman" w:hAnsi="Times New Roman" w:eastAsia="Times New Roman" w:cs="Times New Roman"/>
          <w:color w:val="000000" w:themeColor="text1"/>
          <w:sz w:val="26"/>
          <w:szCs w:val="26"/>
        </w:rPr>
        <w:t xml:space="preserve">record </w:t>
      </w:r>
      <w:r w:rsidRPr="2E5CEFEF">
        <w:rPr>
          <w:rFonts w:ascii="Times New Roman" w:hAnsi="Times New Roman" w:eastAsia="Times New Roman" w:cs="Times New Roman"/>
          <w:color w:val="000000" w:themeColor="text1"/>
          <w:sz w:val="26"/>
          <w:szCs w:val="26"/>
        </w:rPr>
        <w:t>and</w:t>
      </w:r>
      <w:r w:rsidRPr="2E5CEFEF" w:rsidR="2F4A1DEF">
        <w:rPr>
          <w:rFonts w:ascii="Times New Roman" w:hAnsi="Times New Roman" w:eastAsia="Times New Roman" w:cs="Times New Roman"/>
          <w:color w:val="000000" w:themeColor="text1"/>
          <w:sz w:val="26"/>
          <w:szCs w:val="26"/>
        </w:rPr>
        <w:t xml:space="preserve"> instead</w:t>
      </w:r>
      <w:r w:rsidRPr="2E5CEFEF">
        <w:rPr>
          <w:rFonts w:ascii="Times New Roman" w:hAnsi="Times New Roman" w:eastAsia="Times New Roman" w:cs="Times New Roman"/>
          <w:color w:val="000000" w:themeColor="text1"/>
          <w:sz w:val="26"/>
          <w:szCs w:val="26"/>
        </w:rPr>
        <w:t xml:space="preserve"> “acknowledges the impossibility of evaluating and determining a pre-2019 banked REC valuation methodology in an expedited ERRA Forecast proceeding.”  (</w:t>
      </w:r>
      <w:r w:rsidRPr="2E5CEFEF" w:rsidR="6373988D">
        <w:rPr>
          <w:rFonts w:ascii="Times New Roman" w:hAnsi="Times New Roman" w:eastAsia="Times New Roman" w:cs="Times New Roman"/>
          <w:color w:val="000000" w:themeColor="text1"/>
          <w:sz w:val="26"/>
          <w:szCs w:val="26"/>
        </w:rPr>
        <w:t>Rehg. App., at p. 36</w:t>
      </w:r>
      <w:r w:rsidRPr="2E5CEFEF">
        <w:rPr>
          <w:rFonts w:ascii="Times New Roman" w:hAnsi="Times New Roman" w:eastAsia="Times New Roman" w:cs="Times New Roman"/>
          <w:color w:val="000000" w:themeColor="text1"/>
          <w:sz w:val="26"/>
          <w:szCs w:val="26"/>
        </w:rPr>
        <w:t xml:space="preserve"> citing Decision, at p. 31.)  CalCCA thus asserts that the Decision is “fundamentally dissonant” because it</w:t>
      </w:r>
      <w:r w:rsidRPr="2E5CEFEF" w:rsidR="620510C1">
        <w:rPr>
          <w:rFonts w:ascii="Times New Roman" w:hAnsi="Times New Roman" w:eastAsia="Times New Roman" w:cs="Times New Roman"/>
          <w:color w:val="000000" w:themeColor="text1"/>
          <w:sz w:val="26"/>
          <w:szCs w:val="26"/>
        </w:rPr>
        <w:t xml:space="preserve"> simultaneously</w:t>
      </w:r>
      <w:r w:rsidRPr="2E5CEFEF">
        <w:rPr>
          <w:rFonts w:ascii="Times New Roman" w:hAnsi="Times New Roman" w:eastAsia="Times New Roman" w:cs="Times New Roman"/>
          <w:color w:val="000000" w:themeColor="text1"/>
          <w:sz w:val="26"/>
          <w:szCs w:val="26"/>
        </w:rPr>
        <w:t xml:space="preserve"> “avoids wading into the record” while </w:t>
      </w:r>
      <w:r w:rsidRPr="2E5CEFEF" w:rsidR="2118AF91">
        <w:rPr>
          <w:rFonts w:ascii="Times New Roman" w:hAnsi="Times New Roman" w:eastAsia="Times New Roman" w:cs="Times New Roman"/>
          <w:color w:val="000000" w:themeColor="text1"/>
          <w:sz w:val="26"/>
          <w:szCs w:val="26"/>
        </w:rPr>
        <w:t>also</w:t>
      </w:r>
      <w:r w:rsidRPr="2E5CEFEF">
        <w:rPr>
          <w:rFonts w:ascii="Times New Roman" w:hAnsi="Times New Roman" w:eastAsia="Times New Roman" w:cs="Times New Roman"/>
          <w:color w:val="000000" w:themeColor="text1"/>
          <w:sz w:val="26"/>
          <w:szCs w:val="26"/>
        </w:rPr>
        <w:t xml:space="preserve"> finding it reasonable to approve PG&amp;E’s methodology.  (</w:t>
      </w:r>
      <w:r w:rsidRPr="2E5CEFEF">
        <w:rPr>
          <w:rFonts w:ascii="Times New Roman" w:hAnsi="Times New Roman" w:eastAsia="Times New Roman" w:cs="Times New Roman"/>
          <w:i/>
          <w:iCs/>
          <w:color w:val="000000" w:themeColor="text1"/>
          <w:sz w:val="26"/>
          <w:szCs w:val="26"/>
        </w:rPr>
        <w:t>Ibid</w:t>
      </w:r>
      <w:r w:rsidRPr="2E5CEFEF">
        <w:rPr>
          <w:rFonts w:ascii="Times New Roman" w:hAnsi="Times New Roman" w:eastAsia="Times New Roman" w:cs="Times New Roman"/>
          <w:color w:val="000000" w:themeColor="text1"/>
          <w:sz w:val="26"/>
          <w:szCs w:val="26"/>
        </w:rPr>
        <w:t xml:space="preserve">.)   </w:t>
      </w:r>
    </w:p>
    <w:p w:rsidR="43708A16" w:rsidP="43708A16" w:rsidRDefault="12E66BE2" w14:paraId="26504963" w14:textId="4BCB0149">
      <w:pPr>
        <w:spacing w:line="360" w:lineRule="auto"/>
        <w:ind w:firstLine="720"/>
      </w:pPr>
      <w:r w:rsidRPr="2E5CEFEF">
        <w:rPr>
          <w:rFonts w:ascii="Times New Roman" w:hAnsi="Times New Roman" w:eastAsia="Times New Roman" w:cs="Times New Roman"/>
          <w:color w:val="000000" w:themeColor="text1"/>
          <w:sz w:val="26"/>
          <w:szCs w:val="26"/>
        </w:rPr>
        <w:t xml:space="preserve">As explained, </w:t>
      </w:r>
      <w:r w:rsidRPr="2E5CEFEF" w:rsidR="125FB921">
        <w:rPr>
          <w:rFonts w:ascii="Times New Roman" w:hAnsi="Times New Roman" w:eastAsia="Times New Roman" w:cs="Times New Roman"/>
          <w:color w:val="000000" w:themeColor="text1"/>
          <w:sz w:val="26"/>
          <w:szCs w:val="26"/>
        </w:rPr>
        <w:t xml:space="preserve">the Commission’s 2019 decision established a </w:t>
      </w:r>
      <w:r w:rsidRPr="2E5CEFEF" w:rsidR="0089336E">
        <w:rPr>
          <w:rFonts w:ascii="Times New Roman" w:hAnsi="Times New Roman" w:eastAsia="Times New Roman" w:cs="Times New Roman"/>
          <w:color w:val="000000" w:themeColor="text1"/>
          <w:sz w:val="26"/>
          <w:szCs w:val="26"/>
        </w:rPr>
        <w:t xml:space="preserve">REC </w:t>
      </w:r>
      <w:r w:rsidRPr="2E5CEFEF" w:rsidR="125FB921">
        <w:rPr>
          <w:rFonts w:ascii="Times New Roman" w:hAnsi="Times New Roman" w:eastAsia="Times New Roman" w:cs="Times New Roman"/>
          <w:color w:val="000000" w:themeColor="text1"/>
          <w:sz w:val="26"/>
          <w:szCs w:val="26"/>
        </w:rPr>
        <w:t>valuation methodology for 2019 and thereafter but did not clarify whether the Commission should continue to treat pre-2019 banked RECs in the same manner it had prior to the 2019 decision</w:t>
      </w:r>
      <w:r w:rsidRPr="2E5CEFEF" w:rsidR="18F8FD0D">
        <w:rPr>
          <w:rFonts w:ascii="Times New Roman" w:hAnsi="Times New Roman" w:eastAsia="Times New Roman" w:cs="Times New Roman"/>
          <w:color w:val="000000" w:themeColor="text1"/>
          <w:sz w:val="26"/>
          <w:szCs w:val="26"/>
        </w:rPr>
        <w:t xml:space="preserve">.  </w:t>
      </w:r>
      <w:r w:rsidRPr="2E5CEFEF" w:rsidR="00E12D96">
        <w:rPr>
          <w:rFonts w:ascii="Times New Roman" w:hAnsi="Times New Roman" w:eastAsia="Times New Roman" w:cs="Times New Roman"/>
          <w:color w:val="000000" w:themeColor="text1"/>
          <w:sz w:val="26"/>
          <w:szCs w:val="26"/>
        </w:rPr>
        <w:t>In this proceeding, t</w:t>
      </w:r>
      <w:r w:rsidRPr="2E5CEFEF" w:rsidR="18F8FD0D">
        <w:rPr>
          <w:rFonts w:ascii="Times New Roman" w:hAnsi="Times New Roman" w:eastAsia="Times New Roman" w:cs="Times New Roman"/>
          <w:color w:val="000000" w:themeColor="text1"/>
          <w:sz w:val="26"/>
          <w:szCs w:val="26"/>
        </w:rPr>
        <w:t>he Commission was presented with two proposals for treating pre-2019 banked RECs and opted to adopt the utility’s proposal as an interim measure while the issue was being thoroughly examined, and a definitive ru</w:t>
      </w:r>
      <w:r w:rsidRPr="2E5CEFEF" w:rsidR="3B72A1B9">
        <w:rPr>
          <w:rFonts w:ascii="Times New Roman" w:hAnsi="Times New Roman" w:eastAsia="Times New Roman" w:cs="Times New Roman"/>
          <w:color w:val="000000" w:themeColor="text1"/>
          <w:sz w:val="26"/>
          <w:szCs w:val="26"/>
        </w:rPr>
        <w:t xml:space="preserve">le formulated, in the ERRA Rulemaking.  </w:t>
      </w:r>
      <w:r w:rsidRPr="2E5CEFEF" w:rsidR="1C50A6D0">
        <w:rPr>
          <w:rFonts w:ascii="Times New Roman" w:hAnsi="Times New Roman" w:eastAsia="Times New Roman" w:cs="Times New Roman"/>
          <w:color w:val="000000" w:themeColor="text1"/>
          <w:sz w:val="26"/>
          <w:szCs w:val="26"/>
        </w:rPr>
        <w:t>(</w:t>
      </w:r>
      <w:r w:rsidRPr="2E5CEFEF" w:rsidR="1C50A6D0">
        <w:rPr>
          <w:rFonts w:ascii="Times New Roman" w:hAnsi="Times New Roman" w:eastAsia="Times New Roman" w:cs="Times New Roman"/>
          <w:i/>
          <w:iCs/>
          <w:color w:val="000000" w:themeColor="text1"/>
          <w:sz w:val="26"/>
          <w:szCs w:val="26"/>
          <w:lang w:val="en-ZW"/>
        </w:rPr>
        <w:t>Ponderosa Tel. Co. v. Public Utilities Com.</w:t>
      </w:r>
      <w:r w:rsidRPr="2E5CEFEF" w:rsidR="1C50A6D0">
        <w:rPr>
          <w:rFonts w:ascii="Times New Roman" w:hAnsi="Times New Roman" w:eastAsia="Times New Roman" w:cs="Times New Roman"/>
          <w:color w:val="000000" w:themeColor="text1"/>
          <w:sz w:val="26"/>
          <w:szCs w:val="26"/>
          <w:lang w:val="en-ZW"/>
        </w:rPr>
        <w:t xml:space="preserve"> (2019) 36 Cal.App.5th 999, 1013 [“</w:t>
      </w:r>
      <w:r w:rsidRPr="2E5CEFEF" w:rsidR="0089336E">
        <w:rPr>
          <w:rFonts w:ascii="Times New Roman" w:hAnsi="Times New Roman" w:eastAsia="Times New Roman" w:cs="Times New Roman"/>
          <w:color w:val="000000" w:themeColor="text1"/>
          <w:sz w:val="26"/>
          <w:szCs w:val="26"/>
          <w:lang w:val="en-ZW"/>
        </w:rPr>
        <w:t>I</w:t>
      </w:r>
      <w:r w:rsidRPr="2E5CEFEF" w:rsidR="1C50A6D0">
        <w:rPr>
          <w:rFonts w:ascii="Times New Roman" w:hAnsi="Times New Roman" w:eastAsia="Times New Roman" w:cs="Times New Roman"/>
          <w:color w:val="000000" w:themeColor="text1"/>
          <w:sz w:val="26"/>
          <w:szCs w:val="26"/>
          <w:lang w:val="en-ZW"/>
        </w:rPr>
        <w:t>t is for the agency to weigh the preponderance of conflicting evidence, and its findings are not open to attack for insufficiency if they are supported by any reasonable construction of the evidence.”].)</w:t>
      </w:r>
      <w:r w:rsidRPr="2E5CEFEF" w:rsidR="1C50A6D0">
        <w:rPr>
          <w:rFonts w:ascii="Times New Roman" w:hAnsi="Times New Roman" w:eastAsia="Times New Roman" w:cs="Times New Roman"/>
          <w:color w:val="000000" w:themeColor="text1"/>
          <w:sz w:val="26"/>
          <w:szCs w:val="26"/>
        </w:rPr>
        <w:t xml:space="preserve">  </w:t>
      </w:r>
      <w:r w:rsidRPr="2E5CEFEF" w:rsidR="3B72A1B9">
        <w:rPr>
          <w:rFonts w:ascii="Times New Roman" w:hAnsi="Times New Roman" w:eastAsia="Times New Roman" w:cs="Times New Roman"/>
          <w:color w:val="000000" w:themeColor="text1"/>
          <w:sz w:val="26"/>
          <w:szCs w:val="26"/>
        </w:rPr>
        <w:t>Th</w:t>
      </w:r>
      <w:r w:rsidRPr="2E5CEFEF" w:rsidR="336A93D7">
        <w:rPr>
          <w:rFonts w:ascii="Times New Roman" w:hAnsi="Times New Roman" w:eastAsia="Times New Roman" w:cs="Times New Roman"/>
          <w:color w:val="000000" w:themeColor="text1"/>
          <w:sz w:val="26"/>
          <w:szCs w:val="26"/>
        </w:rPr>
        <w:t>e Decision’s approach</w:t>
      </w:r>
      <w:r w:rsidRPr="2E5CEFEF" w:rsidR="3B72A1B9">
        <w:rPr>
          <w:rFonts w:ascii="Times New Roman" w:hAnsi="Times New Roman" w:eastAsia="Times New Roman" w:cs="Times New Roman"/>
          <w:color w:val="000000" w:themeColor="text1"/>
          <w:sz w:val="26"/>
          <w:szCs w:val="26"/>
        </w:rPr>
        <w:t xml:space="preserve"> is reasonable and CalCCA fails to show otherwise. </w:t>
      </w:r>
    </w:p>
    <w:p w:rsidR="43708A16" w:rsidP="4C473D7A" w:rsidRDefault="7510E328" w14:paraId="0A193D25" w14:textId="6285B9EA">
      <w:pPr>
        <w:spacing w:line="360" w:lineRule="auto"/>
        <w:ind w:firstLine="720"/>
      </w:pPr>
      <w:r w:rsidRPr="4C473D7A">
        <w:rPr>
          <w:rFonts w:ascii="Times New Roman" w:hAnsi="Times New Roman" w:eastAsia="Times New Roman" w:cs="Times New Roman"/>
          <w:color w:val="000000" w:themeColor="text1"/>
          <w:sz w:val="26"/>
          <w:szCs w:val="26"/>
        </w:rPr>
        <w:t>Further</w:t>
      </w:r>
      <w:r w:rsidRPr="4C473D7A" w:rsidR="76BB4712">
        <w:rPr>
          <w:rFonts w:ascii="Times New Roman" w:hAnsi="Times New Roman" w:eastAsia="Times New Roman" w:cs="Times New Roman"/>
          <w:color w:val="000000" w:themeColor="text1"/>
          <w:sz w:val="26"/>
          <w:szCs w:val="26"/>
        </w:rPr>
        <w:t xml:space="preserve">, </w:t>
      </w:r>
      <w:r w:rsidRPr="4C473D7A" w:rsidR="1F79976B">
        <w:rPr>
          <w:rFonts w:ascii="Times New Roman" w:hAnsi="Times New Roman" w:eastAsia="Times New Roman" w:cs="Times New Roman"/>
          <w:color w:val="000000" w:themeColor="text1"/>
          <w:sz w:val="26"/>
          <w:szCs w:val="26"/>
        </w:rPr>
        <w:t xml:space="preserve">record evidence </w:t>
      </w:r>
      <w:r w:rsidRPr="4C473D7A" w:rsidR="22681903">
        <w:rPr>
          <w:rFonts w:ascii="Times New Roman" w:hAnsi="Times New Roman" w:eastAsia="Times New Roman" w:cs="Times New Roman"/>
          <w:color w:val="000000" w:themeColor="text1"/>
          <w:sz w:val="26"/>
          <w:szCs w:val="26"/>
        </w:rPr>
        <w:t xml:space="preserve">presented to the Commission </w:t>
      </w:r>
      <w:r w:rsidRPr="4C473D7A" w:rsidR="1F79976B">
        <w:rPr>
          <w:rFonts w:ascii="Times New Roman" w:hAnsi="Times New Roman" w:eastAsia="Times New Roman" w:cs="Times New Roman"/>
          <w:color w:val="000000" w:themeColor="text1"/>
          <w:sz w:val="26"/>
          <w:szCs w:val="26"/>
        </w:rPr>
        <w:t xml:space="preserve">raises </w:t>
      </w:r>
      <w:r w:rsidRPr="4C473D7A" w:rsidR="70A913E2">
        <w:rPr>
          <w:rFonts w:ascii="Times New Roman" w:hAnsi="Times New Roman" w:eastAsia="Times New Roman" w:cs="Times New Roman"/>
          <w:color w:val="000000" w:themeColor="text1"/>
          <w:sz w:val="26"/>
          <w:szCs w:val="26"/>
        </w:rPr>
        <w:t xml:space="preserve">various issues </w:t>
      </w:r>
      <w:proofErr w:type="gramStart"/>
      <w:r w:rsidRPr="4C473D7A" w:rsidR="70A913E2">
        <w:rPr>
          <w:rFonts w:ascii="Times New Roman" w:hAnsi="Times New Roman" w:eastAsia="Times New Roman" w:cs="Times New Roman"/>
          <w:color w:val="000000" w:themeColor="text1"/>
          <w:sz w:val="26"/>
          <w:szCs w:val="26"/>
        </w:rPr>
        <w:t>with regard to</w:t>
      </w:r>
      <w:proofErr w:type="gramEnd"/>
      <w:r w:rsidRPr="4C473D7A" w:rsidR="70A913E2">
        <w:rPr>
          <w:rFonts w:ascii="Times New Roman" w:hAnsi="Times New Roman" w:eastAsia="Times New Roman" w:cs="Times New Roman"/>
          <w:color w:val="000000" w:themeColor="text1"/>
          <w:sz w:val="26"/>
          <w:szCs w:val="26"/>
        </w:rPr>
        <w:t xml:space="preserve"> CalCCA'</w:t>
      </w:r>
      <w:r w:rsidRPr="4C473D7A" w:rsidR="1F79976B">
        <w:rPr>
          <w:rFonts w:ascii="Times New Roman" w:hAnsi="Times New Roman" w:eastAsia="Times New Roman" w:cs="Times New Roman"/>
          <w:color w:val="000000" w:themeColor="text1"/>
          <w:sz w:val="26"/>
          <w:szCs w:val="26"/>
        </w:rPr>
        <w:t xml:space="preserve">s </w:t>
      </w:r>
      <w:r w:rsidRPr="4C473D7A" w:rsidR="70A913E2">
        <w:rPr>
          <w:rFonts w:ascii="Times New Roman" w:hAnsi="Times New Roman" w:eastAsia="Times New Roman" w:cs="Times New Roman"/>
          <w:color w:val="000000" w:themeColor="text1"/>
          <w:sz w:val="26"/>
          <w:szCs w:val="26"/>
        </w:rPr>
        <w:t xml:space="preserve">RPS Adder proposal.  </w:t>
      </w:r>
      <w:r w:rsidRPr="4C473D7A" w:rsidR="5AF6F1FC">
        <w:rPr>
          <w:rFonts w:ascii="Times New Roman" w:hAnsi="Times New Roman" w:eastAsia="Times New Roman" w:cs="Times New Roman"/>
          <w:color w:val="000000" w:themeColor="text1"/>
          <w:sz w:val="26"/>
          <w:szCs w:val="26"/>
        </w:rPr>
        <w:t xml:space="preserve">For instance, PG&amp;E established that, according to the practice at the time, when RECs were </w:t>
      </w:r>
      <w:r w:rsidRPr="4C473D7A" w:rsidR="143759EB">
        <w:rPr>
          <w:rFonts w:ascii="Times New Roman" w:hAnsi="Times New Roman" w:eastAsia="Times New Roman" w:cs="Times New Roman"/>
          <w:color w:val="000000" w:themeColor="text1"/>
          <w:sz w:val="26"/>
          <w:szCs w:val="26"/>
        </w:rPr>
        <w:t xml:space="preserve">generated </w:t>
      </w:r>
      <w:r w:rsidRPr="4C473D7A" w:rsidR="5AF6F1FC">
        <w:rPr>
          <w:rFonts w:ascii="Times New Roman" w:hAnsi="Times New Roman" w:eastAsia="Times New Roman" w:cs="Times New Roman"/>
          <w:color w:val="000000" w:themeColor="text1"/>
          <w:sz w:val="26"/>
          <w:szCs w:val="26"/>
        </w:rPr>
        <w:t xml:space="preserve">prior to 2019, bundled customers paid </w:t>
      </w:r>
      <w:proofErr w:type="gramStart"/>
      <w:r w:rsidRPr="4C473D7A" w:rsidR="5AF6F1FC">
        <w:rPr>
          <w:rFonts w:ascii="Times New Roman" w:hAnsi="Times New Roman" w:eastAsia="Times New Roman" w:cs="Times New Roman"/>
          <w:color w:val="000000" w:themeColor="text1"/>
          <w:sz w:val="26"/>
          <w:szCs w:val="26"/>
        </w:rPr>
        <w:t>a credit</w:t>
      </w:r>
      <w:proofErr w:type="gramEnd"/>
      <w:r w:rsidRPr="4C473D7A" w:rsidR="5AF6F1FC">
        <w:rPr>
          <w:rFonts w:ascii="Times New Roman" w:hAnsi="Times New Roman" w:eastAsia="Times New Roman" w:cs="Times New Roman"/>
          <w:color w:val="000000" w:themeColor="text1"/>
          <w:sz w:val="26"/>
          <w:szCs w:val="26"/>
        </w:rPr>
        <w:t xml:space="preserve"> to unbundled customers via the PCIA to reflect the value of these </w:t>
      </w:r>
      <w:proofErr w:type="spellStart"/>
      <w:r w:rsidRPr="4C473D7A" w:rsidR="5AF6F1FC">
        <w:rPr>
          <w:rFonts w:ascii="Times New Roman" w:hAnsi="Times New Roman" w:eastAsia="Times New Roman" w:cs="Times New Roman"/>
          <w:color w:val="000000" w:themeColor="text1"/>
          <w:sz w:val="26"/>
          <w:szCs w:val="26"/>
        </w:rPr>
        <w:t>RECs.</w:t>
      </w:r>
      <w:proofErr w:type="spellEnd"/>
      <w:r w:rsidRPr="4C473D7A" w:rsidR="5AF6F1FC">
        <w:rPr>
          <w:rFonts w:ascii="Times New Roman" w:hAnsi="Times New Roman" w:eastAsia="Times New Roman" w:cs="Times New Roman"/>
          <w:color w:val="000000" w:themeColor="text1"/>
          <w:sz w:val="26"/>
          <w:szCs w:val="26"/>
        </w:rPr>
        <w:t xml:space="preserve">  </w:t>
      </w:r>
      <w:r w:rsidRPr="4C473D7A" w:rsidR="5ACB95DE">
        <w:rPr>
          <w:rFonts w:ascii="Times New Roman" w:hAnsi="Times New Roman" w:eastAsia="Times New Roman" w:cs="Times New Roman"/>
          <w:color w:val="000000" w:themeColor="text1"/>
          <w:sz w:val="26"/>
          <w:szCs w:val="26"/>
        </w:rPr>
        <w:t>(</w:t>
      </w:r>
      <w:r w:rsidRPr="4C473D7A" w:rsidR="6D6BA1E2">
        <w:rPr>
          <w:rFonts w:ascii="Times New Roman" w:hAnsi="Times New Roman" w:eastAsia="Times New Roman" w:cs="Times New Roman"/>
          <w:color w:val="000000" w:themeColor="text1"/>
          <w:sz w:val="26"/>
          <w:szCs w:val="26"/>
        </w:rPr>
        <w:t xml:space="preserve">Reporter’s </w:t>
      </w:r>
      <w:r w:rsidRPr="4C473D7A" w:rsidR="5ACB95DE">
        <w:rPr>
          <w:rFonts w:ascii="Times New Roman" w:hAnsi="Times New Roman" w:eastAsia="Times New Roman" w:cs="Times New Roman"/>
          <w:color w:val="000000" w:themeColor="text1"/>
          <w:sz w:val="26"/>
          <w:szCs w:val="26"/>
        </w:rPr>
        <w:t xml:space="preserve">Transcript, </w:t>
      </w:r>
      <w:r w:rsidRPr="4C473D7A" w:rsidR="5ACB95DE">
        <w:rPr>
          <w:rFonts w:ascii="Times New Roman" w:hAnsi="Times New Roman" w:eastAsia="Times New Roman" w:cs="Times New Roman"/>
          <w:sz w:val="26"/>
          <w:szCs w:val="26"/>
        </w:rPr>
        <w:t xml:space="preserve">Volume 1, A.25-05-011 (Oct. 13, 2025), at pp. 88-89.)  PG&amp;E raises a reasonable argument that requiring bundled customers to pay again for these RECs violates the indifference mandate.  (PG&amp;E Opening Brief, at pp. </w:t>
      </w:r>
      <w:r w:rsidRPr="4C473D7A" w:rsidR="0E1B7958">
        <w:rPr>
          <w:rFonts w:ascii="Times New Roman" w:hAnsi="Times New Roman" w:eastAsia="Times New Roman" w:cs="Times New Roman"/>
          <w:sz w:val="26"/>
          <w:szCs w:val="26"/>
        </w:rPr>
        <w:t>25-33</w:t>
      </w:r>
      <w:r w:rsidRPr="4C473D7A" w:rsidR="5ACB95DE">
        <w:rPr>
          <w:rFonts w:ascii="Times New Roman" w:hAnsi="Times New Roman" w:eastAsia="Times New Roman" w:cs="Times New Roman"/>
          <w:sz w:val="26"/>
          <w:szCs w:val="26"/>
        </w:rPr>
        <w:t>.)</w:t>
      </w:r>
    </w:p>
    <w:p w:rsidR="43708A16" w:rsidP="43708A16" w:rsidRDefault="00E12D96" w14:paraId="1E3E3557" w14:textId="2F8351B6">
      <w:pPr>
        <w:spacing w:line="360" w:lineRule="auto"/>
        <w:ind w:firstLine="720"/>
      </w:pPr>
      <w:r w:rsidRPr="2E5CEFEF">
        <w:rPr>
          <w:rFonts w:ascii="Times New Roman" w:hAnsi="Times New Roman" w:eastAsia="Times New Roman" w:cs="Times New Roman"/>
          <w:sz w:val="26"/>
          <w:szCs w:val="26"/>
        </w:rPr>
        <w:lastRenderedPageBreak/>
        <w:t>PG&amp;E also raised v</w:t>
      </w:r>
      <w:r w:rsidRPr="2E5CEFEF" w:rsidR="676B7914">
        <w:rPr>
          <w:rFonts w:ascii="Times New Roman" w:hAnsi="Times New Roman" w:eastAsia="Times New Roman" w:cs="Times New Roman"/>
          <w:sz w:val="26"/>
          <w:szCs w:val="26"/>
        </w:rPr>
        <w:t xml:space="preserve">alid questions about the accuracy of assigning banked RECs a value based on the RPS Adder.  </w:t>
      </w:r>
      <w:r w:rsidRPr="2E5CEFEF" w:rsidR="64228DDA">
        <w:rPr>
          <w:rFonts w:ascii="Times New Roman" w:hAnsi="Times New Roman" w:eastAsia="Times New Roman" w:cs="Times New Roman"/>
          <w:sz w:val="26"/>
          <w:szCs w:val="26"/>
        </w:rPr>
        <w:t xml:space="preserve">PG&amp;E points out that applying the RPS Adder would assign a value to pre-2019 banked RECs as if they were </w:t>
      </w:r>
      <w:proofErr w:type="gramStart"/>
      <w:r w:rsidRPr="2E5CEFEF" w:rsidR="64228DDA">
        <w:rPr>
          <w:rFonts w:ascii="Times New Roman" w:hAnsi="Times New Roman" w:eastAsia="Times New Roman" w:cs="Times New Roman"/>
          <w:sz w:val="26"/>
          <w:szCs w:val="26"/>
        </w:rPr>
        <w:t>a renewable</w:t>
      </w:r>
      <w:proofErr w:type="gramEnd"/>
      <w:r w:rsidRPr="2E5CEFEF" w:rsidR="64228DDA">
        <w:rPr>
          <w:rFonts w:ascii="Times New Roman" w:hAnsi="Times New Roman" w:eastAsia="Times New Roman" w:cs="Times New Roman"/>
          <w:sz w:val="26"/>
          <w:szCs w:val="26"/>
        </w:rPr>
        <w:t xml:space="preserve"> credit on the market today, which </w:t>
      </w:r>
      <w:r w:rsidRPr="2E5CEFEF" w:rsidR="244205D7">
        <w:rPr>
          <w:rFonts w:ascii="Times New Roman" w:hAnsi="Times New Roman" w:eastAsia="Times New Roman" w:cs="Times New Roman"/>
          <w:sz w:val="26"/>
          <w:szCs w:val="26"/>
        </w:rPr>
        <w:t xml:space="preserve">has value from being both tradeable </w:t>
      </w:r>
      <w:proofErr w:type="gramStart"/>
      <w:r w:rsidRPr="2E5CEFEF" w:rsidR="244205D7">
        <w:rPr>
          <w:rFonts w:ascii="Times New Roman" w:hAnsi="Times New Roman" w:eastAsia="Times New Roman" w:cs="Times New Roman"/>
          <w:sz w:val="26"/>
          <w:szCs w:val="26"/>
        </w:rPr>
        <w:t>or</w:t>
      </w:r>
      <w:proofErr w:type="gramEnd"/>
      <w:r w:rsidRPr="2E5CEFEF" w:rsidR="244205D7">
        <w:rPr>
          <w:rFonts w:ascii="Times New Roman" w:hAnsi="Times New Roman" w:eastAsia="Times New Roman" w:cs="Times New Roman"/>
          <w:sz w:val="26"/>
          <w:szCs w:val="26"/>
        </w:rPr>
        <w:t xml:space="preserve"> transferable.  A banked REC is not tradeable or transferable, nor is it a product of the currently existing renewable market, and treating it as </w:t>
      </w:r>
      <w:proofErr w:type="gramStart"/>
      <w:r w:rsidRPr="2E5CEFEF" w:rsidR="244205D7">
        <w:rPr>
          <w:rFonts w:ascii="Times New Roman" w:hAnsi="Times New Roman" w:eastAsia="Times New Roman" w:cs="Times New Roman"/>
          <w:sz w:val="26"/>
          <w:szCs w:val="26"/>
        </w:rPr>
        <w:t>such,</w:t>
      </w:r>
      <w:proofErr w:type="gramEnd"/>
      <w:r w:rsidRPr="2E5CEFEF" w:rsidR="244205D7">
        <w:rPr>
          <w:rFonts w:ascii="Times New Roman" w:hAnsi="Times New Roman" w:eastAsia="Times New Roman" w:cs="Times New Roman"/>
          <w:sz w:val="26"/>
          <w:szCs w:val="26"/>
        </w:rPr>
        <w:t xml:space="preserve"> may be overvaluing </w:t>
      </w:r>
      <w:r w:rsidRPr="2E5CEFEF" w:rsidR="7A581332">
        <w:rPr>
          <w:rFonts w:ascii="Times New Roman" w:hAnsi="Times New Roman" w:eastAsia="Times New Roman" w:cs="Times New Roman"/>
          <w:sz w:val="26"/>
          <w:szCs w:val="26"/>
        </w:rPr>
        <w:t xml:space="preserve">the banked REC.  (See </w:t>
      </w:r>
      <w:r w:rsidRPr="2E5CEFEF" w:rsidR="7A581332">
        <w:rPr>
          <w:rFonts w:ascii="Times New Roman" w:hAnsi="Times New Roman" w:eastAsia="Times New Roman" w:cs="Times New Roman"/>
          <w:i/>
          <w:iCs/>
          <w:sz w:val="26"/>
          <w:szCs w:val="26"/>
        </w:rPr>
        <w:t>id</w:t>
      </w:r>
      <w:r w:rsidRPr="2E5CEFEF" w:rsidR="7A581332">
        <w:rPr>
          <w:rFonts w:ascii="Times New Roman" w:hAnsi="Times New Roman" w:eastAsia="Times New Roman" w:cs="Times New Roman"/>
          <w:sz w:val="26"/>
          <w:szCs w:val="26"/>
        </w:rPr>
        <w:t>. at pp. 3</w:t>
      </w:r>
      <w:r w:rsidRPr="2E5CEFEF" w:rsidR="0B152E5D">
        <w:rPr>
          <w:rFonts w:ascii="Times New Roman" w:hAnsi="Times New Roman" w:eastAsia="Times New Roman" w:cs="Times New Roman"/>
          <w:sz w:val="26"/>
          <w:szCs w:val="26"/>
        </w:rPr>
        <w:t>5; see also Exhibit PGE</w:t>
      </w:r>
      <w:r w:rsidRPr="2E5CEFEF">
        <w:rPr>
          <w:rFonts w:ascii="Times New Roman" w:hAnsi="Times New Roman" w:eastAsia="Times New Roman" w:cs="Times New Roman"/>
          <w:sz w:val="26"/>
          <w:szCs w:val="26"/>
        </w:rPr>
        <w:t>-</w:t>
      </w:r>
      <w:r w:rsidRPr="2E5CEFEF" w:rsidR="0B152E5D">
        <w:rPr>
          <w:rFonts w:ascii="Times New Roman" w:hAnsi="Times New Roman" w:eastAsia="Times New Roman" w:cs="Times New Roman"/>
          <w:sz w:val="26"/>
          <w:szCs w:val="26"/>
        </w:rPr>
        <w:t>4, at pp. 4-21 to 4-22</w:t>
      </w:r>
      <w:r w:rsidRPr="2E5CEFEF" w:rsidR="7A581332">
        <w:rPr>
          <w:rFonts w:ascii="Times New Roman" w:hAnsi="Times New Roman" w:eastAsia="Times New Roman" w:cs="Times New Roman"/>
          <w:sz w:val="26"/>
          <w:szCs w:val="26"/>
        </w:rPr>
        <w:t>.)</w:t>
      </w:r>
      <w:r w:rsidRPr="2E5CEFEF" w:rsidR="4581F994">
        <w:rPr>
          <w:rFonts w:ascii="Times New Roman" w:hAnsi="Times New Roman" w:eastAsia="Times New Roman" w:cs="Times New Roman"/>
          <w:sz w:val="26"/>
          <w:szCs w:val="26"/>
        </w:rPr>
        <w:t xml:space="preserve">  </w:t>
      </w:r>
    </w:p>
    <w:p w:rsidR="43708A16" w:rsidP="43708A16" w:rsidRDefault="3ABC7479" w14:paraId="54DBB462" w14:textId="57708F9B">
      <w:pPr>
        <w:spacing w:line="360" w:lineRule="auto"/>
        <w:ind w:firstLine="720"/>
      </w:pPr>
      <w:r w:rsidRPr="40997F2A">
        <w:rPr>
          <w:rFonts w:ascii="Times New Roman" w:hAnsi="Times New Roman" w:eastAsia="Times New Roman" w:cs="Times New Roman"/>
          <w:sz w:val="26"/>
          <w:szCs w:val="26"/>
        </w:rPr>
        <w:t xml:space="preserve">Given the absence of a demonstration that the Commission was legally required to adopt CalCCA’s RPS Adder proposal, the Decision’s determination to adopt PG&amp;E’s zero-dollar value as an interim solution while these significant issues were thoroughly examined in the ERRA Rulemaking is reasonable and supported by the record.  </w:t>
      </w:r>
    </w:p>
    <w:p w:rsidR="1005BCD8" w:rsidP="00533C6B" w:rsidRDefault="00FE0F3E" w14:paraId="6891C8EE" w14:textId="3BC860C1">
      <w:pPr>
        <w:pStyle w:val="Heading2"/>
      </w:pPr>
      <w:r w:rsidRPr="54E8C078">
        <w:t>C</w:t>
      </w:r>
      <w:r w:rsidR="00533C6B">
        <w:t>al</w:t>
      </w:r>
      <w:r w:rsidRPr="54E8C078">
        <w:t xml:space="preserve">CCA </w:t>
      </w:r>
      <w:r w:rsidR="00533C6B">
        <w:t>fails</w:t>
      </w:r>
      <w:r w:rsidRPr="54E8C078">
        <w:t xml:space="preserve"> </w:t>
      </w:r>
      <w:r w:rsidR="00533C6B">
        <w:t xml:space="preserve">to show that the Decision’s determination regarding pre-2019 banked RECs is an arbitrary departure from prior practices.  </w:t>
      </w:r>
    </w:p>
    <w:p w:rsidR="54E8C078" w:rsidP="54E8C078" w:rsidRDefault="4A09E0E7" w14:paraId="704F0EF5" w14:textId="5C4D9AE8">
      <w:pPr>
        <w:spacing w:line="360" w:lineRule="auto"/>
        <w:ind w:firstLine="720"/>
      </w:pPr>
      <w:r w:rsidRPr="40997F2A">
        <w:rPr>
          <w:rFonts w:ascii="Times New Roman" w:hAnsi="Times New Roman" w:eastAsia="Times New Roman" w:cs="Times New Roman"/>
          <w:color w:val="000000" w:themeColor="text1"/>
          <w:sz w:val="26"/>
          <w:szCs w:val="26"/>
        </w:rPr>
        <w:t xml:space="preserve">CalCCA argues that the Decision constitutes an abuse of discretion because </w:t>
      </w:r>
      <w:r w:rsidRPr="40997F2A" w:rsidR="57071373">
        <w:rPr>
          <w:rFonts w:ascii="Times New Roman" w:hAnsi="Times New Roman" w:eastAsia="Times New Roman" w:cs="Times New Roman"/>
          <w:color w:val="000000" w:themeColor="text1"/>
          <w:sz w:val="26"/>
          <w:szCs w:val="26"/>
        </w:rPr>
        <w:t xml:space="preserve">it </w:t>
      </w:r>
      <w:r w:rsidRPr="40997F2A">
        <w:rPr>
          <w:rFonts w:ascii="Times New Roman" w:hAnsi="Times New Roman" w:eastAsia="Times New Roman" w:cs="Times New Roman"/>
          <w:color w:val="000000" w:themeColor="text1"/>
          <w:sz w:val="26"/>
          <w:szCs w:val="26"/>
        </w:rPr>
        <w:t xml:space="preserve">arbitrarily departs from what CalCCA describes as the Commission’s “prior, consistent practice” without providing evidentiary support for doing so.  (Rehg. App, at pp. 37-38.)  </w:t>
      </w:r>
    </w:p>
    <w:p w:rsidR="00E12D96" w:rsidP="005A0DBE" w:rsidRDefault="4F4B2A8D" w14:paraId="67C179DE" w14:textId="58A028CA">
      <w:pPr>
        <w:spacing w:line="360" w:lineRule="auto"/>
        <w:ind w:firstLine="720"/>
        <w:rPr>
          <w:rFonts w:ascii="Times New Roman" w:hAnsi="Times New Roman" w:eastAsia="Times New Roman" w:cs="Times New Roman"/>
          <w:color w:val="000000" w:themeColor="text1"/>
          <w:sz w:val="26"/>
          <w:szCs w:val="26"/>
        </w:rPr>
      </w:pPr>
      <w:r w:rsidRPr="2E5CEFEF">
        <w:rPr>
          <w:rFonts w:ascii="Times New Roman" w:hAnsi="Times New Roman" w:eastAsia="Times New Roman" w:cs="Times New Roman"/>
          <w:color w:val="000000" w:themeColor="text1"/>
          <w:sz w:val="26"/>
          <w:szCs w:val="26"/>
        </w:rPr>
        <w:t xml:space="preserve">CalCCA misconstrues the Commission’s approach to pre-2019 banked </w:t>
      </w:r>
      <w:proofErr w:type="spellStart"/>
      <w:r w:rsidRPr="2E5CEFEF">
        <w:rPr>
          <w:rFonts w:ascii="Times New Roman" w:hAnsi="Times New Roman" w:eastAsia="Times New Roman" w:cs="Times New Roman"/>
          <w:color w:val="000000" w:themeColor="text1"/>
          <w:sz w:val="26"/>
          <w:szCs w:val="26"/>
        </w:rPr>
        <w:t>RECs.</w:t>
      </w:r>
      <w:proofErr w:type="spellEnd"/>
      <w:r w:rsidRPr="2E5CEFEF">
        <w:rPr>
          <w:rFonts w:ascii="Times New Roman" w:hAnsi="Times New Roman" w:eastAsia="Times New Roman" w:cs="Times New Roman"/>
          <w:color w:val="000000" w:themeColor="text1"/>
          <w:sz w:val="26"/>
          <w:szCs w:val="26"/>
        </w:rPr>
        <w:t xml:space="preserve">  While it is true that the Commission has previously approved PG&amp;E’s request to value pre-2019 banked RECs at the RPS Adder, the Commission has also approved utility requests to </w:t>
      </w:r>
      <w:r w:rsidRPr="2E5CEFEF" w:rsidR="0E5E568C">
        <w:rPr>
          <w:rFonts w:ascii="Times New Roman" w:hAnsi="Times New Roman" w:eastAsia="Times New Roman" w:cs="Times New Roman"/>
          <w:color w:val="000000" w:themeColor="text1"/>
          <w:sz w:val="26"/>
          <w:szCs w:val="26"/>
        </w:rPr>
        <w:t xml:space="preserve">value pre-2019 banked RECs at zero.  (Compare </w:t>
      </w:r>
      <w:r w:rsidRPr="2E5CEFEF" w:rsidR="70CF7E2F">
        <w:rPr>
          <w:rFonts w:ascii="Times New Roman" w:hAnsi="Times New Roman" w:eastAsia="Times New Roman" w:cs="Times New Roman"/>
          <w:i/>
          <w:iCs/>
          <w:color w:val="000000" w:themeColor="text1"/>
          <w:sz w:val="26"/>
          <w:szCs w:val="26"/>
        </w:rPr>
        <w:t>Decision Approving PG&amp;E’s 2025 ERRA Related Forecast Revenue Requirement and 2025 Electric Sales Forecast</w:t>
      </w:r>
      <w:r w:rsidRPr="2E5CEFEF" w:rsidR="70CF7E2F">
        <w:rPr>
          <w:rFonts w:ascii="Times New Roman" w:hAnsi="Times New Roman" w:eastAsia="Times New Roman" w:cs="Times New Roman"/>
          <w:color w:val="000000" w:themeColor="text1"/>
          <w:sz w:val="26"/>
          <w:szCs w:val="26"/>
        </w:rPr>
        <w:t xml:space="preserve"> (2024) [D.24-12-038], at COL 1</w:t>
      </w:r>
      <w:r w:rsidRPr="2E5CEFEF" w:rsidR="63CA96D2">
        <w:rPr>
          <w:rFonts w:ascii="Times New Roman" w:hAnsi="Times New Roman" w:eastAsia="Times New Roman" w:cs="Times New Roman"/>
          <w:color w:val="000000" w:themeColor="text1"/>
          <w:sz w:val="26"/>
          <w:szCs w:val="26"/>
        </w:rPr>
        <w:t xml:space="preserve"> [approving PG&amp;E’s undisputed request to value pre-2019 and 2020 banked RECs using the RPS Adder] with D.23-11-094</w:t>
      </w:r>
      <w:r w:rsidRPr="2E5CEFEF" w:rsidR="00E12D96">
        <w:rPr>
          <w:rFonts w:ascii="Times New Roman" w:hAnsi="Times New Roman" w:eastAsia="Times New Roman" w:cs="Times New Roman"/>
          <w:color w:val="000000" w:themeColor="text1"/>
          <w:sz w:val="26"/>
          <w:szCs w:val="26"/>
        </w:rPr>
        <w:t xml:space="preserve">, </w:t>
      </w:r>
      <w:r w:rsidRPr="2E5CEFEF" w:rsidR="00E12D96">
        <w:rPr>
          <w:rFonts w:ascii="Times New Roman" w:hAnsi="Times New Roman" w:eastAsia="Times New Roman" w:cs="Times New Roman"/>
          <w:i/>
          <w:iCs/>
          <w:color w:val="000000" w:themeColor="text1"/>
          <w:sz w:val="26"/>
          <w:szCs w:val="26"/>
        </w:rPr>
        <w:t>supra</w:t>
      </w:r>
      <w:r w:rsidRPr="2E5CEFEF" w:rsidR="00E12D96">
        <w:rPr>
          <w:rFonts w:ascii="Times New Roman" w:hAnsi="Times New Roman" w:eastAsia="Times New Roman" w:cs="Times New Roman"/>
          <w:color w:val="000000" w:themeColor="text1"/>
          <w:sz w:val="26"/>
          <w:szCs w:val="26"/>
        </w:rPr>
        <w:t>,</w:t>
      </w:r>
      <w:r w:rsidRPr="2E5CEFEF" w:rsidR="63CA96D2">
        <w:rPr>
          <w:rFonts w:ascii="Times New Roman" w:hAnsi="Times New Roman" w:eastAsia="Times New Roman" w:cs="Times New Roman"/>
          <w:color w:val="000000" w:themeColor="text1"/>
          <w:sz w:val="26"/>
          <w:szCs w:val="26"/>
        </w:rPr>
        <w:t xml:space="preserve"> at pp. 53, 58-60 [approving </w:t>
      </w:r>
      <w:r w:rsidRPr="2E5CEFEF" w:rsidR="005A0DBE">
        <w:rPr>
          <w:rFonts w:ascii="Times New Roman" w:hAnsi="Times New Roman" w:eastAsia="Times New Roman" w:cs="Times New Roman"/>
          <w:color w:val="000000" w:themeColor="text1"/>
          <w:sz w:val="26"/>
          <w:szCs w:val="26"/>
        </w:rPr>
        <w:t>Southern California Edison Company’s</w:t>
      </w:r>
      <w:r w:rsidRPr="2E5CEFEF" w:rsidR="63CA96D2">
        <w:rPr>
          <w:rFonts w:ascii="Times New Roman" w:hAnsi="Times New Roman" w:eastAsia="Times New Roman" w:cs="Times New Roman"/>
          <w:color w:val="000000" w:themeColor="text1"/>
          <w:sz w:val="26"/>
          <w:szCs w:val="26"/>
        </w:rPr>
        <w:t xml:space="preserve"> request to value pre-2019 banked RECs at zero dollars]</w:t>
      </w:r>
      <w:r w:rsidRPr="2E5CEFEF" w:rsidR="0E5E568C">
        <w:rPr>
          <w:rFonts w:ascii="Times New Roman" w:hAnsi="Times New Roman" w:eastAsia="Times New Roman" w:cs="Times New Roman"/>
          <w:color w:val="000000" w:themeColor="text1"/>
          <w:sz w:val="26"/>
          <w:szCs w:val="26"/>
        </w:rPr>
        <w:t>.)</w:t>
      </w:r>
      <w:r w:rsidRPr="2E5CEFEF" w:rsidR="33133DBD">
        <w:rPr>
          <w:rFonts w:ascii="Times New Roman" w:hAnsi="Times New Roman" w:eastAsia="Times New Roman" w:cs="Times New Roman"/>
          <w:color w:val="000000" w:themeColor="text1"/>
          <w:sz w:val="26"/>
          <w:szCs w:val="26"/>
        </w:rPr>
        <w:t xml:space="preserve">  As the Commission has explained, we have not held that bundled customers owe additional credits to departing load customers when a utility uses RECs banked in or before 201</w:t>
      </w:r>
      <w:r w:rsidRPr="2E5CEFEF" w:rsidR="0089336E">
        <w:rPr>
          <w:rFonts w:ascii="Times New Roman" w:hAnsi="Times New Roman" w:eastAsia="Times New Roman" w:cs="Times New Roman"/>
          <w:color w:val="000000" w:themeColor="text1"/>
          <w:sz w:val="26"/>
          <w:szCs w:val="26"/>
        </w:rPr>
        <w:t>8</w:t>
      </w:r>
      <w:r w:rsidRPr="2E5CEFEF" w:rsidR="33133DBD">
        <w:rPr>
          <w:rFonts w:ascii="Times New Roman" w:hAnsi="Times New Roman" w:eastAsia="Times New Roman" w:cs="Times New Roman"/>
          <w:color w:val="000000" w:themeColor="text1"/>
          <w:sz w:val="26"/>
          <w:szCs w:val="26"/>
        </w:rPr>
        <w:t>.</w:t>
      </w:r>
      <w:r w:rsidRPr="2E5CEFEF" w:rsidR="4893B2E5">
        <w:rPr>
          <w:rFonts w:ascii="Times New Roman" w:hAnsi="Times New Roman" w:eastAsia="Times New Roman" w:cs="Times New Roman"/>
          <w:color w:val="000000" w:themeColor="text1"/>
          <w:sz w:val="26"/>
          <w:szCs w:val="26"/>
        </w:rPr>
        <w:t xml:space="preserve"> </w:t>
      </w:r>
      <w:r w:rsidRPr="2E5CEFEF" w:rsidR="722BCB21">
        <w:rPr>
          <w:rFonts w:ascii="Times New Roman" w:hAnsi="Times New Roman" w:eastAsia="Times New Roman" w:cs="Times New Roman"/>
          <w:color w:val="000000" w:themeColor="text1"/>
          <w:sz w:val="26"/>
          <w:szCs w:val="26"/>
        </w:rPr>
        <w:t xml:space="preserve"> </w:t>
      </w:r>
      <w:r w:rsidRPr="2E5CEFEF" w:rsidR="4893B2E5">
        <w:rPr>
          <w:rFonts w:ascii="Times New Roman" w:hAnsi="Times New Roman" w:eastAsia="Times New Roman" w:cs="Times New Roman"/>
          <w:color w:val="000000" w:themeColor="text1"/>
          <w:sz w:val="26"/>
          <w:szCs w:val="26"/>
        </w:rPr>
        <w:t xml:space="preserve">(D.23-11-094, </w:t>
      </w:r>
      <w:r w:rsidRPr="2E5CEFEF" w:rsidR="4893B2E5">
        <w:rPr>
          <w:rFonts w:ascii="Times New Roman" w:hAnsi="Times New Roman" w:eastAsia="Times New Roman" w:cs="Times New Roman"/>
          <w:i/>
          <w:iCs/>
          <w:color w:val="000000" w:themeColor="text1"/>
          <w:sz w:val="26"/>
          <w:szCs w:val="26"/>
        </w:rPr>
        <w:t>supra</w:t>
      </w:r>
      <w:r w:rsidRPr="2E5CEFEF" w:rsidR="4893B2E5">
        <w:rPr>
          <w:rFonts w:ascii="Times New Roman" w:hAnsi="Times New Roman" w:eastAsia="Times New Roman" w:cs="Times New Roman"/>
          <w:color w:val="000000" w:themeColor="text1"/>
          <w:sz w:val="26"/>
          <w:szCs w:val="26"/>
        </w:rPr>
        <w:t>, at p. 53</w:t>
      </w:r>
      <w:r w:rsidRPr="2E5CEFEF" w:rsidR="7661F4F0">
        <w:rPr>
          <w:rFonts w:ascii="Times New Roman" w:hAnsi="Times New Roman" w:eastAsia="Times New Roman" w:cs="Times New Roman"/>
          <w:color w:val="000000" w:themeColor="text1"/>
          <w:sz w:val="26"/>
          <w:szCs w:val="26"/>
        </w:rPr>
        <w:t xml:space="preserve">; see also </w:t>
      </w:r>
      <w:r w:rsidRPr="2E5CEFEF" w:rsidR="7661F4F0">
        <w:rPr>
          <w:rFonts w:ascii="Times New Roman" w:hAnsi="Times New Roman" w:eastAsia="Times New Roman" w:cs="Times New Roman"/>
          <w:i/>
          <w:iCs/>
          <w:color w:val="000000" w:themeColor="text1"/>
          <w:sz w:val="26"/>
          <w:szCs w:val="26"/>
        </w:rPr>
        <w:t>Decision Denying Petition for Modification of D.23-06-006</w:t>
      </w:r>
      <w:r w:rsidRPr="2E5CEFEF" w:rsidR="7661F4F0">
        <w:rPr>
          <w:rFonts w:ascii="Times New Roman" w:hAnsi="Times New Roman" w:eastAsia="Times New Roman" w:cs="Times New Roman"/>
          <w:color w:val="000000" w:themeColor="text1"/>
          <w:sz w:val="26"/>
          <w:szCs w:val="26"/>
        </w:rPr>
        <w:t xml:space="preserve"> (2024) [D.24-08-004], at p. 5 [stating </w:t>
      </w:r>
      <w:r w:rsidRPr="2E5CEFEF" w:rsidR="7661F4F0">
        <w:rPr>
          <w:rFonts w:ascii="Times New Roman" w:hAnsi="Times New Roman" w:eastAsia="Times New Roman" w:cs="Times New Roman"/>
          <w:color w:val="000000" w:themeColor="text1"/>
          <w:sz w:val="26"/>
          <w:szCs w:val="26"/>
        </w:rPr>
        <w:lastRenderedPageBreak/>
        <w:t xml:space="preserve">that there was an insufficient record in the proceeding before it to determine how to value pre-2019 RECs but that the Commission may consider the issue in a future rulemaking]. </w:t>
      </w:r>
    </w:p>
    <w:p w:rsidR="54E8C078" w:rsidP="40997F2A" w:rsidRDefault="7661F4F0" w14:paraId="055D11D3" w14:textId="4BC1DF1A">
      <w:pPr>
        <w:spacing w:line="360" w:lineRule="auto"/>
        <w:ind w:firstLine="720"/>
        <w:rPr>
          <w:rFonts w:ascii="Times New Roman" w:hAnsi="Times New Roman" w:eastAsia="Times New Roman" w:cs="Times New Roman"/>
          <w:color w:val="000000" w:themeColor="text1"/>
          <w:sz w:val="26"/>
          <w:szCs w:val="26"/>
        </w:rPr>
      </w:pPr>
      <w:r w:rsidRPr="40997F2A">
        <w:rPr>
          <w:rFonts w:ascii="Times New Roman" w:hAnsi="Times New Roman" w:eastAsia="Times New Roman" w:cs="Times New Roman"/>
          <w:color w:val="000000" w:themeColor="text1"/>
          <w:sz w:val="26"/>
          <w:szCs w:val="26"/>
        </w:rPr>
        <w:t>Taking this together, it is more accurate to summarize the Commission’s approach to valuing pre-2019 banked RECs</w:t>
      </w:r>
      <w:r w:rsidRPr="40997F2A" w:rsidR="51C1A14E">
        <w:rPr>
          <w:rFonts w:ascii="Times New Roman" w:hAnsi="Times New Roman" w:eastAsia="Times New Roman" w:cs="Times New Roman"/>
          <w:color w:val="000000" w:themeColor="text1"/>
          <w:sz w:val="26"/>
          <w:szCs w:val="26"/>
        </w:rPr>
        <w:t xml:space="preserve"> as adopting interim approaches until this issue is examined in an industry-wide rulemaking.  The Decision is consistent with this approach</w:t>
      </w:r>
      <w:r w:rsidR="007022F4">
        <w:rPr>
          <w:rFonts w:ascii="Times New Roman" w:hAnsi="Times New Roman" w:eastAsia="Times New Roman" w:cs="Times New Roman"/>
          <w:color w:val="000000" w:themeColor="text1"/>
          <w:sz w:val="26"/>
          <w:szCs w:val="26"/>
        </w:rPr>
        <w:t xml:space="preserve">, and in any event, is consistent with the determination to value pre-2019 banked RECs at zero that has been reached in the </w:t>
      </w:r>
      <w:r w:rsidRPr="40997F2A" w:rsidR="51C1A14E">
        <w:rPr>
          <w:rFonts w:ascii="Times New Roman" w:hAnsi="Times New Roman" w:eastAsia="Times New Roman" w:cs="Times New Roman"/>
          <w:color w:val="000000" w:themeColor="text1"/>
          <w:sz w:val="26"/>
          <w:szCs w:val="26"/>
        </w:rPr>
        <w:t>ERRA Rulemaking</w:t>
      </w:r>
      <w:r w:rsidRPr="40997F2A" w:rsidR="4F4BEA67">
        <w:rPr>
          <w:rFonts w:ascii="Times New Roman" w:hAnsi="Times New Roman" w:eastAsia="Times New Roman" w:cs="Times New Roman"/>
          <w:color w:val="000000" w:themeColor="text1"/>
          <w:sz w:val="26"/>
          <w:szCs w:val="26"/>
        </w:rPr>
        <w:t>.</w:t>
      </w:r>
      <w:r w:rsidR="007022F4">
        <w:rPr>
          <w:rFonts w:ascii="Times New Roman" w:hAnsi="Times New Roman" w:eastAsia="Times New Roman" w:cs="Times New Roman"/>
          <w:color w:val="000000" w:themeColor="text1"/>
          <w:sz w:val="26"/>
          <w:szCs w:val="26"/>
        </w:rPr>
        <w:t xml:space="preserve">  </w:t>
      </w:r>
      <w:r w:rsidR="007022F4">
        <w:rPr>
          <w:rFonts w:ascii="Times New Roman" w:hAnsi="Times New Roman" w:cs="Times New Roman"/>
          <w:color w:val="000000" w:themeColor="text1"/>
          <w:sz w:val="26"/>
          <w:szCs w:val="26"/>
        </w:rPr>
        <w:t xml:space="preserve">(See </w:t>
      </w:r>
      <w:r w:rsidRPr="007022F4" w:rsidR="007022F4">
        <w:rPr>
          <w:rFonts w:ascii="Times New Roman" w:hAnsi="Times New Roman" w:cs="Times New Roman"/>
          <w:color w:val="000000" w:themeColor="text1"/>
          <w:sz w:val="26"/>
          <w:szCs w:val="26"/>
        </w:rPr>
        <w:t xml:space="preserve">D.26-09-047, </w:t>
      </w:r>
      <w:r w:rsidRPr="007022F4" w:rsidR="007022F4">
        <w:rPr>
          <w:rFonts w:ascii="Times New Roman" w:hAnsi="Times New Roman" w:cs="Times New Roman"/>
          <w:i/>
          <w:iCs/>
          <w:color w:val="000000" w:themeColor="text1"/>
          <w:sz w:val="26"/>
          <w:szCs w:val="26"/>
        </w:rPr>
        <w:t>supra</w:t>
      </w:r>
      <w:r w:rsidRPr="007022F4" w:rsidR="007022F4">
        <w:rPr>
          <w:rFonts w:ascii="Times New Roman" w:hAnsi="Times New Roman" w:cs="Times New Roman"/>
          <w:color w:val="000000" w:themeColor="text1"/>
          <w:sz w:val="26"/>
          <w:szCs w:val="26"/>
        </w:rPr>
        <w:t>, at p. 2.)</w:t>
      </w:r>
    </w:p>
    <w:p w:rsidR="4A09E0E7" w:rsidP="40997F2A" w:rsidRDefault="4A09E0E7" w14:paraId="1C740465" w14:textId="3ABB3DBF">
      <w:pPr>
        <w:spacing w:line="360" w:lineRule="auto"/>
        <w:ind w:firstLine="720"/>
        <w:contextualSpacing/>
      </w:pPr>
      <w:r w:rsidRPr="40997F2A">
        <w:rPr>
          <w:rFonts w:ascii="Times New Roman" w:hAnsi="Times New Roman" w:eastAsia="Times New Roman" w:cs="Times New Roman"/>
          <w:color w:val="000000" w:themeColor="text1"/>
          <w:sz w:val="26"/>
          <w:szCs w:val="26"/>
        </w:rPr>
        <w:t>For these reasons, CalCCA fails to show legal error.</w:t>
      </w:r>
    </w:p>
    <w:p w:rsidRPr="00B10E00" w:rsidR="003A12A3" w:rsidP="005C40B5" w:rsidRDefault="003A12A3" w14:paraId="00B3BF8A" w14:textId="459563EB">
      <w:pPr>
        <w:pStyle w:val="Heading1"/>
      </w:pPr>
      <w:r w:rsidRPr="00B10E00">
        <w:t>CONCLUSION</w:t>
      </w:r>
    </w:p>
    <w:p w:rsidR="00335237" w:rsidP="0034385A" w:rsidRDefault="00335237" w14:paraId="27310574" w14:textId="0F2D4E77">
      <w:pPr>
        <w:spacing w:line="360" w:lineRule="auto"/>
        <w:ind w:firstLine="720"/>
        <w:rPr>
          <w:rFonts w:ascii="Times New Roman" w:hAnsi="Times New Roman" w:cs="Times New Roman"/>
          <w:color w:val="000000" w:themeColor="text1"/>
          <w:sz w:val="26"/>
          <w:szCs w:val="26"/>
        </w:rPr>
      </w:pPr>
      <w:r w:rsidRPr="4F02113D">
        <w:rPr>
          <w:rFonts w:ascii="Times New Roman" w:hAnsi="Times New Roman" w:cs="Times New Roman"/>
          <w:sz w:val="26"/>
          <w:szCs w:val="26"/>
        </w:rPr>
        <w:t xml:space="preserve">For the reasons explained herein, </w:t>
      </w:r>
      <w:r w:rsidRPr="4F02113D" w:rsidR="30D47A9B">
        <w:rPr>
          <w:rFonts w:ascii="Times New Roman" w:hAnsi="Times New Roman" w:cs="Times New Roman"/>
          <w:sz w:val="26"/>
          <w:szCs w:val="26"/>
        </w:rPr>
        <w:t>Cal</w:t>
      </w:r>
      <w:r w:rsidRPr="4F02113D" w:rsidR="00363AED">
        <w:rPr>
          <w:rFonts w:ascii="Times New Roman" w:hAnsi="Times New Roman" w:cs="Times New Roman"/>
          <w:sz w:val="26"/>
          <w:szCs w:val="26"/>
        </w:rPr>
        <w:t>CCA</w:t>
      </w:r>
      <w:r w:rsidRPr="4F02113D" w:rsidR="038D9D07">
        <w:rPr>
          <w:rFonts w:ascii="Times New Roman" w:hAnsi="Times New Roman" w:cs="Times New Roman"/>
          <w:sz w:val="26"/>
          <w:szCs w:val="26"/>
        </w:rPr>
        <w:t xml:space="preserve"> </w:t>
      </w:r>
      <w:r w:rsidRPr="4F02113D">
        <w:rPr>
          <w:rFonts w:ascii="Times New Roman" w:hAnsi="Times New Roman" w:cs="Times New Roman"/>
          <w:sz w:val="26"/>
          <w:szCs w:val="26"/>
        </w:rPr>
        <w:t>fail</w:t>
      </w:r>
      <w:r w:rsidRPr="4F02113D" w:rsidR="5A07CE46">
        <w:rPr>
          <w:rFonts w:ascii="Times New Roman" w:hAnsi="Times New Roman" w:cs="Times New Roman"/>
          <w:sz w:val="26"/>
          <w:szCs w:val="26"/>
        </w:rPr>
        <w:t>s</w:t>
      </w:r>
      <w:r w:rsidRPr="4F02113D">
        <w:rPr>
          <w:rFonts w:ascii="Times New Roman" w:hAnsi="Times New Roman" w:cs="Times New Roman"/>
          <w:sz w:val="26"/>
          <w:szCs w:val="26"/>
        </w:rPr>
        <w:t xml:space="preserve"> to show legal error in the Decision </w:t>
      </w:r>
      <w:r w:rsidRPr="4F02113D" w:rsidR="00E8142D">
        <w:rPr>
          <w:rFonts w:ascii="Times New Roman" w:hAnsi="Times New Roman" w:cs="Times New Roman"/>
          <w:sz w:val="26"/>
          <w:szCs w:val="26"/>
        </w:rPr>
        <w:t>and</w:t>
      </w:r>
      <w:r w:rsidRPr="4F02113D">
        <w:rPr>
          <w:rFonts w:ascii="Times New Roman" w:hAnsi="Times New Roman" w:cs="Times New Roman"/>
          <w:sz w:val="26"/>
          <w:szCs w:val="26"/>
        </w:rPr>
        <w:t xml:space="preserve"> otherwise fail</w:t>
      </w:r>
      <w:r w:rsidR="00764670">
        <w:rPr>
          <w:rFonts w:ascii="Times New Roman" w:hAnsi="Times New Roman" w:cs="Times New Roman"/>
          <w:sz w:val="26"/>
          <w:szCs w:val="26"/>
        </w:rPr>
        <w:t>s</w:t>
      </w:r>
      <w:r w:rsidRPr="4F02113D">
        <w:rPr>
          <w:rFonts w:ascii="Times New Roman" w:hAnsi="Times New Roman" w:cs="Times New Roman"/>
          <w:sz w:val="26"/>
          <w:szCs w:val="26"/>
        </w:rPr>
        <w:t xml:space="preserve"> to justify rehearing. </w:t>
      </w:r>
      <w:r w:rsidRPr="4F02113D" w:rsidR="00851788">
        <w:rPr>
          <w:rFonts w:ascii="Times New Roman" w:hAnsi="Times New Roman" w:cs="Times New Roman"/>
          <w:sz w:val="26"/>
          <w:szCs w:val="26"/>
        </w:rPr>
        <w:t xml:space="preserve"> As such</w:t>
      </w:r>
      <w:r w:rsidRPr="4F02113D">
        <w:rPr>
          <w:rFonts w:ascii="Times New Roman" w:hAnsi="Times New Roman" w:cs="Times New Roman"/>
          <w:sz w:val="26"/>
          <w:szCs w:val="26"/>
        </w:rPr>
        <w:t xml:space="preserve">, </w:t>
      </w:r>
      <w:r w:rsidRPr="4F02113D" w:rsidR="0BB32DB2">
        <w:rPr>
          <w:rFonts w:ascii="Times New Roman" w:hAnsi="Times New Roman" w:cs="Times New Roman"/>
          <w:sz w:val="26"/>
          <w:szCs w:val="26"/>
        </w:rPr>
        <w:t>Cal</w:t>
      </w:r>
      <w:r w:rsidRPr="4F02113D" w:rsidR="00363AED">
        <w:rPr>
          <w:rFonts w:ascii="Times New Roman" w:hAnsi="Times New Roman" w:cs="Times New Roman"/>
          <w:sz w:val="26"/>
          <w:szCs w:val="26"/>
        </w:rPr>
        <w:t>CCA</w:t>
      </w:r>
      <w:r w:rsidRPr="4F02113D" w:rsidR="005B626C">
        <w:rPr>
          <w:rFonts w:ascii="Times New Roman" w:hAnsi="Times New Roman" w:cs="Times New Roman"/>
          <w:sz w:val="26"/>
          <w:szCs w:val="26"/>
        </w:rPr>
        <w:t>’s</w:t>
      </w:r>
      <w:r w:rsidRPr="4F02113D">
        <w:rPr>
          <w:rFonts w:ascii="Times New Roman" w:hAnsi="Times New Roman" w:cs="Times New Roman"/>
          <w:sz w:val="26"/>
          <w:szCs w:val="26"/>
        </w:rPr>
        <w:t xml:space="preserve"> application for rehearing is denied</w:t>
      </w:r>
      <w:r w:rsidRPr="4F02113D" w:rsidR="1703B887">
        <w:rPr>
          <w:rFonts w:ascii="Times New Roman" w:hAnsi="Times New Roman" w:cs="Times New Roman"/>
          <w:sz w:val="26"/>
          <w:szCs w:val="26"/>
        </w:rPr>
        <w:t>, as is Cal</w:t>
      </w:r>
      <w:r w:rsidRPr="4F02113D" w:rsidR="55D8FD07">
        <w:rPr>
          <w:rFonts w:ascii="Times New Roman" w:hAnsi="Times New Roman" w:cs="Times New Roman"/>
          <w:sz w:val="26"/>
          <w:szCs w:val="26"/>
        </w:rPr>
        <w:t>CCA’s request for oral argument</w:t>
      </w:r>
      <w:r w:rsidRPr="4F02113D">
        <w:rPr>
          <w:rFonts w:ascii="Times New Roman" w:hAnsi="Times New Roman" w:cs="Times New Roman"/>
          <w:sz w:val="26"/>
          <w:szCs w:val="26"/>
        </w:rPr>
        <w:t>.</w:t>
      </w:r>
      <w:r w:rsidRPr="4F02113D" w:rsidR="02B6E1B6">
        <w:rPr>
          <w:rFonts w:ascii="Times New Roman" w:hAnsi="Times New Roman" w:cs="Times New Roman"/>
          <w:color w:val="000000" w:themeColor="text1"/>
          <w:sz w:val="26"/>
          <w:szCs w:val="26"/>
        </w:rPr>
        <w:t xml:space="preserve">  (See</w:t>
      </w:r>
      <w:r w:rsidRPr="4F02113D" w:rsidR="13FC2E77">
        <w:rPr>
          <w:rFonts w:ascii="Times New Roman" w:hAnsi="Times New Roman" w:cs="Times New Roman"/>
          <w:color w:val="000000" w:themeColor="text1"/>
          <w:sz w:val="26"/>
          <w:szCs w:val="26"/>
        </w:rPr>
        <w:t xml:space="preserve"> </w:t>
      </w:r>
      <w:r w:rsidRPr="4F02113D" w:rsidR="02B6E1B6">
        <w:rPr>
          <w:rFonts w:ascii="Times New Roman" w:hAnsi="Times New Roman" w:cs="Times New Roman"/>
          <w:color w:val="000000" w:themeColor="text1"/>
          <w:sz w:val="26"/>
          <w:szCs w:val="26"/>
        </w:rPr>
        <w:t>Rule 16.3(a</w:t>
      </w:r>
      <w:proofErr w:type="gramStart"/>
      <w:r w:rsidRPr="4F02113D" w:rsidR="02B6E1B6">
        <w:rPr>
          <w:rFonts w:ascii="Times New Roman" w:hAnsi="Times New Roman" w:cs="Times New Roman"/>
          <w:color w:val="000000" w:themeColor="text1"/>
          <w:sz w:val="26"/>
          <w:szCs w:val="26"/>
        </w:rPr>
        <w:t>) [“</w:t>
      </w:r>
      <w:proofErr w:type="gramEnd"/>
      <w:r w:rsidRPr="4F02113D" w:rsidR="0089336E">
        <w:rPr>
          <w:rFonts w:ascii="Times New Roman" w:hAnsi="Times New Roman" w:cs="Times New Roman"/>
          <w:color w:val="000000" w:themeColor="text1"/>
          <w:sz w:val="26"/>
          <w:szCs w:val="26"/>
        </w:rPr>
        <w:t>T</w:t>
      </w:r>
      <w:r w:rsidRPr="4F02113D" w:rsidR="02B6E1B6">
        <w:rPr>
          <w:rFonts w:ascii="Times New Roman" w:hAnsi="Times New Roman" w:cs="Times New Roman"/>
          <w:color w:val="000000" w:themeColor="text1"/>
          <w:sz w:val="26"/>
          <w:szCs w:val="26"/>
        </w:rPr>
        <w:t xml:space="preserve">he Commission has complete discretion to determine the appropriateness of oral argument in any particular matter.”]; </w:t>
      </w:r>
      <w:r w:rsidRPr="4F02113D" w:rsidR="02B6E1B6">
        <w:rPr>
          <w:rFonts w:ascii="Times New Roman" w:hAnsi="Times New Roman" w:cs="Times New Roman"/>
          <w:i/>
          <w:iCs/>
          <w:color w:val="000000" w:themeColor="text1"/>
          <w:sz w:val="26"/>
          <w:szCs w:val="26"/>
        </w:rPr>
        <w:t>Ordering Denying Rehearing</w:t>
      </w:r>
      <w:r w:rsidRPr="4F02113D" w:rsidR="02B6E1B6">
        <w:rPr>
          <w:rFonts w:ascii="Times New Roman" w:hAnsi="Times New Roman" w:cs="Times New Roman"/>
          <w:color w:val="000000" w:themeColor="text1"/>
          <w:sz w:val="26"/>
          <w:szCs w:val="26"/>
        </w:rPr>
        <w:t xml:space="preserve"> (2024) [D.24-06-027], </w:t>
      </w:r>
      <w:proofErr w:type="gramStart"/>
      <w:r w:rsidRPr="4F02113D" w:rsidR="02B6E1B6">
        <w:rPr>
          <w:rFonts w:ascii="Times New Roman" w:hAnsi="Times New Roman" w:cs="Times New Roman"/>
          <w:color w:val="000000" w:themeColor="text1"/>
          <w:sz w:val="26"/>
          <w:szCs w:val="26"/>
        </w:rPr>
        <w:t>at p.</w:t>
      </w:r>
      <w:proofErr w:type="gramEnd"/>
      <w:r w:rsidRPr="4F02113D" w:rsidR="02B6E1B6">
        <w:rPr>
          <w:rFonts w:ascii="Times New Roman" w:hAnsi="Times New Roman" w:cs="Times New Roman"/>
          <w:color w:val="000000" w:themeColor="text1"/>
          <w:sz w:val="26"/>
          <w:szCs w:val="26"/>
        </w:rPr>
        <w:t xml:space="preserve"> 12 [noting same].)</w:t>
      </w:r>
    </w:p>
    <w:p w:rsidRPr="00B10E00" w:rsidR="001B2D34" w:rsidP="00602D49" w:rsidRDefault="007B100B" w14:paraId="328A76AA" w14:textId="3E014B21">
      <w:pPr>
        <w:spacing w:line="360" w:lineRule="auto"/>
        <w:ind w:left="720" w:right="-630" w:firstLine="720"/>
        <w:rPr>
          <w:rFonts w:ascii="Times New Roman" w:hAnsi="Times New Roman" w:cs="Times New Roman"/>
          <w:sz w:val="26"/>
          <w:szCs w:val="26"/>
        </w:rPr>
      </w:pPr>
      <w:r w:rsidRPr="00B10E00">
        <w:rPr>
          <w:rFonts w:ascii="Times New Roman" w:hAnsi="Times New Roman" w:cs="Times New Roman"/>
          <w:b/>
          <w:sz w:val="26"/>
          <w:szCs w:val="26"/>
        </w:rPr>
        <w:t>THEREFORE, IT IS ORDERED</w:t>
      </w:r>
      <w:r w:rsidRPr="00B10E00">
        <w:rPr>
          <w:rFonts w:ascii="Times New Roman" w:hAnsi="Times New Roman" w:cs="Times New Roman"/>
          <w:sz w:val="26"/>
          <w:szCs w:val="26"/>
        </w:rPr>
        <w:t xml:space="preserve"> that: </w:t>
      </w:r>
    </w:p>
    <w:p w:rsidRPr="00B10E00" w:rsidR="00BE3F44" w:rsidP="00E249A1" w:rsidRDefault="00335237" w14:paraId="67B03A2B" w14:textId="67626B50">
      <w:pPr>
        <w:pStyle w:val="ListParagraph"/>
        <w:numPr>
          <w:ilvl w:val="1"/>
          <w:numId w:val="3"/>
        </w:numPr>
        <w:spacing w:line="360" w:lineRule="auto"/>
        <w:ind w:hanging="720"/>
        <w:rPr>
          <w:rFonts w:ascii="Times New Roman" w:hAnsi="Times New Roman" w:eastAsia="Times New Roman" w:cs="Times New Roman"/>
          <w:kern w:val="0"/>
          <w:sz w:val="26"/>
          <w:szCs w:val="26"/>
          <w14:ligatures w14:val="none"/>
        </w:rPr>
      </w:pPr>
      <w:r w:rsidRPr="00B10E00">
        <w:rPr>
          <w:rFonts w:ascii="Times New Roman" w:hAnsi="Times New Roman" w:eastAsia="Times New Roman" w:cs="Times New Roman"/>
          <w:kern w:val="0"/>
          <w:sz w:val="26"/>
          <w:szCs w:val="26"/>
          <w14:ligatures w14:val="none"/>
        </w:rPr>
        <w:t>T</w:t>
      </w:r>
      <w:r w:rsidRPr="00B10E00" w:rsidR="00BE3F44">
        <w:rPr>
          <w:rFonts w:ascii="Times New Roman" w:hAnsi="Times New Roman" w:eastAsia="Times New Roman" w:cs="Times New Roman"/>
          <w:kern w:val="0"/>
          <w:sz w:val="26"/>
          <w:szCs w:val="26"/>
          <w14:ligatures w14:val="none"/>
        </w:rPr>
        <w:t>he application for rehearing of D</w:t>
      </w:r>
      <w:r w:rsidRPr="00B10E00" w:rsidR="00906514">
        <w:rPr>
          <w:rFonts w:ascii="Times New Roman" w:hAnsi="Times New Roman" w:eastAsia="Times New Roman" w:cs="Times New Roman"/>
          <w:kern w:val="0"/>
          <w:sz w:val="26"/>
          <w:szCs w:val="26"/>
          <w14:ligatures w14:val="none"/>
        </w:rPr>
        <w:t xml:space="preserve">ecision </w:t>
      </w:r>
      <w:r w:rsidRPr="00B10E00" w:rsidR="00363AED">
        <w:rPr>
          <w:rFonts w:ascii="Times New Roman" w:hAnsi="Times New Roman" w:cs="Times New Roman"/>
          <w:color w:val="000000" w:themeColor="text1"/>
          <w:sz w:val="26"/>
          <w:szCs w:val="26"/>
        </w:rPr>
        <w:t>2</w:t>
      </w:r>
      <w:r w:rsidR="00363AED">
        <w:rPr>
          <w:rFonts w:ascii="Times New Roman" w:hAnsi="Times New Roman" w:cs="Times New Roman"/>
          <w:color w:val="000000" w:themeColor="text1"/>
          <w:sz w:val="26"/>
          <w:szCs w:val="26"/>
        </w:rPr>
        <w:t>5</w:t>
      </w:r>
      <w:r w:rsidRPr="00B10E00" w:rsidR="00363AED">
        <w:rPr>
          <w:rFonts w:ascii="Times New Roman" w:hAnsi="Times New Roman" w:cs="Times New Roman"/>
          <w:color w:val="000000" w:themeColor="text1"/>
          <w:sz w:val="26"/>
          <w:szCs w:val="26"/>
        </w:rPr>
        <w:t>-</w:t>
      </w:r>
      <w:r w:rsidR="00363AED">
        <w:rPr>
          <w:rFonts w:ascii="Times New Roman" w:hAnsi="Times New Roman" w:cs="Times New Roman"/>
          <w:color w:val="000000" w:themeColor="text1"/>
          <w:sz w:val="26"/>
          <w:szCs w:val="26"/>
        </w:rPr>
        <w:t>12</w:t>
      </w:r>
      <w:r w:rsidRPr="00B10E00" w:rsidR="00363AED">
        <w:rPr>
          <w:rFonts w:ascii="Times New Roman" w:hAnsi="Times New Roman" w:cs="Times New Roman"/>
          <w:color w:val="000000" w:themeColor="text1"/>
          <w:sz w:val="26"/>
          <w:szCs w:val="26"/>
        </w:rPr>
        <w:t>-0</w:t>
      </w:r>
      <w:r w:rsidRPr="4341D8DB" w:rsidR="3A803737">
        <w:rPr>
          <w:rFonts w:ascii="Times New Roman" w:hAnsi="Times New Roman" w:cs="Times New Roman"/>
          <w:color w:val="000000" w:themeColor="text1"/>
          <w:sz w:val="26"/>
          <w:szCs w:val="26"/>
        </w:rPr>
        <w:t xml:space="preserve">27 </w:t>
      </w:r>
      <w:r w:rsidRPr="4341D8DB" w:rsidR="00BE3F44">
        <w:rPr>
          <w:rFonts w:ascii="Times New Roman" w:hAnsi="Times New Roman" w:eastAsia="Times New Roman" w:cs="Times New Roman"/>
          <w:sz w:val="26"/>
          <w:szCs w:val="26"/>
        </w:rPr>
        <w:t xml:space="preserve">is denied.  </w:t>
      </w:r>
    </w:p>
    <w:p w:rsidRPr="00B10E00" w:rsidR="008830D0" w:rsidP="00E249A1" w:rsidRDefault="00335237" w14:paraId="3D443F5C" w14:textId="765E68D2">
      <w:pPr>
        <w:pStyle w:val="ListParagraph"/>
        <w:numPr>
          <w:ilvl w:val="1"/>
          <w:numId w:val="3"/>
        </w:numPr>
        <w:spacing w:line="360" w:lineRule="auto"/>
        <w:ind w:hanging="720"/>
        <w:rPr>
          <w:rFonts w:ascii="Times New Roman" w:hAnsi="Times New Roman" w:eastAsia="Times New Roman" w:cs="Times New Roman"/>
          <w:kern w:val="0"/>
          <w:sz w:val="26"/>
          <w:szCs w:val="26"/>
          <w14:ligatures w14:val="none"/>
        </w:rPr>
      </w:pPr>
      <w:r w:rsidRPr="00B10E00">
        <w:rPr>
          <w:rFonts w:ascii="Times New Roman" w:hAnsi="Times New Roman" w:eastAsia="Times New Roman" w:cs="Times New Roman"/>
          <w:kern w:val="0"/>
          <w:sz w:val="26"/>
          <w:szCs w:val="26"/>
          <w14:ligatures w14:val="none"/>
        </w:rPr>
        <w:t xml:space="preserve">This proceeding </w:t>
      </w:r>
      <w:r w:rsidRPr="00B10E00" w:rsidR="005B626C">
        <w:rPr>
          <w:rFonts w:ascii="Times New Roman" w:hAnsi="Times New Roman" w:eastAsia="Times New Roman" w:cs="Times New Roman"/>
          <w:kern w:val="0"/>
          <w:sz w:val="26"/>
          <w:szCs w:val="26"/>
          <w14:ligatures w14:val="none"/>
        </w:rPr>
        <w:t>is closed</w:t>
      </w:r>
      <w:r w:rsidRPr="00B10E00">
        <w:rPr>
          <w:rFonts w:ascii="Times New Roman" w:hAnsi="Times New Roman" w:eastAsia="Times New Roman" w:cs="Times New Roman"/>
          <w:kern w:val="0"/>
          <w:sz w:val="26"/>
          <w:szCs w:val="26"/>
          <w14:ligatures w14:val="none"/>
        </w:rPr>
        <w:t xml:space="preserve">.  </w:t>
      </w:r>
    </w:p>
    <w:p w:rsidRPr="00B10E00" w:rsidR="008647FF" w:rsidP="00677FAB" w:rsidRDefault="008647FF" w14:paraId="5FA1CBD5" w14:textId="7B5E222F">
      <w:pPr>
        <w:pStyle w:val="NormalWeb"/>
        <w:shd w:val="clear" w:color="auto" w:fill="FFFFFF"/>
        <w:spacing w:before="0" w:beforeAutospacing="0" w:after="0" w:afterAutospacing="0" w:line="360" w:lineRule="auto"/>
        <w:ind w:left="1440"/>
        <w:textAlignment w:val="baseline"/>
        <w:rPr>
          <w:color w:val="212121"/>
          <w:sz w:val="26"/>
          <w:szCs w:val="26"/>
        </w:rPr>
      </w:pPr>
      <w:r w:rsidRPr="00B10E00">
        <w:rPr>
          <w:color w:val="212121"/>
          <w:sz w:val="26"/>
          <w:szCs w:val="26"/>
        </w:rPr>
        <w:t>This order is effective today.</w:t>
      </w:r>
    </w:p>
    <w:p w:rsidR="008647FF" w:rsidP="00677FAB" w:rsidRDefault="008647FF" w14:paraId="5D158185" w14:textId="5C255EE9">
      <w:pPr>
        <w:pStyle w:val="NormalWeb"/>
        <w:shd w:val="clear" w:color="auto" w:fill="FFFFFF"/>
        <w:spacing w:before="0" w:beforeAutospacing="0" w:after="0" w:afterAutospacing="0" w:line="360" w:lineRule="auto"/>
        <w:ind w:left="1440"/>
        <w:textAlignment w:val="baseline"/>
        <w:rPr>
          <w:color w:val="212121"/>
          <w:sz w:val="26"/>
          <w:szCs w:val="26"/>
        </w:rPr>
      </w:pPr>
      <w:r w:rsidRPr="00B10E00">
        <w:rPr>
          <w:color w:val="212121"/>
          <w:sz w:val="26"/>
          <w:szCs w:val="26"/>
        </w:rPr>
        <w:t xml:space="preserve">Dated </w:t>
      </w:r>
      <w:r w:rsidR="009D4A32">
        <w:rPr>
          <w:color w:val="212121"/>
          <w:sz w:val="26"/>
          <w:szCs w:val="26"/>
        </w:rPr>
        <w:t>October 8</w:t>
      </w:r>
      <w:r w:rsidRPr="00B10E00">
        <w:rPr>
          <w:color w:val="212121"/>
          <w:sz w:val="26"/>
          <w:szCs w:val="26"/>
        </w:rPr>
        <w:t>, 202</w:t>
      </w:r>
      <w:r w:rsidRPr="00B10E00" w:rsidR="005B626C">
        <w:rPr>
          <w:color w:val="212121"/>
          <w:sz w:val="26"/>
          <w:szCs w:val="26"/>
        </w:rPr>
        <w:t>6</w:t>
      </w:r>
      <w:r w:rsidRPr="00B10E00">
        <w:rPr>
          <w:color w:val="212121"/>
          <w:sz w:val="26"/>
          <w:szCs w:val="26"/>
        </w:rPr>
        <w:t xml:space="preserve">, </w:t>
      </w:r>
      <w:proofErr w:type="gramStart"/>
      <w:r w:rsidRPr="00B10E00">
        <w:rPr>
          <w:color w:val="212121"/>
          <w:sz w:val="26"/>
          <w:szCs w:val="26"/>
        </w:rPr>
        <w:t>at</w:t>
      </w:r>
      <w:proofErr w:type="gramEnd"/>
      <w:r w:rsidRPr="00B10E00">
        <w:rPr>
          <w:color w:val="212121"/>
          <w:sz w:val="26"/>
          <w:szCs w:val="26"/>
        </w:rPr>
        <w:t xml:space="preserve"> </w:t>
      </w:r>
      <w:r w:rsidR="00407C35">
        <w:rPr>
          <w:color w:val="212121"/>
          <w:sz w:val="26"/>
          <w:szCs w:val="26"/>
        </w:rPr>
        <w:t>S</w:t>
      </w:r>
      <w:r w:rsidR="00984E53">
        <w:rPr>
          <w:color w:val="212121"/>
          <w:sz w:val="26"/>
          <w:szCs w:val="26"/>
        </w:rPr>
        <w:t>acramento</w:t>
      </w:r>
      <w:r w:rsidRPr="00B10E00">
        <w:rPr>
          <w:color w:val="212121"/>
          <w:sz w:val="26"/>
          <w:szCs w:val="26"/>
        </w:rPr>
        <w:t>, California.</w:t>
      </w:r>
    </w:p>
    <w:p w:rsidRPr="009D4A32" w:rsidR="009D4A32" w:rsidP="009D4A32" w:rsidRDefault="009D4A32" w14:paraId="2F663983" w14:textId="77777777">
      <w:pPr>
        <w:pStyle w:val="NormalWeb"/>
        <w:shd w:val="clear" w:color="auto" w:fill="FFFFFF"/>
        <w:spacing w:before="0" w:beforeAutospacing="0" w:after="0" w:afterAutospacing="0"/>
        <w:ind w:left="5040"/>
        <w:rPr>
          <w:color w:val="212121"/>
          <w:sz w:val="26"/>
          <w:szCs w:val="26"/>
        </w:rPr>
      </w:pPr>
    </w:p>
    <w:p w:rsidRPr="009D4A32" w:rsidR="009D4A32" w:rsidP="009D4A32" w:rsidRDefault="009D4A32" w14:paraId="7FB91BE5" w14:textId="77777777">
      <w:pPr>
        <w:pStyle w:val="NormalWeb"/>
        <w:shd w:val="clear" w:color="auto" w:fill="FFFFFF"/>
        <w:spacing w:before="0" w:beforeAutospacing="0" w:after="0" w:afterAutospacing="0"/>
        <w:ind w:left="5040"/>
        <w:textAlignment w:val="baseline"/>
        <w:rPr>
          <w:bCs/>
          <w:color w:val="212121"/>
          <w:sz w:val="26"/>
          <w:szCs w:val="26"/>
        </w:rPr>
      </w:pPr>
      <w:r w:rsidRPr="009D4A32">
        <w:rPr>
          <w:bCs/>
          <w:color w:val="212121"/>
          <w:sz w:val="26"/>
          <w:szCs w:val="26"/>
        </w:rPr>
        <w:t>JOHN REYNOLDS</w:t>
      </w:r>
    </w:p>
    <w:p w:rsidRPr="009D4A32" w:rsidR="009D4A32" w:rsidP="009D4A32" w:rsidRDefault="009D4A32" w14:paraId="7B702111" w14:textId="77777777">
      <w:pPr>
        <w:pStyle w:val="NormalWeb"/>
        <w:shd w:val="clear" w:color="auto" w:fill="FFFFFF"/>
        <w:spacing w:before="0" w:beforeAutospacing="0" w:after="0" w:afterAutospacing="0"/>
        <w:ind w:left="5040"/>
        <w:textAlignment w:val="baseline"/>
        <w:rPr>
          <w:color w:val="212121"/>
          <w:sz w:val="26"/>
          <w:szCs w:val="26"/>
        </w:rPr>
      </w:pPr>
      <w:r w:rsidRPr="009D4A32">
        <w:rPr>
          <w:color w:val="212121"/>
          <w:sz w:val="26"/>
          <w:szCs w:val="26"/>
        </w:rPr>
        <w:t>                       President</w:t>
      </w:r>
    </w:p>
    <w:p w:rsidRPr="009D4A32" w:rsidR="009D4A32" w:rsidP="009D4A32" w:rsidRDefault="009D4A32" w14:paraId="17B17334" w14:textId="77777777">
      <w:pPr>
        <w:pStyle w:val="NormalWeb"/>
        <w:shd w:val="clear" w:color="auto" w:fill="FFFFFF"/>
        <w:spacing w:before="0" w:beforeAutospacing="0" w:after="0" w:afterAutospacing="0"/>
        <w:ind w:left="5040"/>
        <w:textAlignment w:val="baseline"/>
        <w:rPr>
          <w:bCs/>
          <w:color w:val="212121"/>
          <w:sz w:val="26"/>
          <w:szCs w:val="26"/>
        </w:rPr>
      </w:pPr>
    </w:p>
    <w:p w:rsidRPr="009D4A32" w:rsidR="009D4A32" w:rsidP="009D4A32" w:rsidRDefault="009D4A32" w14:paraId="0D9D4645" w14:textId="77777777">
      <w:pPr>
        <w:pStyle w:val="NormalWeb"/>
        <w:shd w:val="clear" w:color="auto" w:fill="FFFFFF"/>
        <w:spacing w:before="0" w:beforeAutospacing="0" w:after="0" w:afterAutospacing="0"/>
        <w:ind w:left="5040"/>
        <w:textAlignment w:val="baseline"/>
        <w:rPr>
          <w:bCs/>
          <w:color w:val="212121"/>
          <w:sz w:val="26"/>
          <w:szCs w:val="26"/>
        </w:rPr>
      </w:pPr>
      <w:r w:rsidRPr="009D4A32">
        <w:rPr>
          <w:bCs/>
          <w:color w:val="212121"/>
          <w:sz w:val="26"/>
          <w:szCs w:val="26"/>
        </w:rPr>
        <w:t>DARCIE L. HOUCK</w:t>
      </w:r>
    </w:p>
    <w:p w:rsidRPr="009D4A32" w:rsidR="009D4A32" w:rsidP="009D4A32" w:rsidRDefault="009D4A32" w14:paraId="659D7744" w14:textId="77777777">
      <w:pPr>
        <w:pStyle w:val="NormalWeb"/>
        <w:shd w:val="clear" w:color="auto" w:fill="FFFFFF"/>
        <w:spacing w:before="0" w:beforeAutospacing="0" w:after="0" w:afterAutospacing="0"/>
        <w:ind w:left="5040"/>
        <w:textAlignment w:val="baseline"/>
        <w:rPr>
          <w:bCs/>
          <w:color w:val="212121"/>
          <w:sz w:val="26"/>
          <w:szCs w:val="26"/>
        </w:rPr>
      </w:pPr>
      <w:r w:rsidRPr="009D4A32">
        <w:rPr>
          <w:bCs/>
          <w:color w:val="212121"/>
          <w:sz w:val="26"/>
          <w:szCs w:val="26"/>
        </w:rPr>
        <w:t xml:space="preserve">KAREN DOUGLAS </w:t>
      </w:r>
    </w:p>
    <w:p w:rsidRPr="009D4A32" w:rsidR="009D4A32" w:rsidP="009D4A32" w:rsidRDefault="009D4A32" w14:paraId="64F5605D" w14:textId="77777777">
      <w:pPr>
        <w:pStyle w:val="NormalWeb"/>
        <w:shd w:val="clear" w:color="auto" w:fill="FFFFFF"/>
        <w:spacing w:before="0" w:beforeAutospacing="0" w:after="0" w:afterAutospacing="0"/>
        <w:ind w:left="5040"/>
        <w:textAlignment w:val="baseline"/>
        <w:rPr>
          <w:bCs/>
          <w:color w:val="212121"/>
          <w:sz w:val="26"/>
          <w:szCs w:val="26"/>
        </w:rPr>
      </w:pPr>
      <w:r w:rsidRPr="009D4A32">
        <w:rPr>
          <w:bCs/>
          <w:color w:val="212121"/>
          <w:sz w:val="26"/>
          <w:szCs w:val="26"/>
        </w:rPr>
        <w:t>CHRISTINE HARADA</w:t>
      </w:r>
    </w:p>
    <w:p w:rsidRPr="009D4A32" w:rsidR="009D4A32" w:rsidP="009D4A32" w:rsidRDefault="009D4A32" w14:paraId="347EC8DF" w14:textId="77777777">
      <w:pPr>
        <w:pStyle w:val="NormalWeb"/>
        <w:shd w:val="clear" w:color="auto" w:fill="FFFFFF"/>
        <w:spacing w:before="0" w:beforeAutospacing="0" w:after="0" w:afterAutospacing="0"/>
        <w:ind w:left="5040"/>
        <w:textAlignment w:val="baseline"/>
        <w:rPr>
          <w:bCs/>
          <w:color w:val="212121"/>
          <w:sz w:val="26"/>
          <w:szCs w:val="26"/>
        </w:rPr>
      </w:pPr>
      <w:r w:rsidRPr="009D4A32">
        <w:rPr>
          <w:bCs/>
          <w:color w:val="212121"/>
          <w:sz w:val="26"/>
          <w:szCs w:val="26"/>
        </w:rPr>
        <w:t>MATTHEW BAKER</w:t>
      </w:r>
    </w:p>
    <w:p w:rsidRPr="009D4A32" w:rsidR="009D4A32" w:rsidP="009D4A32" w:rsidRDefault="009D4A32" w14:paraId="7EECDADD" w14:textId="77777777">
      <w:pPr>
        <w:pStyle w:val="NormalWeb"/>
        <w:shd w:val="clear" w:color="auto" w:fill="FFFFFF"/>
        <w:spacing w:before="0" w:beforeAutospacing="0" w:after="0" w:afterAutospacing="0"/>
        <w:ind w:left="5040"/>
        <w:textAlignment w:val="baseline"/>
        <w:rPr>
          <w:color w:val="212121"/>
          <w:sz w:val="26"/>
          <w:szCs w:val="26"/>
        </w:rPr>
      </w:pPr>
      <w:r w:rsidRPr="009D4A32">
        <w:rPr>
          <w:color w:val="212121"/>
          <w:sz w:val="26"/>
          <w:szCs w:val="26"/>
        </w:rPr>
        <w:t>                       Commissioners</w:t>
      </w:r>
    </w:p>
    <w:sectPr w:rsidRPr="009D4A32" w:rsidR="009D4A32" w:rsidSect="00F542CC">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A688" w14:textId="77777777" w:rsidR="00125103" w:rsidRDefault="00125103" w:rsidP="00F706B8">
      <w:r>
        <w:separator/>
      </w:r>
    </w:p>
  </w:endnote>
  <w:endnote w:type="continuationSeparator" w:id="0">
    <w:p w14:paraId="21CAE899" w14:textId="77777777" w:rsidR="00125103" w:rsidRDefault="00125103" w:rsidP="00F70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Times New Roman (Headings CS)">
    <w:charset w:val="00"/>
    <w:family w:val="roman"/>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2007216"/>
      <w:docPartObj>
        <w:docPartGallery w:val="Page Numbers (Bottom of Page)"/>
        <w:docPartUnique/>
      </w:docPartObj>
    </w:sdtPr>
    <w:sdtEndPr>
      <w:rPr>
        <w:rStyle w:val="PageNumber"/>
      </w:rPr>
    </w:sdtEndPr>
    <w:sdtContent>
      <w:p w14:paraId="169991D0" w14:textId="4D478FD1" w:rsidR="00B321C6" w:rsidRDefault="00B321C6" w:rsidP="005F787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816200" w14:textId="77777777" w:rsidR="00B321C6" w:rsidRDefault="00B32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702514"/>
      <w:docPartObj>
        <w:docPartGallery w:val="Page Numbers (Bottom of Page)"/>
        <w:docPartUnique/>
      </w:docPartObj>
    </w:sdtPr>
    <w:sdtEndPr>
      <w:rPr>
        <w:noProof/>
      </w:rPr>
    </w:sdtEndPr>
    <w:sdtContent>
      <w:p w14:paraId="2BC7A987" w14:textId="6EF45E37" w:rsidR="00F542CC" w:rsidRDefault="00F542CC">
        <w:pPr>
          <w:pStyle w:val="Footer"/>
          <w:jc w:val="center"/>
        </w:pPr>
        <w:r w:rsidRPr="00DC1CB3">
          <w:rPr>
            <w:rFonts w:ascii="Times New Roman" w:hAnsi="Times New Roman" w:cs="Times New Roman"/>
          </w:rPr>
          <w:fldChar w:fldCharType="begin"/>
        </w:r>
        <w:r w:rsidRPr="00DC1CB3">
          <w:rPr>
            <w:rFonts w:ascii="Times New Roman" w:hAnsi="Times New Roman" w:cs="Times New Roman"/>
          </w:rPr>
          <w:instrText xml:space="preserve"> PAGE   \* MERGEFORMAT </w:instrText>
        </w:r>
        <w:r w:rsidRPr="00DC1CB3">
          <w:rPr>
            <w:rFonts w:ascii="Times New Roman" w:hAnsi="Times New Roman" w:cs="Times New Roman"/>
          </w:rPr>
          <w:fldChar w:fldCharType="separate"/>
        </w:r>
        <w:r w:rsidRPr="00DC1CB3">
          <w:rPr>
            <w:rFonts w:ascii="Times New Roman" w:hAnsi="Times New Roman" w:cs="Times New Roman"/>
            <w:noProof/>
          </w:rPr>
          <w:t>2</w:t>
        </w:r>
        <w:r w:rsidRPr="00DC1CB3">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219851"/>
      <w:docPartObj>
        <w:docPartGallery w:val="Page Numbers (Bottom of Page)"/>
        <w:docPartUnique/>
      </w:docPartObj>
    </w:sdtPr>
    <w:sdtEndPr>
      <w:rPr>
        <w:rFonts w:ascii="Times New Roman" w:hAnsi="Times New Roman" w:cs="Times New Roman"/>
        <w:noProof/>
      </w:rPr>
    </w:sdtEndPr>
    <w:sdtContent>
      <w:p w14:paraId="776CFDC5" w14:textId="429C739F" w:rsidR="00632CCB" w:rsidRPr="00632CCB" w:rsidRDefault="00C543B2" w:rsidP="00030C1D">
        <w:pPr>
          <w:pStyle w:val="Footer"/>
          <w:rPr>
            <w:rFonts w:ascii="Times New Roman" w:hAnsi="Times New Roman" w:cs="Times New Roman"/>
          </w:rPr>
        </w:pPr>
        <w:r w:rsidRPr="00C543B2">
          <w:rPr>
            <w:rFonts w:ascii="Times New Roman" w:hAnsi="Times New Roman" w:cs="Times New Roman"/>
            <w:sz w:val="16"/>
            <w:szCs w:val="16"/>
          </w:rPr>
          <w:t>623379337</w:t>
        </w:r>
        <w:r w:rsidR="00030C1D">
          <w:tab/>
        </w:r>
        <w:r w:rsidR="00632CCB" w:rsidRPr="00632CCB">
          <w:rPr>
            <w:rFonts w:ascii="Times New Roman" w:hAnsi="Times New Roman" w:cs="Times New Roman"/>
          </w:rPr>
          <w:fldChar w:fldCharType="begin"/>
        </w:r>
        <w:r w:rsidR="00632CCB" w:rsidRPr="00632CCB">
          <w:rPr>
            <w:rFonts w:ascii="Times New Roman" w:hAnsi="Times New Roman" w:cs="Times New Roman"/>
          </w:rPr>
          <w:instrText xml:space="preserve"> PAGE   \* MERGEFORMAT </w:instrText>
        </w:r>
        <w:r w:rsidR="00632CCB" w:rsidRPr="00632CCB">
          <w:rPr>
            <w:rFonts w:ascii="Times New Roman" w:hAnsi="Times New Roman" w:cs="Times New Roman"/>
          </w:rPr>
          <w:fldChar w:fldCharType="separate"/>
        </w:r>
        <w:r w:rsidR="00632CCB" w:rsidRPr="00632CCB">
          <w:rPr>
            <w:rFonts w:ascii="Times New Roman" w:hAnsi="Times New Roman" w:cs="Times New Roman"/>
            <w:noProof/>
          </w:rPr>
          <w:t>2</w:t>
        </w:r>
        <w:r w:rsidR="00632CCB" w:rsidRPr="00632CCB">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A725A" w14:textId="77777777" w:rsidR="00125103" w:rsidRDefault="00125103" w:rsidP="00F706B8">
      <w:r>
        <w:separator/>
      </w:r>
    </w:p>
  </w:footnote>
  <w:footnote w:type="continuationSeparator" w:id="0">
    <w:p w14:paraId="13212AEB" w14:textId="77777777" w:rsidR="00125103" w:rsidRDefault="00125103" w:rsidP="00F706B8">
      <w:r>
        <w:continuationSeparator/>
      </w:r>
    </w:p>
  </w:footnote>
  <w:footnote w:id="1">
    <w:p w14:paraId="0A1C35D1" w14:textId="69CE81A0" w:rsidR="4CAF61BD" w:rsidRPr="001B75CA" w:rsidRDefault="4CAF61BD" w:rsidP="001B75CA">
      <w:pPr>
        <w:pStyle w:val="FootnoteText"/>
        <w:spacing w:after="120" w:line="240" w:lineRule="exact"/>
        <w:rPr>
          <w:rFonts w:ascii="Times New Roman" w:eastAsia="Times New Roman" w:hAnsi="Times New Roman" w:cs="Times New Roman"/>
          <w:color w:val="0000FF"/>
          <w:sz w:val="26"/>
          <w:szCs w:val="26"/>
        </w:rPr>
      </w:pPr>
      <w:r w:rsidRPr="001B75CA">
        <w:rPr>
          <w:rStyle w:val="FootnoteReference"/>
          <w:rFonts w:ascii="Times New Roman" w:hAnsi="Times New Roman" w:cs="Times New Roman"/>
          <w:b/>
          <w:bCs/>
          <w:sz w:val="26"/>
          <w:szCs w:val="26"/>
          <w:u w:val="single"/>
        </w:rPr>
        <w:footnoteRef/>
      </w:r>
      <w:r w:rsidRPr="001B75CA">
        <w:rPr>
          <w:rFonts w:ascii="Times New Roman" w:hAnsi="Times New Roman" w:cs="Times New Roman"/>
          <w:sz w:val="26"/>
          <w:szCs w:val="26"/>
        </w:rPr>
        <w:t xml:space="preserve"> </w:t>
      </w:r>
      <w:r w:rsidRPr="001B75CA">
        <w:rPr>
          <w:rFonts w:ascii="Times New Roman" w:eastAsia="Times New Roman" w:hAnsi="Times New Roman" w:cs="Times New Roman"/>
          <w:color w:val="000000" w:themeColor="text1"/>
          <w:sz w:val="26"/>
          <w:szCs w:val="26"/>
        </w:rPr>
        <w:t xml:space="preserve">Unless otherwise noted, citations to Commission Decisions issued since July 1, </w:t>
      </w:r>
      <w:proofErr w:type="gramStart"/>
      <w:r w:rsidRPr="001B75CA">
        <w:rPr>
          <w:rFonts w:ascii="Times New Roman" w:eastAsia="Times New Roman" w:hAnsi="Times New Roman" w:cs="Times New Roman"/>
          <w:color w:val="000000" w:themeColor="text1"/>
          <w:sz w:val="26"/>
          <w:szCs w:val="26"/>
        </w:rPr>
        <w:t>2000</w:t>
      </w:r>
      <w:proofErr w:type="gramEnd"/>
      <w:r w:rsidRPr="001B75CA">
        <w:rPr>
          <w:rFonts w:ascii="Times New Roman" w:eastAsia="Times New Roman" w:hAnsi="Times New Roman" w:cs="Times New Roman"/>
          <w:color w:val="000000" w:themeColor="text1"/>
          <w:sz w:val="26"/>
          <w:szCs w:val="26"/>
        </w:rPr>
        <w:t xml:space="preserve"> are to the official pdf versions, which are available on the Commission’s website at: </w:t>
      </w:r>
      <w:hyperlink r:id="rId1">
        <w:r w:rsidRPr="001B75CA">
          <w:rPr>
            <w:rStyle w:val="Hyperlink"/>
            <w:rFonts w:ascii="Times New Roman" w:eastAsia="Times New Roman" w:hAnsi="Times New Roman" w:cs="Times New Roman"/>
            <w:sz w:val="26"/>
            <w:szCs w:val="26"/>
          </w:rPr>
          <w:t>https://docs.cpuc.ca.gov/ResolutionSearchForm.aspx</w:t>
        </w:r>
      </w:hyperlink>
    </w:p>
  </w:footnote>
  <w:footnote w:id="2">
    <w:p w14:paraId="334DEB1C" w14:textId="6A92BE41" w:rsidR="40997F2A" w:rsidRPr="001B75CA" w:rsidRDefault="40997F2A" w:rsidP="001B75CA">
      <w:pPr>
        <w:pStyle w:val="FootnoteText"/>
        <w:spacing w:after="120" w:line="240" w:lineRule="exact"/>
        <w:rPr>
          <w:rFonts w:ascii="Times New Roman" w:eastAsia="Times New Roman" w:hAnsi="Times New Roman" w:cs="Times New Roman"/>
          <w:color w:val="000000" w:themeColor="text1"/>
          <w:sz w:val="26"/>
          <w:szCs w:val="26"/>
        </w:rPr>
      </w:pPr>
      <w:r w:rsidRPr="00076279">
        <w:rPr>
          <w:rStyle w:val="FootnoteReference"/>
          <w:rFonts w:ascii="Times New Roman" w:eastAsia="Times New Roman" w:hAnsi="Times New Roman" w:cs="Times New Roman"/>
          <w:b/>
          <w:bCs/>
          <w:sz w:val="26"/>
          <w:szCs w:val="26"/>
          <w:u w:val="single"/>
        </w:rPr>
        <w:footnoteRef/>
      </w:r>
      <w:r w:rsidR="2E5CEFEF" w:rsidRPr="001B75CA">
        <w:rPr>
          <w:rFonts w:ascii="Times New Roman" w:eastAsia="Times New Roman" w:hAnsi="Times New Roman" w:cs="Times New Roman"/>
          <w:sz w:val="26"/>
          <w:szCs w:val="26"/>
        </w:rPr>
        <w:t xml:space="preserve"> </w:t>
      </w:r>
      <w:r w:rsidR="2E5CEFEF" w:rsidRPr="001B75CA" w:rsidDel="003604D1">
        <w:rPr>
          <w:rFonts w:ascii="Times New Roman" w:eastAsia="Times New Roman" w:hAnsi="Times New Roman" w:cs="Times New Roman"/>
          <w:sz w:val="26"/>
          <w:szCs w:val="26"/>
        </w:rPr>
        <w:t>T</w:t>
      </w:r>
      <w:r w:rsidR="2E5CEFEF" w:rsidRPr="2E5CEFEF">
        <w:rPr>
          <w:rFonts w:ascii="Times New Roman" w:eastAsia="Times New Roman" w:hAnsi="Times New Roman" w:cs="Times New Roman"/>
          <w:sz w:val="26"/>
          <w:szCs w:val="26"/>
        </w:rPr>
        <w:t>he RPS Adder is a means to determine the market value of a REC.  More specifically, t</w:t>
      </w:r>
      <w:r w:rsidR="2E5CEFEF" w:rsidRPr="2E5CEFEF">
        <w:rPr>
          <w:rFonts w:ascii="Times New Roman" w:eastAsia="Times New Roman" w:hAnsi="Times New Roman" w:cs="Times New Roman"/>
          <w:color w:val="000000" w:themeColor="text1"/>
          <w:sz w:val="26"/>
          <w:szCs w:val="26"/>
        </w:rPr>
        <w:t>he RPS Adder is the MPB that reflects the estimated incremental value (incremental to the Energy Index) of each unit of RPS-eligible energy that is attributable to its RPS eligibility, in $/Mega-Watt hour.  (</w:t>
      </w:r>
      <w:r w:rsidR="2E5CEFEF" w:rsidRPr="2E5CEFEF">
        <w:rPr>
          <w:rFonts w:ascii="Times New Roman" w:eastAsia="Times New Roman" w:hAnsi="Times New Roman" w:cs="Times New Roman"/>
          <w:i/>
          <w:iCs/>
          <w:color w:val="000000" w:themeColor="text1"/>
          <w:sz w:val="26"/>
          <w:szCs w:val="26"/>
        </w:rPr>
        <w:t>CalCCA’s Opening Brief</w:t>
      </w:r>
      <w:r w:rsidR="2E5CEFEF" w:rsidRPr="2E5CEFEF">
        <w:rPr>
          <w:rFonts w:ascii="Times New Roman" w:eastAsia="Times New Roman" w:hAnsi="Times New Roman" w:cs="Times New Roman"/>
          <w:color w:val="000000" w:themeColor="text1"/>
          <w:sz w:val="26"/>
          <w:szCs w:val="26"/>
        </w:rPr>
        <w:t xml:space="preserve">, A.25-05-011 (Oct. 24, 2025); see also </w:t>
      </w:r>
      <w:r w:rsidR="2E5CEFEF" w:rsidRPr="2E5CEFEF">
        <w:rPr>
          <w:rFonts w:ascii="Times New Roman" w:eastAsia="Times New Roman" w:hAnsi="Times New Roman" w:cs="Times New Roman"/>
          <w:i/>
          <w:iCs/>
          <w:color w:val="000000" w:themeColor="text1"/>
          <w:sz w:val="26"/>
          <w:szCs w:val="26"/>
        </w:rPr>
        <w:t>Decision Refining the Method to Develop and True up Market Price Benchmarks</w:t>
      </w:r>
      <w:r w:rsidR="2E5CEFEF" w:rsidRPr="2E5CEFEF">
        <w:rPr>
          <w:rFonts w:ascii="Times New Roman" w:eastAsia="Times New Roman" w:hAnsi="Times New Roman" w:cs="Times New Roman"/>
          <w:color w:val="000000" w:themeColor="text1"/>
          <w:sz w:val="26"/>
          <w:szCs w:val="26"/>
        </w:rPr>
        <w:t xml:space="preserve"> (2019) [D.19-10-001], at p. 7).)  </w:t>
      </w:r>
    </w:p>
  </w:footnote>
  <w:footnote w:id="3">
    <w:p w14:paraId="3CD1DDC0" w14:textId="6C118709" w:rsidR="00C77710" w:rsidRDefault="00C77710">
      <w:pPr>
        <w:pStyle w:val="FootnoteText"/>
      </w:pPr>
      <w:r w:rsidRPr="00C77710">
        <w:rPr>
          <w:rStyle w:val="FootnoteReference"/>
          <w:rFonts w:ascii="Times New Roman" w:hAnsi="Times New Roman" w:cs="Times New Roman"/>
          <w:b/>
          <w:bCs/>
          <w:sz w:val="26"/>
          <w:szCs w:val="26"/>
          <w:u w:val="single"/>
        </w:rPr>
        <w:footnoteRef/>
      </w:r>
      <w:r w:rsidRPr="00C77710">
        <w:rPr>
          <w:rFonts w:ascii="Times New Roman" w:hAnsi="Times New Roman" w:cs="Times New Roman"/>
          <w:b/>
          <w:bCs/>
          <w:sz w:val="26"/>
          <w:szCs w:val="26"/>
          <w:vertAlign w:val="superscript"/>
        </w:rPr>
        <w:t xml:space="preserve"> </w:t>
      </w:r>
      <w:r w:rsidRPr="00162839">
        <w:rPr>
          <w:rFonts w:ascii="Times New Roman" w:eastAsia="Times New Roman" w:hAnsi="Times New Roman" w:cs="Times New Roman"/>
          <w:color w:val="000000" w:themeColor="text1"/>
          <w:sz w:val="26"/>
          <w:szCs w:val="26"/>
        </w:rPr>
        <w:t>All subsequent section references are to the Public Utilities Code, unless otherwise specified.</w:t>
      </w:r>
    </w:p>
  </w:footnote>
  <w:footnote w:id="4">
    <w:p w14:paraId="032FB110" w14:textId="780D0436" w:rsidR="4F02113D" w:rsidRDefault="4F02113D" w:rsidP="00BB56A3">
      <w:pPr>
        <w:pStyle w:val="FootnoteText"/>
      </w:pPr>
      <w:r w:rsidRPr="00BB56A3">
        <w:rPr>
          <w:rStyle w:val="FootnoteReference"/>
          <w:rFonts w:ascii="Times New Roman" w:hAnsi="Times New Roman" w:cs="Times New Roman"/>
          <w:b/>
          <w:bCs/>
          <w:sz w:val="26"/>
          <w:szCs w:val="26"/>
          <w:u w:val="single"/>
        </w:rPr>
        <w:footnoteRef/>
      </w:r>
      <w:r w:rsidRPr="00BB56A3">
        <w:rPr>
          <w:rFonts w:ascii="Times New Roman" w:hAnsi="Times New Roman" w:cs="Times New Roman"/>
          <w:b/>
          <w:bCs/>
          <w:sz w:val="26"/>
          <w:szCs w:val="26"/>
          <w:vertAlign w:val="superscript"/>
        </w:rPr>
        <w:t xml:space="preserve"> </w:t>
      </w:r>
      <w:r w:rsidRPr="4F02113D">
        <w:rPr>
          <w:rFonts w:ascii="Times New Roman" w:eastAsia="Times New Roman" w:hAnsi="Times New Roman" w:cs="Times New Roman"/>
          <w:sz w:val="26"/>
          <w:szCs w:val="26"/>
        </w:rPr>
        <w:t xml:space="preserve">Unless otherwise noted, all references to a Rule are to the Commission’s Rules of Practice and Procedure.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B5A6" w14:textId="793A9006" w:rsidR="005B60FA" w:rsidRDefault="005A5D04" w:rsidP="005B60FA">
    <w:pPr>
      <w:pStyle w:val="Header"/>
    </w:pPr>
    <w:r>
      <w:rPr>
        <w:rFonts w:ascii="Times New Roman" w:hAnsi="Times New Roman" w:cs="Times New Roman"/>
        <w:sz w:val="26"/>
        <w:szCs w:val="26"/>
      </w:rPr>
      <w:t>A.25-05-011 et al</w:t>
    </w:r>
    <w:r w:rsidR="005B60FA">
      <w:rPr>
        <w:rFonts w:ascii="Times New Roman" w:hAnsi="Times New Roman" w:cs="Times New Roman"/>
        <w:sz w:val="26"/>
        <w:szCs w:val="26"/>
      </w:rPr>
      <w:tab/>
      <w:t>L/</w:t>
    </w:r>
    <w:proofErr w:type="spellStart"/>
    <w:r w:rsidR="005B60FA">
      <w:rPr>
        <w:rFonts w:ascii="Times New Roman" w:hAnsi="Times New Roman" w:cs="Times New Roman"/>
        <w:sz w:val="26"/>
        <w:szCs w:val="26"/>
      </w:rPr>
      <w:t>tby</w:t>
    </w:r>
    <w:proofErr w:type="spellEnd"/>
  </w:p>
  <w:p w14:paraId="2029CA3D" w14:textId="77777777" w:rsidR="005B60FA" w:rsidRDefault="005B6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C771" w14:textId="77777777" w:rsidR="001123DA" w:rsidRDefault="001123DA" w:rsidP="001123DA">
    <w:pPr>
      <w:tabs>
        <w:tab w:val="left" w:pos="3446"/>
        <w:tab w:val="left" w:pos="3634"/>
        <w:tab w:val="right" w:pos="9360"/>
      </w:tabs>
      <w:rPr>
        <w:rFonts w:ascii="Times New Roman" w:hAnsi="Times New Roman" w:cs="Times New Roman"/>
        <w:sz w:val="26"/>
        <w:szCs w:val="26"/>
      </w:rPr>
    </w:pPr>
    <w:r w:rsidRPr="0005245B">
      <w:rPr>
        <w:rFonts w:ascii="Times New Roman" w:hAnsi="Times New Roman" w:cs="Times New Roman"/>
        <w:sz w:val="26"/>
        <w:szCs w:val="26"/>
      </w:rPr>
      <w:t>L/</w:t>
    </w:r>
    <w:proofErr w:type="spellStart"/>
    <w:r w:rsidRPr="0005245B">
      <w:rPr>
        <w:rFonts w:ascii="Times New Roman" w:hAnsi="Times New Roman" w:cs="Times New Roman"/>
        <w:sz w:val="26"/>
        <w:szCs w:val="26"/>
      </w:rPr>
      <w:t>tby</w:t>
    </w:r>
    <w:proofErr w:type="spellEnd"/>
    <w:r w:rsidRPr="0005245B">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Date of Issuance</w:t>
    </w:r>
  </w:p>
  <w:p w14:paraId="058A00C9" w14:textId="77777777" w:rsidR="001123DA" w:rsidRPr="0005245B" w:rsidRDefault="001123DA" w:rsidP="001123DA">
    <w:pPr>
      <w:tabs>
        <w:tab w:val="left" w:pos="3446"/>
        <w:tab w:val="left" w:pos="3634"/>
        <w:tab w:val="right" w:pos="9360"/>
      </w:tabs>
      <w:jc w:val="right"/>
      <w:rPr>
        <w:rFonts w:ascii="Times New Roman" w:hAnsi="Times New Roman" w:cs="Times New Roman"/>
        <w:sz w:val="26"/>
        <w:szCs w:val="26"/>
      </w:rPr>
    </w:pPr>
    <w:r>
      <w:rPr>
        <w:rFonts w:ascii="Times New Roman" w:hAnsi="Times New Roman" w:cs="Times New Roman"/>
        <w:sz w:val="26"/>
        <w:szCs w:val="26"/>
      </w:rPr>
      <w:t>October 9, 2026</w:t>
    </w:r>
  </w:p>
</w:hdr>
</file>

<file path=word/intelligence2.xml><?xml version="1.0" encoding="utf-8"?>
<int2:intelligence xmlns:int2="http://schemas.microsoft.com/office/intelligence/2020/intelligence" xmlns:oel="http://schemas.microsoft.com/office/2019/extlst">
  <int2:observations>
    <int2:textHash int2:hashCode="7Wj7OlkRTerc4G" int2:id="AFYHOFO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DFE"/>
    <w:multiLevelType w:val="hybridMultilevel"/>
    <w:tmpl w:val="0B227298"/>
    <w:lvl w:ilvl="0" w:tplc="2F3C7C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D490F"/>
    <w:multiLevelType w:val="hybridMultilevel"/>
    <w:tmpl w:val="8216F192"/>
    <w:lvl w:ilvl="0" w:tplc="DA1A93E0">
      <w:start w:val="1"/>
      <w:numFmt w:val="low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87D650D"/>
    <w:multiLevelType w:val="multilevel"/>
    <w:tmpl w:val="EC10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3523D"/>
    <w:multiLevelType w:val="hybridMultilevel"/>
    <w:tmpl w:val="40D4900A"/>
    <w:lvl w:ilvl="0" w:tplc="5444150E">
      <w:start w:val="1"/>
      <w:numFmt w:val="upperLetter"/>
      <w:lvlText w:val="%1."/>
      <w:lvlJc w:val="left"/>
      <w:pPr>
        <w:ind w:left="720" w:hanging="360"/>
      </w:pPr>
      <w:rPr>
        <w:rFonts w:hint="default"/>
        <w:color w:val="000000" w:themeColor="text1"/>
      </w:rPr>
    </w:lvl>
    <w:lvl w:ilvl="1" w:tplc="27265534">
      <w:start w:val="1"/>
      <w:numFmt w:val="decimal"/>
      <w:lvlText w:val="%2."/>
      <w:lvlJc w:val="left"/>
      <w:pPr>
        <w:ind w:left="1440" w:hanging="360"/>
      </w:pPr>
      <w:rPr>
        <w:rFonts w:ascii="Times New Roman" w:eastAsia="Times New Roman" w:hAnsi="Times New Roman" w:cs="Times New Roman"/>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B3B73"/>
    <w:multiLevelType w:val="multilevel"/>
    <w:tmpl w:val="F7D8DED0"/>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39D2820"/>
    <w:multiLevelType w:val="multilevel"/>
    <w:tmpl w:val="0CC2EA9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3DF79D4"/>
    <w:multiLevelType w:val="multilevel"/>
    <w:tmpl w:val="B22A7D24"/>
    <w:lvl w:ilvl="0">
      <w:start w:val="3"/>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5533B67"/>
    <w:multiLevelType w:val="multilevel"/>
    <w:tmpl w:val="58A2AC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FEB1D2"/>
    <w:multiLevelType w:val="hybridMultilevel"/>
    <w:tmpl w:val="258A8D30"/>
    <w:lvl w:ilvl="0" w:tplc="EDA099CC">
      <w:start w:val="1"/>
      <w:numFmt w:val="decimal"/>
      <w:lvlText w:val="%1."/>
      <w:lvlJc w:val="left"/>
      <w:pPr>
        <w:ind w:left="920" w:hanging="360"/>
      </w:pPr>
      <w:rPr>
        <w:rFonts w:ascii="Times New Roman" w:hAnsi="Times New Roman" w:cs="Times New Roman" w:hint="default"/>
        <w:sz w:val="26"/>
        <w:szCs w:val="26"/>
      </w:rPr>
    </w:lvl>
    <w:lvl w:ilvl="1" w:tplc="ED3A5DD4">
      <w:start w:val="1"/>
      <w:numFmt w:val="lowerLetter"/>
      <w:lvlText w:val="%2."/>
      <w:lvlJc w:val="left"/>
      <w:pPr>
        <w:ind w:left="1640" w:hanging="360"/>
      </w:pPr>
    </w:lvl>
    <w:lvl w:ilvl="2" w:tplc="2708B06C">
      <w:start w:val="1"/>
      <w:numFmt w:val="lowerRoman"/>
      <w:lvlText w:val="%3."/>
      <w:lvlJc w:val="right"/>
      <w:pPr>
        <w:ind w:left="2360" w:hanging="180"/>
      </w:pPr>
    </w:lvl>
    <w:lvl w:ilvl="3" w:tplc="AD52974E">
      <w:start w:val="1"/>
      <w:numFmt w:val="decimal"/>
      <w:lvlText w:val="%4."/>
      <w:lvlJc w:val="left"/>
      <w:pPr>
        <w:ind w:left="3080" w:hanging="360"/>
      </w:pPr>
    </w:lvl>
    <w:lvl w:ilvl="4" w:tplc="FEC45878">
      <w:start w:val="1"/>
      <w:numFmt w:val="lowerLetter"/>
      <w:lvlText w:val="%5."/>
      <w:lvlJc w:val="left"/>
      <w:pPr>
        <w:ind w:left="3800" w:hanging="360"/>
      </w:pPr>
    </w:lvl>
    <w:lvl w:ilvl="5" w:tplc="885A8912">
      <w:start w:val="1"/>
      <w:numFmt w:val="lowerRoman"/>
      <w:lvlText w:val="%6."/>
      <w:lvlJc w:val="right"/>
      <w:pPr>
        <w:ind w:left="4520" w:hanging="180"/>
      </w:pPr>
    </w:lvl>
    <w:lvl w:ilvl="6" w:tplc="0B74E064">
      <w:start w:val="1"/>
      <w:numFmt w:val="decimal"/>
      <w:lvlText w:val="%7."/>
      <w:lvlJc w:val="left"/>
      <w:pPr>
        <w:ind w:left="5240" w:hanging="360"/>
      </w:pPr>
    </w:lvl>
    <w:lvl w:ilvl="7" w:tplc="EFAC4DDE">
      <w:start w:val="1"/>
      <w:numFmt w:val="lowerLetter"/>
      <w:lvlText w:val="%8."/>
      <w:lvlJc w:val="left"/>
      <w:pPr>
        <w:ind w:left="5960" w:hanging="360"/>
      </w:pPr>
    </w:lvl>
    <w:lvl w:ilvl="8" w:tplc="AEAEF626">
      <w:start w:val="1"/>
      <w:numFmt w:val="lowerRoman"/>
      <w:lvlText w:val="%9."/>
      <w:lvlJc w:val="right"/>
      <w:pPr>
        <w:ind w:left="6680" w:hanging="180"/>
      </w:pPr>
    </w:lvl>
  </w:abstractNum>
  <w:abstractNum w:abstractNumId="9" w15:restartNumberingAfterBreak="0">
    <w:nsid w:val="1A695AF4"/>
    <w:multiLevelType w:val="hybridMultilevel"/>
    <w:tmpl w:val="3B78CEB4"/>
    <w:lvl w:ilvl="0" w:tplc="67C8FAD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DE067D"/>
    <w:multiLevelType w:val="hybridMultilevel"/>
    <w:tmpl w:val="911A1D2C"/>
    <w:lvl w:ilvl="0" w:tplc="89109B0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4A4C68"/>
    <w:multiLevelType w:val="multilevel"/>
    <w:tmpl w:val="EAD6B5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591DA9"/>
    <w:multiLevelType w:val="hybridMultilevel"/>
    <w:tmpl w:val="2E561272"/>
    <w:lvl w:ilvl="0" w:tplc="BC22E90C">
      <w:start w:val="1"/>
      <w:numFmt w:val="upp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7B4BF7"/>
    <w:multiLevelType w:val="multilevel"/>
    <w:tmpl w:val="20221A40"/>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7471B7F"/>
    <w:multiLevelType w:val="multilevel"/>
    <w:tmpl w:val="F6E2E1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CF4B10"/>
    <w:multiLevelType w:val="multilevel"/>
    <w:tmpl w:val="F28447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72852"/>
    <w:multiLevelType w:val="multilevel"/>
    <w:tmpl w:val="7C1CA19E"/>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30B01BB8"/>
    <w:multiLevelType w:val="hybridMultilevel"/>
    <w:tmpl w:val="1068DDA6"/>
    <w:lvl w:ilvl="0" w:tplc="AD9CF044">
      <w:start w:val="5"/>
      <w:numFmt w:val="upperLetter"/>
      <w:lvlText w:val="%1."/>
      <w:lvlJc w:val="left"/>
      <w:pPr>
        <w:ind w:left="1280" w:hanging="360"/>
      </w:pPr>
      <w:rPr>
        <w:rFonts w:hint="default"/>
        <w:b/>
        <w:bCs/>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8" w15:restartNumberingAfterBreak="0">
    <w:nsid w:val="30C413E8"/>
    <w:multiLevelType w:val="multilevel"/>
    <w:tmpl w:val="B2D0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E82806"/>
    <w:multiLevelType w:val="hybridMultilevel"/>
    <w:tmpl w:val="E410FD10"/>
    <w:lvl w:ilvl="0" w:tplc="B5981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0D033A"/>
    <w:multiLevelType w:val="hybridMultilevel"/>
    <w:tmpl w:val="77020282"/>
    <w:lvl w:ilvl="0" w:tplc="FFFFFFFF">
      <w:start w:val="1"/>
      <w:numFmt w:val="upperRoman"/>
      <w:lvlText w:val="%1."/>
      <w:lvlJc w:val="left"/>
      <w:pPr>
        <w:ind w:left="1080" w:hanging="720"/>
      </w:pPr>
      <w:rPr>
        <w:rFonts w:ascii="TimesNewRomanPS" w:hAnsi="TimesNewRomanPS" w:hint="default"/>
        <w:b/>
      </w:rPr>
    </w:lvl>
    <w:lvl w:ilvl="1" w:tplc="FFFFFFFF">
      <w:start w:val="1"/>
      <w:numFmt w:val="lowerLetter"/>
      <w:lvlText w:val="%2."/>
      <w:lvlJc w:val="left"/>
      <w:pPr>
        <w:ind w:left="1440" w:hanging="360"/>
      </w:pPr>
      <w:rPr>
        <w:rFonts w:ascii="Times New Roman" w:hAnsi="Times New Roman" w:cs="Times New Roman" w:hint="default"/>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3874E0"/>
    <w:multiLevelType w:val="multilevel"/>
    <w:tmpl w:val="305823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9562E0"/>
    <w:multiLevelType w:val="hybridMultilevel"/>
    <w:tmpl w:val="77020282"/>
    <w:lvl w:ilvl="0" w:tplc="FC141138">
      <w:start w:val="1"/>
      <w:numFmt w:val="upperRoman"/>
      <w:lvlText w:val="%1."/>
      <w:lvlJc w:val="left"/>
      <w:pPr>
        <w:ind w:left="1080" w:hanging="720"/>
      </w:pPr>
      <w:rPr>
        <w:rFonts w:ascii="TimesNewRomanPS" w:hAnsi="TimesNewRomanPS" w:hint="default"/>
        <w:b/>
      </w:rPr>
    </w:lvl>
    <w:lvl w:ilvl="1" w:tplc="907C7F0A">
      <w:start w:val="1"/>
      <w:numFmt w:val="lowerLetter"/>
      <w:lvlText w:val="%2."/>
      <w:lvlJc w:val="left"/>
      <w:pPr>
        <w:ind w:left="1440" w:hanging="360"/>
      </w:pPr>
      <w:rPr>
        <w:rFonts w:ascii="Times New Roman" w:hAnsi="Times New Roman" w:cs="Times New Roman"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B0923"/>
    <w:multiLevelType w:val="multilevel"/>
    <w:tmpl w:val="8E2E2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6F4AEB"/>
    <w:multiLevelType w:val="hybridMultilevel"/>
    <w:tmpl w:val="5A946EF2"/>
    <w:lvl w:ilvl="0" w:tplc="34F88B1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A64F4F"/>
    <w:multiLevelType w:val="multilevel"/>
    <w:tmpl w:val="B54811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A704DB"/>
    <w:multiLevelType w:val="hybridMultilevel"/>
    <w:tmpl w:val="710C7732"/>
    <w:lvl w:ilvl="0" w:tplc="2916A7FE">
      <w:start w:val="1"/>
      <w:numFmt w:val="upperRoman"/>
      <w:lvlText w:val="%1."/>
      <w:lvlJc w:val="left"/>
      <w:pPr>
        <w:ind w:left="1080" w:hanging="720"/>
      </w:pPr>
      <w:rPr>
        <w:rFonts w:hint="default"/>
        <w:b/>
        <w:bCs w:val="0"/>
      </w:rPr>
    </w:lvl>
    <w:lvl w:ilvl="1" w:tplc="301AA958">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190840"/>
    <w:multiLevelType w:val="multilevel"/>
    <w:tmpl w:val="42DE987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49923BEB"/>
    <w:multiLevelType w:val="multilevel"/>
    <w:tmpl w:val="B462B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0235E1"/>
    <w:multiLevelType w:val="hybridMultilevel"/>
    <w:tmpl w:val="57CCC5F4"/>
    <w:lvl w:ilvl="0" w:tplc="BC22E90C">
      <w:start w:val="1"/>
      <w:numFmt w:val="upp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F4760F"/>
    <w:multiLevelType w:val="multilevel"/>
    <w:tmpl w:val="BB6CD0F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4DEB7D31"/>
    <w:multiLevelType w:val="multilevel"/>
    <w:tmpl w:val="04E645B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4E1F3E77"/>
    <w:multiLevelType w:val="multilevel"/>
    <w:tmpl w:val="40DA6B0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4ECA6E6A"/>
    <w:multiLevelType w:val="multilevel"/>
    <w:tmpl w:val="8CDC4F90"/>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4" w15:restartNumberingAfterBreak="0">
    <w:nsid w:val="59653D51"/>
    <w:multiLevelType w:val="multilevel"/>
    <w:tmpl w:val="0A7EEBC6"/>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5F266D8E"/>
    <w:multiLevelType w:val="multilevel"/>
    <w:tmpl w:val="7F6E0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F60DEC"/>
    <w:multiLevelType w:val="multilevel"/>
    <w:tmpl w:val="61987838"/>
    <w:lvl w:ilvl="0">
      <w:start w:val="5"/>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6539150D"/>
    <w:multiLevelType w:val="multilevel"/>
    <w:tmpl w:val="74FC5834"/>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68054B2B"/>
    <w:multiLevelType w:val="multilevel"/>
    <w:tmpl w:val="0E565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3D28D3"/>
    <w:multiLevelType w:val="hybridMultilevel"/>
    <w:tmpl w:val="456CCF7C"/>
    <w:lvl w:ilvl="0" w:tplc="9AD460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C90208"/>
    <w:multiLevelType w:val="hybridMultilevel"/>
    <w:tmpl w:val="D1D214EC"/>
    <w:lvl w:ilvl="0" w:tplc="2182EC12">
      <w:start w:val="1"/>
      <w:numFmt w:val="upperLetter"/>
      <w:lvlText w:val="%1."/>
      <w:lvlJc w:val="left"/>
      <w:pPr>
        <w:ind w:left="720" w:hanging="360"/>
      </w:pPr>
      <w:rPr>
        <w:rFonts w:hint="default"/>
      </w:rPr>
    </w:lvl>
    <w:lvl w:ilvl="1" w:tplc="181EA35C">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5F56C2"/>
    <w:multiLevelType w:val="multilevel"/>
    <w:tmpl w:val="55224B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C14135"/>
    <w:multiLevelType w:val="multilevel"/>
    <w:tmpl w:val="889070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5730BF"/>
    <w:multiLevelType w:val="multilevel"/>
    <w:tmpl w:val="75583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EA2D7D"/>
    <w:multiLevelType w:val="hybridMultilevel"/>
    <w:tmpl w:val="D996F402"/>
    <w:lvl w:ilvl="0" w:tplc="6B4007AE">
      <w:start w:val="1"/>
      <w:numFmt w:val="decimal"/>
      <w:lvlText w:val="%1."/>
      <w:lvlJc w:val="left"/>
      <w:pPr>
        <w:ind w:left="252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5" w15:restartNumberingAfterBreak="0">
    <w:nsid w:val="7B27568B"/>
    <w:multiLevelType w:val="multilevel"/>
    <w:tmpl w:val="D6A4F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2470962">
    <w:abstractNumId w:val="8"/>
  </w:num>
  <w:num w:numId="2" w16cid:durableId="655455664">
    <w:abstractNumId w:val="16"/>
  </w:num>
  <w:num w:numId="3" w16cid:durableId="10961781">
    <w:abstractNumId w:val="3"/>
  </w:num>
  <w:num w:numId="4" w16cid:durableId="1295407794">
    <w:abstractNumId w:val="26"/>
  </w:num>
  <w:num w:numId="5" w16cid:durableId="2027752909">
    <w:abstractNumId w:val="10"/>
  </w:num>
  <w:num w:numId="6" w16cid:durableId="1439251064">
    <w:abstractNumId w:val="44"/>
  </w:num>
  <w:num w:numId="7" w16cid:durableId="1780251840">
    <w:abstractNumId w:val="44"/>
    <w:lvlOverride w:ilvl="0">
      <w:startOverride w:val="1"/>
    </w:lvlOverride>
  </w:num>
  <w:num w:numId="8" w16cid:durableId="598221932">
    <w:abstractNumId w:val="44"/>
    <w:lvlOverride w:ilvl="0">
      <w:startOverride w:val="1"/>
    </w:lvlOverride>
  </w:num>
  <w:num w:numId="9" w16cid:durableId="1447113353">
    <w:abstractNumId w:val="40"/>
  </w:num>
  <w:num w:numId="10" w16cid:durableId="1573271977">
    <w:abstractNumId w:val="19"/>
  </w:num>
  <w:num w:numId="11" w16cid:durableId="1843664819">
    <w:abstractNumId w:val="1"/>
  </w:num>
  <w:num w:numId="12" w16cid:durableId="750664259">
    <w:abstractNumId w:val="39"/>
  </w:num>
  <w:num w:numId="13" w16cid:durableId="2061586460">
    <w:abstractNumId w:val="0"/>
  </w:num>
  <w:num w:numId="14" w16cid:durableId="1420827694">
    <w:abstractNumId w:val="31"/>
  </w:num>
  <w:num w:numId="15" w16cid:durableId="1853103820">
    <w:abstractNumId w:val="28"/>
  </w:num>
  <w:num w:numId="16" w16cid:durableId="735856379">
    <w:abstractNumId w:val="23"/>
  </w:num>
  <w:num w:numId="17" w16cid:durableId="1936548614">
    <w:abstractNumId w:val="35"/>
  </w:num>
  <w:num w:numId="18" w16cid:durableId="576087181">
    <w:abstractNumId w:val="14"/>
  </w:num>
  <w:num w:numId="19" w16cid:durableId="852763253">
    <w:abstractNumId w:val="25"/>
  </w:num>
  <w:num w:numId="20" w16cid:durableId="433093584">
    <w:abstractNumId w:val="2"/>
  </w:num>
  <w:num w:numId="21" w16cid:durableId="1810396403">
    <w:abstractNumId w:val="11"/>
  </w:num>
  <w:num w:numId="22" w16cid:durableId="7294401">
    <w:abstractNumId w:val="38"/>
  </w:num>
  <w:num w:numId="23" w16cid:durableId="1354646701">
    <w:abstractNumId w:val="15"/>
  </w:num>
  <w:num w:numId="24" w16cid:durableId="1540969174">
    <w:abstractNumId w:val="43"/>
  </w:num>
  <w:num w:numId="25" w16cid:durableId="1289624630">
    <w:abstractNumId w:val="21"/>
  </w:num>
  <w:num w:numId="26" w16cid:durableId="1714961625">
    <w:abstractNumId w:val="41"/>
  </w:num>
  <w:num w:numId="27" w16cid:durableId="2108455127">
    <w:abstractNumId w:val="5"/>
  </w:num>
  <w:num w:numId="28" w16cid:durableId="1286735941">
    <w:abstractNumId w:val="6"/>
  </w:num>
  <w:num w:numId="29" w16cid:durableId="301421300">
    <w:abstractNumId w:val="37"/>
  </w:num>
  <w:num w:numId="30" w16cid:durableId="782310678">
    <w:abstractNumId w:val="13"/>
  </w:num>
  <w:num w:numId="31" w16cid:durableId="1066493399">
    <w:abstractNumId w:val="4"/>
  </w:num>
  <w:num w:numId="32" w16cid:durableId="669677975">
    <w:abstractNumId w:val="18"/>
  </w:num>
  <w:num w:numId="33" w16cid:durableId="1257708561">
    <w:abstractNumId w:val="42"/>
  </w:num>
  <w:num w:numId="34" w16cid:durableId="1910798889">
    <w:abstractNumId w:val="45"/>
  </w:num>
  <w:num w:numId="35" w16cid:durableId="1184980502">
    <w:abstractNumId w:val="32"/>
  </w:num>
  <w:num w:numId="36" w16cid:durableId="953556818">
    <w:abstractNumId w:val="27"/>
  </w:num>
  <w:num w:numId="37" w16cid:durableId="2137093857">
    <w:abstractNumId w:val="30"/>
  </w:num>
  <w:num w:numId="38" w16cid:durableId="950163473">
    <w:abstractNumId w:val="36"/>
  </w:num>
  <w:num w:numId="39" w16cid:durableId="1385329485">
    <w:abstractNumId w:val="34"/>
  </w:num>
  <w:num w:numId="40" w16cid:durableId="60061554">
    <w:abstractNumId w:val="12"/>
  </w:num>
  <w:num w:numId="41" w16cid:durableId="255674252">
    <w:abstractNumId w:val="22"/>
  </w:num>
  <w:num w:numId="42" w16cid:durableId="1617785762">
    <w:abstractNumId w:val="7"/>
  </w:num>
  <w:num w:numId="43" w16cid:durableId="1911964902">
    <w:abstractNumId w:val="20"/>
  </w:num>
  <w:num w:numId="44" w16cid:durableId="1926835467">
    <w:abstractNumId w:val="29"/>
  </w:num>
  <w:num w:numId="45" w16cid:durableId="1485703302">
    <w:abstractNumId w:val="40"/>
    <w:lvlOverride w:ilvl="0">
      <w:startOverride w:val="4"/>
    </w:lvlOverride>
  </w:num>
  <w:num w:numId="46" w16cid:durableId="366487310">
    <w:abstractNumId w:val="26"/>
    <w:lvlOverride w:ilvl="0">
      <w:startOverride w:val="500"/>
    </w:lvlOverride>
  </w:num>
  <w:num w:numId="47" w16cid:durableId="1265772931">
    <w:abstractNumId w:val="17"/>
  </w:num>
  <w:num w:numId="48" w16cid:durableId="2125541297">
    <w:abstractNumId w:val="24"/>
  </w:num>
  <w:num w:numId="49" w16cid:durableId="1892767193">
    <w:abstractNumId w:val="9"/>
  </w:num>
  <w:num w:numId="50" w16cid:durableId="572398989">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4C"/>
    <w:rsid w:val="000004BF"/>
    <w:rsid w:val="0000143A"/>
    <w:rsid w:val="000059DE"/>
    <w:rsid w:val="000062F3"/>
    <w:rsid w:val="000066D0"/>
    <w:rsid w:val="0000761F"/>
    <w:rsid w:val="00011365"/>
    <w:rsid w:val="00015606"/>
    <w:rsid w:val="000159D0"/>
    <w:rsid w:val="00017CC7"/>
    <w:rsid w:val="0002213D"/>
    <w:rsid w:val="00022B6D"/>
    <w:rsid w:val="00030C1D"/>
    <w:rsid w:val="000310B4"/>
    <w:rsid w:val="000319B2"/>
    <w:rsid w:val="00031EBA"/>
    <w:rsid w:val="000328A9"/>
    <w:rsid w:val="000352F9"/>
    <w:rsid w:val="0004647F"/>
    <w:rsid w:val="00047C06"/>
    <w:rsid w:val="00047FAD"/>
    <w:rsid w:val="00050521"/>
    <w:rsid w:val="00050601"/>
    <w:rsid w:val="000522AA"/>
    <w:rsid w:val="00052356"/>
    <w:rsid w:val="0005245B"/>
    <w:rsid w:val="00052AF8"/>
    <w:rsid w:val="000545AA"/>
    <w:rsid w:val="00055A91"/>
    <w:rsid w:val="00057707"/>
    <w:rsid w:val="00057F2C"/>
    <w:rsid w:val="0006023A"/>
    <w:rsid w:val="000630F1"/>
    <w:rsid w:val="00063766"/>
    <w:rsid w:val="0006553C"/>
    <w:rsid w:val="000657CF"/>
    <w:rsid w:val="00070103"/>
    <w:rsid w:val="00071242"/>
    <w:rsid w:val="000715B8"/>
    <w:rsid w:val="00074188"/>
    <w:rsid w:val="00074505"/>
    <w:rsid w:val="0007470C"/>
    <w:rsid w:val="00074FA1"/>
    <w:rsid w:val="00075A18"/>
    <w:rsid w:val="00075D7B"/>
    <w:rsid w:val="00076279"/>
    <w:rsid w:val="00076628"/>
    <w:rsid w:val="000812EB"/>
    <w:rsid w:val="00084E00"/>
    <w:rsid w:val="00085ABA"/>
    <w:rsid w:val="0009007E"/>
    <w:rsid w:val="0009021E"/>
    <w:rsid w:val="000929D9"/>
    <w:rsid w:val="00093BFB"/>
    <w:rsid w:val="00094EA5"/>
    <w:rsid w:val="000A101E"/>
    <w:rsid w:val="000A107A"/>
    <w:rsid w:val="000A1804"/>
    <w:rsid w:val="000A2A09"/>
    <w:rsid w:val="000A3F27"/>
    <w:rsid w:val="000B4752"/>
    <w:rsid w:val="000B53B0"/>
    <w:rsid w:val="000B6506"/>
    <w:rsid w:val="000C1412"/>
    <w:rsid w:val="000C32BD"/>
    <w:rsid w:val="000C3E2C"/>
    <w:rsid w:val="000C5684"/>
    <w:rsid w:val="000C5829"/>
    <w:rsid w:val="000C703E"/>
    <w:rsid w:val="000D0499"/>
    <w:rsid w:val="000D12DC"/>
    <w:rsid w:val="000D1807"/>
    <w:rsid w:val="000D1A50"/>
    <w:rsid w:val="000D4305"/>
    <w:rsid w:val="000D5D88"/>
    <w:rsid w:val="000D6412"/>
    <w:rsid w:val="000D6D08"/>
    <w:rsid w:val="000D7A8A"/>
    <w:rsid w:val="000D7EB2"/>
    <w:rsid w:val="000E3994"/>
    <w:rsid w:val="000E3C26"/>
    <w:rsid w:val="000E3E15"/>
    <w:rsid w:val="000E470C"/>
    <w:rsid w:val="000E5E5D"/>
    <w:rsid w:val="000E5EC8"/>
    <w:rsid w:val="000F0078"/>
    <w:rsid w:val="000F1A5A"/>
    <w:rsid w:val="000F2E5B"/>
    <w:rsid w:val="000F4A09"/>
    <w:rsid w:val="000F4D8C"/>
    <w:rsid w:val="00102A70"/>
    <w:rsid w:val="001033FF"/>
    <w:rsid w:val="00103D2C"/>
    <w:rsid w:val="00107A12"/>
    <w:rsid w:val="00107D4C"/>
    <w:rsid w:val="00107F81"/>
    <w:rsid w:val="0011103C"/>
    <w:rsid w:val="001123DA"/>
    <w:rsid w:val="00114B32"/>
    <w:rsid w:val="0011716E"/>
    <w:rsid w:val="00117293"/>
    <w:rsid w:val="001234C2"/>
    <w:rsid w:val="00123EEF"/>
    <w:rsid w:val="00125103"/>
    <w:rsid w:val="001257E0"/>
    <w:rsid w:val="00125B4B"/>
    <w:rsid w:val="001260F7"/>
    <w:rsid w:val="0012730C"/>
    <w:rsid w:val="00127512"/>
    <w:rsid w:val="001332DC"/>
    <w:rsid w:val="00134100"/>
    <w:rsid w:val="001346B1"/>
    <w:rsid w:val="00142A84"/>
    <w:rsid w:val="0014359C"/>
    <w:rsid w:val="0014402F"/>
    <w:rsid w:val="00144A89"/>
    <w:rsid w:val="00144D1E"/>
    <w:rsid w:val="00145E01"/>
    <w:rsid w:val="00146B9E"/>
    <w:rsid w:val="00147D6C"/>
    <w:rsid w:val="001545BF"/>
    <w:rsid w:val="001605BF"/>
    <w:rsid w:val="0016105E"/>
    <w:rsid w:val="00161106"/>
    <w:rsid w:val="0016212A"/>
    <w:rsid w:val="00166050"/>
    <w:rsid w:val="00167499"/>
    <w:rsid w:val="00167BD1"/>
    <w:rsid w:val="00170792"/>
    <w:rsid w:val="0017127C"/>
    <w:rsid w:val="00172106"/>
    <w:rsid w:val="00173B77"/>
    <w:rsid w:val="00177687"/>
    <w:rsid w:val="00180071"/>
    <w:rsid w:val="001859DE"/>
    <w:rsid w:val="001865DB"/>
    <w:rsid w:val="001877FB"/>
    <w:rsid w:val="001914F6"/>
    <w:rsid w:val="00193E9E"/>
    <w:rsid w:val="001941FD"/>
    <w:rsid w:val="00195005"/>
    <w:rsid w:val="00197590"/>
    <w:rsid w:val="001A14A1"/>
    <w:rsid w:val="001A7849"/>
    <w:rsid w:val="001B01AD"/>
    <w:rsid w:val="001B0AAC"/>
    <w:rsid w:val="001B2D34"/>
    <w:rsid w:val="001B44C4"/>
    <w:rsid w:val="001B45DD"/>
    <w:rsid w:val="001B5589"/>
    <w:rsid w:val="001B665B"/>
    <w:rsid w:val="001B75CA"/>
    <w:rsid w:val="001C048C"/>
    <w:rsid w:val="001C12EA"/>
    <w:rsid w:val="001C225F"/>
    <w:rsid w:val="001C59AE"/>
    <w:rsid w:val="001C5A07"/>
    <w:rsid w:val="001C78AE"/>
    <w:rsid w:val="001D079F"/>
    <w:rsid w:val="001D1591"/>
    <w:rsid w:val="001D2624"/>
    <w:rsid w:val="001D2EB5"/>
    <w:rsid w:val="001D2F49"/>
    <w:rsid w:val="001D3015"/>
    <w:rsid w:val="001D3EDB"/>
    <w:rsid w:val="001D4B0A"/>
    <w:rsid w:val="001D767A"/>
    <w:rsid w:val="001D7DB6"/>
    <w:rsid w:val="001E20D7"/>
    <w:rsid w:val="001E51B9"/>
    <w:rsid w:val="001E5438"/>
    <w:rsid w:val="001E6610"/>
    <w:rsid w:val="001E72AA"/>
    <w:rsid w:val="001F42FF"/>
    <w:rsid w:val="002010E1"/>
    <w:rsid w:val="00202EEC"/>
    <w:rsid w:val="00204E08"/>
    <w:rsid w:val="0020658D"/>
    <w:rsid w:val="002072E5"/>
    <w:rsid w:val="002078D0"/>
    <w:rsid w:val="00211766"/>
    <w:rsid w:val="00212ED5"/>
    <w:rsid w:val="002144E8"/>
    <w:rsid w:val="00216CCA"/>
    <w:rsid w:val="00217CDD"/>
    <w:rsid w:val="00221BCC"/>
    <w:rsid w:val="00224193"/>
    <w:rsid w:val="002241DA"/>
    <w:rsid w:val="00227B42"/>
    <w:rsid w:val="00231859"/>
    <w:rsid w:val="00231B8A"/>
    <w:rsid w:val="002321B3"/>
    <w:rsid w:val="00233E7A"/>
    <w:rsid w:val="00234F8D"/>
    <w:rsid w:val="0023526F"/>
    <w:rsid w:val="00235C2A"/>
    <w:rsid w:val="0023685D"/>
    <w:rsid w:val="00236AB9"/>
    <w:rsid w:val="00237400"/>
    <w:rsid w:val="00241BCF"/>
    <w:rsid w:val="00242118"/>
    <w:rsid w:val="00243273"/>
    <w:rsid w:val="002432B7"/>
    <w:rsid w:val="0024385F"/>
    <w:rsid w:val="0024398D"/>
    <w:rsid w:val="00243A2D"/>
    <w:rsid w:val="00243F0F"/>
    <w:rsid w:val="00244195"/>
    <w:rsid w:val="00246BBC"/>
    <w:rsid w:val="00247FB9"/>
    <w:rsid w:val="002500EC"/>
    <w:rsid w:val="00250973"/>
    <w:rsid w:val="00251A23"/>
    <w:rsid w:val="00252AAD"/>
    <w:rsid w:val="0025487F"/>
    <w:rsid w:val="002601AA"/>
    <w:rsid w:val="00260B3F"/>
    <w:rsid w:val="002624B8"/>
    <w:rsid w:val="00262870"/>
    <w:rsid w:val="00262B09"/>
    <w:rsid w:val="002636AD"/>
    <w:rsid w:val="00263C01"/>
    <w:rsid w:val="00265AA5"/>
    <w:rsid w:val="002667E8"/>
    <w:rsid w:val="00267B4B"/>
    <w:rsid w:val="00270B0D"/>
    <w:rsid w:val="00272EAC"/>
    <w:rsid w:val="00276555"/>
    <w:rsid w:val="002777EA"/>
    <w:rsid w:val="0027783B"/>
    <w:rsid w:val="00280B5D"/>
    <w:rsid w:val="002819A9"/>
    <w:rsid w:val="00285316"/>
    <w:rsid w:val="00287E63"/>
    <w:rsid w:val="002904CB"/>
    <w:rsid w:val="002927AD"/>
    <w:rsid w:val="002931DB"/>
    <w:rsid w:val="00294EF3"/>
    <w:rsid w:val="002956CF"/>
    <w:rsid w:val="00295B37"/>
    <w:rsid w:val="00297D30"/>
    <w:rsid w:val="002A0F01"/>
    <w:rsid w:val="002A1739"/>
    <w:rsid w:val="002A4692"/>
    <w:rsid w:val="002A4806"/>
    <w:rsid w:val="002A4996"/>
    <w:rsid w:val="002A594C"/>
    <w:rsid w:val="002A5E2F"/>
    <w:rsid w:val="002A7805"/>
    <w:rsid w:val="002B0261"/>
    <w:rsid w:val="002B0339"/>
    <w:rsid w:val="002B05F3"/>
    <w:rsid w:val="002B109F"/>
    <w:rsid w:val="002B276E"/>
    <w:rsid w:val="002B2A45"/>
    <w:rsid w:val="002B42EB"/>
    <w:rsid w:val="002B77B8"/>
    <w:rsid w:val="002B7EA3"/>
    <w:rsid w:val="002C0298"/>
    <w:rsid w:val="002C03D9"/>
    <w:rsid w:val="002C16B4"/>
    <w:rsid w:val="002C3C46"/>
    <w:rsid w:val="002C4161"/>
    <w:rsid w:val="002C6021"/>
    <w:rsid w:val="002C7C11"/>
    <w:rsid w:val="002D2692"/>
    <w:rsid w:val="002D349F"/>
    <w:rsid w:val="002D3B57"/>
    <w:rsid w:val="002D3C0B"/>
    <w:rsid w:val="002D617F"/>
    <w:rsid w:val="002D6C20"/>
    <w:rsid w:val="002E06DF"/>
    <w:rsid w:val="002E1143"/>
    <w:rsid w:val="002E3CCC"/>
    <w:rsid w:val="002E7288"/>
    <w:rsid w:val="002E7FCF"/>
    <w:rsid w:val="002F0BA9"/>
    <w:rsid w:val="002F2A38"/>
    <w:rsid w:val="002F4FD3"/>
    <w:rsid w:val="003015CC"/>
    <w:rsid w:val="00303FC8"/>
    <w:rsid w:val="00304D28"/>
    <w:rsid w:val="003064AB"/>
    <w:rsid w:val="00306C29"/>
    <w:rsid w:val="003101A5"/>
    <w:rsid w:val="00310D30"/>
    <w:rsid w:val="00312061"/>
    <w:rsid w:val="0032539C"/>
    <w:rsid w:val="00325A00"/>
    <w:rsid w:val="00327583"/>
    <w:rsid w:val="00330520"/>
    <w:rsid w:val="0033063D"/>
    <w:rsid w:val="0033180D"/>
    <w:rsid w:val="00331E74"/>
    <w:rsid w:val="0033366D"/>
    <w:rsid w:val="00335237"/>
    <w:rsid w:val="00336813"/>
    <w:rsid w:val="00336DBA"/>
    <w:rsid w:val="0034062D"/>
    <w:rsid w:val="00340BCD"/>
    <w:rsid w:val="00343011"/>
    <w:rsid w:val="0034385A"/>
    <w:rsid w:val="003470C6"/>
    <w:rsid w:val="00347349"/>
    <w:rsid w:val="00347AF9"/>
    <w:rsid w:val="00351AFD"/>
    <w:rsid w:val="00353FA5"/>
    <w:rsid w:val="0035433C"/>
    <w:rsid w:val="00355730"/>
    <w:rsid w:val="00355F50"/>
    <w:rsid w:val="00356A48"/>
    <w:rsid w:val="00356E5A"/>
    <w:rsid w:val="003604D1"/>
    <w:rsid w:val="003621CE"/>
    <w:rsid w:val="003633C8"/>
    <w:rsid w:val="00363AED"/>
    <w:rsid w:val="00372023"/>
    <w:rsid w:val="00372A73"/>
    <w:rsid w:val="00372D41"/>
    <w:rsid w:val="00373338"/>
    <w:rsid w:val="003738DB"/>
    <w:rsid w:val="003745FD"/>
    <w:rsid w:val="00376844"/>
    <w:rsid w:val="00380238"/>
    <w:rsid w:val="00381C85"/>
    <w:rsid w:val="00382051"/>
    <w:rsid w:val="00384957"/>
    <w:rsid w:val="003868D1"/>
    <w:rsid w:val="0039162A"/>
    <w:rsid w:val="00393B47"/>
    <w:rsid w:val="00396565"/>
    <w:rsid w:val="003977E4"/>
    <w:rsid w:val="003A12A3"/>
    <w:rsid w:val="003A5550"/>
    <w:rsid w:val="003A55AF"/>
    <w:rsid w:val="003A70D8"/>
    <w:rsid w:val="003B0FD6"/>
    <w:rsid w:val="003B1762"/>
    <w:rsid w:val="003B3F94"/>
    <w:rsid w:val="003B57CF"/>
    <w:rsid w:val="003B585D"/>
    <w:rsid w:val="003C085B"/>
    <w:rsid w:val="003C2EBF"/>
    <w:rsid w:val="003C49BE"/>
    <w:rsid w:val="003C4FBC"/>
    <w:rsid w:val="003C59C8"/>
    <w:rsid w:val="003C6362"/>
    <w:rsid w:val="003C6C31"/>
    <w:rsid w:val="003D1002"/>
    <w:rsid w:val="003D45FC"/>
    <w:rsid w:val="003D5707"/>
    <w:rsid w:val="003D76D8"/>
    <w:rsid w:val="003E03CC"/>
    <w:rsid w:val="003E0540"/>
    <w:rsid w:val="003E092C"/>
    <w:rsid w:val="003E1FC6"/>
    <w:rsid w:val="003E2277"/>
    <w:rsid w:val="003E4182"/>
    <w:rsid w:val="003E5751"/>
    <w:rsid w:val="003E7611"/>
    <w:rsid w:val="003F0284"/>
    <w:rsid w:val="003F1F6B"/>
    <w:rsid w:val="003F2557"/>
    <w:rsid w:val="003F47E9"/>
    <w:rsid w:val="003F4829"/>
    <w:rsid w:val="003F5C3B"/>
    <w:rsid w:val="003F6C12"/>
    <w:rsid w:val="0040029C"/>
    <w:rsid w:val="0040193C"/>
    <w:rsid w:val="004023CA"/>
    <w:rsid w:val="004032CF"/>
    <w:rsid w:val="00404517"/>
    <w:rsid w:val="0040622E"/>
    <w:rsid w:val="00407C35"/>
    <w:rsid w:val="004101DF"/>
    <w:rsid w:val="00411768"/>
    <w:rsid w:val="00412CCF"/>
    <w:rsid w:val="0041367D"/>
    <w:rsid w:val="00414CFC"/>
    <w:rsid w:val="00416F9F"/>
    <w:rsid w:val="0042090F"/>
    <w:rsid w:val="00420C6D"/>
    <w:rsid w:val="00421953"/>
    <w:rsid w:val="00421D71"/>
    <w:rsid w:val="00422D10"/>
    <w:rsid w:val="0042545B"/>
    <w:rsid w:val="004259CB"/>
    <w:rsid w:val="004279AD"/>
    <w:rsid w:val="00430193"/>
    <w:rsid w:val="004321CF"/>
    <w:rsid w:val="004328F6"/>
    <w:rsid w:val="00433D1C"/>
    <w:rsid w:val="00434D28"/>
    <w:rsid w:val="00434F76"/>
    <w:rsid w:val="00435B39"/>
    <w:rsid w:val="00436BE3"/>
    <w:rsid w:val="0044077B"/>
    <w:rsid w:val="004427C1"/>
    <w:rsid w:val="00443EB7"/>
    <w:rsid w:val="00444E7B"/>
    <w:rsid w:val="0044631C"/>
    <w:rsid w:val="0044644E"/>
    <w:rsid w:val="0045085B"/>
    <w:rsid w:val="00451422"/>
    <w:rsid w:val="00452575"/>
    <w:rsid w:val="004526BC"/>
    <w:rsid w:val="004544E2"/>
    <w:rsid w:val="004547AF"/>
    <w:rsid w:val="00455C97"/>
    <w:rsid w:val="0046319A"/>
    <w:rsid w:val="00463369"/>
    <w:rsid w:val="0046339A"/>
    <w:rsid w:val="00463407"/>
    <w:rsid w:val="004639DF"/>
    <w:rsid w:val="00463B50"/>
    <w:rsid w:val="004649B9"/>
    <w:rsid w:val="00464E15"/>
    <w:rsid w:val="00465346"/>
    <w:rsid w:val="00465A30"/>
    <w:rsid w:val="0046601A"/>
    <w:rsid w:val="00466745"/>
    <w:rsid w:val="0047128D"/>
    <w:rsid w:val="00471324"/>
    <w:rsid w:val="0047288E"/>
    <w:rsid w:val="00476518"/>
    <w:rsid w:val="00476DC5"/>
    <w:rsid w:val="00477C49"/>
    <w:rsid w:val="00481F95"/>
    <w:rsid w:val="00482A16"/>
    <w:rsid w:val="00483051"/>
    <w:rsid w:val="004867EB"/>
    <w:rsid w:val="00487969"/>
    <w:rsid w:val="004912E0"/>
    <w:rsid w:val="00492506"/>
    <w:rsid w:val="0049381B"/>
    <w:rsid w:val="00495DAC"/>
    <w:rsid w:val="0049749B"/>
    <w:rsid w:val="004A33F2"/>
    <w:rsid w:val="004A3928"/>
    <w:rsid w:val="004A48A1"/>
    <w:rsid w:val="004A55D1"/>
    <w:rsid w:val="004A674A"/>
    <w:rsid w:val="004A7C4A"/>
    <w:rsid w:val="004A7DEB"/>
    <w:rsid w:val="004B0175"/>
    <w:rsid w:val="004B0F58"/>
    <w:rsid w:val="004B17B8"/>
    <w:rsid w:val="004B3604"/>
    <w:rsid w:val="004B51CC"/>
    <w:rsid w:val="004B5AA4"/>
    <w:rsid w:val="004B5B5F"/>
    <w:rsid w:val="004B626A"/>
    <w:rsid w:val="004C1393"/>
    <w:rsid w:val="004C2B8E"/>
    <w:rsid w:val="004C3FD0"/>
    <w:rsid w:val="004C6392"/>
    <w:rsid w:val="004D1749"/>
    <w:rsid w:val="004D194F"/>
    <w:rsid w:val="004E20A2"/>
    <w:rsid w:val="004E2223"/>
    <w:rsid w:val="004E29AD"/>
    <w:rsid w:val="004E32F5"/>
    <w:rsid w:val="004E4011"/>
    <w:rsid w:val="004E649D"/>
    <w:rsid w:val="004E7F31"/>
    <w:rsid w:val="004F274F"/>
    <w:rsid w:val="004F3D98"/>
    <w:rsid w:val="004F7AC0"/>
    <w:rsid w:val="00502AC0"/>
    <w:rsid w:val="00503929"/>
    <w:rsid w:val="00503DB3"/>
    <w:rsid w:val="00504A6C"/>
    <w:rsid w:val="0050636D"/>
    <w:rsid w:val="005106D5"/>
    <w:rsid w:val="00511835"/>
    <w:rsid w:val="0051183D"/>
    <w:rsid w:val="00511F8D"/>
    <w:rsid w:val="00514619"/>
    <w:rsid w:val="00514E30"/>
    <w:rsid w:val="0051544D"/>
    <w:rsid w:val="00515570"/>
    <w:rsid w:val="0051582E"/>
    <w:rsid w:val="00515F4C"/>
    <w:rsid w:val="00516B7D"/>
    <w:rsid w:val="00517ABA"/>
    <w:rsid w:val="00520F54"/>
    <w:rsid w:val="005213E2"/>
    <w:rsid w:val="00522FEE"/>
    <w:rsid w:val="0052385F"/>
    <w:rsid w:val="00524242"/>
    <w:rsid w:val="00526C23"/>
    <w:rsid w:val="00527A7E"/>
    <w:rsid w:val="005326E6"/>
    <w:rsid w:val="00532E2E"/>
    <w:rsid w:val="00533C6B"/>
    <w:rsid w:val="0053402D"/>
    <w:rsid w:val="005346C3"/>
    <w:rsid w:val="00534B62"/>
    <w:rsid w:val="00534B78"/>
    <w:rsid w:val="005373F9"/>
    <w:rsid w:val="0054144C"/>
    <w:rsid w:val="0054199B"/>
    <w:rsid w:val="00544E43"/>
    <w:rsid w:val="00545E4C"/>
    <w:rsid w:val="00547D83"/>
    <w:rsid w:val="00551E37"/>
    <w:rsid w:val="00553689"/>
    <w:rsid w:val="00553834"/>
    <w:rsid w:val="00553F82"/>
    <w:rsid w:val="00555C0A"/>
    <w:rsid w:val="00556198"/>
    <w:rsid w:val="00556F62"/>
    <w:rsid w:val="00557C92"/>
    <w:rsid w:val="00560DF2"/>
    <w:rsid w:val="00562854"/>
    <w:rsid w:val="00564139"/>
    <w:rsid w:val="00564CC7"/>
    <w:rsid w:val="005655F0"/>
    <w:rsid w:val="00565F90"/>
    <w:rsid w:val="005674FE"/>
    <w:rsid w:val="00572215"/>
    <w:rsid w:val="00573180"/>
    <w:rsid w:val="00576D4C"/>
    <w:rsid w:val="00576EF8"/>
    <w:rsid w:val="00580F75"/>
    <w:rsid w:val="005811DE"/>
    <w:rsid w:val="005819BF"/>
    <w:rsid w:val="0058374D"/>
    <w:rsid w:val="005840CE"/>
    <w:rsid w:val="00584553"/>
    <w:rsid w:val="005852D2"/>
    <w:rsid w:val="00585961"/>
    <w:rsid w:val="0058782A"/>
    <w:rsid w:val="00587BD6"/>
    <w:rsid w:val="0059135B"/>
    <w:rsid w:val="005918DF"/>
    <w:rsid w:val="005927BF"/>
    <w:rsid w:val="00593D36"/>
    <w:rsid w:val="0059400E"/>
    <w:rsid w:val="00594426"/>
    <w:rsid w:val="005A089B"/>
    <w:rsid w:val="005A0DBE"/>
    <w:rsid w:val="005A19CA"/>
    <w:rsid w:val="005A2F78"/>
    <w:rsid w:val="005A3C5A"/>
    <w:rsid w:val="005A5D04"/>
    <w:rsid w:val="005A6452"/>
    <w:rsid w:val="005A6F55"/>
    <w:rsid w:val="005A7670"/>
    <w:rsid w:val="005B046A"/>
    <w:rsid w:val="005B0B92"/>
    <w:rsid w:val="005B3011"/>
    <w:rsid w:val="005B572D"/>
    <w:rsid w:val="005B60FA"/>
    <w:rsid w:val="005B626C"/>
    <w:rsid w:val="005B648A"/>
    <w:rsid w:val="005B678B"/>
    <w:rsid w:val="005C07AD"/>
    <w:rsid w:val="005C149E"/>
    <w:rsid w:val="005C2110"/>
    <w:rsid w:val="005C3980"/>
    <w:rsid w:val="005C3988"/>
    <w:rsid w:val="005C3BC8"/>
    <w:rsid w:val="005C40B5"/>
    <w:rsid w:val="005D09CA"/>
    <w:rsid w:val="005D163E"/>
    <w:rsid w:val="005D1C37"/>
    <w:rsid w:val="005D311F"/>
    <w:rsid w:val="005D43D8"/>
    <w:rsid w:val="005D609C"/>
    <w:rsid w:val="005D61D2"/>
    <w:rsid w:val="005D71E5"/>
    <w:rsid w:val="005D746D"/>
    <w:rsid w:val="005E0635"/>
    <w:rsid w:val="005E090B"/>
    <w:rsid w:val="005E16CF"/>
    <w:rsid w:val="005E171C"/>
    <w:rsid w:val="005E37EB"/>
    <w:rsid w:val="005E48B4"/>
    <w:rsid w:val="005E4CB7"/>
    <w:rsid w:val="005E507E"/>
    <w:rsid w:val="005F0803"/>
    <w:rsid w:val="005F0DF5"/>
    <w:rsid w:val="005F3B8C"/>
    <w:rsid w:val="005F4BE3"/>
    <w:rsid w:val="005F4C92"/>
    <w:rsid w:val="00600298"/>
    <w:rsid w:val="00600A1A"/>
    <w:rsid w:val="00602D49"/>
    <w:rsid w:val="00602FDE"/>
    <w:rsid w:val="00604B36"/>
    <w:rsid w:val="00606434"/>
    <w:rsid w:val="00607650"/>
    <w:rsid w:val="006110B5"/>
    <w:rsid w:val="00614AD0"/>
    <w:rsid w:val="00620715"/>
    <w:rsid w:val="006209E0"/>
    <w:rsid w:val="00621A13"/>
    <w:rsid w:val="006221F3"/>
    <w:rsid w:val="00622AEC"/>
    <w:rsid w:val="00623EEC"/>
    <w:rsid w:val="00623FB0"/>
    <w:rsid w:val="0062482D"/>
    <w:rsid w:val="00626810"/>
    <w:rsid w:val="0063068E"/>
    <w:rsid w:val="006329BE"/>
    <w:rsid w:val="00632CCB"/>
    <w:rsid w:val="006331AA"/>
    <w:rsid w:val="00634C70"/>
    <w:rsid w:val="00641E2E"/>
    <w:rsid w:val="00642D16"/>
    <w:rsid w:val="0064380C"/>
    <w:rsid w:val="0064633D"/>
    <w:rsid w:val="00646478"/>
    <w:rsid w:val="00646593"/>
    <w:rsid w:val="006469A7"/>
    <w:rsid w:val="00650DDF"/>
    <w:rsid w:val="00656A3F"/>
    <w:rsid w:val="00657B22"/>
    <w:rsid w:val="00660ED1"/>
    <w:rsid w:val="00661DBB"/>
    <w:rsid w:val="0066515A"/>
    <w:rsid w:val="006657CD"/>
    <w:rsid w:val="0066677A"/>
    <w:rsid w:val="00666F91"/>
    <w:rsid w:val="006670E4"/>
    <w:rsid w:val="00667C89"/>
    <w:rsid w:val="00670257"/>
    <w:rsid w:val="00670D48"/>
    <w:rsid w:val="0067455F"/>
    <w:rsid w:val="00675BC7"/>
    <w:rsid w:val="00677FAB"/>
    <w:rsid w:val="00679DAD"/>
    <w:rsid w:val="006810AF"/>
    <w:rsid w:val="00683FC6"/>
    <w:rsid w:val="0068772D"/>
    <w:rsid w:val="00690720"/>
    <w:rsid w:val="00691479"/>
    <w:rsid w:val="006928A9"/>
    <w:rsid w:val="006929FD"/>
    <w:rsid w:val="00696386"/>
    <w:rsid w:val="006970D6"/>
    <w:rsid w:val="006A08FF"/>
    <w:rsid w:val="006A0DB7"/>
    <w:rsid w:val="006A2913"/>
    <w:rsid w:val="006A2F51"/>
    <w:rsid w:val="006A3B28"/>
    <w:rsid w:val="006A572E"/>
    <w:rsid w:val="006A79A5"/>
    <w:rsid w:val="006B01AA"/>
    <w:rsid w:val="006B58DD"/>
    <w:rsid w:val="006B77B8"/>
    <w:rsid w:val="006C21FB"/>
    <w:rsid w:val="006C25BF"/>
    <w:rsid w:val="006C3039"/>
    <w:rsid w:val="006C3497"/>
    <w:rsid w:val="006C6838"/>
    <w:rsid w:val="006D1801"/>
    <w:rsid w:val="006D4149"/>
    <w:rsid w:val="006D4BC2"/>
    <w:rsid w:val="006D5702"/>
    <w:rsid w:val="006D66D0"/>
    <w:rsid w:val="006D6E48"/>
    <w:rsid w:val="006D75DB"/>
    <w:rsid w:val="006E06EE"/>
    <w:rsid w:val="006E11EB"/>
    <w:rsid w:val="006E74FE"/>
    <w:rsid w:val="006F0636"/>
    <w:rsid w:val="006F1733"/>
    <w:rsid w:val="006F1AB0"/>
    <w:rsid w:val="006F29E1"/>
    <w:rsid w:val="006F379B"/>
    <w:rsid w:val="006F47F0"/>
    <w:rsid w:val="0070109B"/>
    <w:rsid w:val="00701107"/>
    <w:rsid w:val="007013E1"/>
    <w:rsid w:val="007022F4"/>
    <w:rsid w:val="00702751"/>
    <w:rsid w:val="00702D64"/>
    <w:rsid w:val="00703053"/>
    <w:rsid w:val="00703C00"/>
    <w:rsid w:val="007105AA"/>
    <w:rsid w:val="00712A79"/>
    <w:rsid w:val="0071400C"/>
    <w:rsid w:val="00714A7E"/>
    <w:rsid w:val="0071529C"/>
    <w:rsid w:val="00715DE6"/>
    <w:rsid w:val="00716037"/>
    <w:rsid w:val="007225B7"/>
    <w:rsid w:val="007248F5"/>
    <w:rsid w:val="00725AD4"/>
    <w:rsid w:val="00726C7D"/>
    <w:rsid w:val="00730BB0"/>
    <w:rsid w:val="00730FC5"/>
    <w:rsid w:val="007314B7"/>
    <w:rsid w:val="007316CF"/>
    <w:rsid w:val="00731C02"/>
    <w:rsid w:val="00731D9A"/>
    <w:rsid w:val="00732468"/>
    <w:rsid w:val="00733873"/>
    <w:rsid w:val="007359A2"/>
    <w:rsid w:val="00740722"/>
    <w:rsid w:val="007417F0"/>
    <w:rsid w:val="007422A3"/>
    <w:rsid w:val="00742B24"/>
    <w:rsid w:val="007443B6"/>
    <w:rsid w:val="007450AB"/>
    <w:rsid w:val="0074653F"/>
    <w:rsid w:val="00746C13"/>
    <w:rsid w:val="00752E4C"/>
    <w:rsid w:val="0075558D"/>
    <w:rsid w:val="00756F9E"/>
    <w:rsid w:val="0075734E"/>
    <w:rsid w:val="00760F58"/>
    <w:rsid w:val="00761E20"/>
    <w:rsid w:val="0076443C"/>
    <w:rsid w:val="00764670"/>
    <w:rsid w:val="00765F33"/>
    <w:rsid w:val="007753D8"/>
    <w:rsid w:val="00776D06"/>
    <w:rsid w:val="00777964"/>
    <w:rsid w:val="007800E3"/>
    <w:rsid w:val="007805C8"/>
    <w:rsid w:val="00780869"/>
    <w:rsid w:val="0078313A"/>
    <w:rsid w:val="007833CE"/>
    <w:rsid w:val="007840D1"/>
    <w:rsid w:val="00785603"/>
    <w:rsid w:val="00786F93"/>
    <w:rsid w:val="007913A4"/>
    <w:rsid w:val="0079294C"/>
    <w:rsid w:val="0079535D"/>
    <w:rsid w:val="00796851"/>
    <w:rsid w:val="007968D9"/>
    <w:rsid w:val="00797B4A"/>
    <w:rsid w:val="007A088B"/>
    <w:rsid w:val="007A1782"/>
    <w:rsid w:val="007A3E2E"/>
    <w:rsid w:val="007A6DF0"/>
    <w:rsid w:val="007A7AE5"/>
    <w:rsid w:val="007A7F34"/>
    <w:rsid w:val="007B100B"/>
    <w:rsid w:val="007B1DB7"/>
    <w:rsid w:val="007B20E6"/>
    <w:rsid w:val="007B3851"/>
    <w:rsid w:val="007B3EE0"/>
    <w:rsid w:val="007B436B"/>
    <w:rsid w:val="007B5B7D"/>
    <w:rsid w:val="007B61BC"/>
    <w:rsid w:val="007B7601"/>
    <w:rsid w:val="007B78C4"/>
    <w:rsid w:val="007C3F48"/>
    <w:rsid w:val="007C416C"/>
    <w:rsid w:val="007D0E6E"/>
    <w:rsid w:val="007D1CB0"/>
    <w:rsid w:val="007D1D5E"/>
    <w:rsid w:val="007D2EA7"/>
    <w:rsid w:val="007D4310"/>
    <w:rsid w:val="007D5460"/>
    <w:rsid w:val="007D6C37"/>
    <w:rsid w:val="007E098D"/>
    <w:rsid w:val="007E1CF3"/>
    <w:rsid w:val="007E5899"/>
    <w:rsid w:val="007E5C94"/>
    <w:rsid w:val="007F2163"/>
    <w:rsid w:val="007F280E"/>
    <w:rsid w:val="007F2887"/>
    <w:rsid w:val="007F37B9"/>
    <w:rsid w:val="007F3F36"/>
    <w:rsid w:val="007F40D5"/>
    <w:rsid w:val="007F4304"/>
    <w:rsid w:val="007F44D5"/>
    <w:rsid w:val="007F4B0C"/>
    <w:rsid w:val="007F5920"/>
    <w:rsid w:val="007F72BE"/>
    <w:rsid w:val="008011DB"/>
    <w:rsid w:val="00802279"/>
    <w:rsid w:val="00802B92"/>
    <w:rsid w:val="008033D4"/>
    <w:rsid w:val="00803D85"/>
    <w:rsid w:val="00804399"/>
    <w:rsid w:val="00804608"/>
    <w:rsid w:val="0081190F"/>
    <w:rsid w:val="00813079"/>
    <w:rsid w:val="00813334"/>
    <w:rsid w:val="00814641"/>
    <w:rsid w:val="00814A2E"/>
    <w:rsid w:val="00815866"/>
    <w:rsid w:val="00815FF1"/>
    <w:rsid w:val="008164CE"/>
    <w:rsid w:val="008211AC"/>
    <w:rsid w:val="00822AE4"/>
    <w:rsid w:val="008235F4"/>
    <w:rsid w:val="00823959"/>
    <w:rsid w:val="00825E96"/>
    <w:rsid w:val="008270EF"/>
    <w:rsid w:val="00831B99"/>
    <w:rsid w:val="00831C9D"/>
    <w:rsid w:val="008326B0"/>
    <w:rsid w:val="00834E8E"/>
    <w:rsid w:val="0083780E"/>
    <w:rsid w:val="008427CD"/>
    <w:rsid w:val="00847932"/>
    <w:rsid w:val="00851788"/>
    <w:rsid w:val="00852797"/>
    <w:rsid w:val="00853922"/>
    <w:rsid w:val="00856078"/>
    <w:rsid w:val="0085707D"/>
    <w:rsid w:val="00860E3A"/>
    <w:rsid w:val="008630A4"/>
    <w:rsid w:val="00863778"/>
    <w:rsid w:val="008647FF"/>
    <w:rsid w:val="008717AF"/>
    <w:rsid w:val="008725D5"/>
    <w:rsid w:val="00874111"/>
    <w:rsid w:val="00875396"/>
    <w:rsid w:val="00875518"/>
    <w:rsid w:val="00875BDA"/>
    <w:rsid w:val="00875BFD"/>
    <w:rsid w:val="00875F52"/>
    <w:rsid w:val="008815D8"/>
    <w:rsid w:val="00881849"/>
    <w:rsid w:val="00882A8A"/>
    <w:rsid w:val="008830D0"/>
    <w:rsid w:val="008832A0"/>
    <w:rsid w:val="00884CB7"/>
    <w:rsid w:val="00886ABD"/>
    <w:rsid w:val="0088AFD3"/>
    <w:rsid w:val="00890944"/>
    <w:rsid w:val="0089336E"/>
    <w:rsid w:val="008933E1"/>
    <w:rsid w:val="008933E3"/>
    <w:rsid w:val="00894C5A"/>
    <w:rsid w:val="00895F7E"/>
    <w:rsid w:val="008966A5"/>
    <w:rsid w:val="00897C0D"/>
    <w:rsid w:val="00897E9E"/>
    <w:rsid w:val="008A04A7"/>
    <w:rsid w:val="008A12FA"/>
    <w:rsid w:val="008A43D2"/>
    <w:rsid w:val="008A530C"/>
    <w:rsid w:val="008A6366"/>
    <w:rsid w:val="008A7D34"/>
    <w:rsid w:val="008B0043"/>
    <w:rsid w:val="008B0A93"/>
    <w:rsid w:val="008B0F1B"/>
    <w:rsid w:val="008B2AF0"/>
    <w:rsid w:val="008B3017"/>
    <w:rsid w:val="008B3BA1"/>
    <w:rsid w:val="008B4191"/>
    <w:rsid w:val="008B568C"/>
    <w:rsid w:val="008B5E9D"/>
    <w:rsid w:val="008B6940"/>
    <w:rsid w:val="008B6B19"/>
    <w:rsid w:val="008C13B2"/>
    <w:rsid w:val="008C166F"/>
    <w:rsid w:val="008C1D86"/>
    <w:rsid w:val="008C3012"/>
    <w:rsid w:val="008C4400"/>
    <w:rsid w:val="008C4B36"/>
    <w:rsid w:val="008C4F1A"/>
    <w:rsid w:val="008C7A99"/>
    <w:rsid w:val="008D2E38"/>
    <w:rsid w:val="008D3297"/>
    <w:rsid w:val="008D40DC"/>
    <w:rsid w:val="008D6763"/>
    <w:rsid w:val="008D7106"/>
    <w:rsid w:val="008E0369"/>
    <w:rsid w:val="008E1510"/>
    <w:rsid w:val="008E1EAB"/>
    <w:rsid w:val="008E2DC2"/>
    <w:rsid w:val="008E383F"/>
    <w:rsid w:val="008E4814"/>
    <w:rsid w:val="008E6878"/>
    <w:rsid w:val="008E6920"/>
    <w:rsid w:val="008E6C52"/>
    <w:rsid w:val="008E6D01"/>
    <w:rsid w:val="008E78E3"/>
    <w:rsid w:val="008E7DDD"/>
    <w:rsid w:val="008F0A7B"/>
    <w:rsid w:val="008F1A35"/>
    <w:rsid w:val="008F243E"/>
    <w:rsid w:val="008F4111"/>
    <w:rsid w:val="008F62E4"/>
    <w:rsid w:val="008F7745"/>
    <w:rsid w:val="00900411"/>
    <w:rsid w:val="009009DB"/>
    <w:rsid w:val="00903335"/>
    <w:rsid w:val="009039D6"/>
    <w:rsid w:val="00904251"/>
    <w:rsid w:val="00906514"/>
    <w:rsid w:val="009105B6"/>
    <w:rsid w:val="00910902"/>
    <w:rsid w:val="00914693"/>
    <w:rsid w:val="00915187"/>
    <w:rsid w:val="00916B31"/>
    <w:rsid w:val="00917D63"/>
    <w:rsid w:val="00921232"/>
    <w:rsid w:val="0092283D"/>
    <w:rsid w:val="00922FD3"/>
    <w:rsid w:val="009240F8"/>
    <w:rsid w:val="00924447"/>
    <w:rsid w:val="009261D4"/>
    <w:rsid w:val="009263F4"/>
    <w:rsid w:val="00927077"/>
    <w:rsid w:val="00927DD7"/>
    <w:rsid w:val="009303E1"/>
    <w:rsid w:val="009349BA"/>
    <w:rsid w:val="009349E8"/>
    <w:rsid w:val="00934D10"/>
    <w:rsid w:val="00937199"/>
    <w:rsid w:val="009402B8"/>
    <w:rsid w:val="00941B93"/>
    <w:rsid w:val="00942926"/>
    <w:rsid w:val="00943C3A"/>
    <w:rsid w:val="00945111"/>
    <w:rsid w:val="0094513A"/>
    <w:rsid w:val="00945900"/>
    <w:rsid w:val="0094734C"/>
    <w:rsid w:val="0095171F"/>
    <w:rsid w:val="00951EDF"/>
    <w:rsid w:val="009529E4"/>
    <w:rsid w:val="00952D8E"/>
    <w:rsid w:val="00953B96"/>
    <w:rsid w:val="00954095"/>
    <w:rsid w:val="009557F0"/>
    <w:rsid w:val="0096068C"/>
    <w:rsid w:val="00964ACD"/>
    <w:rsid w:val="00971299"/>
    <w:rsid w:val="00971CE7"/>
    <w:rsid w:val="00973D2B"/>
    <w:rsid w:val="00973EA9"/>
    <w:rsid w:val="00974894"/>
    <w:rsid w:val="0097587C"/>
    <w:rsid w:val="009816CD"/>
    <w:rsid w:val="0098220A"/>
    <w:rsid w:val="0098381D"/>
    <w:rsid w:val="00984E53"/>
    <w:rsid w:val="00984F78"/>
    <w:rsid w:val="00985045"/>
    <w:rsid w:val="0098734E"/>
    <w:rsid w:val="0099049E"/>
    <w:rsid w:val="009907AD"/>
    <w:rsid w:val="00990A4D"/>
    <w:rsid w:val="00991523"/>
    <w:rsid w:val="0099176B"/>
    <w:rsid w:val="0099215B"/>
    <w:rsid w:val="0099264A"/>
    <w:rsid w:val="00993899"/>
    <w:rsid w:val="0099556E"/>
    <w:rsid w:val="00996338"/>
    <w:rsid w:val="00997015"/>
    <w:rsid w:val="009A4490"/>
    <w:rsid w:val="009A7976"/>
    <w:rsid w:val="009B0B4E"/>
    <w:rsid w:val="009B40BE"/>
    <w:rsid w:val="009B65FE"/>
    <w:rsid w:val="009B6928"/>
    <w:rsid w:val="009C099F"/>
    <w:rsid w:val="009C2C75"/>
    <w:rsid w:val="009C30B9"/>
    <w:rsid w:val="009C5336"/>
    <w:rsid w:val="009C53BE"/>
    <w:rsid w:val="009C5668"/>
    <w:rsid w:val="009D02EA"/>
    <w:rsid w:val="009D1A76"/>
    <w:rsid w:val="009D4A32"/>
    <w:rsid w:val="009D5887"/>
    <w:rsid w:val="009D5FBC"/>
    <w:rsid w:val="009D6F36"/>
    <w:rsid w:val="009E36BD"/>
    <w:rsid w:val="009E38DE"/>
    <w:rsid w:val="009E7034"/>
    <w:rsid w:val="009E7661"/>
    <w:rsid w:val="009F284B"/>
    <w:rsid w:val="009F2C16"/>
    <w:rsid w:val="009F4802"/>
    <w:rsid w:val="009F63BF"/>
    <w:rsid w:val="00A0116A"/>
    <w:rsid w:val="00A0136A"/>
    <w:rsid w:val="00A01772"/>
    <w:rsid w:val="00A05D2E"/>
    <w:rsid w:val="00A068A9"/>
    <w:rsid w:val="00A06F1D"/>
    <w:rsid w:val="00A10C89"/>
    <w:rsid w:val="00A1151F"/>
    <w:rsid w:val="00A13FE7"/>
    <w:rsid w:val="00A14C69"/>
    <w:rsid w:val="00A15DBD"/>
    <w:rsid w:val="00A171F8"/>
    <w:rsid w:val="00A17E96"/>
    <w:rsid w:val="00A21F79"/>
    <w:rsid w:val="00A22E8B"/>
    <w:rsid w:val="00A24143"/>
    <w:rsid w:val="00A245F6"/>
    <w:rsid w:val="00A24909"/>
    <w:rsid w:val="00A27394"/>
    <w:rsid w:val="00A274CF"/>
    <w:rsid w:val="00A27F19"/>
    <w:rsid w:val="00A31E93"/>
    <w:rsid w:val="00A326DC"/>
    <w:rsid w:val="00A356AA"/>
    <w:rsid w:val="00A369D0"/>
    <w:rsid w:val="00A42D1F"/>
    <w:rsid w:val="00A42DDB"/>
    <w:rsid w:val="00A442B6"/>
    <w:rsid w:val="00A52DFA"/>
    <w:rsid w:val="00A53C62"/>
    <w:rsid w:val="00A53CF6"/>
    <w:rsid w:val="00A56128"/>
    <w:rsid w:val="00A627F5"/>
    <w:rsid w:val="00A63258"/>
    <w:rsid w:val="00A65FE8"/>
    <w:rsid w:val="00A6624C"/>
    <w:rsid w:val="00A66401"/>
    <w:rsid w:val="00A66CE9"/>
    <w:rsid w:val="00A66E66"/>
    <w:rsid w:val="00A676D2"/>
    <w:rsid w:val="00A71EDA"/>
    <w:rsid w:val="00A75327"/>
    <w:rsid w:val="00A75D13"/>
    <w:rsid w:val="00A76DA4"/>
    <w:rsid w:val="00A779BF"/>
    <w:rsid w:val="00A77A8A"/>
    <w:rsid w:val="00A82087"/>
    <w:rsid w:val="00A824FC"/>
    <w:rsid w:val="00A82E4C"/>
    <w:rsid w:val="00A843D9"/>
    <w:rsid w:val="00A8532C"/>
    <w:rsid w:val="00A859DD"/>
    <w:rsid w:val="00A90DA1"/>
    <w:rsid w:val="00A90DBC"/>
    <w:rsid w:val="00A9145B"/>
    <w:rsid w:val="00A9178E"/>
    <w:rsid w:val="00A93BF0"/>
    <w:rsid w:val="00A94004"/>
    <w:rsid w:val="00A96C93"/>
    <w:rsid w:val="00AA03FD"/>
    <w:rsid w:val="00AA04AE"/>
    <w:rsid w:val="00AA11F0"/>
    <w:rsid w:val="00AA34DA"/>
    <w:rsid w:val="00AA7F97"/>
    <w:rsid w:val="00AB0B5D"/>
    <w:rsid w:val="00AB1895"/>
    <w:rsid w:val="00AB494A"/>
    <w:rsid w:val="00AB7531"/>
    <w:rsid w:val="00AC08C9"/>
    <w:rsid w:val="00AC18F5"/>
    <w:rsid w:val="00AC1F33"/>
    <w:rsid w:val="00AC2862"/>
    <w:rsid w:val="00AC2FB0"/>
    <w:rsid w:val="00AC3A5F"/>
    <w:rsid w:val="00AC51AD"/>
    <w:rsid w:val="00AC53F9"/>
    <w:rsid w:val="00AC54C4"/>
    <w:rsid w:val="00AC677B"/>
    <w:rsid w:val="00AC6A95"/>
    <w:rsid w:val="00AC7A42"/>
    <w:rsid w:val="00AD054B"/>
    <w:rsid w:val="00AD0E00"/>
    <w:rsid w:val="00AD1BE0"/>
    <w:rsid w:val="00AD1F8D"/>
    <w:rsid w:val="00AD4AE2"/>
    <w:rsid w:val="00AD64ED"/>
    <w:rsid w:val="00AD6F78"/>
    <w:rsid w:val="00AD7177"/>
    <w:rsid w:val="00AD748E"/>
    <w:rsid w:val="00AE0231"/>
    <w:rsid w:val="00AE0F04"/>
    <w:rsid w:val="00AE44DD"/>
    <w:rsid w:val="00AE60AA"/>
    <w:rsid w:val="00AE630D"/>
    <w:rsid w:val="00AE732E"/>
    <w:rsid w:val="00AF1316"/>
    <w:rsid w:val="00AF28AD"/>
    <w:rsid w:val="00AF370A"/>
    <w:rsid w:val="00AF3938"/>
    <w:rsid w:val="00AF3BDD"/>
    <w:rsid w:val="00AF40AE"/>
    <w:rsid w:val="00AF6D1C"/>
    <w:rsid w:val="00B01AC2"/>
    <w:rsid w:val="00B01D87"/>
    <w:rsid w:val="00B021FD"/>
    <w:rsid w:val="00B03DDA"/>
    <w:rsid w:val="00B04F1C"/>
    <w:rsid w:val="00B05486"/>
    <w:rsid w:val="00B061BA"/>
    <w:rsid w:val="00B0700D"/>
    <w:rsid w:val="00B07A7B"/>
    <w:rsid w:val="00B108DA"/>
    <w:rsid w:val="00B10E00"/>
    <w:rsid w:val="00B1461D"/>
    <w:rsid w:val="00B20212"/>
    <w:rsid w:val="00B20ED9"/>
    <w:rsid w:val="00B21530"/>
    <w:rsid w:val="00B22FC9"/>
    <w:rsid w:val="00B25DF1"/>
    <w:rsid w:val="00B303ED"/>
    <w:rsid w:val="00B30C2E"/>
    <w:rsid w:val="00B31D03"/>
    <w:rsid w:val="00B321C6"/>
    <w:rsid w:val="00B32FC0"/>
    <w:rsid w:val="00B36560"/>
    <w:rsid w:val="00B373D0"/>
    <w:rsid w:val="00B40961"/>
    <w:rsid w:val="00B433E2"/>
    <w:rsid w:val="00B43F89"/>
    <w:rsid w:val="00B450C6"/>
    <w:rsid w:val="00B46544"/>
    <w:rsid w:val="00B472AC"/>
    <w:rsid w:val="00B5371E"/>
    <w:rsid w:val="00B53931"/>
    <w:rsid w:val="00B53DF3"/>
    <w:rsid w:val="00B542EE"/>
    <w:rsid w:val="00B563E5"/>
    <w:rsid w:val="00B56BDC"/>
    <w:rsid w:val="00B56DA3"/>
    <w:rsid w:val="00B6099E"/>
    <w:rsid w:val="00B6199C"/>
    <w:rsid w:val="00B624B6"/>
    <w:rsid w:val="00B63B18"/>
    <w:rsid w:val="00B63EE7"/>
    <w:rsid w:val="00B64DFE"/>
    <w:rsid w:val="00B65030"/>
    <w:rsid w:val="00B65DAF"/>
    <w:rsid w:val="00B72D05"/>
    <w:rsid w:val="00B734EB"/>
    <w:rsid w:val="00B739BE"/>
    <w:rsid w:val="00B73B99"/>
    <w:rsid w:val="00B808FC"/>
    <w:rsid w:val="00B81334"/>
    <w:rsid w:val="00B84790"/>
    <w:rsid w:val="00B847D8"/>
    <w:rsid w:val="00B85873"/>
    <w:rsid w:val="00B85BE7"/>
    <w:rsid w:val="00B87963"/>
    <w:rsid w:val="00B90403"/>
    <w:rsid w:val="00B91914"/>
    <w:rsid w:val="00B92650"/>
    <w:rsid w:val="00B94A4E"/>
    <w:rsid w:val="00B97357"/>
    <w:rsid w:val="00B976E7"/>
    <w:rsid w:val="00B97AD4"/>
    <w:rsid w:val="00BA0B37"/>
    <w:rsid w:val="00BA1862"/>
    <w:rsid w:val="00BA2063"/>
    <w:rsid w:val="00BA276C"/>
    <w:rsid w:val="00BA29DA"/>
    <w:rsid w:val="00BA3ABB"/>
    <w:rsid w:val="00BA4099"/>
    <w:rsid w:val="00BA44D9"/>
    <w:rsid w:val="00BA49B9"/>
    <w:rsid w:val="00BA5FDA"/>
    <w:rsid w:val="00BA6548"/>
    <w:rsid w:val="00BA6BE7"/>
    <w:rsid w:val="00BB0D5D"/>
    <w:rsid w:val="00BB1374"/>
    <w:rsid w:val="00BB137E"/>
    <w:rsid w:val="00BB41F4"/>
    <w:rsid w:val="00BB4E0A"/>
    <w:rsid w:val="00BB533E"/>
    <w:rsid w:val="00BB56A3"/>
    <w:rsid w:val="00BB776F"/>
    <w:rsid w:val="00BC14E7"/>
    <w:rsid w:val="00BC1919"/>
    <w:rsid w:val="00BC201C"/>
    <w:rsid w:val="00BC228D"/>
    <w:rsid w:val="00BC2D72"/>
    <w:rsid w:val="00BC580C"/>
    <w:rsid w:val="00BC58EC"/>
    <w:rsid w:val="00BC5930"/>
    <w:rsid w:val="00BC6A64"/>
    <w:rsid w:val="00BD076C"/>
    <w:rsid w:val="00BD0B45"/>
    <w:rsid w:val="00BD1286"/>
    <w:rsid w:val="00BD1387"/>
    <w:rsid w:val="00BD228C"/>
    <w:rsid w:val="00BD2C44"/>
    <w:rsid w:val="00BD4626"/>
    <w:rsid w:val="00BD7FED"/>
    <w:rsid w:val="00BE00D4"/>
    <w:rsid w:val="00BE13E9"/>
    <w:rsid w:val="00BE17BD"/>
    <w:rsid w:val="00BE2952"/>
    <w:rsid w:val="00BE3F44"/>
    <w:rsid w:val="00BE7E77"/>
    <w:rsid w:val="00BF0D0F"/>
    <w:rsid w:val="00BF28E3"/>
    <w:rsid w:val="00BF5C2C"/>
    <w:rsid w:val="00C00A7F"/>
    <w:rsid w:val="00C00BDC"/>
    <w:rsid w:val="00C01651"/>
    <w:rsid w:val="00C03670"/>
    <w:rsid w:val="00C04CC5"/>
    <w:rsid w:val="00C05967"/>
    <w:rsid w:val="00C06232"/>
    <w:rsid w:val="00C0714E"/>
    <w:rsid w:val="00C076E0"/>
    <w:rsid w:val="00C10B23"/>
    <w:rsid w:val="00C16D68"/>
    <w:rsid w:val="00C17A4F"/>
    <w:rsid w:val="00C17FE3"/>
    <w:rsid w:val="00C2026C"/>
    <w:rsid w:val="00C20D28"/>
    <w:rsid w:val="00C21544"/>
    <w:rsid w:val="00C215F6"/>
    <w:rsid w:val="00C221B1"/>
    <w:rsid w:val="00C25CD2"/>
    <w:rsid w:val="00C277CA"/>
    <w:rsid w:val="00C277D8"/>
    <w:rsid w:val="00C27BAF"/>
    <w:rsid w:val="00C310CB"/>
    <w:rsid w:val="00C31E59"/>
    <w:rsid w:val="00C333B8"/>
    <w:rsid w:val="00C35C1C"/>
    <w:rsid w:val="00C36330"/>
    <w:rsid w:val="00C40222"/>
    <w:rsid w:val="00C41118"/>
    <w:rsid w:val="00C41F45"/>
    <w:rsid w:val="00C43813"/>
    <w:rsid w:val="00C46BFC"/>
    <w:rsid w:val="00C5138C"/>
    <w:rsid w:val="00C514C7"/>
    <w:rsid w:val="00C520D9"/>
    <w:rsid w:val="00C543B2"/>
    <w:rsid w:val="00C54BDA"/>
    <w:rsid w:val="00C603BC"/>
    <w:rsid w:val="00C61161"/>
    <w:rsid w:val="00C61540"/>
    <w:rsid w:val="00C642B5"/>
    <w:rsid w:val="00C648BA"/>
    <w:rsid w:val="00C64E3C"/>
    <w:rsid w:val="00C65336"/>
    <w:rsid w:val="00C65CE5"/>
    <w:rsid w:val="00C70993"/>
    <w:rsid w:val="00C70DC1"/>
    <w:rsid w:val="00C71DA2"/>
    <w:rsid w:val="00C72890"/>
    <w:rsid w:val="00C7694E"/>
    <w:rsid w:val="00C76A64"/>
    <w:rsid w:val="00C76CB1"/>
    <w:rsid w:val="00C77710"/>
    <w:rsid w:val="00C77C6C"/>
    <w:rsid w:val="00C801FD"/>
    <w:rsid w:val="00C80D87"/>
    <w:rsid w:val="00C81EC4"/>
    <w:rsid w:val="00C82B3F"/>
    <w:rsid w:val="00C82F69"/>
    <w:rsid w:val="00C84746"/>
    <w:rsid w:val="00C85CB8"/>
    <w:rsid w:val="00C868B0"/>
    <w:rsid w:val="00C87703"/>
    <w:rsid w:val="00C9183A"/>
    <w:rsid w:val="00C93249"/>
    <w:rsid w:val="00C93960"/>
    <w:rsid w:val="00C945D3"/>
    <w:rsid w:val="00C972B6"/>
    <w:rsid w:val="00C9BF53"/>
    <w:rsid w:val="00CA2CD2"/>
    <w:rsid w:val="00CA6D83"/>
    <w:rsid w:val="00CA6E15"/>
    <w:rsid w:val="00CB1912"/>
    <w:rsid w:val="00CB26BE"/>
    <w:rsid w:val="00CB2BB2"/>
    <w:rsid w:val="00CB39DC"/>
    <w:rsid w:val="00CB4B86"/>
    <w:rsid w:val="00CC1B33"/>
    <w:rsid w:val="00CC1B50"/>
    <w:rsid w:val="00CC3EFF"/>
    <w:rsid w:val="00CC523A"/>
    <w:rsid w:val="00CC645B"/>
    <w:rsid w:val="00CC66BF"/>
    <w:rsid w:val="00CC6D0E"/>
    <w:rsid w:val="00CC7798"/>
    <w:rsid w:val="00CD0B7C"/>
    <w:rsid w:val="00CD225C"/>
    <w:rsid w:val="00CD454C"/>
    <w:rsid w:val="00CD4851"/>
    <w:rsid w:val="00CD6494"/>
    <w:rsid w:val="00CE1318"/>
    <w:rsid w:val="00CE2AE3"/>
    <w:rsid w:val="00CE3810"/>
    <w:rsid w:val="00CE3BF1"/>
    <w:rsid w:val="00CE54BB"/>
    <w:rsid w:val="00CE5538"/>
    <w:rsid w:val="00CF0A36"/>
    <w:rsid w:val="00CF3C26"/>
    <w:rsid w:val="00CF3D70"/>
    <w:rsid w:val="00CF7DB3"/>
    <w:rsid w:val="00D03815"/>
    <w:rsid w:val="00D051B9"/>
    <w:rsid w:val="00D06213"/>
    <w:rsid w:val="00D06422"/>
    <w:rsid w:val="00D06A92"/>
    <w:rsid w:val="00D06CBA"/>
    <w:rsid w:val="00D109E8"/>
    <w:rsid w:val="00D110FE"/>
    <w:rsid w:val="00D11F7E"/>
    <w:rsid w:val="00D12D68"/>
    <w:rsid w:val="00D15BD1"/>
    <w:rsid w:val="00D16050"/>
    <w:rsid w:val="00D16C81"/>
    <w:rsid w:val="00D17BE1"/>
    <w:rsid w:val="00D214EE"/>
    <w:rsid w:val="00D21EFC"/>
    <w:rsid w:val="00D23D4C"/>
    <w:rsid w:val="00D2454C"/>
    <w:rsid w:val="00D25D9C"/>
    <w:rsid w:val="00D26ACF"/>
    <w:rsid w:val="00D30446"/>
    <w:rsid w:val="00D31204"/>
    <w:rsid w:val="00D33254"/>
    <w:rsid w:val="00D33DFB"/>
    <w:rsid w:val="00D344C8"/>
    <w:rsid w:val="00D35244"/>
    <w:rsid w:val="00D3573D"/>
    <w:rsid w:val="00D35D4F"/>
    <w:rsid w:val="00D36CAA"/>
    <w:rsid w:val="00D411A9"/>
    <w:rsid w:val="00D43C75"/>
    <w:rsid w:val="00D5000A"/>
    <w:rsid w:val="00D501F6"/>
    <w:rsid w:val="00D508CE"/>
    <w:rsid w:val="00D51A6C"/>
    <w:rsid w:val="00D51F43"/>
    <w:rsid w:val="00D54296"/>
    <w:rsid w:val="00D557AF"/>
    <w:rsid w:val="00D56EAF"/>
    <w:rsid w:val="00D62377"/>
    <w:rsid w:val="00D62BF6"/>
    <w:rsid w:val="00D62CD3"/>
    <w:rsid w:val="00D63410"/>
    <w:rsid w:val="00D67783"/>
    <w:rsid w:val="00D705CE"/>
    <w:rsid w:val="00D70E81"/>
    <w:rsid w:val="00D72572"/>
    <w:rsid w:val="00D814B0"/>
    <w:rsid w:val="00D8480C"/>
    <w:rsid w:val="00D84C53"/>
    <w:rsid w:val="00D8727A"/>
    <w:rsid w:val="00D900E0"/>
    <w:rsid w:val="00D90342"/>
    <w:rsid w:val="00D92593"/>
    <w:rsid w:val="00D945A1"/>
    <w:rsid w:val="00D96527"/>
    <w:rsid w:val="00D97D30"/>
    <w:rsid w:val="00DA0AE3"/>
    <w:rsid w:val="00DA12AA"/>
    <w:rsid w:val="00DA146C"/>
    <w:rsid w:val="00DA2147"/>
    <w:rsid w:val="00DA25D8"/>
    <w:rsid w:val="00DA2ECE"/>
    <w:rsid w:val="00DA5550"/>
    <w:rsid w:val="00DA55A5"/>
    <w:rsid w:val="00DA5DB1"/>
    <w:rsid w:val="00DB25CB"/>
    <w:rsid w:val="00DB402B"/>
    <w:rsid w:val="00DB43DB"/>
    <w:rsid w:val="00DB5BEA"/>
    <w:rsid w:val="00DB5C9F"/>
    <w:rsid w:val="00DC0101"/>
    <w:rsid w:val="00DC0895"/>
    <w:rsid w:val="00DC16BA"/>
    <w:rsid w:val="00DC1CB3"/>
    <w:rsid w:val="00DC1F79"/>
    <w:rsid w:val="00DC2CB1"/>
    <w:rsid w:val="00DC6F8E"/>
    <w:rsid w:val="00DD0172"/>
    <w:rsid w:val="00DD0DAE"/>
    <w:rsid w:val="00DD3A62"/>
    <w:rsid w:val="00DD42A7"/>
    <w:rsid w:val="00DD496D"/>
    <w:rsid w:val="00DD4BDC"/>
    <w:rsid w:val="00DD764A"/>
    <w:rsid w:val="00DE0ACD"/>
    <w:rsid w:val="00DE1241"/>
    <w:rsid w:val="00DE450A"/>
    <w:rsid w:val="00DE454A"/>
    <w:rsid w:val="00DE786A"/>
    <w:rsid w:val="00DF00DE"/>
    <w:rsid w:val="00DF046A"/>
    <w:rsid w:val="00DF0A4F"/>
    <w:rsid w:val="00DF0BF7"/>
    <w:rsid w:val="00DF0C58"/>
    <w:rsid w:val="00DF0E74"/>
    <w:rsid w:val="00DF31C6"/>
    <w:rsid w:val="00DF35A2"/>
    <w:rsid w:val="00DF4F0B"/>
    <w:rsid w:val="00DF7BF1"/>
    <w:rsid w:val="00E02DB8"/>
    <w:rsid w:val="00E051FD"/>
    <w:rsid w:val="00E06934"/>
    <w:rsid w:val="00E076ED"/>
    <w:rsid w:val="00E11ED1"/>
    <w:rsid w:val="00E12420"/>
    <w:rsid w:val="00E12D96"/>
    <w:rsid w:val="00E21478"/>
    <w:rsid w:val="00E21482"/>
    <w:rsid w:val="00E21D37"/>
    <w:rsid w:val="00E21F30"/>
    <w:rsid w:val="00E23EAA"/>
    <w:rsid w:val="00E249A1"/>
    <w:rsid w:val="00E27887"/>
    <w:rsid w:val="00E32218"/>
    <w:rsid w:val="00E33263"/>
    <w:rsid w:val="00E33566"/>
    <w:rsid w:val="00E33857"/>
    <w:rsid w:val="00E34ACD"/>
    <w:rsid w:val="00E35182"/>
    <w:rsid w:val="00E3553C"/>
    <w:rsid w:val="00E3683D"/>
    <w:rsid w:val="00E37E18"/>
    <w:rsid w:val="00E40F44"/>
    <w:rsid w:val="00E41E2B"/>
    <w:rsid w:val="00E51324"/>
    <w:rsid w:val="00E54372"/>
    <w:rsid w:val="00E54406"/>
    <w:rsid w:val="00E5489E"/>
    <w:rsid w:val="00E55A2A"/>
    <w:rsid w:val="00E565C7"/>
    <w:rsid w:val="00E57F53"/>
    <w:rsid w:val="00E617C7"/>
    <w:rsid w:val="00E62AA7"/>
    <w:rsid w:val="00E661CF"/>
    <w:rsid w:val="00E665A9"/>
    <w:rsid w:val="00E726D9"/>
    <w:rsid w:val="00E734D9"/>
    <w:rsid w:val="00E736AB"/>
    <w:rsid w:val="00E7483E"/>
    <w:rsid w:val="00E749CD"/>
    <w:rsid w:val="00E772A9"/>
    <w:rsid w:val="00E77607"/>
    <w:rsid w:val="00E803FE"/>
    <w:rsid w:val="00E80BB6"/>
    <w:rsid w:val="00E81042"/>
    <w:rsid w:val="00E8142D"/>
    <w:rsid w:val="00E81952"/>
    <w:rsid w:val="00E82180"/>
    <w:rsid w:val="00E82273"/>
    <w:rsid w:val="00E8249E"/>
    <w:rsid w:val="00E8356B"/>
    <w:rsid w:val="00E83B99"/>
    <w:rsid w:val="00E83F55"/>
    <w:rsid w:val="00E84855"/>
    <w:rsid w:val="00E84F89"/>
    <w:rsid w:val="00E87A5A"/>
    <w:rsid w:val="00E90319"/>
    <w:rsid w:val="00E9052F"/>
    <w:rsid w:val="00E9354A"/>
    <w:rsid w:val="00E93ED6"/>
    <w:rsid w:val="00E959C6"/>
    <w:rsid w:val="00E95D14"/>
    <w:rsid w:val="00E969F2"/>
    <w:rsid w:val="00E97F9E"/>
    <w:rsid w:val="00EA0A55"/>
    <w:rsid w:val="00EA4ADD"/>
    <w:rsid w:val="00EA6E40"/>
    <w:rsid w:val="00EB06B7"/>
    <w:rsid w:val="00EB0FD1"/>
    <w:rsid w:val="00EB4626"/>
    <w:rsid w:val="00EB5CFC"/>
    <w:rsid w:val="00EB5DA9"/>
    <w:rsid w:val="00EB78E4"/>
    <w:rsid w:val="00EC2BE3"/>
    <w:rsid w:val="00EC321D"/>
    <w:rsid w:val="00EC6B8C"/>
    <w:rsid w:val="00EC6D8C"/>
    <w:rsid w:val="00EC6F3C"/>
    <w:rsid w:val="00EC747A"/>
    <w:rsid w:val="00EC7BE4"/>
    <w:rsid w:val="00ED0302"/>
    <w:rsid w:val="00ED4DB6"/>
    <w:rsid w:val="00ED5FE9"/>
    <w:rsid w:val="00ED71D2"/>
    <w:rsid w:val="00ED74BD"/>
    <w:rsid w:val="00EE2A51"/>
    <w:rsid w:val="00EE329C"/>
    <w:rsid w:val="00EE3B90"/>
    <w:rsid w:val="00EE474E"/>
    <w:rsid w:val="00EE4D88"/>
    <w:rsid w:val="00EE56E2"/>
    <w:rsid w:val="00EE6460"/>
    <w:rsid w:val="00EE7BE4"/>
    <w:rsid w:val="00EF07F8"/>
    <w:rsid w:val="00EF1FDE"/>
    <w:rsid w:val="00EF3719"/>
    <w:rsid w:val="00EF5C70"/>
    <w:rsid w:val="00EF688D"/>
    <w:rsid w:val="00F017D8"/>
    <w:rsid w:val="00F0258A"/>
    <w:rsid w:val="00F03C7A"/>
    <w:rsid w:val="00F0556E"/>
    <w:rsid w:val="00F05D23"/>
    <w:rsid w:val="00F07F5A"/>
    <w:rsid w:val="00F11564"/>
    <w:rsid w:val="00F12D62"/>
    <w:rsid w:val="00F13364"/>
    <w:rsid w:val="00F14400"/>
    <w:rsid w:val="00F14D22"/>
    <w:rsid w:val="00F15DD4"/>
    <w:rsid w:val="00F16999"/>
    <w:rsid w:val="00F17827"/>
    <w:rsid w:val="00F21478"/>
    <w:rsid w:val="00F266CE"/>
    <w:rsid w:val="00F32491"/>
    <w:rsid w:val="00F35DE9"/>
    <w:rsid w:val="00F36B30"/>
    <w:rsid w:val="00F36F97"/>
    <w:rsid w:val="00F37432"/>
    <w:rsid w:val="00F37792"/>
    <w:rsid w:val="00F37FAF"/>
    <w:rsid w:val="00F40E79"/>
    <w:rsid w:val="00F41D95"/>
    <w:rsid w:val="00F44C34"/>
    <w:rsid w:val="00F465BA"/>
    <w:rsid w:val="00F468EB"/>
    <w:rsid w:val="00F46D69"/>
    <w:rsid w:val="00F542CC"/>
    <w:rsid w:val="00F542EB"/>
    <w:rsid w:val="00F55028"/>
    <w:rsid w:val="00F553EE"/>
    <w:rsid w:val="00F6074E"/>
    <w:rsid w:val="00F63B0B"/>
    <w:rsid w:val="00F642A8"/>
    <w:rsid w:val="00F706B8"/>
    <w:rsid w:val="00F72575"/>
    <w:rsid w:val="00F72773"/>
    <w:rsid w:val="00F72C56"/>
    <w:rsid w:val="00F74E22"/>
    <w:rsid w:val="00F77CDE"/>
    <w:rsid w:val="00F77CEA"/>
    <w:rsid w:val="00F81558"/>
    <w:rsid w:val="00F8188F"/>
    <w:rsid w:val="00F822EE"/>
    <w:rsid w:val="00F83304"/>
    <w:rsid w:val="00F849E0"/>
    <w:rsid w:val="00F852A0"/>
    <w:rsid w:val="00F85B84"/>
    <w:rsid w:val="00F90FC3"/>
    <w:rsid w:val="00F9135F"/>
    <w:rsid w:val="00F9388C"/>
    <w:rsid w:val="00F94FD8"/>
    <w:rsid w:val="00F95798"/>
    <w:rsid w:val="00F978A9"/>
    <w:rsid w:val="00F97D2B"/>
    <w:rsid w:val="00FA0710"/>
    <w:rsid w:val="00FA10DA"/>
    <w:rsid w:val="00FA2194"/>
    <w:rsid w:val="00FA2571"/>
    <w:rsid w:val="00FA2E56"/>
    <w:rsid w:val="00FA6868"/>
    <w:rsid w:val="00FA6C96"/>
    <w:rsid w:val="00FA71F3"/>
    <w:rsid w:val="00FA7513"/>
    <w:rsid w:val="00FB096D"/>
    <w:rsid w:val="00FB2304"/>
    <w:rsid w:val="00FB4D52"/>
    <w:rsid w:val="00FC26C3"/>
    <w:rsid w:val="00FC34AA"/>
    <w:rsid w:val="00FC393C"/>
    <w:rsid w:val="00FC57D6"/>
    <w:rsid w:val="00FC7580"/>
    <w:rsid w:val="00FD016C"/>
    <w:rsid w:val="00FD2D0B"/>
    <w:rsid w:val="00FD32D8"/>
    <w:rsid w:val="00FD36D9"/>
    <w:rsid w:val="00FD5BB2"/>
    <w:rsid w:val="00FD68D6"/>
    <w:rsid w:val="00FE09DE"/>
    <w:rsid w:val="00FE0F3E"/>
    <w:rsid w:val="00FE1CD3"/>
    <w:rsid w:val="00FE1D53"/>
    <w:rsid w:val="00FE3D59"/>
    <w:rsid w:val="00FE4528"/>
    <w:rsid w:val="00FE57F3"/>
    <w:rsid w:val="00FE5ECD"/>
    <w:rsid w:val="00FF04B5"/>
    <w:rsid w:val="00FF064D"/>
    <w:rsid w:val="00FF0CDC"/>
    <w:rsid w:val="00FF0EAC"/>
    <w:rsid w:val="00FF2737"/>
    <w:rsid w:val="00FF2F6F"/>
    <w:rsid w:val="00FF57A0"/>
    <w:rsid w:val="00FF62C6"/>
    <w:rsid w:val="00FF67C6"/>
    <w:rsid w:val="00FF7A68"/>
    <w:rsid w:val="00FF7C4C"/>
    <w:rsid w:val="00FF9D67"/>
    <w:rsid w:val="00FFFB9F"/>
    <w:rsid w:val="01028C18"/>
    <w:rsid w:val="010DA731"/>
    <w:rsid w:val="01173D16"/>
    <w:rsid w:val="011E60F4"/>
    <w:rsid w:val="0188424C"/>
    <w:rsid w:val="01944454"/>
    <w:rsid w:val="01B54690"/>
    <w:rsid w:val="01F208B7"/>
    <w:rsid w:val="02087519"/>
    <w:rsid w:val="022850E4"/>
    <w:rsid w:val="022CE53F"/>
    <w:rsid w:val="024039B4"/>
    <w:rsid w:val="024A847E"/>
    <w:rsid w:val="026EE20C"/>
    <w:rsid w:val="0277366B"/>
    <w:rsid w:val="02B6E1B6"/>
    <w:rsid w:val="02B755BD"/>
    <w:rsid w:val="02BD0795"/>
    <w:rsid w:val="02DD961E"/>
    <w:rsid w:val="02E38529"/>
    <w:rsid w:val="0306B77C"/>
    <w:rsid w:val="03126673"/>
    <w:rsid w:val="031D92D1"/>
    <w:rsid w:val="03300480"/>
    <w:rsid w:val="0349A7CB"/>
    <w:rsid w:val="035A265F"/>
    <w:rsid w:val="035EB09A"/>
    <w:rsid w:val="03841D4E"/>
    <w:rsid w:val="038D9D07"/>
    <w:rsid w:val="03A12537"/>
    <w:rsid w:val="03A9F012"/>
    <w:rsid w:val="03C9D4A3"/>
    <w:rsid w:val="03FB542B"/>
    <w:rsid w:val="040AE9C7"/>
    <w:rsid w:val="04139285"/>
    <w:rsid w:val="04419DD1"/>
    <w:rsid w:val="0469CEA8"/>
    <w:rsid w:val="049D43EE"/>
    <w:rsid w:val="04D3793D"/>
    <w:rsid w:val="04E26505"/>
    <w:rsid w:val="04EBBA5F"/>
    <w:rsid w:val="04EEB0F0"/>
    <w:rsid w:val="051C1B45"/>
    <w:rsid w:val="051C6C10"/>
    <w:rsid w:val="052103EF"/>
    <w:rsid w:val="0534B159"/>
    <w:rsid w:val="054CDEFA"/>
    <w:rsid w:val="0560AD9A"/>
    <w:rsid w:val="05631847"/>
    <w:rsid w:val="05637A15"/>
    <w:rsid w:val="056A2120"/>
    <w:rsid w:val="05CCF101"/>
    <w:rsid w:val="05CFA34E"/>
    <w:rsid w:val="0605FD0A"/>
    <w:rsid w:val="061899BA"/>
    <w:rsid w:val="06409D3D"/>
    <w:rsid w:val="06436D4E"/>
    <w:rsid w:val="0683FA16"/>
    <w:rsid w:val="0707CA69"/>
    <w:rsid w:val="071467C8"/>
    <w:rsid w:val="0723E438"/>
    <w:rsid w:val="073581BC"/>
    <w:rsid w:val="0742BB29"/>
    <w:rsid w:val="07430DF1"/>
    <w:rsid w:val="076A1ED6"/>
    <w:rsid w:val="076E9061"/>
    <w:rsid w:val="07AE5778"/>
    <w:rsid w:val="07B927C0"/>
    <w:rsid w:val="07D8AE93"/>
    <w:rsid w:val="07E1C6F0"/>
    <w:rsid w:val="07F54259"/>
    <w:rsid w:val="081F3877"/>
    <w:rsid w:val="085B0A06"/>
    <w:rsid w:val="085DDB12"/>
    <w:rsid w:val="086D7EFF"/>
    <w:rsid w:val="0872A487"/>
    <w:rsid w:val="08987EC1"/>
    <w:rsid w:val="08B5CC79"/>
    <w:rsid w:val="08CE6778"/>
    <w:rsid w:val="08E303B7"/>
    <w:rsid w:val="08E793BF"/>
    <w:rsid w:val="08E7CA22"/>
    <w:rsid w:val="08F6D6E2"/>
    <w:rsid w:val="0911F7C3"/>
    <w:rsid w:val="09195CF6"/>
    <w:rsid w:val="09233B7C"/>
    <w:rsid w:val="0936D9B9"/>
    <w:rsid w:val="09479288"/>
    <w:rsid w:val="0950182F"/>
    <w:rsid w:val="095CF477"/>
    <w:rsid w:val="098C4BB7"/>
    <w:rsid w:val="09B41BE8"/>
    <w:rsid w:val="09CA12D3"/>
    <w:rsid w:val="09CC17AA"/>
    <w:rsid w:val="09D34EDC"/>
    <w:rsid w:val="09DC4A9D"/>
    <w:rsid w:val="09E7C77D"/>
    <w:rsid w:val="0A0C2E0A"/>
    <w:rsid w:val="0A0EA084"/>
    <w:rsid w:val="0A1286EA"/>
    <w:rsid w:val="0A1FCA47"/>
    <w:rsid w:val="0A63A97A"/>
    <w:rsid w:val="0A791CB2"/>
    <w:rsid w:val="0AD19013"/>
    <w:rsid w:val="0AD43AE9"/>
    <w:rsid w:val="0B00CF09"/>
    <w:rsid w:val="0B152E5D"/>
    <w:rsid w:val="0B475427"/>
    <w:rsid w:val="0B7AF44D"/>
    <w:rsid w:val="0BB32DB2"/>
    <w:rsid w:val="0C1787CB"/>
    <w:rsid w:val="0C3892B0"/>
    <w:rsid w:val="0C42887E"/>
    <w:rsid w:val="0C4EAD04"/>
    <w:rsid w:val="0C74D54F"/>
    <w:rsid w:val="0C8E3B32"/>
    <w:rsid w:val="0CA18589"/>
    <w:rsid w:val="0CA7A858"/>
    <w:rsid w:val="0CBE8D28"/>
    <w:rsid w:val="0CC91235"/>
    <w:rsid w:val="0CE96AEE"/>
    <w:rsid w:val="0D1F16EF"/>
    <w:rsid w:val="0D2C003E"/>
    <w:rsid w:val="0D355AE9"/>
    <w:rsid w:val="0D661E6F"/>
    <w:rsid w:val="0D6ED9BB"/>
    <w:rsid w:val="0D93ECBF"/>
    <w:rsid w:val="0D9F94EF"/>
    <w:rsid w:val="0DC57C4A"/>
    <w:rsid w:val="0DE71AC9"/>
    <w:rsid w:val="0DEA5CC7"/>
    <w:rsid w:val="0DEB79D9"/>
    <w:rsid w:val="0DFCB5E2"/>
    <w:rsid w:val="0E1B7958"/>
    <w:rsid w:val="0E523840"/>
    <w:rsid w:val="0E5E568C"/>
    <w:rsid w:val="0E71F80E"/>
    <w:rsid w:val="0E7665E6"/>
    <w:rsid w:val="0E7B8B83"/>
    <w:rsid w:val="0E7D3B80"/>
    <w:rsid w:val="0EA62162"/>
    <w:rsid w:val="0EAA0535"/>
    <w:rsid w:val="0EAAA74E"/>
    <w:rsid w:val="0EB47213"/>
    <w:rsid w:val="0EB60D8D"/>
    <w:rsid w:val="0F2093E4"/>
    <w:rsid w:val="0F3E9AD4"/>
    <w:rsid w:val="0F4A1011"/>
    <w:rsid w:val="0F8CB46C"/>
    <w:rsid w:val="0F8E0E83"/>
    <w:rsid w:val="0F8F7CF8"/>
    <w:rsid w:val="0FD5152C"/>
    <w:rsid w:val="1005BCD8"/>
    <w:rsid w:val="1006FDA5"/>
    <w:rsid w:val="1011EA18"/>
    <w:rsid w:val="1024BAD5"/>
    <w:rsid w:val="104FB2C3"/>
    <w:rsid w:val="10614BBA"/>
    <w:rsid w:val="107D2207"/>
    <w:rsid w:val="1094EEEE"/>
    <w:rsid w:val="10AF51FE"/>
    <w:rsid w:val="10BB93BB"/>
    <w:rsid w:val="10E67027"/>
    <w:rsid w:val="110BE0A3"/>
    <w:rsid w:val="11176BCB"/>
    <w:rsid w:val="11595918"/>
    <w:rsid w:val="1159E7FF"/>
    <w:rsid w:val="1182D034"/>
    <w:rsid w:val="1195B85F"/>
    <w:rsid w:val="11ACB2BF"/>
    <w:rsid w:val="11EA2E42"/>
    <w:rsid w:val="11FA3B40"/>
    <w:rsid w:val="124EE2F1"/>
    <w:rsid w:val="125C4847"/>
    <w:rsid w:val="125FB921"/>
    <w:rsid w:val="128E2C9C"/>
    <w:rsid w:val="129BB7F8"/>
    <w:rsid w:val="12AC9ED7"/>
    <w:rsid w:val="12E66BE2"/>
    <w:rsid w:val="12E696C0"/>
    <w:rsid w:val="12E90FC6"/>
    <w:rsid w:val="12F0A8F9"/>
    <w:rsid w:val="130DC899"/>
    <w:rsid w:val="131C3B06"/>
    <w:rsid w:val="132981B2"/>
    <w:rsid w:val="132D93D1"/>
    <w:rsid w:val="133ACDC5"/>
    <w:rsid w:val="1346DC07"/>
    <w:rsid w:val="1347F004"/>
    <w:rsid w:val="1351BE8F"/>
    <w:rsid w:val="135FA705"/>
    <w:rsid w:val="137EAF78"/>
    <w:rsid w:val="138D6519"/>
    <w:rsid w:val="13A6F986"/>
    <w:rsid w:val="13DBCDD5"/>
    <w:rsid w:val="13FC2E77"/>
    <w:rsid w:val="13FCE505"/>
    <w:rsid w:val="13FF53E2"/>
    <w:rsid w:val="1429CF3E"/>
    <w:rsid w:val="142D8AE9"/>
    <w:rsid w:val="14326891"/>
    <w:rsid w:val="1434053C"/>
    <w:rsid w:val="143759EB"/>
    <w:rsid w:val="146B83A8"/>
    <w:rsid w:val="147DA122"/>
    <w:rsid w:val="14809872"/>
    <w:rsid w:val="14D09D63"/>
    <w:rsid w:val="14E0BA25"/>
    <w:rsid w:val="14EAEF7B"/>
    <w:rsid w:val="15066978"/>
    <w:rsid w:val="152A3182"/>
    <w:rsid w:val="15424E34"/>
    <w:rsid w:val="1549289B"/>
    <w:rsid w:val="155E4EFE"/>
    <w:rsid w:val="1566BFCD"/>
    <w:rsid w:val="1569E9D5"/>
    <w:rsid w:val="15B43E0D"/>
    <w:rsid w:val="15D6E7A9"/>
    <w:rsid w:val="15EA9FD8"/>
    <w:rsid w:val="15EF8740"/>
    <w:rsid w:val="1604791C"/>
    <w:rsid w:val="160C1EF8"/>
    <w:rsid w:val="161C7100"/>
    <w:rsid w:val="1621667F"/>
    <w:rsid w:val="1625A731"/>
    <w:rsid w:val="1631D721"/>
    <w:rsid w:val="1654F14B"/>
    <w:rsid w:val="165DCE26"/>
    <w:rsid w:val="167925BE"/>
    <w:rsid w:val="16BDEAF4"/>
    <w:rsid w:val="16C7AD61"/>
    <w:rsid w:val="16F77FD7"/>
    <w:rsid w:val="1703B887"/>
    <w:rsid w:val="171C1E14"/>
    <w:rsid w:val="171C8765"/>
    <w:rsid w:val="172532B4"/>
    <w:rsid w:val="17266212"/>
    <w:rsid w:val="17495790"/>
    <w:rsid w:val="17657DB0"/>
    <w:rsid w:val="18060034"/>
    <w:rsid w:val="18525452"/>
    <w:rsid w:val="18558A44"/>
    <w:rsid w:val="18742FE8"/>
    <w:rsid w:val="18874233"/>
    <w:rsid w:val="1899C934"/>
    <w:rsid w:val="18B1083D"/>
    <w:rsid w:val="18E7FDC9"/>
    <w:rsid w:val="18F8FD0D"/>
    <w:rsid w:val="1902F383"/>
    <w:rsid w:val="1906CC8A"/>
    <w:rsid w:val="1914593E"/>
    <w:rsid w:val="195C4BF7"/>
    <w:rsid w:val="197A9BA6"/>
    <w:rsid w:val="19815C01"/>
    <w:rsid w:val="1994E580"/>
    <w:rsid w:val="19F13B5D"/>
    <w:rsid w:val="19FC714C"/>
    <w:rsid w:val="1A2715A1"/>
    <w:rsid w:val="1A4D39F3"/>
    <w:rsid w:val="1A503D26"/>
    <w:rsid w:val="1A508119"/>
    <w:rsid w:val="1ABCA174"/>
    <w:rsid w:val="1AEA8BA1"/>
    <w:rsid w:val="1AEC49AC"/>
    <w:rsid w:val="1AF46B54"/>
    <w:rsid w:val="1B5DBCE8"/>
    <w:rsid w:val="1B5F7167"/>
    <w:rsid w:val="1B5FED1C"/>
    <w:rsid w:val="1B63C0C9"/>
    <w:rsid w:val="1B68068D"/>
    <w:rsid w:val="1B6E2EDF"/>
    <w:rsid w:val="1B98DF3E"/>
    <w:rsid w:val="1C02940D"/>
    <w:rsid w:val="1C0B6A24"/>
    <w:rsid w:val="1C435492"/>
    <w:rsid w:val="1C448D81"/>
    <w:rsid w:val="1C50A6D0"/>
    <w:rsid w:val="1C7372D3"/>
    <w:rsid w:val="1C9B6956"/>
    <w:rsid w:val="1CA0D225"/>
    <w:rsid w:val="1CAFBB52"/>
    <w:rsid w:val="1CC510C3"/>
    <w:rsid w:val="1CC8720C"/>
    <w:rsid w:val="1CD81CFD"/>
    <w:rsid w:val="1CD8FBCC"/>
    <w:rsid w:val="1D0ED505"/>
    <w:rsid w:val="1D12287F"/>
    <w:rsid w:val="1D437884"/>
    <w:rsid w:val="1D51B4F0"/>
    <w:rsid w:val="1D575758"/>
    <w:rsid w:val="1D6A76AE"/>
    <w:rsid w:val="1D782417"/>
    <w:rsid w:val="1D7F5304"/>
    <w:rsid w:val="1D984FC5"/>
    <w:rsid w:val="1DB8306C"/>
    <w:rsid w:val="1DCE6E0E"/>
    <w:rsid w:val="1DD669AC"/>
    <w:rsid w:val="1DECDDE3"/>
    <w:rsid w:val="1E24C633"/>
    <w:rsid w:val="1E35ED13"/>
    <w:rsid w:val="1E400A01"/>
    <w:rsid w:val="1E4A5630"/>
    <w:rsid w:val="1E540D45"/>
    <w:rsid w:val="1E634891"/>
    <w:rsid w:val="1E7BAB9E"/>
    <w:rsid w:val="1E7D3FD7"/>
    <w:rsid w:val="1EB33782"/>
    <w:rsid w:val="1EC46CCD"/>
    <w:rsid w:val="1ED474B8"/>
    <w:rsid w:val="1EDD69D7"/>
    <w:rsid w:val="1EF775CE"/>
    <w:rsid w:val="1EFD8339"/>
    <w:rsid w:val="1F296F17"/>
    <w:rsid w:val="1F5C644F"/>
    <w:rsid w:val="1F6E4381"/>
    <w:rsid w:val="1F79976B"/>
    <w:rsid w:val="1F893A32"/>
    <w:rsid w:val="1FC83F14"/>
    <w:rsid w:val="1FEAF571"/>
    <w:rsid w:val="1FED94D9"/>
    <w:rsid w:val="1FEEB3EF"/>
    <w:rsid w:val="20521AA1"/>
    <w:rsid w:val="206C2FAE"/>
    <w:rsid w:val="2092E15A"/>
    <w:rsid w:val="20B25C7A"/>
    <w:rsid w:val="20B442B2"/>
    <w:rsid w:val="20BE5E5F"/>
    <w:rsid w:val="20CD7309"/>
    <w:rsid w:val="20CE7DDB"/>
    <w:rsid w:val="20D42D93"/>
    <w:rsid w:val="20E5EEBC"/>
    <w:rsid w:val="20EB9686"/>
    <w:rsid w:val="2118AF91"/>
    <w:rsid w:val="212D1A50"/>
    <w:rsid w:val="2138B369"/>
    <w:rsid w:val="213A9358"/>
    <w:rsid w:val="2148B5D1"/>
    <w:rsid w:val="21682C1F"/>
    <w:rsid w:val="219CAE97"/>
    <w:rsid w:val="21C3F1E0"/>
    <w:rsid w:val="21E4A058"/>
    <w:rsid w:val="21E63867"/>
    <w:rsid w:val="21F1C831"/>
    <w:rsid w:val="21FAC623"/>
    <w:rsid w:val="220FE326"/>
    <w:rsid w:val="2250D8D5"/>
    <w:rsid w:val="22565B92"/>
    <w:rsid w:val="22681903"/>
    <w:rsid w:val="227B4A1D"/>
    <w:rsid w:val="2284CE38"/>
    <w:rsid w:val="228BAF79"/>
    <w:rsid w:val="2295C899"/>
    <w:rsid w:val="22ABAAC2"/>
    <w:rsid w:val="22ACEF57"/>
    <w:rsid w:val="22E7AD99"/>
    <w:rsid w:val="22E828A3"/>
    <w:rsid w:val="22F35259"/>
    <w:rsid w:val="232FFEE7"/>
    <w:rsid w:val="2333289A"/>
    <w:rsid w:val="2333A86E"/>
    <w:rsid w:val="233F11BC"/>
    <w:rsid w:val="234F089E"/>
    <w:rsid w:val="23598494"/>
    <w:rsid w:val="23862E40"/>
    <w:rsid w:val="238A6458"/>
    <w:rsid w:val="23AEC02F"/>
    <w:rsid w:val="23BB8E26"/>
    <w:rsid w:val="2404DDE5"/>
    <w:rsid w:val="243A26C6"/>
    <w:rsid w:val="243CAA68"/>
    <w:rsid w:val="244205D7"/>
    <w:rsid w:val="2485A3C8"/>
    <w:rsid w:val="24A0BD79"/>
    <w:rsid w:val="24DEB4F8"/>
    <w:rsid w:val="2508FFCD"/>
    <w:rsid w:val="252D0C51"/>
    <w:rsid w:val="253D82A1"/>
    <w:rsid w:val="254984B8"/>
    <w:rsid w:val="25499B12"/>
    <w:rsid w:val="255146F5"/>
    <w:rsid w:val="2582A274"/>
    <w:rsid w:val="259F4374"/>
    <w:rsid w:val="25F99C5B"/>
    <w:rsid w:val="261BBA02"/>
    <w:rsid w:val="2621F99A"/>
    <w:rsid w:val="26B8584B"/>
    <w:rsid w:val="26EAFA06"/>
    <w:rsid w:val="26ED91DD"/>
    <w:rsid w:val="26FB2AEB"/>
    <w:rsid w:val="272FFD5C"/>
    <w:rsid w:val="2732521F"/>
    <w:rsid w:val="273321B0"/>
    <w:rsid w:val="2777A1AC"/>
    <w:rsid w:val="277A7B78"/>
    <w:rsid w:val="2789D518"/>
    <w:rsid w:val="278B9620"/>
    <w:rsid w:val="279485EA"/>
    <w:rsid w:val="2796C170"/>
    <w:rsid w:val="27A4BFE4"/>
    <w:rsid w:val="27B6EABC"/>
    <w:rsid w:val="27CE46CF"/>
    <w:rsid w:val="2804BB49"/>
    <w:rsid w:val="28105FE1"/>
    <w:rsid w:val="281807F9"/>
    <w:rsid w:val="28414AA3"/>
    <w:rsid w:val="28473AC9"/>
    <w:rsid w:val="28560790"/>
    <w:rsid w:val="286FDC01"/>
    <w:rsid w:val="28B1D205"/>
    <w:rsid w:val="291C09AE"/>
    <w:rsid w:val="292BDD0E"/>
    <w:rsid w:val="2931E3E1"/>
    <w:rsid w:val="29469186"/>
    <w:rsid w:val="29B4DDF3"/>
    <w:rsid w:val="29BE5748"/>
    <w:rsid w:val="29DA3A8D"/>
    <w:rsid w:val="29E14D5D"/>
    <w:rsid w:val="29E27BF4"/>
    <w:rsid w:val="29EA022E"/>
    <w:rsid w:val="29F645C1"/>
    <w:rsid w:val="2A1189EF"/>
    <w:rsid w:val="2A22837A"/>
    <w:rsid w:val="2A6E6014"/>
    <w:rsid w:val="2A915A36"/>
    <w:rsid w:val="2A964E57"/>
    <w:rsid w:val="2ABAF87B"/>
    <w:rsid w:val="2ABB919E"/>
    <w:rsid w:val="2AE4B4B3"/>
    <w:rsid w:val="2AF8E7D9"/>
    <w:rsid w:val="2AFDADEB"/>
    <w:rsid w:val="2B09DC27"/>
    <w:rsid w:val="2B11DCC2"/>
    <w:rsid w:val="2B8AD337"/>
    <w:rsid w:val="2B9BF105"/>
    <w:rsid w:val="2BBF15FD"/>
    <w:rsid w:val="2BE6DB8E"/>
    <w:rsid w:val="2BF60850"/>
    <w:rsid w:val="2C07AFD4"/>
    <w:rsid w:val="2C10C9DB"/>
    <w:rsid w:val="2C16B07D"/>
    <w:rsid w:val="2C894A00"/>
    <w:rsid w:val="2CC2907C"/>
    <w:rsid w:val="2CF2A03C"/>
    <w:rsid w:val="2D44ABDA"/>
    <w:rsid w:val="2D74E6B7"/>
    <w:rsid w:val="2D7A3AE9"/>
    <w:rsid w:val="2D7AC3C3"/>
    <w:rsid w:val="2D7DB6B8"/>
    <w:rsid w:val="2D916B05"/>
    <w:rsid w:val="2DA8EEDA"/>
    <w:rsid w:val="2DB536CD"/>
    <w:rsid w:val="2DB7A8EB"/>
    <w:rsid w:val="2DCDED65"/>
    <w:rsid w:val="2DF001DB"/>
    <w:rsid w:val="2DF9777C"/>
    <w:rsid w:val="2E036A02"/>
    <w:rsid w:val="2E077CF0"/>
    <w:rsid w:val="2E0D9DF9"/>
    <w:rsid w:val="2E200665"/>
    <w:rsid w:val="2E5CEFEF"/>
    <w:rsid w:val="2E6D2968"/>
    <w:rsid w:val="2E8065FC"/>
    <w:rsid w:val="2E9536A8"/>
    <w:rsid w:val="2E958043"/>
    <w:rsid w:val="2EA46F6D"/>
    <w:rsid w:val="2EB60557"/>
    <w:rsid w:val="2EB7EFA4"/>
    <w:rsid w:val="2EE7AB66"/>
    <w:rsid w:val="2F0CD394"/>
    <w:rsid w:val="2F2A3217"/>
    <w:rsid w:val="2F4A1DEF"/>
    <w:rsid w:val="2F4ACEAA"/>
    <w:rsid w:val="2F4CDD62"/>
    <w:rsid w:val="2F56EC35"/>
    <w:rsid w:val="2FA4DB4F"/>
    <w:rsid w:val="2FB16CAA"/>
    <w:rsid w:val="2FBC0C2F"/>
    <w:rsid w:val="2FC58A5D"/>
    <w:rsid w:val="2FEA15FE"/>
    <w:rsid w:val="3003ED87"/>
    <w:rsid w:val="300AE8CC"/>
    <w:rsid w:val="302412E0"/>
    <w:rsid w:val="30358B26"/>
    <w:rsid w:val="305A4ABF"/>
    <w:rsid w:val="3076A6F5"/>
    <w:rsid w:val="3076AF28"/>
    <w:rsid w:val="307E3A4D"/>
    <w:rsid w:val="308BD7C2"/>
    <w:rsid w:val="30A8645C"/>
    <w:rsid w:val="30D47A9B"/>
    <w:rsid w:val="30DA7794"/>
    <w:rsid w:val="30DF4560"/>
    <w:rsid w:val="30E337BA"/>
    <w:rsid w:val="30ECBCCE"/>
    <w:rsid w:val="30F1AADC"/>
    <w:rsid w:val="30F6933F"/>
    <w:rsid w:val="3107682E"/>
    <w:rsid w:val="310BB095"/>
    <w:rsid w:val="3132455A"/>
    <w:rsid w:val="314834A4"/>
    <w:rsid w:val="316563AD"/>
    <w:rsid w:val="3166D404"/>
    <w:rsid w:val="317B9296"/>
    <w:rsid w:val="3188D35C"/>
    <w:rsid w:val="318D7DE5"/>
    <w:rsid w:val="318DC9B7"/>
    <w:rsid w:val="31ABAAA8"/>
    <w:rsid w:val="31ADF0C9"/>
    <w:rsid w:val="31CDC4F3"/>
    <w:rsid w:val="321C778D"/>
    <w:rsid w:val="32841924"/>
    <w:rsid w:val="32A7875B"/>
    <w:rsid w:val="32B1EB55"/>
    <w:rsid w:val="32E856B2"/>
    <w:rsid w:val="32F0A03F"/>
    <w:rsid w:val="32F9E78A"/>
    <w:rsid w:val="3309FC86"/>
    <w:rsid w:val="33133DBD"/>
    <w:rsid w:val="331FD5D2"/>
    <w:rsid w:val="33433618"/>
    <w:rsid w:val="336A93D7"/>
    <w:rsid w:val="33735EDB"/>
    <w:rsid w:val="339EE74A"/>
    <w:rsid w:val="33B5B6C9"/>
    <w:rsid w:val="33BFCFEB"/>
    <w:rsid w:val="33EB3794"/>
    <w:rsid w:val="3408ABB4"/>
    <w:rsid w:val="342396CB"/>
    <w:rsid w:val="346FC708"/>
    <w:rsid w:val="34A96DA8"/>
    <w:rsid w:val="34BC986B"/>
    <w:rsid w:val="34BDFBE5"/>
    <w:rsid w:val="34C00E11"/>
    <w:rsid w:val="34CFC0AA"/>
    <w:rsid w:val="34EE564C"/>
    <w:rsid w:val="34F8D2A4"/>
    <w:rsid w:val="34FBF719"/>
    <w:rsid w:val="3506F8A5"/>
    <w:rsid w:val="35362BEF"/>
    <w:rsid w:val="3556AB03"/>
    <w:rsid w:val="35587EB8"/>
    <w:rsid w:val="355D6776"/>
    <w:rsid w:val="356BD57C"/>
    <w:rsid w:val="357E3022"/>
    <w:rsid w:val="35937E6D"/>
    <w:rsid w:val="35AB3EDF"/>
    <w:rsid w:val="35B7ED62"/>
    <w:rsid w:val="35DA2F7E"/>
    <w:rsid w:val="35E86B8E"/>
    <w:rsid w:val="35FFD1FA"/>
    <w:rsid w:val="362ACA83"/>
    <w:rsid w:val="362C233C"/>
    <w:rsid w:val="364D0E46"/>
    <w:rsid w:val="36598CC5"/>
    <w:rsid w:val="36C2FA0A"/>
    <w:rsid w:val="371578D5"/>
    <w:rsid w:val="371B90C1"/>
    <w:rsid w:val="3738E1D7"/>
    <w:rsid w:val="3772CC61"/>
    <w:rsid w:val="3781A064"/>
    <w:rsid w:val="378C8DF1"/>
    <w:rsid w:val="379E8A9B"/>
    <w:rsid w:val="3828BDC3"/>
    <w:rsid w:val="385C3A69"/>
    <w:rsid w:val="38A2F484"/>
    <w:rsid w:val="38CD2C2A"/>
    <w:rsid w:val="38D3C0EA"/>
    <w:rsid w:val="3908ABCF"/>
    <w:rsid w:val="3909AB71"/>
    <w:rsid w:val="391674E9"/>
    <w:rsid w:val="3927B600"/>
    <w:rsid w:val="393873D6"/>
    <w:rsid w:val="39407483"/>
    <w:rsid w:val="3945C474"/>
    <w:rsid w:val="39750191"/>
    <w:rsid w:val="3976AF81"/>
    <w:rsid w:val="398B169D"/>
    <w:rsid w:val="399F8F18"/>
    <w:rsid w:val="39B99D30"/>
    <w:rsid w:val="39BC4107"/>
    <w:rsid w:val="39D584D1"/>
    <w:rsid w:val="39FF67E7"/>
    <w:rsid w:val="3A00B5EA"/>
    <w:rsid w:val="3A1373BC"/>
    <w:rsid w:val="3A169E63"/>
    <w:rsid w:val="3A2BD988"/>
    <w:rsid w:val="3A2BDC81"/>
    <w:rsid w:val="3A405A2B"/>
    <w:rsid w:val="3A65D0D1"/>
    <w:rsid w:val="3A723886"/>
    <w:rsid w:val="3A803737"/>
    <w:rsid w:val="3A920DC5"/>
    <w:rsid w:val="3A92FACC"/>
    <w:rsid w:val="3A957797"/>
    <w:rsid w:val="3AA8C385"/>
    <w:rsid w:val="3ABC7479"/>
    <w:rsid w:val="3B05703A"/>
    <w:rsid w:val="3B1457E7"/>
    <w:rsid w:val="3B19ABFB"/>
    <w:rsid w:val="3B47D21A"/>
    <w:rsid w:val="3B5F158E"/>
    <w:rsid w:val="3B72A1B9"/>
    <w:rsid w:val="3B73FBF8"/>
    <w:rsid w:val="3B9001D4"/>
    <w:rsid w:val="3BB10E62"/>
    <w:rsid w:val="3BBBC5B1"/>
    <w:rsid w:val="3BC128C5"/>
    <w:rsid w:val="3C0C2194"/>
    <w:rsid w:val="3C0F4F6E"/>
    <w:rsid w:val="3C17990B"/>
    <w:rsid w:val="3C20FEC3"/>
    <w:rsid w:val="3C34BB88"/>
    <w:rsid w:val="3C49FE42"/>
    <w:rsid w:val="3C4F8C61"/>
    <w:rsid w:val="3C780533"/>
    <w:rsid w:val="3C8DCF92"/>
    <w:rsid w:val="3CB4ED8B"/>
    <w:rsid w:val="3CB5E6BB"/>
    <w:rsid w:val="3CD772C2"/>
    <w:rsid w:val="3CD9056E"/>
    <w:rsid w:val="3CE95C2E"/>
    <w:rsid w:val="3D41D87F"/>
    <w:rsid w:val="3D69C26D"/>
    <w:rsid w:val="3D78FE75"/>
    <w:rsid w:val="3D8611F7"/>
    <w:rsid w:val="3DA03916"/>
    <w:rsid w:val="3DB68AFA"/>
    <w:rsid w:val="3DC9402D"/>
    <w:rsid w:val="3E5AD05B"/>
    <w:rsid w:val="3E716258"/>
    <w:rsid w:val="3E74D52F"/>
    <w:rsid w:val="3E83CB18"/>
    <w:rsid w:val="3E872864"/>
    <w:rsid w:val="3EA7E630"/>
    <w:rsid w:val="3EB80AB4"/>
    <w:rsid w:val="3ECD3DB8"/>
    <w:rsid w:val="3EEC4314"/>
    <w:rsid w:val="3EF1E212"/>
    <w:rsid w:val="3F3388B3"/>
    <w:rsid w:val="3F558FB2"/>
    <w:rsid w:val="3F75474E"/>
    <w:rsid w:val="3F7A73F5"/>
    <w:rsid w:val="3F853CFE"/>
    <w:rsid w:val="3FAB8BF9"/>
    <w:rsid w:val="3FB4967D"/>
    <w:rsid w:val="3FD1240A"/>
    <w:rsid w:val="3FEDF359"/>
    <w:rsid w:val="3FF0D0E2"/>
    <w:rsid w:val="4022F2B2"/>
    <w:rsid w:val="404CC6BE"/>
    <w:rsid w:val="404EA1D2"/>
    <w:rsid w:val="40735FAA"/>
    <w:rsid w:val="408FAB9F"/>
    <w:rsid w:val="40997F2A"/>
    <w:rsid w:val="40BC27C9"/>
    <w:rsid w:val="40D49DAF"/>
    <w:rsid w:val="40F0737C"/>
    <w:rsid w:val="410360D9"/>
    <w:rsid w:val="410EB601"/>
    <w:rsid w:val="410EC44A"/>
    <w:rsid w:val="417F4FC5"/>
    <w:rsid w:val="4193C8A4"/>
    <w:rsid w:val="41BBA812"/>
    <w:rsid w:val="41D34C08"/>
    <w:rsid w:val="41D47C4C"/>
    <w:rsid w:val="420FB053"/>
    <w:rsid w:val="4264BF23"/>
    <w:rsid w:val="426CFEFC"/>
    <w:rsid w:val="4270F9FF"/>
    <w:rsid w:val="4318F989"/>
    <w:rsid w:val="431DF1B5"/>
    <w:rsid w:val="4341D8DB"/>
    <w:rsid w:val="43437D61"/>
    <w:rsid w:val="434478BC"/>
    <w:rsid w:val="4350AC7F"/>
    <w:rsid w:val="435CAE4B"/>
    <w:rsid w:val="43708A16"/>
    <w:rsid w:val="437EB3C3"/>
    <w:rsid w:val="438F862C"/>
    <w:rsid w:val="43D33A54"/>
    <w:rsid w:val="43D624AE"/>
    <w:rsid w:val="43E92210"/>
    <w:rsid w:val="440D4A0A"/>
    <w:rsid w:val="442DA637"/>
    <w:rsid w:val="444B4E0D"/>
    <w:rsid w:val="4452EAB3"/>
    <w:rsid w:val="44645EED"/>
    <w:rsid w:val="4468A66C"/>
    <w:rsid w:val="446F19A5"/>
    <w:rsid w:val="447BD5B1"/>
    <w:rsid w:val="44892ED2"/>
    <w:rsid w:val="44D6EB34"/>
    <w:rsid w:val="44FBDF45"/>
    <w:rsid w:val="4500A448"/>
    <w:rsid w:val="4581F994"/>
    <w:rsid w:val="459885A2"/>
    <w:rsid w:val="45AF6663"/>
    <w:rsid w:val="45F83655"/>
    <w:rsid w:val="460A55A2"/>
    <w:rsid w:val="463A0FFC"/>
    <w:rsid w:val="4646B3E9"/>
    <w:rsid w:val="46544719"/>
    <w:rsid w:val="46570468"/>
    <w:rsid w:val="465F40CA"/>
    <w:rsid w:val="4664824A"/>
    <w:rsid w:val="466FC244"/>
    <w:rsid w:val="468A1609"/>
    <w:rsid w:val="4690686C"/>
    <w:rsid w:val="4695E616"/>
    <w:rsid w:val="46CA561A"/>
    <w:rsid w:val="46DF9FEF"/>
    <w:rsid w:val="46EA029B"/>
    <w:rsid w:val="46FD403F"/>
    <w:rsid w:val="4707CCA1"/>
    <w:rsid w:val="4711E33C"/>
    <w:rsid w:val="47214CB6"/>
    <w:rsid w:val="472A126B"/>
    <w:rsid w:val="47580041"/>
    <w:rsid w:val="47B6647A"/>
    <w:rsid w:val="47B79C87"/>
    <w:rsid w:val="47CCAC0B"/>
    <w:rsid w:val="47D57AF7"/>
    <w:rsid w:val="480DFC04"/>
    <w:rsid w:val="48487B4D"/>
    <w:rsid w:val="485CF428"/>
    <w:rsid w:val="48613CE4"/>
    <w:rsid w:val="4870955A"/>
    <w:rsid w:val="48857D6B"/>
    <w:rsid w:val="4893B2E5"/>
    <w:rsid w:val="489AA6FA"/>
    <w:rsid w:val="48E1FA9C"/>
    <w:rsid w:val="48EF4C1B"/>
    <w:rsid w:val="48F30954"/>
    <w:rsid w:val="49034ABD"/>
    <w:rsid w:val="49056DA9"/>
    <w:rsid w:val="4916B207"/>
    <w:rsid w:val="492E9E8D"/>
    <w:rsid w:val="4945397B"/>
    <w:rsid w:val="496A7631"/>
    <w:rsid w:val="49868C15"/>
    <w:rsid w:val="499A2FF8"/>
    <w:rsid w:val="49A2565C"/>
    <w:rsid w:val="49BD9FE4"/>
    <w:rsid w:val="49C24F01"/>
    <w:rsid w:val="49EF52CC"/>
    <w:rsid w:val="49FCBD84"/>
    <w:rsid w:val="4A09E0E7"/>
    <w:rsid w:val="4A0F8FCF"/>
    <w:rsid w:val="4A1AE949"/>
    <w:rsid w:val="4A4D9E19"/>
    <w:rsid w:val="4ABE20BA"/>
    <w:rsid w:val="4ACA6112"/>
    <w:rsid w:val="4ACE0BE4"/>
    <w:rsid w:val="4B0D88C9"/>
    <w:rsid w:val="4B1087F2"/>
    <w:rsid w:val="4B4AD353"/>
    <w:rsid w:val="4B71A171"/>
    <w:rsid w:val="4BF347B3"/>
    <w:rsid w:val="4BF94064"/>
    <w:rsid w:val="4BFC9517"/>
    <w:rsid w:val="4C036C5A"/>
    <w:rsid w:val="4C305E35"/>
    <w:rsid w:val="4C351E3A"/>
    <w:rsid w:val="4C473D7A"/>
    <w:rsid w:val="4C76441D"/>
    <w:rsid w:val="4C853976"/>
    <w:rsid w:val="4CA5DE73"/>
    <w:rsid w:val="4CA79C25"/>
    <w:rsid w:val="4CAF0774"/>
    <w:rsid w:val="4CAF61BD"/>
    <w:rsid w:val="4CB9FFDC"/>
    <w:rsid w:val="4CC19968"/>
    <w:rsid w:val="4CEB6BE0"/>
    <w:rsid w:val="4CEE9A16"/>
    <w:rsid w:val="4D007475"/>
    <w:rsid w:val="4D076086"/>
    <w:rsid w:val="4D112569"/>
    <w:rsid w:val="4D1153B6"/>
    <w:rsid w:val="4D3C3C88"/>
    <w:rsid w:val="4D72E0E3"/>
    <w:rsid w:val="4D810380"/>
    <w:rsid w:val="4D9A207F"/>
    <w:rsid w:val="4DB568DC"/>
    <w:rsid w:val="4DBAC47C"/>
    <w:rsid w:val="4DBE154B"/>
    <w:rsid w:val="4DC3A115"/>
    <w:rsid w:val="4DDD43E0"/>
    <w:rsid w:val="4DEC2A3A"/>
    <w:rsid w:val="4DF963D0"/>
    <w:rsid w:val="4DFF8FE7"/>
    <w:rsid w:val="4E1A57EE"/>
    <w:rsid w:val="4E1F2AC3"/>
    <w:rsid w:val="4E2B192E"/>
    <w:rsid w:val="4E4A51E4"/>
    <w:rsid w:val="4E6EB633"/>
    <w:rsid w:val="4EB1421B"/>
    <w:rsid w:val="4EBD94F8"/>
    <w:rsid w:val="4EC65F33"/>
    <w:rsid w:val="4EC758FA"/>
    <w:rsid w:val="4F02113D"/>
    <w:rsid w:val="4F220076"/>
    <w:rsid w:val="4F2CD6AB"/>
    <w:rsid w:val="4F4B2A8D"/>
    <w:rsid w:val="4F4BEA67"/>
    <w:rsid w:val="4F5F8CCB"/>
    <w:rsid w:val="4FD9CA15"/>
    <w:rsid w:val="4FE1FBEE"/>
    <w:rsid w:val="50103DC5"/>
    <w:rsid w:val="5010A07F"/>
    <w:rsid w:val="5013A0FF"/>
    <w:rsid w:val="5025BBBA"/>
    <w:rsid w:val="502910AC"/>
    <w:rsid w:val="503326C5"/>
    <w:rsid w:val="506375AA"/>
    <w:rsid w:val="50B9BCDF"/>
    <w:rsid w:val="50C1AB52"/>
    <w:rsid w:val="50C1D0A1"/>
    <w:rsid w:val="51016CCD"/>
    <w:rsid w:val="51172612"/>
    <w:rsid w:val="5117B965"/>
    <w:rsid w:val="511B2071"/>
    <w:rsid w:val="5178CB8B"/>
    <w:rsid w:val="51834CB6"/>
    <w:rsid w:val="51A3DD65"/>
    <w:rsid w:val="51BCECDD"/>
    <w:rsid w:val="51C1A14E"/>
    <w:rsid w:val="5212C3E1"/>
    <w:rsid w:val="5217A013"/>
    <w:rsid w:val="522AE47D"/>
    <w:rsid w:val="5252E580"/>
    <w:rsid w:val="526AB65D"/>
    <w:rsid w:val="528092D4"/>
    <w:rsid w:val="52B11246"/>
    <w:rsid w:val="52C7C011"/>
    <w:rsid w:val="52D0A244"/>
    <w:rsid w:val="52DBC017"/>
    <w:rsid w:val="52DD0202"/>
    <w:rsid w:val="52DD36D3"/>
    <w:rsid w:val="52E5CB6B"/>
    <w:rsid w:val="5337BC21"/>
    <w:rsid w:val="533D162B"/>
    <w:rsid w:val="53441A07"/>
    <w:rsid w:val="536F3EE2"/>
    <w:rsid w:val="53A03EB8"/>
    <w:rsid w:val="53AA8745"/>
    <w:rsid w:val="53C2B92A"/>
    <w:rsid w:val="53C41E36"/>
    <w:rsid w:val="53D10903"/>
    <w:rsid w:val="53D1090D"/>
    <w:rsid w:val="53DC07CA"/>
    <w:rsid w:val="5410A6B1"/>
    <w:rsid w:val="5447BC17"/>
    <w:rsid w:val="545A1F8E"/>
    <w:rsid w:val="54906D1C"/>
    <w:rsid w:val="54B5BEDE"/>
    <w:rsid w:val="54B8D43C"/>
    <w:rsid w:val="54E8C078"/>
    <w:rsid w:val="54F8C325"/>
    <w:rsid w:val="551CD8E7"/>
    <w:rsid w:val="555AD3ED"/>
    <w:rsid w:val="556DBF30"/>
    <w:rsid w:val="559CB043"/>
    <w:rsid w:val="559F5C9A"/>
    <w:rsid w:val="55A346B7"/>
    <w:rsid w:val="55ABEE12"/>
    <w:rsid w:val="55CA2012"/>
    <w:rsid w:val="55D8FD07"/>
    <w:rsid w:val="55E3F86C"/>
    <w:rsid w:val="560DDE7E"/>
    <w:rsid w:val="561E3803"/>
    <w:rsid w:val="563FBA1E"/>
    <w:rsid w:val="5691A620"/>
    <w:rsid w:val="56A5187F"/>
    <w:rsid w:val="56AFCCCE"/>
    <w:rsid w:val="57071373"/>
    <w:rsid w:val="57244319"/>
    <w:rsid w:val="5732C0E4"/>
    <w:rsid w:val="57334D44"/>
    <w:rsid w:val="57356CBC"/>
    <w:rsid w:val="573E1CA5"/>
    <w:rsid w:val="575BF54D"/>
    <w:rsid w:val="575DC8F8"/>
    <w:rsid w:val="577C17C2"/>
    <w:rsid w:val="57C9630B"/>
    <w:rsid w:val="57D587AD"/>
    <w:rsid w:val="581C8AAF"/>
    <w:rsid w:val="58419569"/>
    <w:rsid w:val="5867940B"/>
    <w:rsid w:val="589D58F1"/>
    <w:rsid w:val="58EF3B92"/>
    <w:rsid w:val="5904947C"/>
    <w:rsid w:val="5923F795"/>
    <w:rsid w:val="59329F82"/>
    <w:rsid w:val="59626519"/>
    <w:rsid w:val="5969D093"/>
    <w:rsid w:val="59BC5751"/>
    <w:rsid w:val="59CC6B2D"/>
    <w:rsid w:val="59DAFE3E"/>
    <w:rsid w:val="59DFAD6E"/>
    <w:rsid w:val="59E9BA05"/>
    <w:rsid w:val="5A002A26"/>
    <w:rsid w:val="5A07CE46"/>
    <w:rsid w:val="5A1055FD"/>
    <w:rsid w:val="5A2AAE75"/>
    <w:rsid w:val="5A3A6B93"/>
    <w:rsid w:val="5A3F1C95"/>
    <w:rsid w:val="5A4C45F3"/>
    <w:rsid w:val="5A66D05A"/>
    <w:rsid w:val="5A961B1E"/>
    <w:rsid w:val="5AA26165"/>
    <w:rsid w:val="5ACB95DE"/>
    <w:rsid w:val="5AD1C338"/>
    <w:rsid w:val="5ADEE8BE"/>
    <w:rsid w:val="5AF17BAD"/>
    <w:rsid w:val="5AF6F1FC"/>
    <w:rsid w:val="5B1DED42"/>
    <w:rsid w:val="5B386AFB"/>
    <w:rsid w:val="5B56D94B"/>
    <w:rsid w:val="5B6339D4"/>
    <w:rsid w:val="5B789DB9"/>
    <w:rsid w:val="5B89F3DD"/>
    <w:rsid w:val="5BBA3B55"/>
    <w:rsid w:val="5BDFE7CE"/>
    <w:rsid w:val="5C0690B6"/>
    <w:rsid w:val="5C534442"/>
    <w:rsid w:val="5C57A3A9"/>
    <w:rsid w:val="5C6018BB"/>
    <w:rsid w:val="5C7434C6"/>
    <w:rsid w:val="5C749544"/>
    <w:rsid w:val="5C7E1A40"/>
    <w:rsid w:val="5C921B2B"/>
    <w:rsid w:val="5CC88582"/>
    <w:rsid w:val="5CD6E17F"/>
    <w:rsid w:val="5CE26CC0"/>
    <w:rsid w:val="5D08FEAE"/>
    <w:rsid w:val="5D377DDB"/>
    <w:rsid w:val="5D657797"/>
    <w:rsid w:val="5D90A79E"/>
    <w:rsid w:val="5DB1146A"/>
    <w:rsid w:val="5DB83135"/>
    <w:rsid w:val="5DBC15D3"/>
    <w:rsid w:val="5DC279B9"/>
    <w:rsid w:val="5DC91671"/>
    <w:rsid w:val="5DDA5954"/>
    <w:rsid w:val="5DDDC711"/>
    <w:rsid w:val="5DE7BB6A"/>
    <w:rsid w:val="5E1524BE"/>
    <w:rsid w:val="5E3E0719"/>
    <w:rsid w:val="5E78ADEA"/>
    <w:rsid w:val="5E86C87F"/>
    <w:rsid w:val="5E981922"/>
    <w:rsid w:val="5ED3C54A"/>
    <w:rsid w:val="5EDE93DA"/>
    <w:rsid w:val="5EFA8A49"/>
    <w:rsid w:val="5F64C637"/>
    <w:rsid w:val="5F89F376"/>
    <w:rsid w:val="5FAC169E"/>
    <w:rsid w:val="5FB033F6"/>
    <w:rsid w:val="5FB1F6ED"/>
    <w:rsid w:val="5FB3649D"/>
    <w:rsid w:val="5FB86F66"/>
    <w:rsid w:val="5FB954F3"/>
    <w:rsid w:val="5FD47E83"/>
    <w:rsid w:val="5FD5C53A"/>
    <w:rsid w:val="5FEFF128"/>
    <w:rsid w:val="603D3854"/>
    <w:rsid w:val="604F1573"/>
    <w:rsid w:val="6055F8BC"/>
    <w:rsid w:val="605912F8"/>
    <w:rsid w:val="6063DF34"/>
    <w:rsid w:val="609A2440"/>
    <w:rsid w:val="60BA4006"/>
    <w:rsid w:val="60BE581E"/>
    <w:rsid w:val="60D4408A"/>
    <w:rsid w:val="60E85E19"/>
    <w:rsid w:val="60FCFB37"/>
    <w:rsid w:val="610297C6"/>
    <w:rsid w:val="610506A6"/>
    <w:rsid w:val="612D0A4A"/>
    <w:rsid w:val="6132AC98"/>
    <w:rsid w:val="613DACC1"/>
    <w:rsid w:val="613F02F1"/>
    <w:rsid w:val="61675FA2"/>
    <w:rsid w:val="616E6D0E"/>
    <w:rsid w:val="61924408"/>
    <w:rsid w:val="61974D5E"/>
    <w:rsid w:val="61B9B241"/>
    <w:rsid w:val="61C2E89C"/>
    <w:rsid w:val="61CA5A49"/>
    <w:rsid w:val="61CAEEB1"/>
    <w:rsid w:val="61CF5E19"/>
    <w:rsid w:val="61FA3612"/>
    <w:rsid w:val="620510C1"/>
    <w:rsid w:val="6223B4E4"/>
    <w:rsid w:val="6241CEF2"/>
    <w:rsid w:val="6257C6ED"/>
    <w:rsid w:val="62718671"/>
    <w:rsid w:val="6273C887"/>
    <w:rsid w:val="62AB31CB"/>
    <w:rsid w:val="62B32DBF"/>
    <w:rsid w:val="62B6D9E7"/>
    <w:rsid w:val="62DC255C"/>
    <w:rsid w:val="62E55920"/>
    <w:rsid w:val="62FB948D"/>
    <w:rsid w:val="63384328"/>
    <w:rsid w:val="6340ABA2"/>
    <w:rsid w:val="6347EDD5"/>
    <w:rsid w:val="636FF9D8"/>
    <w:rsid w:val="6373988D"/>
    <w:rsid w:val="63783EF5"/>
    <w:rsid w:val="63A33F82"/>
    <w:rsid w:val="63BDB50F"/>
    <w:rsid w:val="63CA96D2"/>
    <w:rsid w:val="63D28375"/>
    <w:rsid w:val="64228DDA"/>
    <w:rsid w:val="6428B5A4"/>
    <w:rsid w:val="64771BB2"/>
    <w:rsid w:val="6481AF53"/>
    <w:rsid w:val="64B71269"/>
    <w:rsid w:val="64C724C9"/>
    <w:rsid w:val="64CD1B34"/>
    <w:rsid w:val="64DA6FF2"/>
    <w:rsid w:val="64E67E0F"/>
    <w:rsid w:val="64F67B33"/>
    <w:rsid w:val="6506BBD9"/>
    <w:rsid w:val="6511BA3A"/>
    <w:rsid w:val="65264D51"/>
    <w:rsid w:val="653CE142"/>
    <w:rsid w:val="6562C211"/>
    <w:rsid w:val="656BA492"/>
    <w:rsid w:val="65709488"/>
    <w:rsid w:val="65B5B97F"/>
    <w:rsid w:val="65BF46DE"/>
    <w:rsid w:val="65C08445"/>
    <w:rsid w:val="6602ECF8"/>
    <w:rsid w:val="66088017"/>
    <w:rsid w:val="661E6EE3"/>
    <w:rsid w:val="6623A8C3"/>
    <w:rsid w:val="665DE740"/>
    <w:rsid w:val="666EA496"/>
    <w:rsid w:val="666FD760"/>
    <w:rsid w:val="66764645"/>
    <w:rsid w:val="667B9F64"/>
    <w:rsid w:val="66DC1BBA"/>
    <w:rsid w:val="66E41432"/>
    <w:rsid w:val="671BB73D"/>
    <w:rsid w:val="67213B0C"/>
    <w:rsid w:val="67322730"/>
    <w:rsid w:val="6734930E"/>
    <w:rsid w:val="676B7914"/>
    <w:rsid w:val="67802BEC"/>
    <w:rsid w:val="6785D8BF"/>
    <w:rsid w:val="67A76750"/>
    <w:rsid w:val="67AC4D15"/>
    <w:rsid w:val="67E2B80B"/>
    <w:rsid w:val="67EA81AC"/>
    <w:rsid w:val="683B405A"/>
    <w:rsid w:val="683E6410"/>
    <w:rsid w:val="687587A7"/>
    <w:rsid w:val="6876EABC"/>
    <w:rsid w:val="688D761E"/>
    <w:rsid w:val="689C9E9E"/>
    <w:rsid w:val="68A0C0AF"/>
    <w:rsid w:val="68BA3157"/>
    <w:rsid w:val="68CD40BF"/>
    <w:rsid w:val="68D1DC73"/>
    <w:rsid w:val="68D4FAFC"/>
    <w:rsid w:val="6924DB7F"/>
    <w:rsid w:val="69272B9B"/>
    <w:rsid w:val="6927661F"/>
    <w:rsid w:val="69346294"/>
    <w:rsid w:val="696E9A51"/>
    <w:rsid w:val="69A05302"/>
    <w:rsid w:val="69A810A3"/>
    <w:rsid w:val="69C07E3D"/>
    <w:rsid w:val="69E94800"/>
    <w:rsid w:val="69FE98D1"/>
    <w:rsid w:val="6A7B7CBB"/>
    <w:rsid w:val="6A9717F6"/>
    <w:rsid w:val="6AAA768C"/>
    <w:rsid w:val="6AF18D1C"/>
    <w:rsid w:val="6AF7871A"/>
    <w:rsid w:val="6B2A7B40"/>
    <w:rsid w:val="6B376805"/>
    <w:rsid w:val="6B59148E"/>
    <w:rsid w:val="6B6E7953"/>
    <w:rsid w:val="6B91101C"/>
    <w:rsid w:val="6B956482"/>
    <w:rsid w:val="6B9FBA88"/>
    <w:rsid w:val="6BB05467"/>
    <w:rsid w:val="6BDA04E9"/>
    <w:rsid w:val="6BE811EC"/>
    <w:rsid w:val="6BED45CF"/>
    <w:rsid w:val="6C068CD6"/>
    <w:rsid w:val="6C51F8DD"/>
    <w:rsid w:val="6C5325AF"/>
    <w:rsid w:val="6C5788C5"/>
    <w:rsid w:val="6C98E1A8"/>
    <w:rsid w:val="6C9DE285"/>
    <w:rsid w:val="6C9F4C3E"/>
    <w:rsid w:val="6CB9D02A"/>
    <w:rsid w:val="6CED4FD6"/>
    <w:rsid w:val="6D2FDA7B"/>
    <w:rsid w:val="6D4ACE5F"/>
    <w:rsid w:val="6D6BA1E2"/>
    <w:rsid w:val="6D80EA9E"/>
    <w:rsid w:val="6D8E9729"/>
    <w:rsid w:val="6DA288C2"/>
    <w:rsid w:val="6DA469F3"/>
    <w:rsid w:val="6DABADDA"/>
    <w:rsid w:val="6DC816C6"/>
    <w:rsid w:val="6DD0680B"/>
    <w:rsid w:val="6DDB8095"/>
    <w:rsid w:val="6DDE0772"/>
    <w:rsid w:val="6DEC256A"/>
    <w:rsid w:val="6E17ADED"/>
    <w:rsid w:val="6E381D3B"/>
    <w:rsid w:val="6E48AF36"/>
    <w:rsid w:val="6E63E75F"/>
    <w:rsid w:val="6E6E667C"/>
    <w:rsid w:val="6E769A19"/>
    <w:rsid w:val="6E78C645"/>
    <w:rsid w:val="6E8A587D"/>
    <w:rsid w:val="6EA44B76"/>
    <w:rsid w:val="6EAFBD92"/>
    <w:rsid w:val="6EB98933"/>
    <w:rsid w:val="6ED4CAF9"/>
    <w:rsid w:val="6EE2474C"/>
    <w:rsid w:val="6F2A8E04"/>
    <w:rsid w:val="6F387409"/>
    <w:rsid w:val="6F4EAE9F"/>
    <w:rsid w:val="6F5D84CF"/>
    <w:rsid w:val="6F6D0277"/>
    <w:rsid w:val="6F780BAE"/>
    <w:rsid w:val="6FB352D6"/>
    <w:rsid w:val="6FB514E3"/>
    <w:rsid w:val="6FD27D20"/>
    <w:rsid w:val="705DF041"/>
    <w:rsid w:val="706E28C5"/>
    <w:rsid w:val="70906DA7"/>
    <w:rsid w:val="70A913E2"/>
    <w:rsid w:val="70B16E9D"/>
    <w:rsid w:val="70B35582"/>
    <w:rsid w:val="70B4663C"/>
    <w:rsid w:val="70BEE2C5"/>
    <w:rsid w:val="70C90B71"/>
    <w:rsid w:val="70CCBECB"/>
    <w:rsid w:val="70CF7E2F"/>
    <w:rsid w:val="70EDF6CE"/>
    <w:rsid w:val="71162A55"/>
    <w:rsid w:val="711D2AAF"/>
    <w:rsid w:val="7132C39B"/>
    <w:rsid w:val="715D9355"/>
    <w:rsid w:val="718FB50D"/>
    <w:rsid w:val="71C4506B"/>
    <w:rsid w:val="71D27995"/>
    <w:rsid w:val="71ECAD34"/>
    <w:rsid w:val="71F99D45"/>
    <w:rsid w:val="72216C6E"/>
    <w:rsid w:val="722BCB21"/>
    <w:rsid w:val="722BD6C3"/>
    <w:rsid w:val="724D8D59"/>
    <w:rsid w:val="7255EA86"/>
    <w:rsid w:val="7261937D"/>
    <w:rsid w:val="7279821A"/>
    <w:rsid w:val="727B3B3A"/>
    <w:rsid w:val="72811E39"/>
    <w:rsid w:val="7295419C"/>
    <w:rsid w:val="72A87A5D"/>
    <w:rsid w:val="72BA9224"/>
    <w:rsid w:val="72CA9050"/>
    <w:rsid w:val="72E2F2DE"/>
    <w:rsid w:val="72F79BD1"/>
    <w:rsid w:val="730D9C72"/>
    <w:rsid w:val="7355FEC0"/>
    <w:rsid w:val="73591C94"/>
    <w:rsid w:val="735DE1B7"/>
    <w:rsid w:val="739A30DE"/>
    <w:rsid w:val="73AAF22D"/>
    <w:rsid w:val="73CFD66B"/>
    <w:rsid w:val="73D73A32"/>
    <w:rsid w:val="73E17964"/>
    <w:rsid w:val="74028C0A"/>
    <w:rsid w:val="7440079B"/>
    <w:rsid w:val="744B3967"/>
    <w:rsid w:val="744BB5D0"/>
    <w:rsid w:val="74B0F272"/>
    <w:rsid w:val="74BCE220"/>
    <w:rsid w:val="74D49FA9"/>
    <w:rsid w:val="74F843DF"/>
    <w:rsid w:val="7510E328"/>
    <w:rsid w:val="755B8B65"/>
    <w:rsid w:val="756833F4"/>
    <w:rsid w:val="756C066E"/>
    <w:rsid w:val="75708C82"/>
    <w:rsid w:val="7584327D"/>
    <w:rsid w:val="758E5CB6"/>
    <w:rsid w:val="75D4EBCD"/>
    <w:rsid w:val="75D7ABE3"/>
    <w:rsid w:val="76287D57"/>
    <w:rsid w:val="764564B9"/>
    <w:rsid w:val="7661F4F0"/>
    <w:rsid w:val="76710C9A"/>
    <w:rsid w:val="76BB4712"/>
    <w:rsid w:val="76C0F119"/>
    <w:rsid w:val="76C40508"/>
    <w:rsid w:val="76C8E698"/>
    <w:rsid w:val="77136775"/>
    <w:rsid w:val="771D71CB"/>
    <w:rsid w:val="771FC836"/>
    <w:rsid w:val="7758D787"/>
    <w:rsid w:val="7761C0CB"/>
    <w:rsid w:val="7775D441"/>
    <w:rsid w:val="778ADEB3"/>
    <w:rsid w:val="77C1D06F"/>
    <w:rsid w:val="77C30822"/>
    <w:rsid w:val="77D3DBA0"/>
    <w:rsid w:val="77E94B00"/>
    <w:rsid w:val="78109CE0"/>
    <w:rsid w:val="78145B0D"/>
    <w:rsid w:val="782AE7CC"/>
    <w:rsid w:val="7834B873"/>
    <w:rsid w:val="78669A05"/>
    <w:rsid w:val="7901C038"/>
    <w:rsid w:val="79070E2C"/>
    <w:rsid w:val="790D9DB9"/>
    <w:rsid w:val="7916F8C6"/>
    <w:rsid w:val="794363EC"/>
    <w:rsid w:val="7990FC6A"/>
    <w:rsid w:val="79C40E0D"/>
    <w:rsid w:val="7A0A2818"/>
    <w:rsid w:val="7A158C4C"/>
    <w:rsid w:val="7A581332"/>
    <w:rsid w:val="7A753272"/>
    <w:rsid w:val="7A8D0885"/>
    <w:rsid w:val="7A9F2DE5"/>
    <w:rsid w:val="7B0FF61A"/>
    <w:rsid w:val="7B73643C"/>
    <w:rsid w:val="7B77AF7B"/>
    <w:rsid w:val="7B78E86B"/>
    <w:rsid w:val="7B9D0674"/>
    <w:rsid w:val="7BA65201"/>
    <w:rsid w:val="7C004ACE"/>
    <w:rsid w:val="7C0364C7"/>
    <w:rsid w:val="7C0E860A"/>
    <w:rsid w:val="7C10E174"/>
    <w:rsid w:val="7C2F99DF"/>
    <w:rsid w:val="7C8C7D5D"/>
    <w:rsid w:val="7C9290B4"/>
    <w:rsid w:val="7CBDD4D2"/>
    <w:rsid w:val="7CD3EC39"/>
    <w:rsid w:val="7CE0A321"/>
    <w:rsid w:val="7CF8BADD"/>
    <w:rsid w:val="7D32D029"/>
    <w:rsid w:val="7D54DF9C"/>
    <w:rsid w:val="7D7FD0C9"/>
    <w:rsid w:val="7D8A7244"/>
    <w:rsid w:val="7DA7D230"/>
    <w:rsid w:val="7DAACA23"/>
    <w:rsid w:val="7DB2A32B"/>
    <w:rsid w:val="7DBD099B"/>
    <w:rsid w:val="7DD48C5A"/>
    <w:rsid w:val="7DE5E357"/>
    <w:rsid w:val="7DFABED2"/>
    <w:rsid w:val="7EEA454B"/>
    <w:rsid w:val="7F20811E"/>
    <w:rsid w:val="7FB4A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50098"/>
  <w15:chartTrackingRefBased/>
  <w15:docId w15:val="{F1A0ED3A-40A4-3D45-8149-61AC5F190DC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521"/>
  </w:style>
  <w:style w:type="paragraph" w:styleId="Heading1">
    <w:name w:val="heading 1"/>
    <w:basedOn w:val="Normal"/>
    <w:next w:val="Normal"/>
    <w:link w:val="Heading1Char"/>
    <w:autoRedefine/>
    <w:uiPriority w:val="9"/>
    <w:qFormat/>
    <w:rsid w:val="008164CE"/>
    <w:pPr>
      <w:keepNext/>
      <w:keepLines/>
      <w:numPr>
        <w:numId w:val="50"/>
      </w:numPr>
      <w:spacing w:before="120" w:after="120"/>
      <w:ind w:left="720" w:hanging="720"/>
      <w:outlineLvl w:val="0"/>
    </w:pPr>
    <w:rPr>
      <w:rFonts w:ascii="Times New Roman Bold" w:eastAsiaTheme="majorEastAsia" w:hAnsi="Times New Roman Bold" w:cs="Times New Roman (Headings CS)"/>
      <w:b/>
      <w:caps/>
      <w:sz w:val="26"/>
      <w:szCs w:val="40"/>
    </w:rPr>
  </w:style>
  <w:style w:type="paragraph" w:styleId="Heading2">
    <w:name w:val="heading 2"/>
    <w:basedOn w:val="ListParagraph"/>
    <w:next w:val="Normal"/>
    <w:link w:val="Heading2Char"/>
    <w:autoRedefine/>
    <w:uiPriority w:val="9"/>
    <w:unhideWhenUsed/>
    <w:qFormat/>
    <w:rsid w:val="005C40B5"/>
    <w:pPr>
      <w:keepNext/>
      <w:keepLines/>
      <w:numPr>
        <w:ilvl w:val="1"/>
        <w:numId w:val="50"/>
      </w:numPr>
      <w:autoSpaceDE w:val="0"/>
      <w:autoSpaceDN w:val="0"/>
      <w:adjustRightInd w:val="0"/>
      <w:spacing w:before="120" w:after="120"/>
      <w:ind w:left="1440" w:right="720" w:hanging="720"/>
      <w:contextualSpacing w:val="0"/>
      <w:outlineLvl w:val="1"/>
    </w:pPr>
    <w:rPr>
      <w:rFonts w:ascii="Times New Roman" w:hAnsi="Times New Roman" w:cs="Times New Roman"/>
      <w:b/>
      <w:bCs/>
      <w:color w:val="000000"/>
      <w:sz w:val="26"/>
      <w:szCs w:val="26"/>
    </w:rPr>
  </w:style>
  <w:style w:type="paragraph" w:styleId="Heading3">
    <w:name w:val="heading 3"/>
    <w:basedOn w:val="Normal"/>
    <w:next w:val="Normal"/>
    <w:link w:val="Heading3Char"/>
    <w:autoRedefine/>
    <w:uiPriority w:val="9"/>
    <w:unhideWhenUsed/>
    <w:qFormat/>
    <w:rsid w:val="000E470C"/>
    <w:pPr>
      <w:keepNext/>
      <w:keepLines/>
      <w:numPr>
        <w:ilvl w:val="2"/>
        <w:numId w:val="50"/>
      </w:numPr>
      <w:spacing w:before="120" w:after="120"/>
      <w:ind w:right="720"/>
      <w:outlineLvl w:val="2"/>
    </w:pPr>
    <w:rPr>
      <w:rFonts w:ascii="Times New Roman" w:eastAsiaTheme="majorEastAsia" w:hAnsi="Times New Roman" w:cstheme="majorBidi"/>
      <w:b/>
      <w:sz w:val="26"/>
      <w:szCs w:val="28"/>
    </w:rPr>
  </w:style>
  <w:style w:type="paragraph" w:styleId="Heading4">
    <w:name w:val="heading 4"/>
    <w:basedOn w:val="Normal"/>
    <w:next w:val="Normal"/>
    <w:link w:val="Heading4Char"/>
    <w:uiPriority w:val="9"/>
    <w:semiHidden/>
    <w:unhideWhenUsed/>
    <w:qFormat/>
    <w:rsid w:val="00752E4C"/>
    <w:pPr>
      <w:keepNext/>
      <w:keepLines/>
      <w:numPr>
        <w:ilvl w:val="3"/>
        <w:numId w:val="50"/>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E4C"/>
    <w:pPr>
      <w:keepNext/>
      <w:keepLines/>
      <w:numPr>
        <w:ilvl w:val="4"/>
        <w:numId w:val="50"/>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E4C"/>
    <w:pPr>
      <w:keepNext/>
      <w:keepLines/>
      <w:numPr>
        <w:ilvl w:val="5"/>
        <w:numId w:val="50"/>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E4C"/>
    <w:pPr>
      <w:keepNext/>
      <w:keepLines/>
      <w:numPr>
        <w:ilvl w:val="6"/>
        <w:numId w:val="50"/>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E4C"/>
    <w:pPr>
      <w:keepNext/>
      <w:keepLines/>
      <w:numPr>
        <w:ilvl w:val="7"/>
        <w:numId w:val="50"/>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E4C"/>
    <w:pPr>
      <w:keepNext/>
      <w:keepLines/>
      <w:numPr>
        <w:ilvl w:val="8"/>
        <w:numId w:val="50"/>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4CE"/>
    <w:rPr>
      <w:rFonts w:ascii="Times New Roman Bold" w:eastAsiaTheme="majorEastAsia" w:hAnsi="Times New Roman Bold" w:cs="Times New Roman (Headings CS)"/>
      <w:b/>
      <w:caps/>
      <w:sz w:val="26"/>
      <w:szCs w:val="40"/>
    </w:rPr>
  </w:style>
  <w:style w:type="character" w:customStyle="1" w:styleId="Heading2Char">
    <w:name w:val="Heading 2 Char"/>
    <w:basedOn w:val="DefaultParagraphFont"/>
    <w:link w:val="Heading2"/>
    <w:uiPriority w:val="9"/>
    <w:rsid w:val="005C40B5"/>
    <w:rPr>
      <w:rFonts w:ascii="Times New Roman" w:hAnsi="Times New Roman" w:cs="Times New Roman"/>
      <w:b/>
      <w:bCs/>
      <w:color w:val="000000"/>
      <w:sz w:val="26"/>
      <w:szCs w:val="26"/>
    </w:rPr>
  </w:style>
  <w:style w:type="character" w:customStyle="1" w:styleId="Heading3Char">
    <w:name w:val="Heading 3 Char"/>
    <w:basedOn w:val="DefaultParagraphFont"/>
    <w:link w:val="Heading3"/>
    <w:uiPriority w:val="9"/>
    <w:rsid w:val="000E470C"/>
    <w:rPr>
      <w:rFonts w:ascii="Times New Roman" w:eastAsiaTheme="majorEastAsia" w:hAnsi="Times New Roman" w:cstheme="majorBidi"/>
      <w:b/>
      <w:sz w:val="26"/>
      <w:szCs w:val="28"/>
    </w:rPr>
  </w:style>
  <w:style w:type="character" w:customStyle="1" w:styleId="Heading4Char">
    <w:name w:val="Heading 4 Char"/>
    <w:basedOn w:val="DefaultParagraphFont"/>
    <w:link w:val="Heading4"/>
    <w:uiPriority w:val="9"/>
    <w:semiHidden/>
    <w:rsid w:val="00752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E4C"/>
    <w:rPr>
      <w:rFonts w:eastAsiaTheme="majorEastAsia" w:cstheme="majorBidi"/>
      <w:color w:val="272727" w:themeColor="text1" w:themeTint="D8"/>
    </w:rPr>
  </w:style>
  <w:style w:type="paragraph" w:styleId="Title">
    <w:name w:val="Title"/>
    <w:basedOn w:val="Normal"/>
    <w:next w:val="Normal"/>
    <w:link w:val="TitleChar"/>
    <w:uiPriority w:val="10"/>
    <w:qFormat/>
    <w:rsid w:val="00752E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E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E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2E4C"/>
    <w:rPr>
      <w:i/>
      <w:iCs/>
      <w:color w:val="404040" w:themeColor="text1" w:themeTint="BF"/>
    </w:rPr>
  </w:style>
  <w:style w:type="paragraph" w:styleId="ListParagraph">
    <w:name w:val="List Paragraph"/>
    <w:basedOn w:val="Normal"/>
    <w:uiPriority w:val="34"/>
    <w:qFormat/>
    <w:rsid w:val="00752E4C"/>
    <w:pPr>
      <w:ind w:left="720"/>
      <w:contextualSpacing/>
    </w:pPr>
  </w:style>
  <w:style w:type="character" w:styleId="IntenseEmphasis">
    <w:name w:val="Intense Emphasis"/>
    <w:basedOn w:val="DefaultParagraphFont"/>
    <w:uiPriority w:val="21"/>
    <w:qFormat/>
    <w:rsid w:val="00752E4C"/>
    <w:rPr>
      <w:i/>
      <w:iCs/>
      <w:color w:val="0F4761" w:themeColor="accent1" w:themeShade="BF"/>
    </w:rPr>
  </w:style>
  <w:style w:type="paragraph" w:styleId="IntenseQuote">
    <w:name w:val="Intense Quote"/>
    <w:basedOn w:val="Normal"/>
    <w:next w:val="Normal"/>
    <w:link w:val="IntenseQuoteChar"/>
    <w:uiPriority w:val="30"/>
    <w:qFormat/>
    <w:rsid w:val="00752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E4C"/>
    <w:rPr>
      <w:i/>
      <w:iCs/>
      <w:color w:val="0F4761" w:themeColor="accent1" w:themeShade="BF"/>
    </w:rPr>
  </w:style>
  <w:style w:type="character" w:styleId="IntenseReference">
    <w:name w:val="Intense Reference"/>
    <w:basedOn w:val="DefaultParagraphFont"/>
    <w:uiPriority w:val="32"/>
    <w:qFormat/>
    <w:rsid w:val="00752E4C"/>
    <w:rPr>
      <w:b/>
      <w:bCs/>
      <w:smallCaps/>
      <w:color w:val="0F4761" w:themeColor="accent1" w:themeShade="BF"/>
      <w:spacing w:val="5"/>
    </w:rPr>
  </w:style>
  <w:style w:type="character" w:customStyle="1" w:styleId="displayonly">
    <w:name w:val="display_only"/>
    <w:basedOn w:val="DefaultParagraphFont"/>
    <w:rsid w:val="00AC54C4"/>
  </w:style>
  <w:style w:type="paragraph" w:styleId="FootnoteText">
    <w:name w:val="footnote text"/>
    <w:basedOn w:val="Normal"/>
    <w:link w:val="FootnoteTextChar"/>
    <w:uiPriority w:val="99"/>
    <w:semiHidden/>
    <w:unhideWhenUsed/>
    <w:rsid w:val="00F706B8"/>
    <w:rPr>
      <w:sz w:val="20"/>
      <w:szCs w:val="20"/>
    </w:rPr>
  </w:style>
  <w:style w:type="character" w:customStyle="1" w:styleId="FootnoteTextChar">
    <w:name w:val="Footnote Text Char"/>
    <w:basedOn w:val="DefaultParagraphFont"/>
    <w:link w:val="FootnoteText"/>
    <w:uiPriority w:val="99"/>
    <w:semiHidden/>
    <w:rsid w:val="00F706B8"/>
    <w:rPr>
      <w:sz w:val="20"/>
      <w:szCs w:val="20"/>
    </w:rPr>
  </w:style>
  <w:style w:type="character" w:styleId="FootnoteReference">
    <w:name w:val="footnote reference"/>
    <w:basedOn w:val="DefaultParagraphFont"/>
    <w:uiPriority w:val="99"/>
    <w:unhideWhenUsed/>
    <w:rsid w:val="00F706B8"/>
    <w:rPr>
      <w:vertAlign w:val="superscript"/>
    </w:rPr>
  </w:style>
  <w:style w:type="character" w:styleId="Hyperlink">
    <w:name w:val="Hyperlink"/>
    <w:basedOn w:val="DefaultParagraphFont"/>
    <w:uiPriority w:val="99"/>
    <w:unhideWhenUsed/>
    <w:rsid w:val="00A9178E"/>
    <w:rPr>
      <w:color w:val="0000FF"/>
      <w:u w:val="single"/>
    </w:rPr>
  </w:style>
  <w:style w:type="character" w:customStyle="1" w:styleId="ssit">
    <w:name w:val="ss_it"/>
    <w:basedOn w:val="DefaultParagraphFont"/>
    <w:rsid w:val="00A9178E"/>
  </w:style>
  <w:style w:type="paragraph" w:styleId="Footer">
    <w:name w:val="footer"/>
    <w:basedOn w:val="Normal"/>
    <w:link w:val="FooterChar"/>
    <w:uiPriority w:val="99"/>
    <w:unhideWhenUsed/>
    <w:rsid w:val="00B321C6"/>
    <w:pPr>
      <w:tabs>
        <w:tab w:val="center" w:pos="4680"/>
        <w:tab w:val="right" w:pos="9360"/>
      </w:tabs>
    </w:pPr>
  </w:style>
  <w:style w:type="character" w:customStyle="1" w:styleId="FooterChar">
    <w:name w:val="Footer Char"/>
    <w:basedOn w:val="DefaultParagraphFont"/>
    <w:link w:val="Footer"/>
    <w:uiPriority w:val="99"/>
    <w:rsid w:val="00B321C6"/>
  </w:style>
  <w:style w:type="character" w:styleId="PageNumber">
    <w:name w:val="page number"/>
    <w:basedOn w:val="DefaultParagraphFont"/>
    <w:uiPriority w:val="99"/>
    <w:semiHidden/>
    <w:unhideWhenUsed/>
    <w:rsid w:val="00B321C6"/>
  </w:style>
  <w:style w:type="character" w:styleId="UnresolvedMention">
    <w:name w:val="Unresolved Mention"/>
    <w:basedOn w:val="DefaultParagraphFont"/>
    <w:uiPriority w:val="99"/>
    <w:semiHidden/>
    <w:unhideWhenUsed/>
    <w:rsid w:val="002F0BA9"/>
    <w:rPr>
      <w:color w:val="605E5C"/>
      <w:shd w:val="clear" w:color="auto" w:fill="E1DFDD"/>
    </w:rPr>
  </w:style>
  <w:style w:type="paragraph" w:styleId="NormalWeb">
    <w:name w:val="Normal (Web)"/>
    <w:basedOn w:val="Normal"/>
    <w:uiPriority w:val="99"/>
    <w:unhideWhenUsed/>
    <w:rsid w:val="008647FF"/>
    <w:pPr>
      <w:spacing w:before="100" w:beforeAutospacing="1" w:after="100" w:afterAutospacing="1"/>
    </w:pPr>
    <w:rPr>
      <w:rFonts w:ascii="Times New Roman" w:eastAsia="Times New Roman" w:hAnsi="Times New Roman" w:cs="Times New Roman"/>
      <w:kern w:val="0"/>
      <w14:ligatures w14:val="none"/>
    </w:rPr>
  </w:style>
  <w:style w:type="character" w:customStyle="1" w:styleId="ssrfcsection">
    <w:name w:val="ss_rfcsection"/>
    <w:basedOn w:val="DefaultParagraphFont"/>
    <w:rsid w:val="008E0369"/>
  </w:style>
  <w:style w:type="character" w:customStyle="1" w:styleId="ssheadnotelink">
    <w:name w:val="ss_headnotelink"/>
    <w:basedOn w:val="DefaultParagraphFont"/>
    <w:rsid w:val="008E0369"/>
  </w:style>
  <w:style w:type="character" w:customStyle="1" w:styleId="title-text">
    <w:name w:val="title-text"/>
    <w:basedOn w:val="DefaultParagraphFont"/>
    <w:rsid w:val="008E0369"/>
  </w:style>
  <w:style w:type="character" w:customStyle="1" w:styleId="Date1">
    <w:name w:val="Date1"/>
    <w:basedOn w:val="DefaultParagraphFont"/>
    <w:rsid w:val="008E0369"/>
  </w:style>
  <w:style w:type="character" w:customStyle="1" w:styleId="active-reporter">
    <w:name w:val="active-reporter"/>
    <w:basedOn w:val="DefaultParagraphFont"/>
    <w:rsid w:val="008E0369"/>
  </w:style>
  <w:style w:type="character" w:customStyle="1" w:styleId="active">
    <w:name w:val="active"/>
    <w:basedOn w:val="DefaultParagraphFont"/>
    <w:rsid w:val="008E0369"/>
  </w:style>
  <w:style w:type="character" w:customStyle="1" w:styleId="available">
    <w:name w:val="available"/>
    <w:basedOn w:val="DefaultParagraphFont"/>
    <w:rsid w:val="008E0369"/>
  </w:style>
  <w:style w:type="paragraph" w:styleId="BodyText">
    <w:name w:val="Body Text"/>
    <w:link w:val="BodyTextChar"/>
    <w:rsid w:val="00FC34AA"/>
    <w:pPr>
      <w:overflowPunct w:val="0"/>
      <w:autoSpaceDE w:val="0"/>
      <w:autoSpaceDN w:val="0"/>
      <w:adjustRightInd w:val="0"/>
      <w:spacing w:line="360" w:lineRule="auto"/>
      <w:ind w:firstLine="720"/>
      <w:textAlignment w:val="baseline"/>
    </w:pPr>
    <w:rPr>
      <w:rFonts w:ascii="Times New Roman" w:eastAsia="Times New Roman" w:hAnsi="Times New Roman" w:cs="Times New Roman"/>
      <w:kern w:val="0"/>
      <w:sz w:val="26"/>
      <w:szCs w:val="20"/>
      <w14:ligatures w14:val="none"/>
    </w:rPr>
  </w:style>
  <w:style w:type="character" w:customStyle="1" w:styleId="BodyTextChar">
    <w:name w:val="Body Text Char"/>
    <w:basedOn w:val="DefaultParagraphFont"/>
    <w:link w:val="BodyText"/>
    <w:rsid w:val="00FC34AA"/>
    <w:rPr>
      <w:rFonts w:ascii="Times New Roman" w:eastAsia="Times New Roman" w:hAnsi="Times New Roman" w:cs="Times New Roman"/>
      <w:kern w:val="0"/>
      <w:sz w:val="26"/>
      <w:szCs w:val="20"/>
      <w14:ligatures w14:val="none"/>
    </w:rPr>
  </w:style>
  <w:style w:type="character" w:styleId="FollowedHyperlink">
    <w:name w:val="FollowedHyperlink"/>
    <w:basedOn w:val="DefaultParagraphFont"/>
    <w:uiPriority w:val="99"/>
    <w:semiHidden/>
    <w:unhideWhenUsed/>
    <w:rsid w:val="00A274CF"/>
    <w:rPr>
      <w:color w:val="96607D" w:themeColor="followedHyperlink"/>
      <w:u w:val="single"/>
    </w:rPr>
  </w:style>
  <w:style w:type="paragraph" w:styleId="Header">
    <w:name w:val="header"/>
    <w:basedOn w:val="Normal"/>
    <w:link w:val="HeaderChar"/>
    <w:uiPriority w:val="99"/>
    <w:unhideWhenUsed/>
    <w:rsid w:val="00F542CC"/>
    <w:pPr>
      <w:tabs>
        <w:tab w:val="center" w:pos="4680"/>
        <w:tab w:val="right" w:pos="9360"/>
      </w:tabs>
    </w:pPr>
  </w:style>
  <w:style w:type="character" w:customStyle="1" w:styleId="HeaderChar">
    <w:name w:val="Header Char"/>
    <w:basedOn w:val="DefaultParagraphFont"/>
    <w:link w:val="Header"/>
    <w:uiPriority w:val="99"/>
    <w:rsid w:val="00F542CC"/>
  </w:style>
  <w:style w:type="paragraph" w:styleId="Revision">
    <w:name w:val="Revision"/>
    <w:hidden/>
    <w:uiPriority w:val="99"/>
    <w:semiHidden/>
    <w:rsid w:val="004C1393"/>
  </w:style>
  <w:style w:type="character" w:styleId="CommentReference">
    <w:name w:val="annotation reference"/>
    <w:basedOn w:val="DefaultParagraphFont"/>
    <w:uiPriority w:val="99"/>
    <w:semiHidden/>
    <w:unhideWhenUsed/>
    <w:rsid w:val="001C78AE"/>
    <w:rPr>
      <w:sz w:val="16"/>
      <w:szCs w:val="16"/>
    </w:rPr>
  </w:style>
  <w:style w:type="paragraph" w:styleId="CommentText">
    <w:name w:val="annotation text"/>
    <w:basedOn w:val="Normal"/>
    <w:link w:val="CommentTextChar"/>
    <w:uiPriority w:val="99"/>
    <w:unhideWhenUsed/>
    <w:rsid w:val="001C78AE"/>
    <w:rPr>
      <w:sz w:val="20"/>
      <w:szCs w:val="20"/>
    </w:rPr>
  </w:style>
  <w:style w:type="character" w:customStyle="1" w:styleId="CommentTextChar">
    <w:name w:val="Comment Text Char"/>
    <w:basedOn w:val="DefaultParagraphFont"/>
    <w:link w:val="CommentText"/>
    <w:uiPriority w:val="99"/>
    <w:rsid w:val="001C78AE"/>
    <w:rPr>
      <w:sz w:val="20"/>
      <w:szCs w:val="20"/>
    </w:rPr>
  </w:style>
  <w:style w:type="paragraph" w:styleId="CommentSubject">
    <w:name w:val="annotation subject"/>
    <w:basedOn w:val="CommentText"/>
    <w:next w:val="CommentText"/>
    <w:link w:val="CommentSubjectChar"/>
    <w:uiPriority w:val="99"/>
    <w:semiHidden/>
    <w:unhideWhenUsed/>
    <w:rsid w:val="001C78AE"/>
    <w:rPr>
      <w:b/>
      <w:bCs/>
    </w:rPr>
  </w:style>
  <w:style w:type="character" w:customStyle="1" w:styleId="CommentSubjectChar">
    <w:name w:val="Comment Subject Char"/>
    <w:basedOn w:val="CommentTextChar"/>
    <w:link w:val="CommentSubject"/>
    <w:uiPriority w:val="99"/>
    <w:semiHidden/>
    <w:rsid w:val="001C78AE"/>
    <w:rPr>
      <w:b/>
      <w:bCs/>
      <w:sz w:val="20"/>
      <w:szCs w:val="20"/>
    </w:rPr>
  </w:style>
  <w:style w:type="character" w:styleId="Mention">
    <w:name w:val="Mention"/>
    <w:basedOn w:val="DefaultParagraphFont"/>
    <w:uiPriority w:val="99"/>
    <w:unhideWhenUsed/>
    <w:rsid w:val="00607650"/>
    <w:rPr>
      <w:color w:val="2B579A"/>
      <w:shd w:val="clear" w:color="auto" w:fill="E1DFDD"/>
    </w:rPr>
  </w:style>
  <w:style w:type="paragraph" w:styleId="NoSpacing">
    <w:name w:val="No Spacing"/>
    <w:uiPriority w:val="1"/>
    <w:rsid w:val="000B6506"/>
  </w:style>
  <w:style w:type="character" w:customStyle="1" w:styleId="ssrfcpassagedeactivated">
    <w:name w:val="ss_rfcpassage_deactivated"/>
    <w:basedOn w:val="DefaultParagraphFont"/>
    <w:rsid w:val="007B3851"/>
  </w:style>
  <w:style w:type="paragraph" w:customStyle="1" w:styleId="xmsonormal">
    <w:name w:val="x_msonormal"/>
    <w:basedOn w:val="Normal"/>
    <w:rsid w:val="00C7694E"/>
    <w:rPr>
      <w:rFonts w:ascii="Calibri" w:hAnsi="Calibri" w:cs="Calibri"/>
      <w:kern w:val="0"/>
      <w:sz w:val="22"/>
      <w:szCs w:val="22"/>
      <w14:ligatures w14:val="none"/>
    </w:rPr>
  </w:style>
  <w:style w:type="character" w:customStyle="1" w:styleId="normaltextrun">
    <w:name w:val="normaltextrun"/>
    <w:basedOn w:val="DefaultParagraphFont"/>
    <w:rsid w:val="00897E9E"/>
  </w:style>
  <w:style w:type="paragraph" w:customStyle="1" w:styleId="msonormal0">
    <w:name w:val="msonormal"/>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outlineelement">
    <w:name w:val="outlineelement"/>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5B626C"/>
  </w:style>
  <w:style w:type="character" w:customStyle="1" w:styleId="eop">
    <w:name w:val="eop"/>
    <w:basedOn w:val="DefaultParagraphFont"/>
    <w:rsid w:val="005B626C"/>
  </w:style>
  <w:style w:type="character" w:customStyle="1" w:styleId="tabrun">
    <w:name w:val="tabrun"/>
    <w:basedOn w:val="DefaultParagraphFont"/>
    <w:rsid w:val="005B626C"/>
  </w:style>
  <w:style w:type="character" w:customStyle="1" w:styleId="tabchar">
    <w:name w:val="tabchar"/>
    <w:basedOn w:val="DefaultParagraphFont"/>
    <w:rsid w:val="005B626C"/>
  </w:style>
  <w:style w:type="character" w:customStyle="1" w:styleId="scxw78262872">
    <w:name w:val="scxw78262872"/>
    <w:basedOn w:val="DefaultParagraphFont"/>
    <w:rsid w:val="005B626C"/>
  </w:style>
  <w:style w:type="character" w:customStyle="1" w:styleId="findhit">
    <w:name w:val="findhit"/>
    <w:basedOn w:val="DefaultParagraphFont"/>
    <w:rsid w:val="002636AD"/>
  </w:style>
  <w:style w:type="character" w:customStyle="1" w:styleId="scxw122678557">
    <w:name w:val="scxw122678557"/>
    <w:basedOn w:val="DefaultParagraphFont"/>
    <w:rsid w:val="00560DF2"/>
  </w:style>
  <w:style w:type="paragraph" w:styleId="Caption">
    <w:name w:val="caption"/>
    <w:basedOn w:val="BodyText"/>
    <w:rsid w:val="00C71DA2"/>
    <w:pPr>
      <w:tabs>
        <w:tab w:val="left" w:pos="4320"/>
        <w:tab w:val="left" w:pos="5040"/>
      </w:tabs>
      <w:spacing w:line="240" w:lineRule="auto"/>
      <w:ind w:firstLine="0"/>
    </w:pPr>
  </w:style>
  <w:style w:type="paragraph" w:customStyle="1" w:styleId="Body">
    <w:name w:val="Body"/>
    <w:rsid w:val="00C71DA2"/>
    <w:rPr>
      <w:rFonts w:ascii="Calibri" w:eastAsia="Arial Unicode MS" w:hAnsi="Calibri" w:cs="Arial Unicode MS"/>
      <w:color w:val="000000"/>
      <w:kern w:val="0"/>
      <w:sz w:val="22"/>
      <w:szCs w:val="22"/>
      <w:u w:color="00000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169">
      <w:bodyDiv w:val="1"/>
      <w:marLeft w:val="0"/>
      <w:marRight w:val="0"/>
      <w:marTop w:val="0"/>
      <w:marBottom w:val="0"/>
      <w:divBdr>
        <w:top w:val="none" w:sz="0" w:space="0" w:color="auto"/>
        <w:left w:val="none" w:sz="0" w:space="0" w:color="auto"/>
        <w:bottom w:val="none" w:sz="0" w:space="0" w:color="auto"/>
        <w:right w:val="none" w:sz="0" w:space="0" w:color="auto"/>
      </w:divBdr>
      <w:divsChild>
        <w:div w:id="1650284674">
          <w:marLeft w:val="0"/>
          <w:marRight w:val="0"/>
          <w:marTop w:val="0"/>
          <w:marBottom w:val="0"/>
          <w:divBdr>
            <w:top w:val="none" w:sz="0" w:space="0" w:color="auto"/>
            <w:left w:val="none" w:sz="0" w:space="0" w:color="auto"/>
            <w:bottom w:val="none" w:sz="0" w:space="0" w:color="auto"/>
            <w:right w:val="none" w:sz="0" w:space="0" w:color="auto"/>
          </w:divBdr>
          <w:divsChild>
            <w:div w:id="691880770">
              <w:marLeft w:val="0"/>
              <w:marRight w:val="0"/>
              <w:marTop w:val="0"/>
              <w:marBottom w:val="0"/>
              <w:divBdr>
                <w:top w:val="none" w:sz="0" w:space="0" w:color="auto"/>
                <w:left w:val="none" w:sz="0" w:space="0" w:color="auto"/>
                <w:bottom w:val="none" w:sz="0" w:space="0" w:color="auto"/>
                <w:right w:val="none" w:sz="0" w:space="0" w:color="auto"/>
              </w:divBdr>
              <w:divsChild>
                <w:div w:id="192849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365761">
      <w:bodyDiv w:val="1"/>
      <w:marLeft w:val="0"/>
      <w:marRight w:val="0"/>
      <w:marTop w:val="0"/>
      <w:marBottom w:val="0"/>
      <w:divBdr>
        <w:top w:val="none" w:sz="0" w:space="0" w:color="auto"/>
        <w:left w:val="none" w:sz="0" w:space="0" w:color="auto"/>
        <w:bottom w:val="none" w:sz="0" w:space="0" w:color="auto"/>
        <w:right w:val="none" w:sz="0" w:space="0" w:color="auto"/>
      </w:divBdr>
      <w:divsChild>
        <w:div w:id="53823303">
          <w:marLeft w:val="0"/>
          <w:marRight w:val="0"/>
          <w:marTop w:val="0"/>
          <w:marBottom w:val="0"/>
          <w:divBdr>
            <w:top w:val="none" w:sz="0" w:space="0" w:color="auto"/>
            <w:left w:val="none" w:sz="0" w:space="0" w:color="auto"/>
            <w:bottom w:val="none" w:sz="0" w:space="0" w:color="auto"/>
            <w:right w:val="none" w:sz="0" w:space="0" w:color="auto"/>
          </w:divBdr>
          <w:divsChild>
            <w:div w:id="1557275164">
              <w:marLeft w:val="0"/>
              <w:marRight w:val="0"/>
              <w:marTop w:val="0"/>
              <w:marBottom w:val="0"/>
              <w:divBdr>
                <w:top w:val="none" w:sz="0" w:space="0" w:color="auto"/>
                <w:left w:val="none" w:sz="0" w:space="0" w:color="auto"/>
                <w:bottom w:val="none" w:sz="0" w:space="0" w:color="auto"/>
                <w:right w:val="none" w:sz="0" w:space="0" w:color="auto"/>
              </w:divBdr>
              <w:divsChild>
                <w:div w:id="35398701">
                  <w:marLeft w:val="0"/>
                  <w:marRight w:val="0"/>
                  <w:marTop w:val="0"/>
                  <w:marBottom w:val="0"/>
                  <w:divBdr>
                    <w:top w:val="none" w:sz="0" w:space="0" w:color="auto"/>
                    <w:left w:val="none" w:sz="0" w:space="0" w:color="auto"/>
                    <w:bottom w:val="none" w:sz="0" w:space="0" w:color="auto"/>
                    <w:right w:val="none" w:sz="0" w:space="0" w:color="auto"/>
                  </w:divBdr>
                </w:div>
              </w:divsChild>
            </w:div>
            <w:div w:id="1812403035">
              <w:marLeft w:val="0"/>
              <w:marRight w:val="0"/>
              <w:marTop w:val="0"/>
              <w:marBottom w:val="0"/>
              <w:divBdr>
                <w:top w:val="none" w:sz="0" w:space="0" w:color="auto"/>
                <w:left w:val="none" w:sz="0" w:space="0" w:color="auto"/>
                <w:bottom w:val="none" w:sz="0" w:space="0" w:color="auto"/>
                <w:right w:val="none" w:sz="0" w:space="0" w:color="auto"/>
              </w:divBdr>
              <w:divsChild>
                <w:div w:id="666129123">
                  <w:marLeft w:val="0"/>
                  <w:marRight w:val="0"/>
                  <w:marTop w:val="0"/>
                  <w:marBottom w:val="0"/>
                  <w:divBdr>
                    <w:top w:val="none" w:sz="0" w:space="0" w:color="auto"/>
                    <w:left w:val="none" w:sz="0" w:space="0" w:color="auto"/>
                    <w:bottom w:val="none" w:sz="0" w:space="0" w:color="auto"/>
                    <w:right w:val="none" w:sz="0" w:space="0" w:color="auto"/>
                  </w:divBdr>
                </w:div>
              </w:divsChild>
            </w:div>
            <w:div w:id="1183930688">
              <w:marLeft w:val="0"/>
              <w:marRight w:val="0"/>
              <w:marTop w:val="0"/>
              <w:marBottom w:val="0"/>
              <w:divBdr>
                <w:top w:val="none" w:sz="0" w:space="0" w:color="auto"/>
                <w:left w:val="none" w:sz="0" w:space="0" w:color="auto"/>
                <w:bottom w:val="none" w:sz="0" w:space="0" w:color="auto"/>
                <w:right w:val="none" w:sz="0" w:space="0" w:color="auto"/>
              </w:divBdr>
              <w:divsChild>
                <w:div w:id="6380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6079">
      <w:bodyDiv w:val="1"/>
      <w:marLeft w:val="0"/>
      <w:marRight w:val="0"/>
      <w:marTop w:val="0"/>
      <w:marBottom w:val="0"/>
      <w:divBdr>
        <w:top w:val="none" w:sz="0" w:space="0" w:color="auto"/>
        <w:left w:val="none" w:sz="0" w:space="0" w:color="auto"/>
        <w:bottom w:val="none" w:sz="0" w:space="0" w:color="auto"/>
        <w:right w:val="none" w:sz="0" w:space="0" w:color="auto"/>
      </w:divBdr>
      <w:divsChild>
        <w:div w:id="55127498">
          <w:marLeft w:val="0"/>
          <w:marRight w:val="0"/>
          <w:marTop w:val="15"/>
          <w:marBottom w:val="0"/>
          <w:divBdr>
            <w:top w:val="none" w:sz="0" w:space="0" w:color="auto"/>
            <w:left w:val="none" w:sz="0" w:space="0" w:color="auto"/>
            <w:bottom w:val="none" w:sz="0" w:space="0" w:color="auto"/>
            <w:right w:val="none" w:sz="0" w:space="0" w:color="auto"/>
          </w:divBdr>
          <w:divsChild>
            <w:div w:id="1249534789">
              <w:marLeft w:val="0"/>
              <w:marRight w:val="0"/>
              <w:marTop w:val="105"/>
              <w:marBottom w:val="0"/>
              <w:divBdr>
                <w:top w:val="none" w:sz="0" w:space="0" w:color="auto"/>
                <w:left w:val="none" w:sz="0" w:space="0" w:color="auto"/>
                <w:bottom w:val="none" w:sz="0" w:space="0" w:color="auto"/>
                <w:right w:val="none" w:sz="0" w:space="0" w:color="auto"/>
              </w:divBdr>
              <w:divsChild>
                <w:div w:id="352271626">
                  <w:marLeft w:val="0"/>
                  <w:marRight w:val="0"/>
                  <w:marTop w:val="0"/>
                  <w:marBottom w:val="0"/>
                  <w:divBdr>
                    <w:top w:val="none" w:sz="0" w:space="0" w:color="auto"/>
                    <w:left w:val="none" w:sz="0" w:space="0" w:color="auto"/>
                    <w:bottom w:val="none" w:sz="0" w:space="0" w:color="auto"/>
                    <w:right w:val="none" w:sz="0" w:space="0" w:color="auto"/>
                  </w:divBdr>
                </w:div>
                <w:div w:id="841168785">
                  <w:marLeft w:val="0"/>
                  <w:marRight w:val="0"/>
                  <w:marTop w:val="0"/>
                  <w:marBottom w:val="0"/>
                  <w:divBdr>
                    <w:top w:val="none" w:sz="0" w:space="0" w:color="auto"/>
                    <w:left w:val="none" w:sz="0" w:space="0" w:color="auto"/>
                    <w:bottom w:val="none" w:sz="0" w:space="0" w:color="auto"/>
                    <w:right w:val="none" w:sz="0" w:space="0" w:color="auto"/>
                  </w:divBdr>
                </w:div>
                <w:div w:id="1485123561">
                  <w:marLeft w:val="0"/>
                  <w:marRight w:val="0"/>
                  <w:marTop w:val="0"/>
                  <w:marBottom w:val="0"/>
                  <w:divBdr>
                    <w:top w:val="none" w:sz="0" w:space="0" w:color="auto"/>
                    <w:left w:val="none" w:sz="0" w:space="0" w:color="auto"/>
                    <w:bottom w:val="none" w:sz="0" w:space="0" w:color="auto"/>
                    <w:right w:val="none" w:sz="0" w:space="0" w:color="auto"/>
                  </w:divBdr>
                </w:div>
                <w:div w:id="19438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105350">
      <w:bodyDiv w:val="1"/>
      <w:marLeft w:val="0"/>
      <w:marRight w:val="0"/>
      <w:marTop w:val="0"/>
      <w:marBottom w:val="0"/>
      <w:divBdr>
        <w:top w:val="none" w:sz="0" w:space="0" w:color="auto"/>
        <w:left w:val="none" w:sz="0" w:space="0" w:color="auto"/>
        <w:bottom w:val="none" w:sz="0" w:space="0" w:color="auto"/>
        <w:right w:val="none" w:sz="0" w:space="0" w:color="auto"/>
      </w:divBdr>
      <w:divsChild>
        <w:div w:id="318266779">
          <w:marLeft w:val="0"/>
          <w:marRight w:val="0"/>
          <w:marTop w:val="0"/>
          <w:marBottom w:val="0"/>
          <w:divBdr>
            <w:top w:val="none" w:sz="0" w:space="0" w:color="auto"/>
            <w:left w:val="none" w:sz="0" w:space="0" w:color="auto"/>
            <w:bottom w:val="none" w:sz="0" w:space="0" w:color="auto"/>
            <w:right w:val="none" w:sz="0" w:space="0" w:color="auto"/>
          </w:divBdr>
          <w:divsChild>
            <w:div w:id="939797918">
              <w:marLeft w:val="0"/>
              <w:marRight w:val="0"/>
              <w:marTop w:val="0"/>
              <w:marBottom w:val="0"/>
              <w:divBdr>
                <w:top w:val="none" w:sz="0" w:space="0" w:color="auto"/>
                <w:left w:val="none" w:sz="0" w:space="0" w:color="auto"/>
                <w:bottom w:val="none" w:sz="0" w:space="0" w:color="auto"/>
                <w:right w:val="none" w:sz="0" w:space="0" w:color="auto"/>
              </w:divBdr>
              <w:divsChild>
                <w:div w:id="39158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552407">
      <w:bodyDiv w:val="1"/>
      <w:marLeft w:val="0"/>
      <w:marRight w:val="0"/>
      <w:marTop w:val="0"/>
      <w:marBottom w:val="0"/>
      <w:divBdr>
        <w:top w:val="none" w:sz="0" w:space="0" w:color="auto"/>
        <w:left w:val="none" w:sz="0" w:space="0" w:color="auto"/>
        <w:bottom w:val="none" w:sz="0" w:space="0" w:color="auto"/>
        <w:right w:val="none" w:sz="0" w:space="0" w:color="auto"/>
      </w:divBdr>
    </w:div>
    <w:div w:id="1045712956">
      <w:bodyDiv w:val="1"/>
      <w:marLeft w:val="0"/>
      <w:marRight w:val="0"/>
      <w:marTop w:val="0"/>
      <w:marBottom w:val="0"/>
      <w:divBdr>
        <w:top w:val="none" w:sz="0" w:space="0" w:color="auto"/>
        <w:left w:val="none" w:sz="0" w:space="0" w:color="auto"/>
        <w:bottom w:val="none" w:sz="0" w:space="0" w:color="auto"/>
        <w:right w:val="none" w:sz="0" w:space="0" w:color="auto"/>
      </w:divBdr>
      <w:divsChild>
        <w:div w:id="990796251">
          <w:marLeft w:val="0"/>
          <w:marRight w:val="0"/>
          <w:marTop w:val="0"/>
          <w:marBottom w:val="0"/>
          <w:divBdr>
            <w:top w:val="none" w:sz="0" w:space="0" w:color="auto"/>
            <w:left w:val="none" w:sz="0" w:space="0" w:color="auto"/>
            <w:bottom w:val="none" w:sz="0" w:space="0" w:color="auto"/>
            <w:right w:val="none" w:sz="0" w:space="0" w:color="auto"/>
          </w:divBdr>
          <w:divsChild>
            <w:div w:id="759177977">
              <w:marLeft w:val="0"/>
              <w:marRight w:val="0"/>
              <w:marTop w:val="0"/>
              <w:marBottom w:val="0"/>
              <w:divBdr>
                <w:top w:val="none" w:sz="0" w:space="0" w:color="auto"/>
                <w:left w:val="none" w:sz="0" w:space="0" w:color="auto"/>
                <w:bottom w:val="none" w:sz="0" w:space="0" w:color="auto"/>
                <w:right w:val="none" w:sz="0" w:space="0" w:color="auto"/>
              </w:divBdr>
              <w:divsChild>
                <w:div w:id="942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17658">
      <w:bodyDiv w:val="1"/>
      <w:marLeft w:val="0"/>
      <w:marRight w:val="0"/>
      <w:marTop w:val="0"/>
      <w:marBottom w:val="0"/>
      <w:divBdr>
        <w:top w:val="none" w:sz="0" w:space="0" w:color="auto"/>
        <w:left w:val="none" w:sz="0" w:space="0" w:color="auto"/>
        <w:bottom w:val="none" w:sz="0" w:space="0" w:color="auto"/>
        <w:right w:val="none" w:sz="0" w:space="0" w:color="auto"/>
      </w:divBdr>
      <w:divsChild>
        <w:div w:id="1487698054">
          <w:marLeft w:val="0"/>
          <w:marRight w:val="0"/>
          <w:marTop w:val="0"/>
          <w:marBottom w:val="0"/>
          <w:divBdr>
            <w:top w:val="none" w:sz="0" w:space="0" w:color="auto"/>
            <w:left w:val="none" w:sz="0" w:space="0" w:color="auto"/>
            <w:bottom w:val="none" w:sz="0" w:space="0" w:color="auto"/>
            <w:right w:val="none" w:sz="0" w:space="0" w:color="auto"/>
          </w:divBdr>
          <w:divsChild>
            <w:div w:id="37704849">
              <w:marLeft w:val="0"/>
              <w:marRight w:val="0"/>
              <w:marTop w:val="0"/>
              <w:marBottom w:val="0"/>
              <w:divBdr>
                <w:top w:val="none" w:sz="0" w:space="0" w:color="auto"/>
                <w:left w:val="none" w:sz="0" w:space="0" w:color="auto"/>
                <w:bottom w:val="none" w:sz="0" w:space="0" w:color="auto"/>
                <w:right w:val="none" w:sz="0" w:space="0" w:color="auto"/>
              </w:divBdr>
              <w:divsChild>
                <w:div w:id="5026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891">
      <w:bodyDiv w:val="1"/>
      <w:marLeft w:val="0"/>
      <w:marRight w:val="0"/>
      <w:marTop w:val="0"/>
      <w:marBottom w:val="0"/>
      <w:divBdr>
        <w:top w:val="none" w:sz="0" w:space="0" w:color="auto"/>
        <w:left w:val="none" w:sz="0" w:space="0" w:color="auto"/>
        <w:bottom w:val="none" w:sz="0" w:space="0" w:color="auto"/>
        <w:right w:val="none" w:sz="0" w:space="0" w:color="auto"/>
      </w:divBdr>
      <w:divsChild>
        <w:div w:id="16197100">
          <w:marLeft w:val="0"/>
          <w:marRight w:val="0"/>
          <w:marTop w:val="0"/>
          <w:marBottom w:val="0"/>
          <w:divBdr>
            <w:top w:val="none" w:sz="0" w:space="0" w:color="auto"/>
            <w:left w:val="none" w:sz="0" w:space="0" w:color="auto"/>
            <w:bottom w:val="none" w:sz="0" w:space="0" w:color="auto"/>
            <w:right w:val="none" w:sz="0" w:space="0" w:color="auto"/>
          </w:divBdr>
          <w:divsChild>
            <w:div w:id="1846674749">
              <w:marLeft w:val="0"/>
              <w:marRight w:val="0"/>
              <w:marTop w:val="0"/>
              <w:marBottom w:val="0"/>
              <w:divBdr>
                <w:top w:val="none" w:sz="0" w:space="0" w:color="auto"/>
                <w:left w:val="none" w:sz="0" w:space="0" w:color="auto"/>
                <w:bottom w:val="none" w:sz="0" w:space="0" w:color="auto"/>
                <w:right w:val="none" w:sz="0" w:space="0" w:color="auto"/>
              </w:divBdr>
              <w:divsChild>
                <w:div w:id="935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9267">
      <w:bodyDiv w:val="1"/>
      <w:marLeft w:val="0"/>
      <w:marRight w:val="0"/>
      <w:marTop w:val="0"/>
      <w:marBottom w:val="0"/>
      <w:divBdr>
        <w:top w:val="none" w:sz="0" w:space="0" w:color="auto"/>
        <w:left w:val="none" w:sz="0" w:space="0" w:color="auto"/>
        <w:bottom w:val="none" w:sz="0" w:space="0" w:color="auto"/>
        <w:right w:val="none" w:sz="0" w:space="0" w:color="auto"/>
      </w:divBdr>
    </w:div>
    <w:div w:id="1901356416">
      <w:bodyDiv w:val="1"/>
      <w:marLeft w:val="0"/>
      <w:marRight w:val="0"/>
      <w:marTop w:val="0"/>
      <w:marBottom w:val="0"/>
      <w:divBdr>
        <w:top w:val="none" w:sz="0" w:space="0" w:color="auto"/>
        <w:left w:val="none" w:sz="0" w:space="0" w:color="auto"/>
        <w:bottom w:val="none" w:sz="0" w:space="0" w:color="auto"/>
        <w:right w:val="none" w:sz="0" w:space="0" w:color="auto"/>
      </w:divBdr>
      <w:divsChild>
        <w:div w:id="1600603090">
          <w:marLeft w:val="0"/>
          <w:marRight w:val="0"/>
          <w:marTop w:val="0"/>
          <w:marBottom w:val="240"/>
          <w:divBdr>
            <w:top w:val="none" w:sz="0" w:space="0" w:color="auto"/>
            <w:left w:val="none" w:sz="0" w:space="0" w:color="auto"/>
            <w:bottom w:val="none" w:sz="0" w:space="0" w:color="auto"/>
            <w:right w:val="none" w:sz="0" w:space="0" w:color="auto"/>
          </w:divBdr>
        </w:div>
        <w:div w:id="2082482654">
          <w:marLeft w:val="0"/>
          <w:marRight w:val="0"/>
          <w:marTop w:val="0"/>
          <w:marBottom w:val="240"/>
          <w:divBdr>
            <w:top w:val="none" w:sz="0" w:space="0" w:color="auto"/>
            <w:left w:val="none" w:sz="0" w:space="0" w:color="auto"/>
            <w:bottom w:val="none" w:sz="0" w:space="0" w:color="auto"/>
            <w:right w:val="none" w:sz="0" w:space="0" w:color="auto"/>
          </w:divBdr>
        </w:div>
        <w:div w:id="1103068942">
          <w:marLeft w:val="0"/>
          <w:marRight w:val="0"/>
          <w:marTop w:val="0"/>
          <w:marBottom w:val="240"/>
          <w:divBdr>
            <w:top w:val="none" w:sz="0" w:space="0" w:color="auto"/>
            <w:left w:val="none" w:sz="0" w:space="0" w:color="auto"/>
            <w:bottom w:val="none" w:sz="0" w:space="0" w:color="auto"/>
            <w:right w:val="none" w:sz="0" w:space="0" w:color="auto"/>
          </w:divBdr>
        </w:div>
      </w:divsChild>
    </w:div>
    <w:div w:id="1955359813">
      <w:bodyDiv w:val="1"/>
      <w:marLeft w:val="0"/>
      <w:marRight w:val="0"/>
      <w:marTop w:val="0"/>
      <w:marBottom w:val="0"/>
      <w:divBdr>
        <w:top w:val="none" w:sz="0" w:space="0" w:color="auto"/>
        <w:left w:val="none" w:sz="0" w:space="0" w:color="auto"/>
        <w:bottom w:val="none" w:sz="0" w:space="0" w:color="auto"/>
        <w:right w:val="none" w:sz="0" w:space="0" w:color="auto"/>
      </w:divBdr>
      <w:divsChild>
        <w:div w:id="1677416233">
          <w:marLeft w:val="0"/>
          <w:marRight w:val="0"/>
          <w:marTop w:val="0"/>
          <w:marBottom w:val="0"/>
          <w:divBdr>
            <w:top w:val="none" w:sz="0" w:space="0" w:color="auto"/>
            <w:left w:val="none" w:sz="0" w:space="0" w:color="auto"/>
            <w:bottom w:val="none" w:sz="0" w:space="0" w:color="auto"/>
            <w:right w:val="none" w:sz="0" w:space="0" w:color="auto"/>
          </w:divBdr>
          <w:divsChild>
            <w:div w:id="1025181682">
              <w:marLeft w:val="0"/>
              <w:marRight w:val="0"/>
              <w:marTop w:val="0"/>
              <w:marBottom w:val="0"/>
              <w:divBdr>
                <w:top w:val="none" w:sz="0" w:space="0" w:color="auto"/>
                <w:left w:val="none" w:sz="0" w:space="0" w:color="auto"/>
                <w:bottom w:val="none" w:sz="0" w:space="0" w:color="auto"/>
                <w:right w:val="none" w:sz="0" w:space="0" w:color="auto"/>
              </w:divBdr>
              <w:divsChild>
                <w:div w:id="915823460">
                  <w:marLeft w:val="0"/>
                  <w:marRight w:val="0"/>
                  <w:marTop w:val="0"/>
                  <w:marBottom w:val="0"/>
                  <w:divBdr>
                    <w:top w:val="none" w:sz="0" w:space="0" w:color="auto"/>
                    <w:left w:val="none" w:sz="0" w:space="0" w:color="auto"/>
                    <w:bottom w:val="none" w:sz="0" w:space="0" w:color="auto"/>
                    <w:right w:val="none" w:sz="0" w:space="0" w:color="auto"/>
                  </w:divBdr>
                </w:div>
              </w:divsChild>
            </w:div>
            <w:div w:id="610477458">
              <w:marLeft w:val="0"/>
              <w:marRight w:val="0"/>
              <w:marTop w:val="0"/>
              <w:marBottom w:val="0"/>
              <w:divBdr>
                <w:top w:val="none" w:sz="0" w:space="0" w:color="auto"/>
                <w:left w:val="none" w:sz="0" w:space="0" w:color="auto"/>
                <w:bottom w:val="none" w:sz="0" w:space="0" w:color="auto"/>
                <w:right w:val="none" w:sz="0" w:space="0" w:color="auto"/>
              </w:divBdr>
              <w:divsChild>
                <w:div w:id="1535651534">
                  <w:marLeft w:val="0"/>
                  <w:marRight w:val="0"/>
                  <w:marTop w:val="0"/>
                  <w:marBottom w:val="0"/>
                  <w:divBdr>
                    <w:top w:val="none" w:sz="0" w:space="0" w:color="auto"/>
                    <w:left w:val="none" w:sz="0" w:space="0" w:color="auto"/>
                    <w:bottom w:val="none" w:sz="0" w:space="0" w:color="auto"/>
                    <w:right w:val="none" w:sz="0" w:space="0" w:color="auto"/>
                  </w:divBdr>
                </w:div>
              </w:divsChild>
            </w:div>
            <w:div w:id="814102014">
              <w:marLeft w:val="0"/>
              <w:marRight w:val="0"/>
              <w:marTop w:val="0"/>
              <w:marBottom w:val="0"/>
              <w:divBdr>
                <w:top w:val="none" w:sz="0" w:space="0" w:color="auto"/>
                <w:left w:val="none" w:sz="0" w:space="0" w:color="auto"/>
                <w:bottom w:val="none" w:sz="0" w:space="0" w:color="auto"/>
                <w:right w:val="none" w:sz="0" w:space="0" w:color="auto"/>
              </w:divBdr>
              <w:divsChild>
                <w:div w:id="141408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ocs.cpuc.ca.gov/DecisionsSearchFor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85BA-CA8B-9149-AC74-B12A1418486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13</ap:Pages>
  <ap:Words>3991</ap:Words>
  <ap:Characters>22754</ap:Characters>
  <ap:Application>Microsoft Office Word</ap:Application>
  <ap:DocSecurity>0</ap:DocSecurity>
  <ap:Lines>189</ap:Lines>
  <ap:Paragraphs>53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26692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2026-09-14T21:05:00Z</cp:lastPrinted>
  <dcterms:created xsi:type="dcterms:W3CDTF">2026-10-09T13:23:58Z</dcterms:created>
  <dcterms:modified xsi:type="dcterms:W3CDTF">2026-10-09T13:23:58Z</dcterms:modified>
</cp:coreProperties>
</file>