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4009" w:rsidR="00DA7B5D" w:rsidP="00126269" w:rsidRDefault="002E73F6" w14:paraId="0FCA52AD" w14:textId="7AD25903">
      <w:pPr>
        <w:tabs>
          <w:tab w:val="center" w:pos="4680"/>
          <w:tab w:val="right" w:pos="9360"/>
        </w:tabs>
        <w:spacing w:line="240" w:lineRule="auto"/>
        <w:ind w:firstLine="0"/>
        <w:rPr>
          <w:b/>
          <w:szCs w:val="26"/>
        </w:rPr>
      </w:pPr>
      <w:r w:rsidRPr="00B64009">
        <w:rPr>
          <w:szCs w:val="26"/>
        </w:rPr>
        <w:t>ALJ</w:t>
      </w:r>
      <w:r w:rsidRPr="00B64009" w:rsidR="00DA7B5D">
        <w:rPr>
          <w:szCs w:val="26"/>
        </w:rPr>
        <w:t>/</w:t>
      </w:r>
      <w:r w:rsidRPr="00B64009" w:rsidR="000B38DE">
        <w:rPr>
          <w:szCs w:val="26"/>
        </w:rPr>
        <w:t>DJG</w:t>
      </w:r>
      <w:r w:rsidRPr="00B64009" w:rsidR="00DA7B5D">
        <w:rPr>
          <w:szCs w:val="26"/>
        </w:rPr>
        <w:t>/</w:t>
      </w:r>
      <w:r w:rsidRPr="00B64009" w:rsidR="00CC1786">
        <w:rPr>
          <w:szCs w:val="26"/>
        </w:rPr>
        <w:t>hma</w:t>
      </w:r>
      <w:r w:rsidRPr="00B64009" w:rsidR="007E0FEE">
        <w:rPr>
          <w:szCs w:val="26"/>
        </w:rPr>
        <w:tab/>
      </w:r>
      <w:r w:rsidRPr="00B64009" w:rsidR="00DA7B5D">
        <w:rPr>
          <w:szCs w:val="26"/>
        </w:rPr>
        <w:tab/>
      </w:r>
      <w:r w:rsidR="00126269">
        <w:rPr>
          <w:b/>
          <w:szCs w:val="26"/>
        </w:rPr>
        <w:t>Date of Issuance 10/12/2026</w:t>
      </w:r>
    </w:p>
    <w:p w:rsidRPr="00B64009" w:rsidR="00DA7B5D" w:rsidP="00773EC5" w:rsidRDefault="00DA7B5D" w14:paraId="5FD271F7" w14:textId="77777777">
      <w:pPr>
        <w:spacing w:line="240" w:lineRule="auto"/>
        <w:ind w:firstLine="0"/>
        <w:rPr>
          <w:szCs w:val="26"/>
        </w:rPr>
      </w:pPr>
    </w:p>
    <w:p w:rsidR="00773EC5" w:rsidP="00773EC5" w:rsidRDefault="00773EC5" w14:paraId="4A716833" w14:textId="77777777">
      <w:pPr>
        <w:spacing w:line="240" w:lineRule="auto"/>
        <w:ind w:firstLine="0"/>
        <w:rPr>
          <w:szCs w:val="26"/>
        </w:rPr>
      </w:pPr>
    </w:p>
    <w:p w:rsidRPr="00B64009" w:rsidR="00126269" w:rsidP="00773EC5" w:rsidRDefault="00126269" w14:paraId="11A74307" w14:textId="77777777">
      <w:pPr>
        <w:spacing w:line="240" w:lineRule="auto"/>
        <w:ind w:firstLine="0"/>
        <w:rPr>
          <w:szCs w:val="26"/>
        </w:rPr>
      </w:pPr>
    </w:p>
    <w:p w:rsidRPr="00B64009" w:rsidR="00976DD5" w:rsidP="00976DD5" w:rsidRDefault="00976DD5" w14:paraId="772BD13D" w14:textId="305542CE">
      <w:pPr>
        <w:spacing w:line="240" w:lineRule="auto"/>
        <w:ind w:firstLine="0"/>
        <w:rPr>
          <w:bCs/>
          <w:szCs w:val="26"/>
        </w:rPr>
      </w:pPr>
      <w:r w:rsidRPr="00B64009">
        <w:rPr>
          <w:spacing w:val="-2"/>
          <w:szCs w:val="26"/>
        </w:rPr>
        <w:t>Decision</w:t>
      </w:r>
      <w:r w:rsidRPr="00B64009">
        <w:rPr>
          <w:spacing w:val="-5"/>
          <w:szCs w:val="26"/>
        </w:rPr>
        <w:t xml:space="preserve"> </w:t>
      </w:r>
      <w:r w:rsidRPr="00126269" w:rsidR="00126269">
        <w:rPr>
          <w:spacing w:val="-5"/>
          <w:szCs w:val="26"/>
        </w:rPr>
        <w:t>26-10-015</w:t>
      </w:r>
      <w:r w:rsidR="00126269">
        <w:rPr>
          <w:spacing w:val="-5"/>
          <w:szCs w:val="26"/>
        </w:rPr>
        <w:t xml:space="preserve">  October 8, 2026</w:t>
      </w:r>
    </w:p>
    <w:p w:rsidR="00DA7B5D" w:rsidP="00773EC5" w:rsidRDefault="00DA7B5D" w14:paraId="4D847FE4" w14:textId="77777777">
      <w:pPr>
        <w:spacing w:line="240" w:lineRule="auto"/>
        <w:ind w:firstLine="0"/>
        <w:rPr>
          <w:u w:val="single"/>
        </w:rPr>
      </w:pPr>
    </w:p>
    <w:p w:rsidR="00DA7B5D" w:rsidP="00BB0243" w:rsidRDefault="00DA7B5D" w14:paraId="6F2B1BE7"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63DA5118"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7007D342"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625BAB" w14:paraId="49660060" w14:textId="0D9A7D20">
            <w:pPr>
              <w:spacing w:line="240" w:lineRule="auto"/>
              <w:ind w:firstLine="0"/>
              <w:rPr>
                <w:rFonts w:cs="Arial"/>
                <w:szCs w:val="26"/>
              </w:rPr>
            </w:pPr>
            <w:r>
              <w:rPr>
                <w:rFonts w:cs="Arial"/>
                <w:szCs w:val="26"/>
              </w:rPr>
              <w:t>Application of IPC Systems, Inc. for a Certificate of Public Convenience and Necessity to Operate as a Non-Dominant Interexchange Carrier</w:t>
            </w:r>
            <w:r w:rsidR="002E73F6">
              <w:rPr>
                <w:rFonts w:cs="Arial"/>
                <w:szCs w:val="26"/>
              </w:rPr>
              <w:t>.</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E0556A" w14:paraId="692949F9" w14:textId="24202B2A">
            <w:pPr>
              <w:spacing w:line="240" w:lineRule="auto"/>
              <w:ind w:firstLine="0"/>
              <w:jc w:val="center"/>
              <w:rPr>
                <w:rFonts w:cs="Arial"/>
                <w:szCs w:val="26"/>
              </w:rPr>
            </w:pPr>
            <w:r>
              <w:rPr>
                <w:rFonts w:cs="Arial"/>
                <w:szCs w:val="26"/>
              </w:rPr>
              <w:t xml:space="preserve">Application </w:t>
            </w:r>
            <w:r w:rsidR="00625BAB">
              <w:rPr>
                <w:rFonts w:cs="Arial"/>
                <w:szCs w:val="26"/>
              </w:rPr>
              <w:t>25-09-002</w:t>
            </w:r>
          </w:p>
        </w:tc>
      </w:tr>
    </w:tbl>
    <w:p w:rsidR="00DA7B5D" w:rsidP="008F0116" w:rsidRDefault="00DA7B5D" w14:paraId="77408A34" w14:textId="77777777">
      <w:pPr>
        <w:spacing w:line="240" w:lineRule="auto"/>
        <w:ind w:firstLine="0"/>
        <w:rPr>
          <w:rFonts w:ascii="Arial" w:hAnsi="Arial" w:cs="Arial"/>
          <w:sz w:val="24"/>
          <w:szCs w:val="24"/>
        </w:rPr>
      </w:pPr>
    </w:p>
    <w:p w:rsidR="00DA7B5D" w:rsidP="008F0116" w:rsidRDefault="00DA7B5D" w14:paraId="0202D738" w14:textId="77777777">
      <w:pPr>
        <w:spacing w:line="240" w:lineRule="auto"/>
        <w:ind w:firstLine="0"/>
        <w:rPr>
          <w:rFonts w:ascii="Arial" w:hAnsi="Arial" w:cs="Arial"/>
          <w:sz w:val="24"/>
          <w:szCs w:val="24"/>
        </w:rPr>
      </w:pPr>
    </w:p>
    <w:p w:rsidR="00092A69" w:rsidP="0064660D" w:rsidRDefault="00092A69" w14:paraId="27C58485" w14:textId="10D3A0AD">
      <w:pPr>
        <w:spacing w:after="360" w:line="240" w:lineRule="auto"/>
        <w:ind w:firstLine="0"/>
        <w:jc w:val="center"/>
      </w:pPr>
      <w:r w:rsidRPr="00092A69">
        <w:rPr>
          <w:rFonts w:ascii="Arial" w:hAnsi="Arial" w:eastAsia="Times New Roman" w:cs="Arial"/>
          <w:b/>
          <w:szCs w:val="20"/>
        </w:rPr>
        <w:t xml:space="preserve">DECISION GRANTING </w:t>
      </w:r>
      <w:r w:rsidRPr="007926CC" w:rsidR="00765D0F">
        <w:rPr>
          <w:rFonts w:ascii="Arial" w:hAnsi="Arial" w:eastAsia="Times New Roman" w:cs="Arial"/>
          <w:b/>
          <w:szCs w:val="20"/>
        </w:rPr>
        <w:t>IPC SYSTEMS, INC.</w:t>
      </w:r>
      <w:r w:rsidR="00531AB8">
        <w:rPr>
          <w:rFonts w:ascii="Arial" w:hAnsi="Arial" w:eastAsia="Times New Roman" w:cs="Arial"/>
          <w:b/>
          <w:szCs w:val="20"/>
        </w:rPr>
        <w:t>,</w:t>
      </w:r>
      <w:r w:rsidRPr="002E35C5">
        <w:rPr>
          <w:rFonts w:ascii="Arial" w:hAnsi="Arial" w:eastAsia="Times New Roman" w:cs="Arial"/>
          <w:b/>
          <w:szCs w:val="20"/>
        </w:rPr>
        <w:t xml:space="preserve"> </w:t>
      </w:r>
      <w:r w:rsidRPr="00092A69">
        <w:rPr>
          <w:rFonts w:ascii="Arial" w:hAnsi="Arial" w:eastAsia="Times New Roman" w:cs="Arial"/>
          <w:b/>
          <w:szCs w:val="20"/>
        </w:rPr>
        <w:t xml:space="preserve">A CERTIFICATE OF PUBLIC CONVENIENCE AND NECESSITY TO </w:t>
      </w:r>
      <w:r w:rsidR="00A55D58">
        <w:rPr>
          <w:rFonts w:ascii="Arial" w:hAnsi="Arial" w:eastAsia="Times New Roman" w:cs="Arial"/>
          <w:b/>
          <w:szCs w:val="20"/>
        </w:rPr>
        <w:t>PROVIDE</w:t>
      </w:r>
      <w:r w:rsidR="003F4C3C">
        <w:rPr>
          <w:rFonts w:ascii="Arial" w:hAnsi="Arial" w:eastAsia="Times New Roman" w:cs="Arial"/>
          <w:b/>
          <w:szCs w:val="20"/>
        </w:rPr>
        <w:t xml:space="preserve"> INTEREXCHANGE SERVICE</w:t>
      </w:r>
      <w:r w:rsidR="00A55D58">
        <w:rPr>
          <w:rFonts w:ascii="Arial" w:hAnsi="Arial" w:eastAsia="Times New Roman" w:cs="Arial"/>
          <w:b/>
          <w:szCs w:val="20"/>
        </w:rPr>
        <w:t>S</w:t>
      </w:r>
      <w:r w:rsidR="003B2549">
        <w:rPr>
          <w:rFonts w:ascii="Arial" w:hAnsi="Arial" w:eastAsia="Times New Roman" w:cs="Arial"/>
          <w:b/>
          <w:szCs w:val="20"/>
        </w:rPr>
        <w:t xml:space="preserve"> </w:t>
      </w:r>
    </w:p>
    <w:p w:rsidRPr="00092A69" w:rsidR="00092A69" w:rsidP="00710EBA" w:rsidRDefault="00092A69" w14:paraId="5F79A2C1" w14:textId="77777777">
      <w:pPr>
        <w:sectPr w:rsidRPr="00092A69" w:rsidR="00092A69" w:rsidSect="004B6C3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360"/>
        </w:sectPr>
      </w:pPr>
    </w:p>
    <w:p w:rsidRPr="00BF4984" w:rsidR="00921499" w:rsidP="00921499" w:rsidRDefault="00921499" w14:paraId="1BDFEAA1" w14:textId="77777777">
      <w:pPr>
        <w:pStyle w:val="Main"/>
        <w:rPr>
          <w:rFonts w:ascii="Book Antiqua" w:hAnsi="Book Antiqua"/>
          <w:sz w:val="28"/>
          <w:szCs w:val="28"/>
        </w:rPr>
      </w:pPr>
      <w:r w:rsidRPr="00BF4984">
        <w:rPr>
          <w:rFonts w:ascii="Book Antiqua" w:hAnsi="Book Antiqua"/>
          <w:sz w:val="28"/>
          <w:szCs w:val="28"/>
        </w:rPr>
        <w:lastRenderedPageBreak/>
        <w:t>TABLE OF CONTENTS</w:t>
      </w:r>
    </w:p>
    <w:p w:rsidR="00921499" w:rsidP="00921499" w:rsidRDefault="00921499" w14:paraId="7838EE76" w14:textId="0ADB1309">
      <w:pPr>
        <w:tabs>
          <w:tab w:val="right" w:pos="9360"/>
        </w:tabs>
        <w:ind w:firstLine="0"/>
        <w:rPr>
          <w:b/>
        </w:rPr>
      </w:pPr>
      <w:r w:rsidRPr="00D50119">
        <w:rPr>
          <w:b/>
        </w:rPr>
        <w:t>Title</w:t>
      </w:r>
      <w:r>
        <w:tab/>
      </w:r>
      <w:r w:rsidRPr="00D50119">
        <w:rPr>
          <w:b/>
        </w:rPr>
        <w:t>Page</w:t>
      </w:r>
    </w:p>
    <w:sdt>
      <w:sdtPr>
        <w:id w:val="-1224440197"/>
        <w:docPartObj>
          <w:docPartGallery w:val="Table of Contents"/>
          <w:docPartUnique/>
        </w:docPartObj>
      </w:sdtPr>
      <w:sdtEndPr>
        <w:rPr>
          <w:b/>
          <w:bCs/>
        </w:rPr>
      </w:sdtEndPr>
      <w:sdtContent>
        <w:p w:rsidR="00163FAC" w:rsidRDefault="008C7413" w14:paraId="1CFB27BA" w14:textId="30DFE68C">
          <w:pPr>
            <w:pStyle w:val="TOC1"/>
            <w:tabs>
              <w:tab w:val="right" w:leader="dot" w:pos="9350"/>
            </w:tabs>
            <w:rPr>
              <w:rFonts w:asciiTheme="minorHAnsi" w:hAnsiTheme="minorHAnsi" w:cstheme="minorBidi"/>
              <w:noProof/>
              <w:kern w:val="2"/>
              <w:sz w:val="24"/>
              <w:szCs w:val="24"/>
              <w14:ligatures w14:val="standardContextual"/>
            </w:rPr>
          </w:pPr>
          <w:r w:rsidRPr="009B16A9">
            <w:rPr>
              <w:szCs w:val="26"/>
            </w:rPr>
            <w:fldChar w:fldCharType="begin"/>
          </w:r>
          <w:r w:rsidRPr="009B16A9">
            <w:rPr>
              <w:szCs w:val="26"/>
            </w:rPr>
            <w:instrText xml:space="preserve"> TOC \o "1-6" \h \z \u </w:instrText>
          </w:r>
          <w:r w:rsidRPr="009B16A9">
            <w:rPr>
              <w:szCs w:val="26"/>
            </w:rPr>
            <w:fldChar w:fldCharType="separate"/>
          </w:r>
          <w:hyperlink w:history="1" w:anchor="_Toc240876445">
            <w:r w:rsidRPr="007C2970" w:rsidR="00163FAC">
              <w:rPr>
                <w:rStyle w:val="Hyperlink"/>
                <w:noProof/>
              </w:rPr>
              <w:t>Summary</w:t>
            </w:r>
            <w:r w:rsidR="00163FAC">
              <w:rPr>
                <w:noProof/>
                <w:webHidden/>
              </w:rPr>
              <w:tab/>
            </w:r>
            <w:r w:rsidR="00163FAC">
              <w:rPr>
                <w:noProof/>
                <w:webHidden/>
              </w:rPr>
              <w:fldChar w:fldCharType="begin"/>
            </w:r>
            <w:r w:rsidR="00163FAC">
              <w:rPr>
                <w:noProof/>
                <w:webHidden/>
              </w:rPr>
              <w:instrText xml:space="preserve"> PAGEREF _Toc240876445 \h </w:instrText>
            </w:r>
            <w:r w:rsidR="00163FAC">
              <w:rPr>
                <w:noProof/>
                <w:webHidden/>
              </w:rPr>
            </w:r>
            <w:r w:rsidR="00163FAC">
              <w:rPr>
                <w:noProof/>
                <w:webHidden/>
              </w:rPr>
              <w:fldChar w:fldCharType="separate"/>
            </w:r>
            <w:r w:rsidR="00706C0D">
              <w:rPr>
                <w:noProof/>
                <w:webHidden/>
              </w:rPr>
              <w:t>2</w:t>
            </w:r>
            <w:r w:rsidR="00163FAC">
              <w:rPr>
                <w:noProof/>
                <w:webHidden/>
              </w:rPr>
              <w:fldChar w:fldCharType="end"/>
            </w:r>
          </w:hyperlink>
        </w:p>
        <w:p w:rsidR="00163FAC" w:rsidRDefault="00163FAC" w14:paraId="6A2FDF3D" w14:textId="0C9E671C">
          <w:pPr>
            <w:pStyle w:val="TOC1"/>
            <w:tabs>
              <w:tab w:val="right" w:leader="dot" w:pos="9350"/>
            </w:tabs>
            <w:rPr>
              <w:rFonts w:asciiTheme="minorHAnsi" w:hAnsiTheme="minorHAnsi" w:cstheme="minorBidi"/>
              <w:noProof/>
              <w:kern w:val="2"/>
              <w:sz w:val="24"/>
              <w:szCs w:val="24"/>
              <w14:ligatures w14:val="standardContextual"/>
            </w:rPr>
          </w:pPr>
          <w:hyperlink w:history="1" w:anchor="_Toc240876446">
            <w:r w:rsidRPr="007C2970">
              <w:rPr>
                <w:rStyle w:val="Hyperlink"/>
                <w:noProof/>
              </w:rPr>
              <w:t>1.</w:t>
            </w:r>
            <w:r>
              <w:rPr>
                <w:rFonts w:asciiTheme="minorHAnsi" w:hAnsiTheme="minorHAnsi" w:cstheme="minorBidi"/>
                <w:noProof/>
                <w:kern w:val="2"/>
                <w:sz w:val="24"/>
                <w:szCs w:val="24"/>
                <w14:ligatures w14:val="standardContextual"/>
              </w:rPr>
              <w:tab/>
            </w:r>
            <w:r w:rsidRPr="007C2970">
              <w:rPr>
                <w:rStyle w:val="Hyperlink"/>
                <w:noProof/>
              </w:rPr>
              <w:t>Background</w:t>
            </w:r>
            <w:r>
              <w:rPr>
                <w:noProof/>
                <w:webHidden/>
              </w:rPr>
              <w:tab/>
            </w:r>
            <w:r>
              <w:rPr>
                <w:noProof/>
                <w:webHidden/>
              </w:rPr>
              <w:fldChar w:fldCharType="begin"/>
            </w:r>
            <w:r>
              <w:rPr>
                <w:noProof/>
                <w:webHidden/>
              </w:rPr>
              <w:instrText xml:space="preserve"> PAGEREF _Toc240876446 \h </w:instrText>
            </w:r>
            <w:r>
              <w:rPr>
                <w:noProof/>
                <w:webHidden/>
              </w:rPr>
            </w:r>
            <w:r>
              <w:rPr>
                <w:noProof/>
                <w:webHidden/>
              </w:rPr>
              <w:fldChar w:fldCharType="separate"/>
            </w:r>
            <w:r w:rsidR="00706C0D">
              <w:rPr>
                <w:noProof/>
                <w:webHidden/>
              </w:rPr>
              <w:t>2</w:t>
            </w:r>
            <w:r>
              <w:rPr>
                <w:noProof/>
                <w:webHidden/>
              </w:rPr>
              <w:fldChar w:fldCharType="end"/>
            </w:r>
          </w:hyperlink>
        </w:p>
        <w:p w:rsidR="00163FAC" w:rsidRDefault="00163FAC" w14:paraId="49940ABD" w14:textId="4A365315">
          <w:pPr>
            <w:pStyle w:val="TOC1"/>
            <w:tabs>
              <w:tab w:val="right" w:leader="dot" w:pos="9350"/>
            </w:tabs>
            <w:rPr>
              <w:rFonts w:asciiTheme="minorHAnsi" w:hAnsiTheme="minorHAnsi" w:cstheme="minorBidi"/>
              <w:noProof/>
              <w:kern w:val="2"/>
              <w:sz w:val="24"/>
              <w:szCs w:val="24"/>
              <w14:ligatures w14:val="standardContextual"/>
            </w:rPr>
          </w:pPr>
          <w:hyperlink w:history="1" w:anchor="_Toc240876447">
            <w:r w:rsidRPr="007C2970">
              <w:rPr>
                <w:rStyle w:val="Hyperlink"/>
                <w:noProof/>
              </w:rPr>
              <w:t>2.</w:t>
            </w:r>
            <w:r>
              <w:rPr>
                <w:rFonts w:asciiTheme="minorHAnsi" w:hAnsiTheme="minorHAnsi" w:cstheme="minorBidi"/>
                <w:noProof/>
                <w:kern w:val="2"/>
                <w:sz w:val="24"/>
                <w:szCs w:val="24"/>
                <w14:ligatures w14:val="standardContextual"/>
              </w:rPr>
              <w:tab/>
            </w:r>
            <w:r w:rsidRPr="007C2970">
              <w:rPr>
                <w:rStyle w:val="Hyperlink"/>
                <w:noProof/>
              </w:rPr>
              <w:t>Submission Date</w:t>
            </w:r>
            <w:r>
              <w:rPr>
                <w:noProof/>
                <w:webHidden/>
              </w:rPr>
              <w:tab/>
            </w:r>
            <w:r>
              <w:rPr>
                <w:noProof/>
                <w:webHidden/>
              </w:rPr>
              <w:fldChar w:fldCharType="begin"/>
            </w:r>
            <w:r>
              <w:rPr>
                <w:noProof/>
                <w:webHidden/>
              </w:rPr>
              <w:instrText xml:space="preserve"> PAGEREF _Toc240876447 \h </w:instrText>
            </w:r>
            <w:r>
              <w:rPr>
                <w:noProof/>
                <w:webHidden/>
              </w:rPr>
            </w:r>
            <w:r>
              <w:rPr>
                <w:noProof/>
                <w:webHidden/>
              </w:rPr>
              <w:fldChar w:fldCharType="separate"/>
            </w:r>
            <w:r w:rsidR="00706C0D">
              <w:rPr>
                <w:noProof/>
                <w:webHidden/>
              </w:rPr>
              <w:t>5</w:t>
            </w:r>
            <w:r>
              <w:rPr>
                <w:noProof/>
                <w:webHidden/>
              </w:rPr>
              <w:fldChar w:fldCharType="end"/>
            </w:r>
          </w:hyperlink>
        </w:p>
        <w:p w:rsidR="00163FAC" w:rsidRDefault="00163FAC" w14:paraId="4F6CDDDC" w14:textId="162AD77C">
          <w:pPr>
            <w:pStyle w:val="TOC1"/>
            <w:tabs>
              <w:tab w:val="right" w:leader="dot" w:pos="9350"/>
            </w:tabs>
            <w:rPr>
              <w:rFonts w:asciiTheme="minorHAnsi" w:hAnsiTheme="minorHAnsi" w:cstheme="minorBidi"/>
              <w:noProof/>
              <w:kern w:val="2"/>
              <w:sz w:val="24"/>
              <w:szCs w:val="24"/>
              <w14:ligatures w14:val="standardContextual"/>
            </w:rPr>
          </w:pPr>
          <w:hyperlink w:history="1" w:anchor="_Toc240876448">
            <w:r w:rsidRPr="007C2970">
              <w:rPr>
                <w:rStyle w:val="Hyperlink"/>
                <w:noProof/>
              </w:rPr>
              <w:t>3.</w:t>
            </w:r>
            <w:r>
              <w:rPr>
                <w:rFonts w:asciiTheme="minorHAnsi" w:hAnsiTheme="minorHAnsi" w:cstheme="minorBidi"/>
                <w:noProof/>
                <w:kern w:val="2"/>
                <w:sz w:val="24"/>
                <w:szCs w:val="24"/>
                <w14:ligatures w14:val="standardContextual"/>
              </w:rPr>
              <w:tab/>
            </w:r>
            <w:r w:rsidRPr="007C2970">
              <w:rPr>
                <w:rStyle w:val="Hyperlink"/>
                <w:noProof/>
              </w:rPr>
              <w:t>Issues Before the Commission</w:t>
            </w:r>
            <w:r>
              <w:rPr>
                <w:noProof/>
                <w:webHidden/>
              </w:rPr>
              <w:tab/>
            </w:r>
            <w:r>
              <w:rPr>
                <w:noProof/>
                <w:webHidden/>
              </w:rPr>
              <w:fldChar w:fldCharType="begin"/>
            </w:r>
            <w:r>
              <w:rPr>
                <w:noProof/>
                <w:webHidden/>
              </w:rPr>
              <w:instrText xml:space="preserve"> PAGEREF _Toc240876448 \h </w:instrText>
            </w:r>
            <w:r>
              <w:rPr>
                <w:noProof/>
                <w:webHidden/>
              </w:rPr>
            </w:r>
            <w:r>
              <w:rPr>
                <w:noProof/>
                <w:webHidden/>
              </w:rPr>
              <w:fldChar w:fldCharType="separate"/>
            </w:r>
            <w:r w:rsidR="00706C0D">
              <w:rPr>
                <w:noProof/>
                <w:webHidden/>
              </w:rPr>
              <w:t>5</w:t>
            </w:r>
            <w:r>
              <w:rPr>
                <w:noProof/>
                <w:webHidden/>
              </w:rPr>
              <w:fldChar w:fldCharType="end"/>
            </w:r>
          </w:hyperlink>
        </w:p>
        <w:p w:rsidR="00163FAC" w:rsidRDefault="00163FAC" w14:paraId="1E881BAA" w14:textId="5FEF80F1">
          <w:pPr>
            <w:pStyle w:val="TOC1"/>
            <w:tabs>
              <w:tab w:val="right" w:leader="dot" w:pos="9350"/>
            </w:tabs>
            <w:rPr>
              <w:rFonts w:asciiTheme="minorHAnsi" w:hAnsiTheme="minorHAnsi" w:cstheme="minorBidi"/>
              <w:noProof/>
              <w:kern w:val="2"/>
              <w:sz w:val="24"/>
              <w:szCs w:val="24"/>
              <w14:ligatures w14:val="standardContextual"/>
            </w:rPr>
          </w:pPr>
          <w:hyperlink w:history="1" w:anchor="_Toc240876449">
            <w:r w:rsidRPr="007C2970">
              <w:rPr>
                <w:rStyle w:val="Hyperlink"/>
                <w:noProof/>
              </w:rPr>
              <w:t>4.</w:t>
            </w:r>
            <w:r>
              <w:rPr>
                <w:rFonts w:asciiTheme="minorHAnsi" w:hAnsiTheme="minorHAnsi" w:cstheme="minorBidi"/>
                <w:noProof/>
                <w:kern w:val="2"/>
                <w:sz w:val="24"/>
                <w:szCs w:val="24"/>
                <w14:ligatures w14:val="standardContextual"/>
              </w:rPr>
              <w:tab/>
            </w:r>
            <w:r w:rsidRPr="007C2970">
              <w:rPr>
                <w:rStyle w:val="Hyperlink"/>
                <w:noProof/>
              </w:rPr>
              <w:t>Jurisdiction</w:t>
            </w:r>
            <w:r>
              <w:rPr>
                <w:noProof/>
                <w:webHidden/>
              </w:rPr>
              <w:tab/>
            </w:r>
            <w:r>
              <w:rPr>
                <w:noProof/>
                <w:webHidden/>
              </w:rPr>
              <w:fldChar w:fldCharType="begin"/>
            </w:r>
            <w:r>
              <w:rPr>
                <w:noProof/>
                <w:webHidden/>
              </w:rPr>
              <w:instrText xml:space="preserve"> PAGEREF _Toc240876449 \h </w:instrText>
            </w:r>
            <w:r>
              <w:rPr>
                <w:noProof/>
                <w:webHidden/>
              </w:rPr>
            </w:r>
            <w:r>
              <w:rPr>
                <w:noProof/>
                <w:webHidden/>
              </w:rPr>
              <w:fldChar w:fldCharType="separate"/>
            </w:r>
            <w:r w:rsidR="00706C0D">
              <w:rPr>
                <w:noProof/>
                <w:webHidden/>
              </w:rPr>
              <w:t>5</w:t>
            </w:r>
            <w:r>
              <w:rPr>
                <w:noProof/>
                <w:webHidden/>
              </w:rPr>
              <w:fldChar w:fldCharType="end"/>
            </w:r>
          </w:hyperlink>
        </w:p>
        <w:p w:rsidR="00163FAC" w:rsidRDefault="00163FAC" w14:paraId="6699FAF5" w14:textId="3E480520">
          <w:pPr>
            <w:pStyle w:val="TOC1"/>
            <w:tabs>
              <w:tab w:val="right" w:leader="dot" w:pos="9350"/>
            </w:tabs>
            <w:rPr>
              <w:rFonts w:asciiTheme="minorHAnsi" w:hAnsiTheme="minorHAnsi" w:cstheme="minorBidi"/>
              <w:noProof/>
              <w:kern w:val="2"/>
              <w:sz w:val="24"/>
              <w:szCs w:val="24"/>
              <w14:ligatures w14:val="standardContextual"/>
            </w:rPr>
          </w:pPr>
          <w:hyperlink w:history="1" w:anchor="_Toc240876450">
            <w:r w:rsidRPr="007C2970">
              <w:rPr>
                <w:rStyle w:val="Hyperlink"/>
                <w:rFonts w:cs="Arial"/>
                <w:noProof/>
              </w:rPr>
              <w:t>5.</w:t>
            </w:r>
            <w:r>
              <w:rPr>
                <w:rFonts w:asciiTheme="minorHAnsi" w:hAnsiTheme="minorHAnsi" w:cstheme="minorBidi"/>
                <w:noProof/>
                <w:kern w:val="2"/>
                <w:sz w:val="24"/>
                <w:szCs w:val="24"/>
                <w14:ligatures w14:val="standardContextual"/>
              </w:rPr>
              <w:tab/>
            </w:r>
            <w:r w:rsidRPr="007C2970">
              <w:rPr>
                <w:rStyle w:val="Hyperlink"/>
                <w:rFonts w:cs="Arial"/>
                <w:noProof/>
              </w:rPr>
              <w:t>Proposed Construction and California Environmental Quality Act (CEQA) Compliance</w:t>
            </w:r>
            <w:r>
              <w:rPr>
                <w:noProof/>
                <w:webHidden/>
              </w:rPr>
              <w:tab/>
            </w:r>
            <w:r>
              <w:rPr>
                <w:noProof/>
                <w:webHidden/>
              </w:rPr>
              <w:fldChar w:fldCharType="begin"/>
            </w:r>
            <w:r>
              <w:rPr>
                <w:noProof/>
                <w:webHidden/>
              </w:rPr>
              <w:instrText xml:space="preserve"> PAGEREF _Toc240876450 \h </w:instrText>
            </w:r>
            <w:r>
              <w:rPr>
                <w:noProof/>
                <w:webHidden/>
              </w:rPr>
            </w:r>
            <w:r>
              <w:rPr>
                <w:noProof/>
                <w:webHidden/>
              </w:rPr>
              <w:fldChar w:fldCharType="separate"/>
            </w:r>
            <w:r w:rsidR="00706C0D">
              <w:rPr>
                <w:noProof/>
                <w:webHidden/>
              </w:rPr>
              <w:t>9</w:t>
            </w:r>
            <w:r>
              <w:rPr>
                <w:noProof/>
                <w:webHidden/>
              </w:rPr>
              <w:fldChar w:fldCharType="end"/>
            </w:r>
          </w:hyperlink>
        </w:p>
        <w:p w:rsidR="00163FAC" w:rsidRDefault="00163FAC" w14:paraId="3C3D7DAB" w14:textId="3F14DFAF">
          <w:pPr>
            <w:pStyle w:val="TOC1"/>
            <w:tabs>
              <w:tab w:val="right" w:leader="dot" w:pos="9350"/>
            </w:tabs>
            <w:rPr>
              <w:rFonts w:asciiTheme="minorHAnsi" w:hAnsiTheme="minorHAnsi" w:cstheme="minorBidi"/>
              <w:noProof/>
              <w:kern w:val="2"/>
              <w:sz w:val="24"/>
              <w:szCs w:val="24"/>
              <w14:ligatures w14:val="standardContextual"/>
            </w:rPr>
          </w:pPr>
          <w:hyperlink w:history="1" w:anchor="_Toc240876451">
            <w:r w:rsidRPr="007C2970">
              <w:rPr>
                <w:rStyle w:val="Hyperlink"/>
                <w:noProof/>
              </w:rPr>
              <w:t>6.</w:t>
            </w:r>
            <w:r>
              <w:rPr>
                <w:rFonts w:asciiTheme="minorHAnsi" w:hAnsiTheme="minorHAnsi" w:cstheme="minorBidi"/>
                <w:noProof/>
                <w:kern w:val="2"/>
                <w:sz w:val="24"/>
                <w:szCs w:val="24"/>
                <w14:ligatures w14:val="standardContextual"/>
              </w:rPr>
              <w:tab/>
            </w:r>
            <w:r w:rsidRPr="007C2970">
              <w:rPr>
                <w:rStyle w:val="Hyperlink"/>
                <w:noProof/>
              </w:rPr>
              <w:t>Financial Qualifications</w:t>
            </w:r>
            <w:r>
              <w:rPr>
                <w:noProof/>
                <w:webHidden/>
              </w:rPr>
              <w:tab/>
            </w:r>
            <w:r>
              <w:rPr>
                <w:noProof/>
                <w:webHidden/>
              </w:rPr>
              <w:fldChar w:fldCharType="begin"/>
            </w:r>
            <w:r>
              <w:rPr>
                <w:noProof/>
                <w:webHidden/>
              </w:rPr>
              <w:instrText xml:space="preserve"> PAGEREF _Toc240876451 \h </w:instrText>
            </w:r>
            <w:r>
              <w:rPr>
                <w:noProof/>
                <w:webHidden/>
              </w:rPr>
            </w:r>
            <w:r>
              <w:rPr>
                <w:noProof/>
                <w:webHidden/>
              </w:rPr>
              <w:fldChar w:fldCharType="separate"/>
            </w:r>
            <w:r w:rsidR="00706C0D">
              <w:rPr>
                <w:noProof/>
                <w:webHidden/>
              </w:rPr>
              <w:t>10</w:t>
            </w:r>
            <w:r>
              <w:rPr>
                <w:noProof/>
                <w:webHidden/>
              </w:rPr>
              <w:fldChar w:fldCharType="end"/>
            </w:r>
          </w:hyperlink>
        </w:p>
        <w:p w:rsidR="00163FAC" w:rsidRDefault="00163FAC" w14:paraId="1E0ADBD8" w14:textId="691F47D6">
          <w:pPr>
            <w:pStyle w:val="TOC1"/>
            <w:tabs>
              <w:tab w:val="right" w:leader="dot" w:pos="9350"/>
            </w:tabs>
            <w:rPr>
              <w:rFonts w:asciiTheme="minorHAnsi" w:hAnsiTheme="minorHAnsi" w:cstheme="minorBidi"/>
              <w:noProof/>
              <w:kern w:val="2"/>
              <w:sz w:val="24"/>
              <w:szCs w:val="24"/>
              <w14:ligatures w14:val="standardContextual"/>
            </w:rPr>
          </w:pPr>
          <w:hyperlink w:history="1" w:anchor="_Toc240876452">
            <w:r w:rsidRPr="007C2970">
              <w:rPr>
                <w:rStyle w:val="Hyperlink"/>
                <w:noProof/>
              </w:rPr>
              <w:t>7.</w:t>
            </w:r>
            <w:r>
              <w:rPr>
                <w:rFonts w:asciiTheme="minorHAnsi" w:hAnsiTheme="minorHAnsi" w:cstheme="minorBidi"/>
                <w:noProof/>
                <w:kern w:val="2"/>
                <w:sz w:val="24"/>
                <w:szCs w:val="24"/>
                <w14:ligatures w14:val="standardContextual"/>
              </w:rPr>
              <w:tab/>
            </w:r>
            <w:r w:rsidRPr="007C2970">
              <w:rPr>
                <w:rStyle w:val="Hyperlink"/>
                <w:bCs/>
                <w:noProof/>
              </w:rPr>
              <w:t>T</w:t>
            </w:r>
            <w:r w:rsidRPr="007C2970">
              <w:rPr>
                <w:rStyle w:val="Hyperlink"/>
                <w:noProof/>
              </w:rPr>
              <w:t>echnical Qualifications</w:t>
            </w:r>
            <w:r>
              <w:rPr>
                <w:noProof/>
                <w:webHidden/>
              </w:rPr>
              <w:tab/>
            </w:r>
            <w:r>
              <w:rPr>
                <w:noProof/>
                <w:webHidden/>
              </w:rPr>
              <w:fldChar w:fldCharType="begin"/>
            </w:r>
            <w:r>
              <w:rPr>
                <w:noProof/>
                <w:webHidden/>
              </w:rPr>
              <w:instrText xml:space="preserve"> PAGEREF _Toc240876452 \h </w:instrText>
            </w:r>
            <w:r>
              <w:rPr>
                <w:noProof/>
                <w:webHidden/>
              </w:rPr>
            </w:r>
            <w:r>
              <w:rPr>
                <w:noProof/>
                <w:webHidden/>
              </w:rPr>
              <w:fldChar w:fldCharType="separate"/>
            </w:r>
            <w:r w:rsidR="00706C0D">
              <w:rPr>
                <w:noProof/>
                <w:webHidden/>
              </w:rPr>
              <w:t>11</w:t>
            </w:r>
            <w:r>
              <w:rPr>
                <w:noProof/>
                <w:webHidden/>
              </w:rPr>
              <w:fldChar w:fldCharType="end"/>
            </w:r>
          </w:hyperlink>
        </w:p>
        <w:p w:rsidR="00163FAC" w:rsidRDefault="00163FAC" w14:paraId="21A0B554" w14:textId="391D013B">
          <w:pPr>
            <w:pStyle w:val="TOC1"/>
            <w:tabs>
              <w:tab w:val="right" w:leader="dot" w:pos="9350"/>
            </w:tabs>
            <w:rPr>
              <w:rFonts w:asciiTheme="minorHAnsi" w:hAnsiTheme="minorHAnsi" w:cstheme="minorBidi"/>
              <w:noProof/>
              <w:kern w:val="2"/>
              <w:sz w:val="24"/>
              <w:szCs w:val="24"/>
              <w14:ligatures w14:val="standardContextual"/>
            </w:rPr>
          </w:pPr>
          <w:hyperlink w:history="1" w:anchor="_Toc240876453">
            <w:r w:rsidRPr="007C2970">
              <w:rPr>
                <w:rStyle w:val="Hyperlink"/>
                <w:noProof/>
              </w:rPr>
              <w:t>8.</w:t>
            </w:r>
            <w:r>
              <w:rPr>
                <w:rFonts w:asciiTheme="minorHAnsi" w:hAnsiTheme="minorHAnsi" w:cstheme="minorBidi"/>
                <w:noProof/>
                <w:kern w:val="2"/>
                <w:sz w:val="24"/>
                <w:szCs w:val="24"/>
                <w14:ligatures w14:val="standardContextual"/>
              </w:rPr>
              <w:tab/>
            </w:r>
            <w:r w:rsidRPr="007C2970">
              <w:rPr>
                <w:rStyle w:val="Hyperlink"/>
                <w:noProof/>
              </w:rPr>
              <w:t>C</w:t>
            </w:r>
            <w:r w:rsidRPr="007C2970">
              <w:rPr>
                <w:rStyle w:val="Hyperlink"/>
                <w:rFonts w:cs="Arial"/>
                <w:noProof/>
              </w:rPr>
              <w:t>ertification Requirements</w:t>
            </w:r>
            <w:r>
              <w:rPr>
                <w:noProof/>
                <w:webHidden/>
              </w:rPr>
              <w:tab/>
            </w:r>
            <w:r>
              <w:rPr>
                <w:noProof/>
                <w:webHidden/>
              </w:rPr>
              <w:fldChar w:fldCharType="begin"/>
            </w:r>
            <w:r>
              <w:rPr>
                <w:noProof/>
                <w:webHidden/>
              </w:rPr>
              <w:instrText xml:space="preserve"> PAGEREF _Toc240876453 \h </w:instrText>
            </w:r>
            <w:r>
              <w:rPr>
                <w:noProof/>
                <w:webHidden/>
              </w:rPr>
            </w:r>
            <w:r>
              <w:rPr>
                <w:noProof/>
                <w:webHidden/>
              </w:rPr>
              <w:fldChar w:fldCharType="separate"/>
            </w:r>
            <w:r w:rsidR="00706C0D">
              <w:rPr>
                <w:noProof/>
                <w:webHidden/>
              </w:rPr>
              <w:t>11</w:t>
            </w:r>
            <w:r>
              <w:rPr>
                <w:noProof/>
                <w:webHidden/>
              </w:rPr>
              <w:fldChar w:fldCharType="end"/>
            </w:r>
          </w:hyperlink>
        </w:p>
        <w:p w:rsidR="00163FAC" w:rsidRDefault="00163FAC" w14:paraId="2D591269" w14:textId="1D1DE386">
          <w:pPr>
            <w:pStyle w:val="TOC1"/>
            <w:tabs>
              <w:tab w:val="right" w:leader="dot" w:pos="9350"/>
            </w:tabs>
            <w:rPr>
              <w:rFonts w:asciiTheme="minorHAnsi" w:hAnsiTheme="minorHAnsi" w:cstheme="minorBidi"/>
              <w:noProof/>
              <w:kern w:val="2"/>
              <w:sz w:val="24"/>
              <w:szCs w:val="24"/>
              <w14:ligatures w14:val="standardContextual"/>
            </w:rPr>
          </w:pPr>
          <w:hyperlink w:history="1" w:anchor="_Toc240876454">
            <w:r w:rsidRPr="007C2970">
              <w:rPr>
                <w:rStyle w:val="Hyperlink"/>
                <w:noProof/>
              </w:rPr>
              <w:t>9.</w:t>
            </w:r>
            <w:r>
              <w:rPr>
                <w:rFonts w:asciiTheme="minorHAnsi" w:hAnsiTheme="minorHAnsi" w:cstheme="minorBidi"/>
                <w:noProof/>
                <w:kern w:val="2"/>
                <w:sz w:val="24"/>
                <w:szCs w:val="24"/>
                <w14:ligatures w14:val="standardContextual"/>
              </w:rPr>
              <w:tab/>
            </w:r>
            <w:r w:rsidRPr="007C2970">
              <w:rPr>
                <w:rStyle w:val="Hyperlink"/>
                <w:noProof/>
              </w:rPr>
              <w:t>Tariffs</w:t>
            </w:r>
            <w:r>
              <w:rPr>
                <w:noProof/>
                <w:webHidden/>
              </w:rPr>
              <w:tab/>
            </w:r>
            <w:r>
              <w:rPr>
                <w:noProof/>
                <w:webHidden/>
              </w:rPr>
              <w:fldChar w:fldCharType="begin"/>
            </w:r>
            <w:r>
              <w:rPr>
                <w:noProof/>
                <w:webHidden/>
              </w:rPr>
              <w:instrText xml:space="preserve"> PAGEREF _Toc240876454 \h </w:instrText>
            </w:r>
            <w:r>
              <w:rPr>
                <w:noProof/>
                <w:webHidden/>
              </w:rPr>
            </w:r>
            <w:r>
              <w:rPr>
                <w:noProof/>
                <w:webHidden/>
              </w:rPr>
              <w:fldChar w:fldCharType="separate"/>
            </w:r>
            <w:r w:rsidR="00706C0D">
              <w:rPr>
                <w:noProof/>
                <w:webHidden/>
              </w:rPr>
              <w:t>13</w:t>
            </w:r>
            <w:r>
              <w:rPr>
                <w:noProof/>
                <w:webHidden/>
              </w:rPr>
              <w:fldChar w:fldCharType="end"/>
            </w:r>
          </w:hyperlink>
        </w:p>
        <w:p w:rsidR="00163FAC" w:rsidRDefault="00163FAC" w14:paraId="4D241724" w14:textId="3E2DE324">
          <w:pPr>
            <w:pStyle w:val="TOC1"/>
            <w:tabs>
              <w:tab w:val="right" w:leader="dot" w:pos="9350"/>
            </w:tabs>
            <w:rPr>
              <w:rFonts w:asciiTheme="minorHAnsi" w:hAnsiTheme="minorHAnsi" w:cstheme="minorBidi"/>
              <w:noProof/>
              <w:kern w:val="2"/>
              <w:sz w:val="24"/>
              <w:szCs w:val="24"/>
              <w14:ligatures w14:val="standardContextual"/>
            </w:rPr>
          </w:pPr>
          <w:hyperlink w:history="1" w:anchor="_Toc240876455">
            <w:r w:rsidRPr="007C2970">
              <w:rPr>
                <w:rStyle w:val="Hyperlink"/>
                <w:noProof/>
              </w:rPr>
              <w:t>10.</w:t>
            </w:r>
            <w:r>
              <w:rPr>
                <w:rFonts w:asciiTheme="minorHAnsi" w:hAnsiTheme="minorHAnsi" w:cstheme="minorBidi"/>
                <w:noProof/>
                <w:kern w:val="2"/>
                <w:sz w:val="24"/>
                <w:szCs w:val="24"/>
                <w14:ligatures w14:val="standardContextual"/>
              </w:rPr>
              <w:tab/>
            </w:r>
            <w:r w:rsidRPr="007C2970">
              <w:rPr>
                <w:rStyle w:val="Hyperlink"/>
                <w:noProof/>
              </w:rPr>
              <w:t>Request for Treatment as a  Non-dominant Interexchange Carrier</w:t>
            </w:r>
            <w:r>
              <w:rPr>
                <w:noProof/>
                <w:webHidden/>
              </w:rPr>
              <w:tab/>
            </w:r>
            <w:r>
              <w:rPr>
                <w:noProof/>
                <w:webHidden/>
              </w:rPr>
              <w:fldChar w:fldCharType="begin"/>
            </w:r>
            <w:r>
              <w:rPr>
                <w:noProof/>
                <w:webHidden/>
              </w:rPr>
              <w:instrText xml:space="preserve"> PAGEREF _Toc240876455 \h </w:instrText>
            </w:r>
            <w:r>
              <w:rPr>
                <w:noProof/>
                <w:webHidden/>
              </w:rPr>
            </w:r>
            <w:r>
              <w:rPr>
                <w:noProof/>
                <w:webHidden/>
              </w:rPr>
              <w:fldChar w:fldCharType="separate"/>
            </w:r>
            <w:r w:rsidR="00706C0D">
              <w:rPr>
                <w:noProof/>
                <w:webHidden/>
              </w:rPr>
              <w:t>14</w:t>
            </w:r>
            <w:r>
              <w:rPr>
                <w:noProof/>
                <w:webHidden/>
              </w:rPr>
              <w:fldChar w:fldCharType="end"/>
            </w:r>
          </w:hyperlink>
        </w:p>
        <w:p w:rsidR="00163FAC" w:rsidRDefault="00163FAC" w14:paraId="7C98A77A" w14:textId="27DE8D19">
          <w:pPr>
            <w:pStyle w:val="TOC1"/>
            <w:tabs>
              <w:tab w:val="right" w:leader="dot" w:pos="9350"/>
            </w:tabs>
            <w:rPr>
              <w:rFonts w:asciiTheme="minorHAnsi" w:hAnsiTheme="minorHAnsi" w:cstheme="minorBidi"/>
              <w:noProof/>
              <w:kern w:val="2"/>
              <w:sz w:val="24"/>
              <w:szCs w:val="24"/>
              <w14:ligatures w14:val="standardContextual"/>
            </w:rPr>
          </w:pPr>
          <w:hyperlink w:history="1" w:anchor="_Toc240876456">
            <w:r w:rsidRPr="007C2970">
              <w:rPr>
                <w:rStyle w:val="Hyperlink"/>
                <w:rFonts w:cs="Arial"/>
                <w:noProof/>
              </w:rPr>
              <w:t>11.</w:t>
            </w:r>
            <w:r>
              <w:rPr>
                <w:rFonts w:asciiTheme="minorHAnsi" w:hAnsiTheme="minorHAnsi" w:cstheme="minorBidi"/>
                <w:noProof/>
                <w:kern w:val="2"/>
                <w:sz w:val="24"/>
                <w:szCs w:val="24"/>
                <w14:ligatures w14:val="standardContextual"/>
              </w:rPr>
              <w:tab/>
            </w:r>
            <w:r w:rsidRPr="007C2970">
              <w:rPr>
                <w:rStyle w:val="Hyperlink"/>
                <w:rFonts w:cs="Arial"/>
                <w:noProof/>
              </w:rPr>
              <w:t>Safety Considerations</w:t>
            </w:r>
            <w:r>
              <w:rPr>
                <w:noProof/>
                <w:webHidden/>
              </w:rPr>
              <w:tab/>
            </w:r>
            <w:r>
              <w:rPr>
                <w:noProof/>
                <w:webHidden/>
              </w:rPr>
              <w:fldChar w:fldCharType="begin"/>
            </w:r>
            <w:r>
              <w:rPr>
                <w:noProof/>
                <w:webHidden/>
              </w:rPr>
              <w:instrText xml:space="preserve"> PAGEREF _Toc240876456 \h </w:instrText>
            </w:r>
            <w:r>
              <w:rPr>
                <w:noProof/>
                <w:webHidden/>
              </w:rPr>
            </w:r>
            <w:r>
              <w:rPr>
                <w:noProof/>
                <w:webHidden/>
              </w:rPr>
              <w:fldChar w:fldCharType="separate"/>
            </w:r>
            <w:r w:rsidR="00706C0D">
              <w:rPr>
                <w:noProof/>
                <w:webHidden/>
              </w:rPr>
              <w:t>14</w:t>
            </w:r>
            <w:r>
              <w:rPr>
                <w:noProof/>
                <w:webHidden/>
              </w:rPr>
              <w:fldChar w:fldCharType="end"/>
            </w:r>
          </w:hyperlink>
        </w:p>
        <w:p w:rsidR="00163FAC" w:rsidRDefault="00163FAC" w14:paraId="075DE6A4" w14:textId="69AA69D5">
          <w:pPr>
            <w:pStyle w:val="TOC1"/>
            <w:tabs>
              <w:tab w:val="right" w:leader="dot" w:pos="9350"/>
            </w:tabs>
            <w:rPr>
              <w:rFonts w:asciiTheme="minorHAnsi" w:hAnsiTheme="minorHAnsi" w:cstheme="minorBidi"/>
              <w:noProof/>
              <w:kern w:val="2"/>
              <w:sz w:val="24"/>
              <w:szCs w:val="24"/>
              <w14:ligatures w14:val="standardContextual"/>
            </w:rPr>
          </w:pPr>
          <w:hyperlink w:history="1" w:anchor="_Toc240876457">
            <w:r w:rsidRPr="007C2970">
              <w:rPr>
                <w:rStyle w:val="Hyperlink"/>
                <w:noProof/>
              </w:rPr>
              <w:t>12.</w:t>
            </w:r>
            <w:r>
              <w:rPr>
                <w:rFonts w:asciiTheme="minorHAnsi" w:hAnsiTheme="minorHAnsi" w:cstheme="minorBidi"/>
                <w:noProof/>
                <w:kern w:val="2"/>
                <w:sz w:val="24"/>
                <w:szCs w:val="24"/>
                <w14:ligatures w14:val="standardContextual"/>
              </w:rPr>
              <w:tab/>
            </w:r>
            <w:r w:rsidRPr="007C2970">
              <w:rPr>
                <w:rStyle w:val="Hyperlink"/>
                <w:noProof/>
              </w:rPr>
              <w:t>Prior Provision of Service</w:t>
            </w:r>
            <w:r>
              <w:rPr>
                <w:noProof/>
                <w:webHidden/>
              </w:rPr>
              <w:tab/>
            </w:r>
            <w:r>
              <w:rPr>
                <w:noProof/>
                <w:webHidden/>
              </w:rPr>
              <w:fldChar w:fldCharType="begin"/>
            </w:r>
            <w:r>
              <w:rPr>
                <w:noProof/>
                <w:webHidden/>
              </w:rPr>
              <w:instrText xml:space="preserve"> PAGEREF _Toc240876457 \h </w:instrText>
            </w:r>
            <w:r>
              <w:rPr>
                <w:noProof/>
                <w:webHidden/>
              </w:rPr>
            </w:r>
            <w:r>
              <w:rPr>
                <w:noProof/>
                <w:webHidden/>
              </w:rPr>
              <w:fldChar w:fldCharType="separate"/>
            </w:r>
            <w:r w:rsidR="00706C0D">
              <w:rPr>
                <w:noProof/>
                <w:webHidden/>
              </w:rPr>
              <w:t>15</w:t>
            </w:r>
            <w:r>
              <w:rPr>
                <w:noProof/>
                <w:webHidden/>
              </w:rPr>
              <w:fldChar w:fldCharType="end"/>
            </w:r>
          </w:hyperlink>
        </w:p>
        <w:p w:rsidR="00163FAC" w:rsidRDefault="00163FAC" w14:paraId="3865C3AC" w14:textId="3D280926">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0876458">
            <w:r w:rsidRPr="007C2970">
              <w:rPr>
                <w:rStyle w:val="Hyperlink"/>
                <w:noProof/>
              </w:rPr>
              <w:t>12.1.</w:t>
            </w:r>
            <w:r>
              <w:rPr>
                <w:rFonts w:asciiTheme="minorHAnsi" w:hAnsiTheme="minorHAnsi" w:cstheme="minorBidi"/>
                <w:noProof/>
                <w:kern w:val="2"/>
                <w:sz w:val="24"/>
                <w:szCs w:val="24"/>
                <w14:ligatures w14:val="standardContextual"/>
              </w:rPr>
              <w:tab/>
            </w:r>
            <w:r w:rsidRPr="007C2970">
              <w:rPr>
                <w:rStyle w:val="Hyperlink"/>
                <w:noProof/>
              </w:rPr>
              <w:t>Surcharges, Interest, User Fees, and Section 405 Penalty</w:t>
            </w:r>
            <w:r>
              <w:rPr>
                <w:noProof/>
                <w:webHidden/>
              </w:rPr>
              <w:tab/>
            </w:r>
            <w:r>
              <w:rPr>
                <w:noProof/>
                <w:webHidden/>
              </w:rPr>
              <w:fldChar w:fldCharType="begin"/>
            </w:r>
            <w:r>
              <w:rPr>
                <w:noProof/>
                <w:webHidden/>
              </w:rPr>
              <w:instrText xml:space="preserve"> PAGEREF _Toc240876458 \h </w:instrText>
            </w:r>
            <w:r>
              <w:rPr>
                <w:noProof/>
                <w:webHidden/>
              </w:rPr>
            </w:r>
            <w:r>
              <w:rPr>
                <w:noProof/>
                <w:webHidden/>
              </w:rPr>
              <w:fldChar w:fldCharType="separate"/>
            </w:r>
            <w:r w:rsidR="00706C0D">
              <w:rPr>
                <w:noProof/>
                <w:webHidden/>
              </w:rPr>
              <w:t>15</w:t>
            </w:r>
            <w:r>
              <w:rPr>
                <w:noProof/>
                <w:webHidden/>
              </w:rPr>
              <w:fldChar w:fldCharType="end"/>
            </w:r>
          </w:hyperlink>
        </w:p>
        <w:p w:rsidR="00163FAC" w:rsidRDefault="00163FAC" w14:paraId="331069C3" w14:textId="26624CC8">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0876459">
            <w:r w:rsidRPr="007C2970">
              <w:rPr>
                <w:rStyle w:val="Hyperlink"/>
                <w:noProof/>
              </w:rPr>
              <w:t>12.2.</w:t>
            </w:r>
            <w:r>
              <w:rPr>
                <w:rFonts w:asciiTheme="minorHAnsi" w:hAnsiTheme="minorHAnsi" w:cstheme="minorBidi"/>
                <w:noProof/>
                <w:kern w:val="2"/>
                <w:sz w:val="24"/>
                <w:szCs w:val="24"/>
                <w14:ligatures w14:val="standardContextual"/>
              </w:rPr>
              <w:tab/>
            </w:r>
            <w:r w:rsidRPr="007C2970">
              <w:rPr>
                <w:rStyle w:val="Hyperlink"/>
                <w:noProof/>
              </w:rPr>
              <w:t>The Commission exercises its discretion to impose a penalty on IPC for its violation of Pub. Util. Code Section 1001</w:t>
            </w:r>
            <w:r>
              <w:rPr>
                <w:noProof/>
                <w:webHidden/>
              </w:rPr>
              <w:tab/>
            </w:r>
            <w:r>
              <w:rPr>
                <w:noProof/>
                <w:webHidden/>
              </w:rPr>
              <w:fldChar w:fldCharType="begin"/>
            </w:r>
            <w:r>
              <w:rPr>
                <w:noProof/>
                <w:webHidden/>
              </w:rPr>
              <w:instrText xml:space="preserve"> PAGEREF _Toc240876459 \h </w:instrText>
            </w:r>
            <w:r>
              <w:rPr>
                <w:noProof/>
                <w:webHidden/>
              </w:rPr>
            </w:r>
            <w:r>
              <w:rPr>
                <w:noProof/>
                <w:webHidden/>
              </w:rPr>
              <w:fldChar w:fldCharType="separate"/>
            </w:r>
            <w:r w:rsidR="00706C0D">
              <w:rPr>
                <w:noProof/>
                <w:webHidden/>
              </w:rPr>
              <w:t>18</w:t>
            </w:r>
            <w:r>
              <w:rPr>
                <w:noProof/>
                <w:webHidden/>
              </w:rPr>
              <w:fldChar w:fldCharType="end"/>
            </w:r>
          </w:hyperlink>
        </w:p>
        <w:p w:rsidR="00163FAC" w:rsidRDefault="00163FAC" w14:paraId="17B6343C" w14:textId="53CE57F3">
          <w:pPr>
            <w:pStyle w:val="TOC2"/>
            <w:tabs>
              <w:tab w:val="left" w:pos="1296"/>
              <w:tab w:val="right" w:leader="dot" w:pos="9350"/>
            </w:tabs>
            <w:rPr>
              <w:rFonts w:asciiTheme="minorHAnsi" w:hAnsiTheme="minorHAnsi" w:cstheme="minorBidi"/>
              <w:noProof/>
              <w:kern w:val="2"/>
              <w:sz w:val="24"/>
              <w:szCs w:val="24"/>
              <w14:ligatures w14:val="standardContextual"/>
            </w:rPr>
          </w:pPr>
          <w:hyperlink w:history="1" w:anchor="_Toc240876460">
            <w:r w:rsidRPr="007C2970">
              <w:rPr>
                <w:rStyle w:val="Hyperlink"/>
                <w:noProof/>
              </w:rPr>
              <w:t>12.3.</w:t>
            </w:r>
            <w:r>
              <w:rPr>
                <w:rFonts w:asciiTheme="minorHAnsi" w:hAnsiTheme="minorHAnsi" w:cstheme="minorBidi"/>
                <w:noProof/>
                <w:kern w:val="2"/>
                <w:sz w:val="24"/>
                <w:szCs w:val="24"/>
                <w14:ligatures w14:val="standardContextual"/>
              </w:rPr>
              <w:tab/>
            </w:r>
            <w:r w:rsidRPr="007C2970">
              <w:rPr>
                <w:rStyle w:val="Hyperlink"/>
                <w:noProof/>
              </w:rPr>
              <w:t>Penalty for Violating Pub. Util. Code Section 1001</w:t>
            </w:r>
            <w:r>
              <w:rPr>
                <w:noProof/>
                <w:webHidden/>
              </w:rPr>
              <w:tab/>
            </w:r>
            <w:r>
              <w:rPr>
                <w:noProof/>
                <w:webHidden/>
              </w:rPr>
              <w:fldChar w:fldCharType="begin"/>
            </w:r>
            <w:r>
              <w:rPr>
                <w:noProof/>
                <w:webHidden/>
              </w:rPr>
              <w:instrText xml:space="preserve"> PAGEREF _Toc240876460 \h </w:instrText>
            </w:r>
            <w:r>
              <w:rPr>
                <w:noProof/>
                <w:webHidden/>
              </w:rPr>
            </w:r>
            <w:r>
              <w:rPr>
                <w:noProof/>
                <w:webHidden/>
              </w:rPr>
              <w:fldChar w:fldCharType="separate"/>
            </w:r>
            <w:r w:rsidR="00706C0D">
              <w:rPr>
                <w:noProof/>
                <w:webHidden/>
              </w:rPr>
              <w:t>19</w:t>
            </w:r>
            <w:r>
              <w:rPr>
                <w:noProof/>
                <w:webHidden/>
              </w:rPr>
              <w:fldChar w:fldCharType="end"/>
            </w:r>
          </w:hyperlink>
        </w:p>
        <w:p w:rsidR="00163FAC" w:rsidRDefault="00163FAC" w14:paraId="43FEA5D5" w14:textId="5D4778A9">
          <w:pPr>
            <w:pStyle w:val="TOC3"/>
            <w:tabs>
              <w:tab w:val="left" w:pos="1728"/>
              <w:tab w:val="right" w:leader="dot" w:pos="9350"/>
            </w:tabs>
            <w:rPr>
              <w:rFonts w:asciiTheme="minorHAnsi" w:hAnsiTheme="minorHAnsi" w:cstheme="minorBidi"/>
              <w:noProof/>
              <w:kern w:val="2"/>
              <w:sz w:val="24"/>
              <w:szCs w:val="24"/>
              <w14:ligatures w14:val="standardContextual"/>
            </w:rPr>
          </w:pPr>
          <w:hyperlink w:history="1" w:anchor="_Toc240876461">
            <w:r w:rsidRPr="007C2970">
              <w:rPr>
                <w:rStyle w:val="Hyperlink"/>
                <w:noProof/>
              </w:rPr>
              <w:t>12.3.1.</w:t>
            </w:r>
            <w:r>
              <w:rPr>
                <w:rFonts w:asciiTheme="minorHAnsi" w:hAnsiTheme="minorHAnsi" w:cstheme="minorBidi"/>
                <w:noProof/>
                <w:kern w:val="2"/>
                <w:sz w:val="24"/>
                <w:szCs w:val="24"/>
                <w14:ligatures w14:val="standardContextual"/>
              </w:rPr>
              <w:tab/>
            </w:r>
            <w:r w:rsidRPr="007C2970">
              <w:rPr>
                <w:rStyle w:val="Hyperlink"/>
                <w:noProof/>
              </w:rPr>
              <w:t>Severity of Harm</w:t>
            </w:r>
            <w:r>
              <w:rPr>
                <w:noProof/>
                <w:webHidden/>
              </w:rPr>
              <w:tab/>
            </w:r>
            <w:r>
              <w:rPr>
                <w:noProof/>
                <w:webHidden/>
              </w:rPr>
              <w:fldChar w:fldCharType="begin"/>
            </w:r>
            <w:r>
              <w:rPr>
                <w:noProof/>
                <w:webHidden/>
              </w:rPr>
              <w:instrText xml:space="preserve"> PAGEREF _Toc240876461 \h </w:instrText>
            </w:r>
            <w:r>
              <w:rPr>
                <w:noProof/>
                <w:webHidden/>
              </w:rPr>
            </w:r>
            <w:r>
              <w:rPr>
                <w:noProof/>
                <w:webHidden/>
              </w:rPr>
              <w:fldChar w:fldCharType="separate"/>
            </w:r>
            <w:r w:rsidR="00706C0D">
              <w:rPr>
                <w:noProof/>
                <w:webHidden/>
              </w:rPr>
              <w:t>19</w:t>
            </w:r>
            <w:r>
              <w:rPr>
                <w:noProof/>
                <w:webHidden/>
              </w:rPr>
              <w:fldChar w:fldCharType="end"/>
            </w:r>
          </w:hyperlink>
        </w:p>
        <w:p w:rsidR="00163FAC" w:rsidRDefault="00163FAC" w14:paraId="1B2CB386" w14:textId="3E1D8E1B">
          <w:pPr>
            <w:pStyle w:val="TOC3"/>
            <w:tabs>
              <w:tab w:val="left" w:pos="1728"/>
              <w:tab w:val="right" w:leader="dot" w:pos="9350"/>
            </w:tabs>
            <w:rPr>
              <w:rFonts w:asciiTheme="minorHAnsi" w:hAnsiTheme="minorHAnsi" w:cstheme="minorBidi"/>
              <w:noProof/>
              <w:kern w:val="2"/>
              <w:sz w:val="24"/>
              <w:szCs w:val="24"/>
              <w14:ligatures w14:val="standardContextual"/>
            </w:rPr>
          </w:pPr>
          <w:hyperlink w:history="1" w:anchor="_Toc240876462">
            <w:r w:rsidRPr="007C2970">
              <w:rPr>
                <w:rStyle w:val="Hyperlink"/>
                <w:noProof/>
              </w:rPr>
              <w:t>12.3.2.</w:t>
            </w:r>
            <w:r>
              <w:rPr>
                <w:rFonts w:asciiTheme="minorHAnsi" w:hAnsiTheme="minorHAnsi" w:cstheme="minorBidi"/>
                <w:noProof/>
                <w:kern w:val="2"/>
                <w:sz w:val="24"/>
                <w:szCs w:val="24"/>
                <w14:ligatures w14:val="standardContextual"/>
              </w:rPr>
              <w:tab/>
            </w:r>
            <w:r w:rsidRPr="007C2970">
              <w:rPr>
                <w:rStyle w:val="Hyperlink"/>
                <w:noProof/>
              </w:rPr>
              <w:t>Conduct of the Utility</w:t>
            </w:r>
            <w:r>
              <w:rPr>
                <w:noProof/>
                <w:webHidden/>
              </w:rPr>
              <w:tab/>
            </w:r>
            <w:r>
              <w:rPr>
                <w:noProof/>
                <w:webHidden/>
              </w:rPr>
              <w:fldChar w:fldCharType="begin"/>
            </w:r>
            <w:r>
              <w:rPr>
                <w:noProof/>
                <w:webHidden/>
              </w:rPr>
              <w:instrText xml:space="preserve"> PAGEREF _Toc240876462 \h </w:instrText>
            </w:r>
            <w:r>
              <w:rPr>
                <w:noProof/>
                <w:webHidden/>
              </w:rPr>
            </w:r>
            <w:r>
              <w:rPr>
                <w:noProof/>
                <w:webHidden/>
              </w:rPr>
              <w:fldChar w:fldCharType="separate"/>
            </w:r>
            <w:r w:rsidR="00706C0D">
              <w:rPr>
                <w:noProof/>
                <w:webHidden/>
              </w:rPr>
              <w:t>20</w:t>
            </w:r>
            <w:r>
              <w:rPr>
                <w:noProof/>
                <w:webHidden/>
              </w:rPr>
              <w:fldChar w:fldCharType="end"/>
            </w:r>
          </w:hyperlink>
        </w:p>
        <w:p w:rsidR="00163FAC" w:rsidRDefault="00163FAC" w14:paraId="1CEFD8AC" w14:textId="3303EA89">
          <w:pPr>
            <w:pStyle w:val="TOC3"/>
            <w:tabs>
              <w:tab w:val="left" w:pos="1728"/>
              <w:tab w:val="right" w:leader="dot" w:pos="9350"/>
            </w:tabs>
            <w:rPr>
              <w:rFonts w:asciiTheme="minorHAnsi" w:hAnsiTheme="minorHAnsi" w:cstheme="minorBidi"/>
              <w:noProof/>
              <w:kern w:val="2"/>
              <w:sz w:val="24"/>
              <w:szCs w:val="24"/>
              <w14:ligatures w14:val="standardContextual"/>
            </w:rPr>
          </w:pPr>
          <w:hyperlink w:history="1" w:anchor="_Toc240876463">
            <w:r w:rsidRPr="007C2970">
              <w:rPr>
                <w:rStyle w:val="Hyperlink"/>
                <w:noProof/>
              </w:rPr>
              <w:t>12.3.3.</w:t>
            </w:r>
            <w:r>
              <w:rPr>
                <w:rFonts w:asciiTheme="minorHAnsi" w:hAnsiTheme="minorHAnsi" w:cstheme="minorBidi"/>
                <w:noProof/>
                <w:kern w:val="2"/>
                <w:sz w:val="24"/>
                <w:szCs w:val="24"/>
                <w14:ligatures w14:val="standardContextual"/>
              </w:rPr>
              <w:tab/>
            </w:r>
            <w:r w:rsidRPr="007C2970">
              <w:rPr>
                <w:rStyle w:val="Hyperlink"/>
                <w:noProof/>
              </w:rPr>
              <w:t>Financial Resources</w:t>
            </w:r>
            <w:r>
              <w:rPr>
                <w:noProof/>
                <w:webHidden/>
              </w:rPr>
              <w:tab/>
            </w:r>
            <w:r>
              <w:rPr>
                <w:noProof/>
                <w:webHidden/>
              </w:rPr>
              <w:fldChar w:fldCharType="begin"/>
            </w:r>
            <w:r>
              <w:rPr>
                <w:noProof/>
                <w:webHidden/>
              </w:rPr>
              <w:instrText xml:space="preserve"> PAGEREF _Toc240876463 \h </w:instrText>
            </w:r>
            <w:r>
              <w:rPr>
                <w:noProof/>
                <w:webHidden/>
              </w:rPr>
            </w:r>
            <w:r>
              <w:rPr>
                <w:noProof/>
                <w:webHidden/>
              </w:rPr>
              <w:fldChar w:fldCharType="separate"/>
            </w:r>
            <w:r w:rsidR="00706C0D">
              <w:rPr>
                <w:noProof/>
                <w:webHidden/>
              </w:rPr>
              <w:t>20</w:t>
            </w:r>
            <w:r>
              <w:rPr>
                <w:noProof/>
                <w:webHidden/>
              </w:rPr>
              <w:fldChar w:fldCharType="end"/>
            </w:r>
          </w:hyperlink>
        </w:p>
        <w:p w:rsidR="00163FAC" w:rsidRDefault="00163FAC" w14:paraId="385812C8" w14:textId="32799684">
          <w:pPr>
            <w:pStyle w:val="TOC3"/>
            <w:tabs>
              <w:tab w:val="left" w:pos="1728"/>
              <w:tab w:val="right" w:leader="dot" w:pos="9350"/>
            </w:tabs>
            <w:rPr>
              <w:rFonts w:asciiTheme="minorHAnsi" w:hAnsiTheme="minorHAnsi" w:cstheme="minorBidi"/>
              <w:noProof/>
              <w:kern w:val="2"/>
              <w:sz w:val="24"/>
              <w:szCs w:val="24"/>
              <w14:ligatures w14:val="standardContextual"/>
            </w:rPr>
          </w:pPr>
          <w:hyperlink w:history="1" w:anchor="_Toc240876464">
            <w:r w:rsidRPr="007C2970">
              <w:rPr>
                <w:rStyle w:val="Hyperlink"/>
                <w:noProof/>
              </w:rPr>
              <w:t>12.3.4.</w:t>
            </w:r>
            <w:r>
              <w:rPr>
                <w:rFonts w:asciiTheme="minorHAnsi" w:hAnsiTheme="minorHAnsi" w:cstheme="minorBidi"/>
                <w:noProof/>
                <w:kern w:val="2"/>
                <w:sz w:val="24"/>
                <w:szCs w:val="24"/>
                <w14:ligatures w14:val="standardContextual"/>
              </w:rPr>
              <w:tab/>
            </w:r>
            <w:r w:rsidRPr="007C2970">
              <w:rPr>
                <w:rStyle w:val="Hyperlink"/>
                <w:noProof/>
              </w:rPr>
              <w:t>Public Interest</w:t>
            </w:r>
            <w:r>
              <w:rPr>
                <w:noProof/>
                <w:webHidden/>
              </w:rPr>
              <w:tab/>
            </w:r>
            <w:r>
              <w:rPr>
                <w:noProof/>
                <w:webHidden/>
              </w:rPr>
              <w:fldChar w:fldCharType="begin"/>
            </w:r>
            <w:r>
              <w:rPr>
                <w:noProof/>
                <w:webHidden/>
              </w:rPr>
              <w:instrText xml:space="preserve"> PAGEREF _Toc240876464 \h </w:instrText>
            </w:r>
            <w:r>
              <w:rPr>
                <w:noProof/>
                <w:webHidden/>
              </w:rPr>
            </w:r>
            <w:r>
              <w:rPr>
                <w:noProof/>
                <w:webHidden/>
              </w:rPr>
              <w:fldChar w:fldCharType="separate"/>
            </w:r>
            <w:r w:rsidR="00706C0D">
              <w:rPr>
                <w:noProof/>
                <w:webHidden/>
              </w:rPr>
              <w:t>21</w:t>
            </w:r>
            <w:r>
              <w:rPr>
                <w:noProof/>
                <w:webHidden/>
              </w:rPr>
              <w:fldChar w:fldCharType="end"/>
            </w:r>
          </w:hyperlink>
        </w:p>
        <w:p w:rsidR="00163FAC" w:rsidRDefault="00163FAC" w14:paraId="25D54365" w14:textId="54332EFD">
          <w:pPr>
            <w:pStyle w:val="TOC3"/>
            <w:tabs>
              <w:tab w:val="left" w:pos="1728"/>
              <w:tab w:val="right" w:leader="dot" w:pos="9350"/>
            </w:tabs>
            <w:rPr>
              <w:rFonts w:asciiTheme="minorHAnsi" w:hAnsiTheme="minorHAnsi" w:cstheme="minorBidi"/>
              <w:noProof/>
              <w:kern w:val="2"/>
              <w:sz w:val="24"/>
              <w:szCs w:val="24"/>
              <w14:ligatures w14:val="standardContextual"/>
            </w:rPr>
          </w:pPr>
          <w:hyperlink w:history="1" w:anchor="_Toc240876465">
            <w:r w:rsidRPr="007C2970">
              <w:rPr>
                <w:rStyle w:val="Hyperlink"/>
                <w:noProof/>
              </w:rPr>
              <w:t>12.3.5.</w:t>
            </w:r>
            <w:r>
              <w:rPr>
                <w:rFonts w:asciiTheme="minorHAnsi" w:hAnsiTheme="minorHAnsi" w:cstheme="minorBidi"/>
                <w:noProof/>
                <w:kern w:val="2"/>
                <w:sz w:val="24"/>
                <w:szCs w:val="24"/>
                <w14:ligatures w14:val="standardContextual"/>
              </w:rPr>
              <w:tab/>
            </w:r>
            <w:r w:rsidRPr="007C2970">
              <w:rPr>
                <w:rStyle w:val="Hyperlink"/>
                <w:noProof/>
              </w:rPr>
              <w:t>Totality of the Circumstances</w:t>
            </w:r>
            <w:r>
              <w:rPr>
                <w:noProof/>
                <w:webHidden/>
              </w:rPr>
              <w:tab/>
            </w:r>
            <w:r>
              <w:rPr>
                <w:noProof/>
                <w:webHidden/>
              </w:rPr>
              <w:fldChar w:fldCharType="begin"/>
            </w:r>
            <w:r>
              <w:rPr>
                <w:noProof/>
                <w:webHidden/>
              </w:rPr>
              <w:instrText xml:space="preserve"> PAGEREF _Toc240876465 \h </w:instrText>
            </w:r>
            <w:r>
              <w:rPr>
                <w:noProof/>
                <w:webHidden/>
              </w:rPr>
            </w:r>
            <w:r>
              <w:rPr>
                <w:noProof/>
                <w:webHidden/>
              </w:rPr>
              <w:fldChar w:fldCharType="separate"/>
            </w:r>
            <w:r w:rsidR="00706C0D">
              <w:rPr>
                <w:noProof/>
                <w:webHidden/>
              </w:rPr>
              <w:t>21</w:t>
            </w:r>
            <w:r>
              <w:rPr>
                <w:noProof/>
                <w:webHidden/>
              </w:rPr>
              <w:fldChar w:fldCharType="end"/>
            </w:r>
          </w:hyperlink>
        </w:p>
        <w:p w:rsidR="00163FAC" w:rsidRDefault="00163FAC" w14:paraId="01875123" w14:textId="482351CE">
          <w:pPr>
            <w:pStyle w:val="TOC3"/>
            <w:tabs>
              <w:tab w:val="left" w:pos="1728"/>
              <w:tab w:val="right" w:leader="dot" w:pos="9350"/>
            </w:tabs>
            <w:rPr>
              <w:rFonts w:asciiTheme="minorHAnsi" w:hAnsiTheme="minorHAnsi" w:cstheme="minorBidi"/>
              <w:noProof/>
              <w:kern w:val="2"/>
              <w:sz w:val="24"/>
              <w:szCs w:val="24"/>
              <w14:ligatures w14:val="standardContextual"/>
            </w:rPr>
          </w:pPr>
          <w:hyperlink w:history="1" w:anchor="_Toc240876466">
            <w:r w:rsidRPr="007C2970">
              <w:rPr>
                <w:rStyle w:val="Hyperlink"/>
                <w:noProof/>
              </w:rPr>
              <w:t>12.3.6.</w:t>
            </w:r>
            <w:r>
              <w:rPr>
                <w:rFonts w:asciiTheme="minorHAnsi" w:hAnsiTheme="minorHAnsi" w:cstheme="minorBidi"/>
                <w:noProof/>
                <w:kern w:val="2"/>
                <w:sz w:val="24"/>
                <w:szCs w:val="24"/>
                <w14:ligatures w14:val="standardContextual"/>
              </w:rPr>
              <w:tab/>
            </w:r>
            <w:r w:rsidRPr="007C2970">
              <w:rPr>
                <w:rStyle w:val="Hyperlink"/>
                <w:noProof/>
              </w:rPr>
              <w:t>Commission Precedent</w:t>
            </w:r>
            <w:r>
              <w:rPr>
                <w:noProof/>
                <w:webHidden/>
              </w:rPr>
              <w:tab/>
            </w:r>
            <w:r>
              <w:rPr>
                <w:noProof/>
                <w:webHidden/>
              </w:rPr>
              <w:fldChar w:fldCharType="begin"/>
            </w:r>
            <w:r>
              <w:rPr>
                <w:noProof/>
                <w:webHidden/>
              </w:rPr>
              <w:instrText xml:space="preserve"> PAGEREF _Toc240876466 \h </w:instrText>
            </w:r>
            <w:r>
              <w:rPr>
                <w:noProof/>
                <w:webHidden/>
              </w:rPr>
            </w:r>
            <w:r>
              <w:rPr>
                <w:noProof/>
                <w:webHidden/>
              </w:rPr>
              <w:fldChar w:fldCharType="separate"/>
            </w:r>
            <w:r w:rsidR="00706C0D">
              <w:rPr>
                <w:noProof/>
                <w:webHidden/>
              </w:rPr>
              <w:t>21</w:t>
            </w:r>
            <w:r>
              <w:rPr>
                <w:noProof/>
                <w:webHidden/>
              </w:rPr>
              <w:fldChar w:fldCharType="end"/>
            </w:r>
          </w:hyperlink>
        </w:p>
        <w:p w:rsidR="00163FAC" w:rsidRDefault="00163FAC" w14:paraId="3F405E38" w14:textId="41534A28">
          <w:pPr>
            <w:pStyle w:val="TOC3"/>
            <w:tabs>
              <w:tab w:val="left" w:pos="1728"/>
              <w:tab w:val="right" w:leader="dot" w:pos="9350"/>
            </w:tabs>
            <w:rPr>
              <w:rFonts w:asciiTheme="minorHAnsi" w:hAnsiTheme="minorHAnsi" w:cstheme="minorBidi"/>
              <w:noProof/>
              <w:kern w:val="2"/>
              <w:sz w:val="24"/>
              <w:szCs w:val="24"/>
              <w14:ligatures w14:val="standardContextual"/>
            </w:rPr>
          </w:pPr>
          <w:hyperlink w:history="1" w:anchor="_Toc240876467">
            <w:r w:rsidRPr="007C2970">
              <w:rPr>
                <w:rStyle w:val="Hyperlink"/>
                <w:noProof/>
              </w:rPr>
              <w:t>12.3.7.</w:t>
            </w:r>
            <w:r>
              <w:rPr>
                <w:rFonts w:asciiTheme="minorHAnsi" w:hAnsiTheme="minorHAnsi" w:cstheme="minorBidi"/>
                <w:noProof/>
                <w:kern w:val="2"/>
                <w:sz w:val="24"/>
                <w:szCs w:val="24"/>
                <w14:ligatures w14:val="standardContextual"/>
              </w:rPr>
              <w:tab/>
            </w:r>
            <w:r w:rsidRPr="007C2970">
              <w:rPr>
                <w:rStyle w:val="Hyperlink"/>
                <w:noProof/>
              </w:rPr>
              <w:t>Penalty Determination</w:t>
            </w:r>
            <w:r>
              <w:rPr>
                <w:noProof/>
                <w:webHidden/>
              </w:rPr>
              <w:tab/>
            </w:r>
            <w:r>
              <w:rPr>
                <w:noProof/>
                <w:webHidden/>
              </w:rPr>
              <w:fldChar w:fldCharType="begin"/>
            </w:r>
            <w:r>
              <w:rPr>
                <w:noProof/>
                <w:webHidden/>
              </w:rPr>
              <w:instrText xml:space="preserve"> PAGEREF _Toc240876467 \h </w:instrText>
            </w:r>
            <w:r>
              <w:rPr>
                <w:noProof/>
                <w:webHidden/>
              </w:rPr>
            </w:r>
            <w:r>
              <w:rPr>
                <w:noProof/>
                <w:webHidden/>
              </w:rPr>
              <w:fldChar w:fldCharType="separate"/>
            </w:r>
            <w:r w:rsidR="00706C0D">
              <w:rPr>
                <w:noProof/>
                <w:webHidden/>
              </w:rPr>
              <w:t>23</w:t>
            </w:r>
            <w:r>
              <w:rPr>
                <w:noProof/>
                <w:webHidden/>
              </w:rPr>
              <w:fldChar w:fldCharType="end"/>
            </w:r>
          </w:hyperlink>
        </w:p>
        <w:p w:rsidR="00163FAC" w:rsidRDefault="00163FAC" w14:paraId="236B4E28" w14:textId="6E4E279A">
          <w:pPr>
            <w:pStyle w:val="TOC1"/>
            <w:tabs>
              <w:tab w:val="right" w:leader="dot" w:pos="9350"/>
            </w:tabs>
            <w:rPr>
              <w:rFonts w:asciiTheme="minorHAnsi" w:hAnsiTheme="minorHAnsi" w:cstheme="minorBidi"/>
              <w:noProof/>
              <w:kern w:val="2"/>
              <w:sz w:val="24"/>
              <w:szCs w:val="24"/>
              <w14:ligatures w14:val="standardContextual"/>
            </w:rPr>
          </w:pPr>
          <w:hyperlink w:history="1" w:anchor="_Toc240876468">
            <w:r w:rsidRPr="007C2970">
              <w:rPr>
                <w:rStyle w:val="Hyperlink"/>
                <w:noProof/>
              </w:rPr>
              <w:t>13.</w:t>
            </w:r>
            <w:r>
              <w:rPr>
                <w:rFonts w:asciiTheme="minorHAnsi" w:hAnsiTheme="minorHAnsi" w:cstheme="minorBidi"/>
                <w:noProof/>
                <w:kern w:val="2"/>
                <w:sz w:val="24"/>
                <w:szCs w:val="24"/>
                <w14:ligatures w14:val="standardContextual"/>
              </w:rPr>
              <w:tab/>
            </w:r>
            <w:r w:rsidRPr="007C2970">
              <w:rPr>
                <w:rStyle w:val="Hyperlink"/>
                <w:noProof/>
              </w:rPr>
              <w:t>Conclusion</w:t>
            </w:r>
            <w:r>
              <w:rPr>
                <w:noProof/>
                <w:webHidden/>
              </w:rPr>
              <w:tab/>
            </w:r>
            <w:r>
              <w:rPr>
                <w:noProof/>
                <w:webHidden/>
              </w:rPr>
              <w:fldChar w:fldCharType="begin"/>
            </w:r>
            <w:r>
              <w:rPr>
                <w:noProof/>
                <w:webHidden/>
              </w:rPr>
              <w:instrText xml:space="preserve"> PAGEREF _Toc240876468 \h </w:instrText>
            </w:r>
            <w:r>
              <w:rPr>
                <w:noProof/>
                <w:webHidden/>
              </w:rPr>
            </w:r>
            <w:r>
              <w:rPr>
                <w:noProof/>
                <w:webHidden/>
              </w:rPr>
              <w:fldChar w:fldCharType="separate"/>
            </w:r>
            <w:r w:rsidR="00706C0D">
              <w:rPr>
                <w:noProof/>
                <w:webHidden/>
              </w:rPr>
              <w:t>24</w:t>
            </w:r>
            <w:r>
              <w:rPr>
                <w:noProof/>
                <w:webHidden/>
              </w:rPr>
              <w:fldChar w:fldCharType="end"/>
            </w:r>
          </w:hyperlink>
        </w:p>
        <w:p w:rsidR="00163FAC" w:rsidRDefault="00163FAC" w14:paraId="66A2223B" w14:textId="1B65C83D">
          <w:pPr>
            <w:pStyle w:val="TOC1"/>
            <w:tabs>
              <w:tab w:val="right" w:leader="dot" w:pos="9350"/>
            </w:tabs>
            <w:rPr>
              <w:rFonts w:asciiTheme="minorHAnsi" w:hAnsiTheme="minorHAnsi" w:cstheme="minorBidi"/>
              <w:noProof/>
              <w:kern w:val="2"/>
              <w:sz w:val="24"/>
              <w:szCs w:val="24"/>
              <w14:ligatures w14:val="standardContextual"/>
            </w:rPr>
          </w:pPr>
          <w:hyperlink w:history="1" w:anchor="_Toc240876469">
            <w:r w:rsidRPr="007C2970">
              <w:rPr>
                <w:rStyle w:val="Hyperlink"/>
                <w:noProof/>
              </w:rPr>
              <w:t>14.</w:t>
            </w:r>
            <w:r>
              <w:rPr>
                <w:rFonts w:asciiTheme="minorHAnsi" w:hAnsiTheme="minorHAnsi" w:cstheme="minorBidi"/>
                <w:noProof/>
                <w:kern w:val="2"/>
                <w:sz w:val="24"/>
                <w:szCs w:val="24"/>
                <w14:ligatures w14:val="standardContextual"/>
              </w:rPr>
              <w:tab/>
            </w:r>
            <w:r w:rsidRPr="007C2970">
              <w:rPr>
                <w:rStyle w:val="Hyperlink"/>
                <w:noProof/>
              </w:rPr>
              <w:t>Additional Requirements for Applicant Following Commission’s Grant of CPCN</w:t>
            </w:r>
            <w:r>
              <w:rPr>
                <w:noProof/>
                <w:webHidden/>
              </w:rPr>
              <w:tab/>
            </w:r>
            <w:r>
              <w:rPr>
                <w:noProof/>
                <w:webHidden/>
              </w:rPr>
              <w:fldChar w:fldCharType="begin"/>
            </w:r>
            <w:r>
              <w:rPr>
                <w:noProof/>
                <w:webHidden/>
              </w:rPr>
              <w:instrText xml:space="preserve"> PAGEREF _Toc240876469 \h </w:instrText>
            </w:r>
            <w:r>
              <w:rPr>
                <w:noProof/>
                <w:webHidden/>
              </w:rPr>
            </w:r>
            <w:r>
              <w:rPr>
                <w:noProof/>
                <w:webHidden/>
              </w:rPr>
              <w:fldChar w:fldCharType="separate"/>
            </w:r>
            <w:r w:rsidR="00706C0D">
              <w:rPr>
                <w:noProof/>
                <w:webHidden/>
              </w:rPr>
              <w:t>25</w:t>
            </w:r>
            <w:r>
              <w:rPr>
                <w:noProof/>
                <w:webHidden/>
              </w:rPr>
              <w:fldChar w:fldCharType="end"/>
            </w:r>
          </w:hyperlink>
        </w:p>
        <w:p w:rsidR="00163FAC" w:rsidRDefault="00163FAC" w14:paraId="75081922" w14:textId="2B35A95D">
          <w:pPr>
            <w:pStyle w:val="TOC1"/>
            <w:tabs>
              <w:tab w:val="right" w:leader="dot" w:pos="9350"/>
            </w:tabs>
            <w:rPr>
              <w:rFonts w:asciiTheme="minorHAnsi" w:hAnsiTheme="minorHAnsi" w:cstheme="minorBidi"/>
              <w:noProof/>
              <w:kern w:val="2"/>
              <w:sz w:val="24"/>
              <w:szCs w:val="24"/>
              <w14:ligatures w14:val="standardContextual"/>
            </w:rPr>
          </w:pPr>
          <w:hyperlink w:history="1" w:anchor="_Toc240876470">
            <w:r w:rsidRPr="007C2970">
              <w:rPr>
                <w:rStyle w:val="Hyperlink"/>
                <w:noProof/>
              </w:rPr>
              <w:t>15.</w:t>
            </w:r>
            <w:r>
              <w:rPr>
                <w:rFonts w:asciiTheme="minorHAnsi" w:hAnsiTheme="minorHAnsi" w:cstheme="minorBidi"/>
                <w:noProof/>
                <w:kern w:val="2"/>
                <w:sz w:val="24"/>
                <w:szCs w:val="24"/>
                <w14:ligatures w14:val="standardContextual"/>
              </w:rPr>
              <w:tab/>
            </w:r>
            <w:r w:rsidRPr="007C2970">
              <w:rPr>
                <w:rStyle w:val="Hyperlink"/>
                <w:noProof/>
              </w:rPr>
              <w:t>Confidential Treatment of Documents and Other Procedural Matters</w:t>
            </w:r>
            <w:r>
              <w:rPr>
                <w:noProof/>
                <w:webHidden/>
              </w:rPr>
              <w:tab/>
            </w:r>
            <w:r>
              <w:rPr>
                <w:noProof/>
                <w:webHidden/>
              </w:rPr>
              <w:fldChar w:fldCharType="begin"/>
            </w:r>
            <w:r>
              <w:rPr>
                <w:noProof/>
                <w:webHidden/>
              </w:rPr>
              <w:instrText xml:space="preserve"> PAGEREF _Toc240876470 \h </w:instrText>
            </w:r>
            <w:r>
              <w:rPr>
                <w:noProof/>
                <w:webHidden/>
              </w:rPr>
            </w:r>
            <w:r>
              <w:rPr>
                <w:noProof/>
                <w:webHidden/>
              </w:rPr>
              <w:fldChar w:fldCharType="separate"/>
            </w:r>
            <w:r w:rsidR="00706C0D">
              <w:rPr>
                <w:noProof/>
                <w:webHidden/>
              </w:rPr>
              <w:t>26</w:t>
            </w:r>
            <w:r>
              <w:rPr>
                <w:noProof/>
                <w:webHidden/>
              </w:rPr>
              <w:fldChar w:fldCharType="end"/>
            </w:r>
          </w:hyperlink>
        </w:p>
        <w:p w:rsidR="00163FAC" w:rsidRDefault="00163FAC" w14:paraId="52B9162D" w14:textId="612664A1">
          <w:pPr>
            <w:pStyle w:val="TOC1"/>
            <w:tabs>
              <w:tab w:val="right" w:leader="dot" w:pos="9350"/>
            </w:tabs>
            <w:rPr>
              <w:rFonts w:asciiTheme="minorHAnsi" w:hAnsiTheme="minorHAnsi" w:cstheme="minorBidi"/>
              <w:noProof/>
              <w:kern w:val="2"/>
              <w:sz w:val="24"/>
              <w:szCs w:val="24"/>
              <w14:ligatures w14:val="standardContextual"/>
            </w:rPr>
          </w:pPr>
          <w:hyperlink w:history="1" w:anchor="_Toc240876471">
            <w:r w:rsidRPr="007C2970">
              <w:rPr>
                <w:rStyle w:val="Hyperlink"/>
                <w:noProof/>
              </w:rPr>
              <w:t>16.</w:t>
            </w:r>
            <w:r>
              <w:rPr>
                <w:rFonts w:asciiTheme="minorHAnsi" w:hAnsiTheme="minorHAnsi" w:cstheme="minorBidi"/>
                <w:noProof/>
                <w:kern w:val="2"/>
                <w:sz w:val="24"/>
                <w:szCs w:val="24"/>
                <w14:ligatures w14:val="standardContextual"/>
              </w:rPr>
              <w:tab/>
            </w:r>
            <w:r w:rsidRPr="007C2970">
              <w:rPr>
                <w:rStyle w:val="Hyperlink"/>
                <w:noProof/>
              </w:rPr>
              <w:t>Summary of Public Comments</w:t>
            </w:r>
            <w:r>
              <w:rPr>
                <w:noProof/>
                <w:webHidden/>
              </w:rPr>
              <w:tab/>
            </w:r>
            <w:r>
              <w:rPr>
                <w:noProof/>
                <w:webHidden/>
              </w:rPr>
              <w:fldChar w:fldCharType="begin"/>
            </w:r>
            <w:r>
              <w:rPr>
                <w:noProof/>
                <w:webHidden/>
              </w:rPr>
              <w:instrText xml:space="preserve"> PAGEREF _Toc240876471 \h </w:instrText>
            </w:r>
            <w:r>
              <w:rPr>
                <w:noProof/>
                <w:webHidden/>
              </w:rPr>
            </w:r>
            <w:r>
              <w:rPr>
                <w:noProof/>
                <w:webHidden/>
              </w:rPr>
              <w:fldChar w:fldCharType="separate"/>
            </w:r>
            <w:r w:rsidR="00706C0D">
              <w:rPr>
                <w:noProof/>
                <w:webHidden/>
              </w:rPr>
              <w:t>27</w:t>
            </w:r>
            <w:r>
              <w:rPr>
                <w:noProof/>
                <w:webHidden/>
              </w:rPr>
              <w:fldChar w:fldCharType="end"/>
            </w:r>
          </w:hyperlink>
        </w:p>
        <w:p w:rsidR="00163FAC" w:rsidRDefault="00163FAC" w14:paraId="21949AAF" w14:textId="2A828FE8">
          <w:pPr>
            <w:pStyle w:val="TOC1"/>
            <w:tabs>
              <w:tab w:val="right" w:leader="dot" w:pos="9350"/>
            </w:tabs>
            <w:rPr>
              <w:rFonts w:asciiTheme="minorHAnsi" w:hAnsiTheme="minorHAnsi" w:cstheme="minorBidi"/>
              <w:noProof/>
              <w:kern w:val="2"/>
              <w:sz w:val="24"/>
              <w:szCs w:val="24"/>
              <w14:ligatures w14:val="standardContextual"/>
            </w:rPr>
          </w:pPr>
          <w:hyperlink w:history="1" w:anchor="_Toc240876472">
            <w:r w:rsidRPr="007C2970">
              <w:rPr>
                <w:rStyle w:val="Hyperlink"/>
                <w:noProof/>
              </w:rPr>
              <w:t>17.</w:t>
            </w:r>
            <w:r>
              <w:rPr>
                <w:rFonts w:asciiTheme="minorHAnsi" w:hAnsiTheme="minorHAnsi" w:cstheme="minorBidi"/>
                <w:noProof/>
                <w:kern w:val="2"/>
                <w:sz w:val="24"/>
                <w:szCs w:val="24"/>
                <w14:ligatures w14:val="standardContextual"/>
              </w:rPr>
              <w:tab/>
            </w:r>
            <w:r w:rsidRPr="007C2970">
              <w:rPr>
                <w:rStyle w:val="Hyperlink"/>
                <w:noProof/>
              </w:rPr>
              <w:t>Comments on Draft Decision</w:t>
            </w:r>
            <w:r>
              <w:rPr>
                <w:noProof/>
                <w:webHidden/>
              </w:rPr>
              <w:tab/>
            </w:r>
            <w:r>
              <w:rPr>
                <w:noProof/>
                <w:webHidden/>
              </w:rPr>
              <w:fldChar w:fldCharType="begin"/>
            </w:r>
            <w:r>
              <w:rPr>
                <w:noProof/>
                <w:webHidden/>
              </w:rPr>
              <w:instrText xml:space="preserve"> PAGEREF _Toc240876472 \h </w:instrText>
            </w:r>
            <w:r>
              <w:rPr>
                <w:noProof/>
                <w:webHidden/>
              </w:rPr>
            </w:r>
            <w:r>
              <w:rPr>
                <w:noProof/>
                <w:webHidden/>
              </w:rPr>
              <w:fldChar w:fldCharType="separate"/>
            </w:r>
            <w:r w:rsidR="00706C0D">
              <w:rPr>
                <w:noProof/>
                <w:webHidden/>
              </w:rPr>
              <w:t>27</w:t>
            </w:r>
            <w:r>
              <w:rPr>
                <w:noProof/>
                <w:webHidden/>
              </w:rPr>
              <w:fldChar w:fldCharType="end"/>
            </w:r>
          </w:hyperlink>
        </w:p>
        <w:p w:rsidR="00163FAC" w:rsidRDefault="00163FAC" w14:paraId="5CFEF959" w14:textId="5BBC1806">
          <w:pPr>
            <w:pStyle w:val="TOC1"/>
            <w:tabs>
              <w:tab w:val="right" w:leader="dot" w:pos="9350"/>
            </w:tabs>
            <w:rPr>
              <w:rFonts w:asciiTheme="minorHAnsi" w:hAnsiTheme="minorHAnsi" w:cstheme="minorBidi"/>
              <w:noProof/>
              <w:kern w:val="2"/>
              <w:sz w:val="24"/>
              <w:szCs w:val="24"/>
              <w14:ligatures w14:val="standardContextual"/>
            </w:rPr>
          </w:pPr>
          <w:hyperlink w:history="1" w:anchor="_Toc240876473">
            <w:r w:rsidRPr="007C2970">
              <w:rPr>
                <w:rStyle w:val="Hyperlink"/>
                <w:noProof/>
              </w:rPr>
              <w:t>18.</w:t>
            </w:r>
            <w:r>
              <w:rPr>
                <w:rFonts w:asciiTheme="minorHAnsi" w:hAnsiTheme="minorHAnsi" w:cstheme="minorBidi"/>
                <w:noProof/>
                <w:kern w:val="2"/>
                <w:sz w:val="24"/>
                <w:szCs w:val="24"/>
                <w14:ligatures w14:val="standardContextual"/>
              </w:rPr>
              <w:tab/>
            </w:r>
            <w:r w:rsidRPr="007C2970">
              <w:rPr>
                <w:rStyle w:val="Hyperlink"/>
                <w:noProof/>
              </w:rPr>
              <w:t>Assignment of Proceeding</w:t>
            </w:r>
            <w:r>
              <w:rPr>
                <w:noProof/>
                <w:webHidden/>
              </w:rPr>
              <w:tab/>
            </w:r>
            <w:r>
              <w:rPr>
                <w:noProof/>
                <w:webHidden/>
              </w:rPr>
              <w:fldChar w:fldCharType="begin"/>
            </w:r>
            <w:r>
              <w:rPr>
                <w:noProof/>
                <w:webHidden/>
              </w:rPr>
              <w:instrText xml:space="preserve"> PAGEREF _Toc240876473 \h </w:instrText>
            </w:r>
            <w:r>
              <w:rPr>
                <w:noProof/>
                <w:webHidden/>
              </w:rPr>
            </w:r>
            <w:r>
              <w:rPr>
                <w:noProof/>
                <w:webHidden/>
              </w:rPr>
              <w:fldChar w:fldCharType="separate"/>
            </w:r>
            <w:r w:rsidR="00706C0D">
              <w:rPr>
                <w:noProof/>
                <w:webHidden/>
              </w:rPr>
              <w:t>27</w:t>
            </w:r>
            <w:r>
              <w:rPr>
                <w:noProof/>
                <w:webHidden/>
              </w:rPr>
              <w:fldChar w:fldCharType="end"/>
            </w:r>
          </w:hyperlink>
        </w:p>
        <w:p w:rsidR="00163FAC" w:rsidRDefault="00163FAC" w14:paraId="3CB0BA00" w14:textId="3E93D34B">
          <w:pPr>
            <w:pStyle w:val="TOC1"/>
            <w:tabs>
              <w:tab w:val="right" w:leader="dot" w:pos="9350"/>
            </w:tabs>
            <w:rPr>
              <w:rFonts w:asciiTheme="minorHAnsi" w:hAnsiTheme="minorHAnsi" w:cstheme="minorBidi"/>
              <w:noProof/>
              <w:kern w:val="2"/>
              <w:sz w:val="24"/>
              <w:szCs w:val="24"/>
              <w14:ligatures w14:val="standardContextual"/>
            </w:rPr>
          </w:pPr>
          <w:hyperlink w:history="1" w:anchor="_Toc240876474">
            <w:r w:rsidRPr="007C2970">
              <w:rPr>
                <w:rStyle w:val="Hyperlink"/>
                <w:noProof/>
              </w:rPr>
              <w:t>Findings of Fact</w:t>
            </w:r>
            <w:r>
              <w:rPr>
                <w:noProof/>
                <w:webHidden/>
              </w:rPr>
              <w:tab/>
            </w:r>
            <w:r>
              <w:rPr>
                <w:noProof/>
                <w:webHidden/>
              </w:rPr>
              <w:fldChar w:fldCharType="begin"/>
            </w:r>
            <w:r>
              <w:rPr>
                <w:noProof/>
                <w:webHidden/>
              </w:rPr>
              <w:instrText xml:space="preserve"> PAGEREF _Toc240876474 \h </w:instrText>
            </w:r>
            <w:r>
              <w:rPr>
                <w:noProof/>
                <w:webHidden/>
              </w:rPr>
            </w:r>
            <w:r>
              <w:rPr>
                <w:noProof/>
                <w:webHidden/>
              </w:rPr>
              <w:fldChar w:fldCharType="separate"/>
            </w:r>
            <w:r w:rsidR="00706C0D">
              <w:rPr>
                <w:noProof/>
                <w:webHidden/>
              </w:rPr>
              <w:t>27</w:t>
            </w:r>
            <w:r>
              <w:rPr>
                <w:noProof/>
                <w:webHidden/>
              </w:rPr>
              <w:fldChar w:fldCharType="end"/>
            </w:r>
          </w:hyperlink>
        </w:p>
        <w:p w:rsidR="00163FAC" w:rsidRDefault="00163FAC" w14:paraId="62DC76B4" w14:textId="07D15F9A">
          <w:pPr>
            <w:pStyle w:val="TOC1"/>
            <w:tabs>
              <w:tab w:val="right" w:leader="dot" w:pos="9350"/>
            </w:tabs>
            <w:rPr>
              <w:rFonts w:asciiTheme="minorHAnsi" w:hAnsiTheme="minorHAnsi" w:cstheme="minorBidi"/>
              <w:noProof/>
              <w:kern w:val="2"/>
              <w:sz w:val="24"/>
              <w:szCs w:val="24"/>
              <w14:ligatures w14:val="standardContextual"/>
            </w:rPr>
          </w:pPr>
          <w:hyperlink w:history="1" w:anchor="_Toc240876475">
            <w:r w:rsidRPr="007C2970">
              <w:rPr>
                <w:rStyle w:val="Hyperlink"/>
                <w:noProof/>
              </w:rPr>
              <w:t>Conclusions of Law</w:t>
            </w:r>
            <w:r>
              <w:rPr>
                <w:noProof/>
                <w:webHidden/>
              </w:rPr>
              <w:tab/>
            </w:r>
            <w:r>
              <w:rPr>
                <w:noProof/>
                <w:webHidden/>
              </w:rPr>
              <w:fldChar w:fldCharType="begin"/>
            </w:r>
            <w:r>
              <w:rPr>
                <w:noProof/>
                <w:webHidden/>
              </w:rPr>
              <w:instrText xml:space="preserve"> PAGEREF _Toc240876475 \h </w:instrText>
            </w:r>
            <w:r>
              <w:rPr>
                <w:noProof/>
                <w:webHidden/>
              </w:rPr>
            </w:r>
            <w:r>
              <w:rPr>
                <w:noProof/>
                <w:webHidden/>
              </w:rPr>
              <w:fldChar w:fldCharType="separate"/>
            </w:r>
            <w:r w:rsidR="00706C0D">
              <w:rPr>
                <w:noProof/>
                <w:webHidden/>
              </w:rPr>
              <w:t>31</w:t>
            </w:r>
            <w:r>
              <w:rPr>
                <w:noProof/>
                <w:webHidden/>
              </w:rPr>
              <w:fldChar w:fldCharType="end"/>
            </w:r>
          </w:hyperlink>
        </w:p>
        <w:p w:rsidR="00163FAC" w:rsidRDefault="00163FAC" w14:paraId="3EC2B607" w14:textId="7E4D7421">
          <w:pPr>
            <w:pStyle w:val="TOC1"/>
            <w:tabs>
              <w:tab w:val="right" w:leader="dot" w:pos="9350"/>
            </w:tabs>
            <w:rPr>
              <w:rFonts w:asciiTheme="minorHAnsi" w:hAnsiTheme="minorHAnsi" w:cstheme="minorBidi"/>
              <w:noProof/>
              <w:kern w:val="2"/>
              <w:sz w:val="24"/>
              <w:szCs w:val="24"/>
              <w14:ligatures w14:val="standardContextual"/>
            </w:rPr>
          </w:pPr>
          <w:hyperlink w:history="1" w:anchor="_Toc240876476">
            <w:r w:rsidRPr="007C2970">
              <w:rPr>
                <w:rStyle w:val="Hyperlink"/>
                <w:noProof/>
              </w:rPr>
              <w:t>ORDER</w:t>
            </w:r>
            <w:r>
              <w:rPr>
                <w:noProof/>
                <w:webHidden/>
              </w:rPr>
              <w:tab/>
            </w:r>
            <w:r>
              <w:rPr>
                <w:noProof/>
                <w:webHidden/>
              </w:rPr>
              <w:fldChar w:fldCharType="begin"/>
            </w:r>
            <w:r>
              <w:rPr>
                <w:noProof/>
                <w:webHidden/>
              </w:rPr>
              <w:instrText xml:space="preserve"> PAGEREF _Toc240876476 \h </w:instrText>
            </w:r>
            <w:r>
              <w:rPr>
                <w:noProof/>
                <w:webHidden/>
              </w:rPr>
            </w:r>
            <w:r>
              <w:rPr>
                <w:noProof/>
                <w:webHidden/>
              </w:rPr>
              <w:fldChar w:fldCharType="separate"/>
            </w:r>
            <w:r w:rsidR="00706C0D">
              <w:rPr>
                <w:noProof/>
                <w:webHidden/>
              </w:rPr>
              <w:t>34</w:t>
            </w:r>
            <w:r>
              <w:rPr>
                <w:noProof/>
                <w:webHidden/>
              </w:rPr>
              <w:fldChar w:fldCharType="end"/>
            </w:r>
          </w:hyperlink>
        </w:p>
        <w:p w:rsidRPr="009B16A9" w:rsidR="00D82A43" w:rsidP="008C7413" w:rsidRDefault="008C7413" w14:paraId="7C635728" w14:textId="4ECDEDD4">
          <w:pPr>
            <w:pStyle w:val="TOC1"/>
            <w:tabs>
              <w:tab w:val="right" w:leader="dot" w:pos="9350"/>
            </w:tabs>
            <w:rPr>
              <w:szCs w:val="26"/>
            </w:rPr>
          </w:pPr>
          <w:r w:rsidRPr="009B16A9">
            <w:rPr>
              <w:szCs w:val="26"/>
            </w:rPr>
            <w:fldChar w:fldCharType="end"/>
          </w:r>
        </w:p>
      </w:sdtContent>
    </w:sdt>
    <w:p w:rsidR="00741E1E" w:rsidP="002F0B42" w:rsidRDefault="00741E1E" w14:paraId="2EC476EC" w14:textId="77777777">
      <w:pPr>
        <w:spacing w:line="240" w:lineRule="auto"/>
        <w:ind w:firstLine="0"/>
        <w:rPr>
          <w:rFonts w:cs="Arial"/>
          <w:b/>
          <w:szCs w:val="26"/>
        </w:rPr>
      </w:pPr>
    </w:p>
    <w:p w:rsidRPr="009B16A9" w:rsidR="0098655A" w:rsidP="002F0B42" w:rsidRDefault="002F0B42" w14:paraId="0A1385A8" w14:textId="72AE962F">
      <w:pPr>
        <w:spacing w:line="240" w:lineRule="auto"/>
        <w:ind w:firstLine="0"/>
        <w:rPr>
          <w:rFonts w:cs="Arial"/>
          <w:szCs w:val="26"/>
        </w:rPr>
      </w:pPr>
      <w:r w:rsidRPr="009B16A9">
        <w:rPr>
          <w:rFonts w:cs="Arial"/>
          <w:b/>
          <w:szCs w:val="26"/>
        </w:rPr>
        <w:t>Attachment</w:t>
      </w:r>
      <w:r w:rsidRPr="009B16A9" w:rsidR="0098655A">
        <w:rPr>
          <w:rFonts w:cs="Arial"/>
          <w:b/>
          <w:szCs w:val="26"/>
        </w:rPr>
        <w:t xml:space="preserve"> A</w:t>
      </w:r>
      <w:r w:rsidRPr="009B16A9" w:rsidR="0098655A">
        <w:rPr>
          <w:rFonts w:cs="Arial"/>
          <w:szCs w:val="26"/>
        </w:rPr>
        <w:t xml:space="preserve"> –</w:t>
      </w:r>
      <w:r w:rsidRPr="009B16A9" w:rsidR="00E23CBB">
        <w:rPr>
          <w:rFonts w:cs="Arial"/>
          <w:szCs w:val="26"/>
        </w:rPr>
        <w:t xml:space="preserve"> </w:t>
      </w:r>
      <w:r w:rsidRPr="009B16A9">
        <w:rPr>
          <w:rFonts w:cs="Arial"/>
          <w:szCs w:val="26"/>
        </w:rPr>
        <w:t>Tariff Deficiencies</w:t>
      </w:r>
      <w:r w:rsidRPr="009B16A9" w:rsidDel="002F0B42">
        <w:rPr>
          <w:rFonts w:cs="Arial"/>
          <w:szCs w:val="26"/>
        </w:rPr>
        <w:t xml:space="preserve"> </w:t>
      </w:r>
    </w:p>
    <w:p w:rsidRPr="009B16A9" w:rsidR="0098655A" w:rsidP="002F0B42" w:rsidRDefault="0098655A" w14:paraId="29FB35B4" w14:textId="77777777">
      <w:pPr>
        <w:spacing w:line="240" w:lineRule="auto"/>
        <w:ind w:firstLine="0"/>
        <w:rPr>
          <w:rFonts w:cs="Arial"/>
          <w:szCs w:val="26"/>
        </w:rPr>
      </w:pPr>
      <w:r w:rsidRPr="009B16A9">
        <w:rPr>
          <w:rFonts w:cs="Arial"/>
          <w:b/>
          <w:szCs w:val="26"/>
        </w:rPr>
        <w:t>A</w:t>
      </w:r>
      <w:r w:rsidRPr="009B16A9" w:rsidR="002F0B42">
        <w:rPr>
          <w:rFonts w:cs="Arial"/>
          <w:b/>
          <w:szCs w:val="26"/>
        </w:rPr>
        <w:t>ttachment</w:t>
      </w:r>
      <w:r w:rsidRPr="009B16A9">
        <w:rPr>
          <w:rFonts w:cs="Arial"/>
          <w:b/>
          <w:szCs w:val="26"/>
        </w:rPr>
        <w:t xml:space="preserve"> B</w:t>
      </w:r>
      <w:r w:rsidRPr="009B16A9">
        <w:rPr>
          <w:rFonts w:cs="Arial"/>
          <w:szCs w:val="26"/>
        </w:rPr>
        <w:t xml:space="preserve"> – </w:t>
      </w:r>
      <w:r w:rsidRPr="009B16A9" w:rsidR="002F0B42">
        <w:rPr>
          <w:rFonts w:cs="Arial"/>
          <w:szCs w:val="26"/>
        </w:rPr>
        <w:t>Requirements Applicable to Competitive Local Exchange Carriers and Interexchange Carriers</w:t>
      </w:r>
      <w:r w:rsidRPr="009B16A9" w:rsidDel="002F0B42" w:rsidR="002F0B42">
        <w:rPr>
          <w:rFonts w:cs="Arial"/>
          <w:szCs w:val="26"/>
        </w:rPr>
        <w:t xml:space="preserve"> </w:t>
      </w:r>
    </w:p>
    <w:p w:rsidRPr="009B16A9" w:rsidR="00F76650" w:rsidP="002F0B42" w:rsidRDefault="0098655A" w14:paraId="254812A8" w14:textId="77777777">
      <w:pPr>
        <w:spacing w:line="240" w:lineRule="auto"/>
        <w:ind w:firstLine="0"/>
        <w:rPr>
          <w:rFonts w:cs="Arial"/>
          <w:szCs w:val="26"/>
        </w:rPr>
      </w:pPr>
      <w:r w:rsidRPr="009B16A9">
        <w:rPr>
          <w:rFonts w:cs="Arial"/>
          <w:b/>
          <w:szCs w:val="26"/>
        </w:rPr>
        <w:t>A</w:t>
      </w:r>
      <w:r w:rsidRPr="009B16A9" w:rsidR="002F0B42">
        <w:rPr>
          <w:rFonts w:cs="Arial"/>
          <w:b/>
          <w:szCs w:val="26"/>
        </w:rPr>
        <w:t>ttachment</w:t>
      </w:r>
      <w:r w:rsidRPr="009B16A9">
        <w:rPr>
          <w:rFonts w:cs="Arial"/>
          <w:b/>
          <w:szCs w:val="26"/>
        </w:rPr>
        <w:t xml:space="preserve"> C</w:t>
      </w:r>
      <w:r w:rsidRPr="009B16A9">
        <w:rPr>
          <w:rFonts w:cs="Arial"/>
          <w:szCs w:val="26"/>
        </w:rPr>
        <w:t xml:space="preserve"> – </w:t>
      </w:r>
      <w:r w:rsidRPr="009B16A9" w:rsidR="002F0B42">
        <w:rPr>
          <w:rFonts w:cs="Arial"/>
          <w:szCs w:val="26"/>
        </w:rPr>
        <w:t>Annual Report</w:t>
      </w:r>
      <w:r w:rsidRPr="009B16A9" w:rsidDel="002F0B42" w:rsidR="002F0B42">
        <w:rPr>
          <w:rFonts w:cs="Arial"/>
          <w:szCs w:val="26"/>
        </w:rPr>
        <w:t xml:space="preserve"> </w:t>
      </w:r>
    </w:p>
    <w:p w:rsidR="00C67AD3" w:rsidP="002F0B42" w:rsidRDefault="002F0B42" w14:paraId="23B3B8A0" w14:textId="77777777">
      <w:pPr>
        <w:spacing w:line="240" w:lineRule="auto"/>
        <w:ind w:firstLine="0"/>
        <w:rPr>
          <w:rFonts w:cs="Arial"/>
          <w:szCs w:val="26"/>
        </w:rPr>
      </w:pPr>
      <w:r w:rsidRPr="009B16A9">
        <w:rPr>
          <w:rFonts w:cs="Arial"/>
          <w:b/>
          <w:szCs w:val="26"/>
        </w:rPr>
        <w:t>Attachment D</w:t>
      </w:r>
      <w:r w:rsidRPr="009B16A9">
        <w:rPr>
          <w:rFonts w:cs="Arial"/>
          <w:szCs w:val="26"/>
        </w:rPr>
        <w:t xml:space="preserve"> – Calendar Year Affiliate Transaction Report</w:t>
      </w:r>
    </w:p>
    <w:p w:rsidRPr="009B16A9" w:rsidR="00D44DB6" w:rsidP="002F0B42" w:rsidRDefault="00C67AD3" w14:paraId="59008FD2" w14:textId="0CFE6BCE">
      <w:pPr>
        <w:spacing w:line="240" w:lineRule="auto"/>
        <w:ind w:firstLine="0"/>
        <w:rPr>
          <w:rFonts w:cs="Arial"/>
          <w:i/>
          <w:szCs w:val="26"/>
        </w:rPr>
        <w:sectPr w:rsidRPr="009B16A9" w:rsidR="00D44DB6" w:rsidSect="00D44DB6">
          <w:headerReference w:type="default" r:id="rId17"/>
          <w:footerReference w:type="default" r:id="rId18"/>
          <w:pgSz w:w="12240" w:h="15840"/>
          <w:pgMar w:top="1728" w:right="1440" w:bottom="1440" w:left="1440" w:header="720" w:footer="720" w:gutter="0"/>
          <w:pgNumType w:fmt="lowerRoman" w:start="1"/>
          <w:cols w:space="720"/>
          <w:docGrid w:linePitch="360"/>
        </w:sectPr>
      </w:pPr>
      <w:r>
        <w:rPr>
          <w:rFonts w:cs="Arial"/>
          <w:b/>
          <w:bCs/>
          <w:szCs w:val="26"/>
        </w:rPr>
        <w:t xml:space="preserve">Attachment E </w:t>
      </w:r>
      <w:r w:rsidR="00F826C4">
        <w:rPr>
          <w:rFonts w:cs="Arial"/>
          <w:szCs w:val="26"/>
        </w:rPr>
        <w:t>–</w:t>
      </w:r>
      <w:r>
        <w:rPr>
          <w:rFonts w:cs="Arial"/>
          <w:szCs w:val="26"/>
        </w:rPr>
        <w:t xml:space="preserve"> </w:t>
      </w:r>
      <w:r w:rsidR="00F826C4">
        <w:rPr>
          <w:rFonts w:cs="Arial"/>
          <w:szCs w:val="26"/>
        </w:rPr>
        <w:t>Surcharge and User Fee Report Worksheet</w:t>
      </w:r>
    </w:p>
    <w:p w:rsidR="005A148C" w:rsidP="007926CC" w:rsidRDefault="005A148C" w14:paraId="059A4E7F" w14:textId="5D79EC30">
      <w:pPr>
        <w:pStyle w:val="Dummy"/>
        <w:tabs>
          <w:tab w:val="left" w:pos="6600"/>
        </w:tabs>
      </w:pPr>
      <w:bookmarkStart w:name="_Toc8123714" w:id="0"/>
      <w:bookmarkStart w:name="_Toc240876445" w:id="1"/>
      <w:r>
        <w:lastRenderedPageBreak/>
        <w:t>Summary</w:t>
      </w:r>
      <w:bookmarkEnd w:id="0"/>
      <w:bookmarkEnd w:id="1"/>
      <w:r w:rsidR="00106B70">
        <w:tab/>
      </w:r>
    </w:p>
    <w:p w:rsidR="00195406" w:rsidP="00D34DAE" w:rsidRDefault="001912E8" w14:paraId="6A18FC28" w14:textId="56D1169A">
      <w:pPr>
        <w:pStyle w:val="Standard"/>
      </w:pPr>
      <w:r w:rsidRPr="4372617A">
        <w:rPr>
          <w:color w:val="000000"/>
        </w:rPr>
        <w:t xml:space="preserve">Pursuant to Public Utilities </w:t>
      </w:r>
      <w:r w:rsidR="00F21914">
        <w:rPr>
          <w:color w:val="000000"/>
        </w:rPr>
        <w:t>(Pub. Util.)</w:t>
      </w:r>
      <w:r w:rsidR="00FF518C">
        <w:rPr>
          <w:color w:val="000000"/>
        </w:rPr>
        <w:t xml:space="preserve"> </w:t>
      </w:r>
      <w:r w:rsidRPr="4372617A">
        <w:rPr>
          <w:color w:val="000000"/>
        </w:rPr>
        <w:t xml:space="preserve">Code </w:t>
      </w:r>
      <w:r w:rsidRPr="4372617A">
        <w:rPr>
          <w:rFonts w:cs="Arial"/>
          <w:color w:val="000000"/>
        </w:rPr>
        <w:t>Section </w:t>
      </w:r>
      <w:r w:rsidRPr="4372617A">
        <w:rPr>
          <w:color w:val="000000"/>
        </w:rPr>
        <w:t xml:space="preserve">1001, the Commission </w:t>
      </w:r>
      <w:r w:rsidRPr="4372617A">
        <w:t xml:space="preserve">grants </w:t>
      </w:r>
      <w:r w:rsidRPr="007926CC" w:rsidR="00523C8D">
        <w:t>I</w:t>
      </w:r>
      <w:r w:rsidRPr="007926CC" w:rsidR="00982DEF">
        <w:t>P</w:t>
      </w:r>
      <w:r w:rsidRPr="007926CC" w:rsidR="00523C8D">
        <w:t>C Systems, Inc.</w:t>
      </w:r>
      <w:r w:rsidRPr="002E35C5">
        <w:t xml:space="preserve"> a Certificate of Public Convenience and Necessity to </w:t>
      </w:r>
      <w:r w:rsidR="00F91BAA">
        <w:t xml:space="preserve">provide </w:t>
      </w:r>
      <w:r w:rsidR="00842C04">
        <w:t>resold</w:t>
      </w:r>
      <w:r w:rsidR="00F91BAA">
        <w:t xml:space="preserve"> </w:t>
      </w:r>
      <w:r w:rsidR="0076256A">
        <w:t>intra</w:t>
      </w:r>
      <w:r w:rsidR="00223039">
        <w:t>-Local Access Transport Area</w:t>
      </w:r>
      <w:r w:rsidR="000A3325">
        <w:t xml:space="preserve"> high-speed digital private line</w:t>
      </w:r>
      <w:r w:rsidRPr="007926CC">
        <w:t xml:space="preserve"> services </w:t>
      </w:r>
      <w:r w:rsidR="00A829CE">
        <w:t xml:space="preserve">throughout California as an interexchange carrier </w:t>
      </w:r>
      <w:r w:rsidRPr="4372617A">
        <w:t>subject to the terms and conditions set forth in the Ordering</w:t>
      </w:r>
      <w:r w:rsidR="00866B9C">
        <w:t xml:space="preserve"> </w:t>
      </w:r>
      <w:r w:rsidRPr="4372617A">
        <w:t>Paragraphs.</w:t>
      </w:r>
      <w:r w:rsidR="00D34DAE">
        <w:t xml:space="preserve"> </w:t>
      </w:r>
      <w:r w:rsidR="00651C46">
        <w:t xml:space="preserve">IPC </w:t>
      </w:r>
      <w:r w:rsidR="00CB0072">
        <w:t xml:space="preserve">Systems Inc. </w:t>
      </w:r>
      <w:r w:rsidR="00BC2790">
        <w:t>must pay</w:t>
      </w:r>
      <w:r w:rsidR="00651C46">
        <w:t xml:space="preserve"> penalties for providing service without </w:t>
      </w:r>
      <w:r w:rsidR="00A72D4C">
        <w:t>authority</w:t>
      </w:r>
      <w:r w:rsidR="00651C46">
        <w:t xml:space="preserve"> in violation of Pub. Util. Code </w:t>
      </w:r>
      <w:r w:rsidR="00BC2790">
        <w:t xml:space="preserve">§1001. </w:t>
      </w:r>
      <w:r w:rsidR="00C348AD">
        <w:t>IPC</w:t>
      </w:r>
      <w:r w:rsidR="00286324">
        <w:t xml:space="preserve"> Systems Inc. must also pay all </w:t>
      </w:r>
      <w:r w:rsidR="00195406">
        <w:t xml:space="preserve">past-due </w:t>
      </w:r>
      <w:r w:rsidR="00C92FB8">
        <w:t xml:space="preserve">California Public Purpose </w:t>
      </w:r>
      <w:r w:rsidR="00783CEA">
        <w:t>Program</w:t>
      </w:r>
      <w:r w:rsidR="00286324">
        <w:t xml:space="preserve"> surcharges </w:t>
      </w:r>
      <w:r w:rsidR="00783CEA">
        <w:t xml:space="preserve">(surcharges) </w:t>
      </w:r>
      <w:r w:rsidR="00286324">
        <w:t xml:space="preserve">and </w:t>
      </w:r>
      <w:r w:rsidR="00A048DB">
        <w:t>Public Utilities Commission Reimbursement Fees (</w:t>
      </w:r>
      <w:r w:rsidR="00286324">
        <w:t>user fees</w:t>
      </w:r>
      <w:r w:rsidR="00A048DB">
        <w:t>)</w:t>
      </w:r>
      <w:r w:rsidR="00286324">
        <w:t xml:space="preserve"> owed, along with any applicable interest</w:t>
      </w:r>
      <w:r w:rsidR="00AF728D">
        <w:t xml:space="preserve"> and penalties</w:t>
      </w:r>
      <w:r w:rsidR="00195406">
        <w:t xml:space="preserve">, for the time it </w:t>
      </w:r>
      <w:r w:rsidR="00941357">
        <w:t xml:space="preserve">provided service </w:t>
      </w:r>
      <w:r w:rsidR="00195406">
        <w:t>before receiving Commission authority</w:t>
      </w:r>
      <w:r w:rsidR="00286324">
        <w:t xml:space="preserve">. </w:t>
      </w:r>
    </w:p>
    <w:p w:rsidR="00092A69" w:rsidP="00D34DAE" w:rsidRDefault="00092A69" w14:paraId="31FEE51E" w14:textId="22A9E092">
      <w:pPr>
        <w:pStyle w:val="Standard"/>
      </w:pPr>
      <w:r w:rsidRPr="00092A69">
        <w:rPr>
          <w:rFonts w:eastAsia="Times New Roman" w:cs="Times New Roman"/>
          <w:szCs w:val="26"/>
        </w:rPr>
        <w:t xml:space="preserve">Application </w:t>
      </w:r>
      <w:r w:rsidR="001F61F9">
        <w:rPr>
          <w:rFonts w:eastAsia="Times New Roman" w:cs="Times New Roman"/>
          <w:szCs w:val="26"/>
        </w:rPr>
        <w:t>25</w:t>
      </w:r>
      <w:r w:rsidRPr="00092A69">
        <w:rPr>
          <w:rFonts w:eastAsia="Times New Roman" w:cs="Times New Roman"/>
          <w:szCs w:val="26"/>
        </w:rPr>
        <w:t>-</w:t>
      </w:r>
      <w:r w:rsidR="001F61F9">
        <w:rPr>
          <w:rFonts w:eastAsia="Times New Roman" w:cs="Times New Roman"/>
          <w:szCs w:val="26"/>
        </w:rPr>
        <w:t>09</w:t>
      </w:r>
      <w:r w:rsidRPr="00092A69">
        <w:rPr>
          <w:rFonts w:eastAsia="Times New Roman" w:cs="Times New Roman"/>
          <w:szCs w:val="26"/>
        </w:rPr>
        <w:t>-</w:t>
      </w:r>
      <w:r w:rsidR="001F61F9">
        <w:rPr>
          <w:rFonts w:eastAsia="Times New Roman" w:cs="Times New Roman"/>
          <w:szCs w:val="26"/>
        </w:rPr>
        <w:t>002</w:t>
      </w:r>
      <w:r w:rsidRPr="00092A69">
        <w:rPr>
          <w:rFonts w:eastAsia="Times New Roman" w:cs="Times New Roman"/>
          <w:szCs w:val="26"/>
        </w:rPr>
        <w:t xml:space="preserve"> is </w:t>
      </w:r>
      <w:r w:rsidRPr="006B7D73">
        <w:rPr>
          <w:rFonts w:eastAsia="Times New Roman" w:cs="Times New Roman"/>
          <w:szCs w:val="26"/>
        </w:rPr>
        <w:t>closed</w:t>
      </w:r>
      <w:r w:rsidRPr="00092A69">
        <w:rPr>
          <w:rFonts w:eastAsia="Times New Roman" w:cs="Times New Roman"/>
          <w:szCs w:val="26"/>
        </w:rPr>
        <w:t>.</w:t>
      </w:r>
    </w:p>
    <w:p w:rsidR="00092A69" w:rsidP="00710EBA" w:rsidRDefault="00362C67" w14:paraId="1AA88698" w14:textId="77777777">
      <w:pPr>
        <w:pStyle w:val="Heading1"/>
      </w:pPr>
      <w:bookmarkStart w:name="_Toc222922046" w:id="2"/>
      <w:bookmarkStart w:name="_Toc222923627" w:id="3"/>
      <w:bookmarkStart w:name="_Toc222926633" w:id="4"/>
      <w:bookmarkStart w:name="_Toc222928854" w:id="5"/>
      <w:bookmarkStart w:name="_Toc240876446" w:id="6"/>
      <w:bookmarkEnd w:id="2"/>
      <w:bookmarkEnd w:id="3"/>
      <w:bookmarkEnd w:id="4"/>
      <w:bookmarkEnd w:id="5"/>
      <w:r>
        <w:t>Background</w:t>
      </w:r>
      <w:bookmarkEnd w:id="6"/>
    </w:p>
    <w:p w:rsidRPr="007926CC" w:rsidR="001912E8" w:rsidP="001912E8" w:rsidRDefault="001912E8" w14:paraId="4E402EC3" w14:textId="3D1988F2">
      <w:pPr>
        <w:pStyle w:val="standard0"/>
        <w:rPr>
          <w:rFonts w:ascii="Book Antiqua" w:hAnsi="Book Antiqua"/>
        </w:rPr>
      </w:pPr>
      <w:r w:rsidRPr="004768C6">
        <w:rPr>
          <w:rFonts w:ascii="Book Antiqua" w:hAnsi="Book Antiqua"/>
        </w:rPr>
        <w:t xml:space="preserve">On </w:t>
      </w:r>
      <w:r w:rsidRPr="007926CC" w:rsidR="0013384A">
        <w:rPr>
          <w:rFonts w:ascii="Book Antiqua" w:hAnsi="Book Antiqua"/>
        </w:rPr>
        <w:t>Septe</w:t>
      </w:r>
      <w:r w:rsidRPr="007926CC" w:rsidR="00865E4E">
        <w:rPr>
          <w:rFonts w:ascii="Book Antiqua" w:hAnsi="Book Antiqua"/>
        </w:rPr>
        <w:t>mber 11, 2025</w:t>
      </w:r>
      <w:r w:rsidRPr="008D0D47">
        <w:rPr>
          <w:rFonts w:ascii="Book Antiqua" w:hAnsi="Book Antiqua"/>
        </w:rPr>
        <w:t xml:space="preserve">, </w:t>
      </w:r>
      <w:r w:rsidRPr="005F2496" w:rsidR="00865E4E">
        <w:rPr>
          <w:rFonts w:ascii="Book Antiqua" w:hAnsi="Book Antiqua"/>
        </w:rPr>
        <w:t>IPC Systems, Inc. (IPC)</w:t>
      </w:r>
      <w:r w:rsidRPr="005F2496">
        <w:rPr>
          <w:rFonts w:ascii="Book Antiqua" w:hAnsi="Book Antiqua"/>
        </w:rPr>
        <w:t xml:space="preserve">, </w:t>
      </w:r>
      <w:r w:rsidR="00AA6F82">
        <w:rPr>
          <w:rFonts w:ascii="Book Antiqua" w:hAnsi="Book Antiqua"/>
        </w:rPr>
        <w:t xml:space="preserve">a </w:t>
      </w:r>
      <w:r w:rsidRPr="00AA6F82" w:rsidR="00573F65">
        <w:rPr>
          <w:rFonts w:ascii="Book Antiqua" w:hAnsi="Book Antiqua"/>
        </w:rPr>
        <w:t>c</w:t>
      </w:r>
      <w:r w:rsidRPr="00AA6F82" w:rsidR="003B26B4">
        <w:rPr>
          <w:rFonts w:ascii="Book Antiqua" w:hAnsi="Book Antiqua"/>
        </w:rPr>
        <w:t>orporation</w:t>
      </w:r>
      <w:r w:rsidRPr="00AA6F82">
        <w:rPr>
          <w:rFonts w:ascii="Book Antiqua" w:hAnsi="Book Antiqua"/>
        </w:rPr>
        <w:t xml:space="preserve"> </w:t>
      </w:r>
      <w:r w:rsidRPr="008D0D47">
        <w:rPr>
          <w:rFonts w:ascii="Book Antiqua" w:hAnsi="Book Antiqua"/>
        </w:rPr>
        <w:t>authorized to do business in California</w:t>
      </w:r>
      <w:r w:rsidR="005979AC">
        <w:rPr>
          <w:rFonts w:ascii="Book Antiqua" w:hAnsi="Book Antiqua"/>
        </w:rPr>
        <w:t>,</w:t>
      </w:r>
      <w:r w:rsidRPr="008D0D47">
        <w:rPr>
          <w:rFonts w:ascii="Book Antiqua" w:hAnsi="Book Antiqua"/>
        </w:rPr>
        <w:t xml:space="preserve"> filed an application for a certificate of public convenience and necessity (CPCN)</w:t>
      </w:r>
      <w:r w:rsidRPr="007926CC">
        <w:rPr>
          <w:rFonts w:ascii="Book Antiqua" w:hAnsi="Book Antiqua"/>
        </w:rPr>
        <w:t xml:space="preserve">.  </w:t>
      </w:r>
    </w:p>
    <w:p w:rsidRPr="00927ED2" w:rsidR="001912E8" w:rsidP="005E6A59" w:rsidRDefault="00223039" w14:paraId="0F4EDBDD" w14:textId="29369B76">
      <w:pPr>
        <w:pStyle w:val="standard0"/>
        <w:rPr>
          <w:rFonts w:ascii="Book Antiqua" w:hAnsi="Book Antiqua"/>
        </w:rPr>
      </w:pPr>
      <w:r>
        <w:rPr>
          <w:rFonts w:ascii="Book Antiqua" w:hAnsi="Book Antiqua"/>
        </w:rPr>
        <w:t xml:space="preserve">In its application, </w:t>
      </w:r>
      <w:r w:rsidRPr="007926CC" w:rsidR="00250046">
        <w:rPr>
          <w:rFonts w:ascii="Book Antiqua" w:hAnsi="Book Antiqua"/>
        </w:rPr>
        <w:t>IPC</w:t>
      </w:r>
      <w:r w:rsidRPr="008D0D47" w:rsidR="001912E8">
        <w:rPr>
          <w:rFonts w:ascii="Book Antiqua" w:hAnsi="Book Antiqua"/>
        </w:rPr>
        <w:t xml:space="preserve"> </w:t>
      </w:r>
      <w:r>
        <w:rPr>
          <w:rFonts w:ascii="Book Antiqua" w:hAnsi="Book Antiqua"/>
        </w:rPr>
        <w:t xml:space="preserve">requested authority </w:t>
      </w:r>
      <w:r w:rsidR="00D1241B">
        <w:rPr>
          <w:rFonts w:ascii="Book Antiqua" w:hAnsi="Book Antiqua"/>
        </w:rPr>
        <w:t>to operate</w:t>
      </w:r>
      <w:r w:rsidR="00366B7C">
        <w:rPr>
          <w:rFonts w:ascii="Book Antiqua" w:hAnsi="Book Antiqua"/>
        </w:rPr>
        <w:t xml:space="preserve"> </w:t>
      </w:r>
      <w:r w:rsidRPr="008D0D47" w:rsidR="005E6A59">
        <w:rPr>
          <w:rFonts w:ascii="Book Antiqua" w:hAnsi="Book Antiqua"/>
        </w:rPr>
        <w:t xml:space="preserve">as a </w:t>
      </w:r>
      <w:r w:rsidR="00A913CA">
        <w:rPr>
          <w:rFonts w:ascii="Book Antiqua" w:hAnsi="Book Antiqua"/>
        </w:rPr>
        <w:t xml:space="preserve">resold </w:t>
      </w:r>
      <w:r w:rsidRPr="008D0D47" w:rsidR="005E6A59">
        <w:rPr>
          <w:rFonts w:ascii="Book Antiqua" w:hAnsi="Book Antiqua"/>
        </w:rPr>
        <w:t xml:space="preserve">interexchange </w:t>
      </w:r>
      <w:r>
        <w:rPr>
          <w:rFonts w:ascii="Book Antiqua" w:hAnsi="Book Antiqua"/>
        </w:rPr>
        <w:t xml:space="preserve">(intra/inter-Local Access Transport Area (LATA)) </w:t>
      </w:r>
      <w:r w:rsidRPr="008D0D47" w:rsidR="005E6A59">
        <w:rPr>
          <w:rFonts w:ascii="Book Antiqua" w:hAnsi="Book Antiqua"/>
        </w:rPr>
        <w:t>service provider.</w:t>
      </w:r>
      <w:r w:rsidRPr="008D0D47" w:rsidR="005E6A59">
        <w:rPr>
          <w:rFonts w:ascii="Book Antiqua" w:hAnsi="Book Antiqua"/>
          <w:vertAlign w:val="superscript"/>
        </w:rPr>
        <w:footnoteReference w:id="2"/>
      </w:r>
      <w:r w:rsidRPr="008D0D47" w:rsidR="005E6A59">
        <w:rPr>
          <w:rFonts w:ascii="Book Antiqua" w:hAnsi="Book Antiqua"/>
        </w:rPr>
        <w:t xml:space="preserve"> IPC </w:t>
      </w:r>
      <w:r w:rsidRPr="008D0D47" w:rsidR="003F384E">
        <w:rPr>
          <w:rFonts w:ascii="Book Antiqua" w:hAnsi="Book Antiqua"/>
        </w:rPr>
        <w:t xml:space="preserve">also </w:t>
      </w:r>
      <w:r w:rsidRPr="008D0D47" w:rsidR="005E6A59">
        <w:rPr>
          <w:rFonts w:ascii="Book Antiqua" w:hAnsi="Book Antiqua"/>
        </w:rPr>
        <w:t>state</w:t>
      </w:r>
      <w:r>
        <w:rPr>
          <w:rFonts w:ascii="Book Antiqua" w:hAnsi="Book Antiqua"/>
        </w:rPr>
        <w:t>d</w:t>
      </w:r>
      <w:r w:rsidRPr="008D0D47" w:rsidR="005E6A59">
        <w:rPr>
          <w:rFonts w:ascii="Book Antiqua" w:hAnsi="Book Antiqua"/>
        </w:rPr>
        <w:t xml:space="preserve"> that it will provide resold</w:t>
      </w:r>
      <w:r>
        <w:rPr>
          <w:rFonts w:ascii="Book Antiqua" w:hAnsi="Book Antiqua"/>
        </w:rPr>
        <w:t xml:space="preserve"> </w:t>
      </w:r>
      <w:r w:rsidRPr="008D0D47" w:rsidR="005E6A59">
        <w:rPr>
          <w:rFonts w:ascii="Book Antiqua" w:hAnsi="Book Antiqua"/>
        </w:rPr>
        <w:t>point-to</w:t>
      </w:r>
      <w:r>
        <w:rPr>
          <w:rFonts w:ascii="Book Antiqua" w:hAnsi="Book Antiqua"/>
        </w:rPr>
        <w:t>-</w:t>
      </w:r>
      <w:r w:rsidRPr="008D0D47" w:rsidR="005E6A59">
        <w:rPr>
          <w:rFonts w:ascii="Book Antiqua" w:hAnsi="Book Antiqua"/>
        </w:rPr>
        <w:t>point private line voice and data services to business customers</w:t>
      </w:r>
      <w:r w:rsidR="00A577C4">
        <w:rPr>
          <w:rFonts w:ascii="Book Antiqua" w:hAnsi="Book Antiqua"/>
        </w:rPr>
        <w:t xml:space="preserve"> in California.</w:t>
      </w:r>
      <w:r w:rsidR="00A577C4">
        <w:rPr>
          <w:rStyle w:val="FootnoteReference"/>
          <w:rFonts w:ascii="Book Antiqua" w:hAnsi="Book Antiqua"/>
        </w:rPr>
        <w:footnoteReference w:id="3"/>
      </w:r>
      <w:r w:rsidRPr="008D0D47" w:rsidDel="00A577C4" w:rsidR="00A577C4">
        <w:rPr>
          <w:rFonts w:ascii="Book Antiqua" w:hAnsi="Book Antiqua"/>
        </w:rPr>
        <w:t xml:space="preserve"> </w:t>
      </w:r>
      <w:r>
        <w:rPr>
          <w:rFonts w:ascii="Book Antiqua" w:hAnsi="Book Antiqua"/>
        </w:rPr>
        <w:t>According to IPC, the company’s services will provide access solely to its private network, and will not permit calls to or from the Public Switched Telephone Network.</w:t>
      </w:r>
      <w:r>
        <w:rPr>
          <w:rStyle w:val="FootnoteReference"/>
          <w:rFonts w:ascii="Book Antiqua" w:hAnsi="Book Antiqua"/>
        </w:rPr>
        <w:footnoteReference w:id="4"/>
      </w:r>
      <w:r>
        <w:rPr>
          <w:rFonts w:ascii="Book Antiqua" w:hAnsi="Book Antiqua"/>
        </w:rPr>
        <w:t xml:space="preserve"> </w:t>
      </w:r>
    </w:p>
    <w:p w:rsidR="001912E8" w:rsidP="001912E8" w:rsidRDefault="008704E1" w14:paraId="5F556BC6" w14:textId="77D88F98">
      <w:pPr>
        <w:pStyle w:val="standard0"/>
        <w:rPr>
          <w:rFonts w:ascii="Book Antiqua" w:hAnsi="Book Antiqua"/>
        </w:rPr>
      </w:pPr>
      <w:r w:rsidRPr="007926CC">
        <w:rPr>
          <w:rFonts w:ascii="Book Antiqua" w:hAnsi="Book Antiqua"/>
          <w:bCs/>
        </w:rPr>
        <w:lastRenderedPageBreak/>
        <w:t>IPC</w:t>
      </w:r>
      <w:r w:rsidRPr="007926CC" w:rsidR="001912E8">
        <w:rPr>
          <w:rFonts w:ascii="Book Antiqua" w:hAnsi="Book Antiqua"/>
          <w:bCs/>
        </w:rPr>
        <w:t xml:space="preserve">’s </w:t>
      </w:r>
      <w:r w:rsidRPr="004768C6" w:rsidR="001912E8">
        <w:rPr>
          <w:rFonts w:ascii="Book Antiqua" w:hAnsi="Book Antiqua"/>
        </w:rPr>
        <w:t xml:space="preserve">principal place of business is located at </w:t>
      </w:r>
      <w:r w:rsidR="00C1093D">
        <w:rPr>
          <w:rFonts w:ascii="Book Antiqua" w:hAnsi="Book Antiqua"/>
        </w:rPr>
        <w:t>103</w:t>
      </w:r>
      <w:r w:rsidR="00F80292">
        <w:rPr>
          <w:rFonts w:ascii="Book Antiqua" w:hAnsi="Book Antiqua"/>
        </w:rPr>
        <w:t xml:space="preserve"> Second St., 15</w:t>
      </w:r>
      <w:r w:rsidRPr="007926CC" w:rsidR="00F80292">
        <w:rPr>
          <w:rFonts w:ascii="Book Antiqua" w:hAnsi="Book Antiqua"/>
          <w:vertAlign w:val="superscript"/>
        </w:rPr>
        <w:t>th</w:t>
      </w:r>
      <w:r w:rsidR="00F80292">
        <w:rPr>
          <w:rFonts w:ascii="Book Antiqua" w:hAnsi="Book Antiqua"/>
        </w:rPr>
        <w:t xml:space="preserve"> Floor, Harborside Financial Plaza</w:t>
      </w:r>
      <w:r w:rsidR="00212787">
        <w:rPr>
          <w:rFonts w:ascii="Book Antiqua" w:hAnsi="Book Antiqua"/>
        </w:rPr>
        <w:t>, Jersey City, N</w:t>
      </w:r>
      <w:r w:rsidR="007C2F06">
        <w:rPr>
          <w:rFonts w:ascii="Book Antiqua" w:hAnsi="Book Antiqua"/>
        </w:rPr>
        <w:t>ew Je</w:t>
      </w:r>
      <w:r w:rsidR="007926CC">
        <w:rPr>
          <w:rFonts w:ascii="Book Antiqua" w:hAnsi="Book Antiqua"/>
        </w:rPr>
        <w:t>r</w:t>
      </w:r>
      <w:r w:rsidR="007C2F06">
        <w:rPr>
          <w:rFonts w:ascii="Book Antiqua" w:hAnsi="Book Antiqua"/>
        </w:rPr>
        <w:t>sey</w:t>
      </w:r>
      <w:r w:rsidR="00212787">
        <w:rPr>
          <w:rFonts w:ascii="Book Antiqua" w:hAnsi="Book Antiqua"/>
        </w:rPr>
        <w:t xml:space="preserve"> 07311</w:t>
      </w:r>
      <w:r w:rsidRPr="004768C6" w:rsidR="001912E8">
        <w:rPr>
          <w:rFonts w:ascii="Book Antiqua" w:hAnsi="Book Antiqua"/>
        </w:rPr>
        <w:t>.</w:t>
      </w:r>
    </w:p>
    <w:p w:rsidR="00EA729E" w:rsidP="00051E66" w:rsidRDefault="00051E66" w14:paraId="7867CFF6" w14:textId="65B10379">
      <w:pPr>
        <w:pStyle w:val="standard0"/>
        <w:rPr>
          <w:rFonts w:ascii="Book Antiqua" w:hAnsi="Book Antiqua"/>
        </w:rPr>
      </w:pPr>
      <w:r w:rsidRPr="00051E66">
        <w:rPr>
          <w:rFonts w:ascii="Book Antiqua" w:hAnsi="Book Antiqua"/>
        </w:rPr>
        <w:t>A prehearing conference (PHC) was held on November 1</w:t>
      </w:r>
      <w:r w:rsidR="00B94782">
        <w:rPr>
          <w:rFonts w:ascii="Book Antiqua" w:hAnsi="Book Antiqua"/>
        </w:rPr>
        <w:t>2</w:t>
      </w:r>
      <w:r w:rsidRPr="00051E66">
        <w:rPr>
          <w:rFonts w:ascii="Book Antiqua" w:hAnsi="Book Antiqua"/>
        </w:rPr>
        <w:t xml:space="preserve">, 2025, to address the issues of law and fact, determine the need for hearing, set the schedule for resolving the matter, and address other matters as necessary. </w:t>
      </w:r>
    </w:p>
    <w:p w:rsidR="00051E66" w:rsidP="00051E66" w:rsidRDefault="00051E66" w14:paraId="06A93A61" w14:textId="01284883">
      <w:pPr>
        <w:pStyle w:val="standard0"/>
        <w:rPr>
          <w:rFonts w:ascii="Book Antiqua" w:hAnsi="Book Antiqua"/>
        </w:rPr>
      </w:pPr>
      <w:r w:rsidRPr="00051E66">
        <w:rPr>
          <w:rFonts w:ascii="Book Antiqua" w:hAnsi="Book Antiqua"/>
        </w:rPr>
        <w:t xml:space="preserve">At the PHC, the Administrative Law Judge (ALJ) asked a series of questions. On November 20, 2025, a ruling was issued that restated the questions the ALJ asked </w:t>
      </w:r>
      <w:r w:rsidR="00817A06">
        <w:rPr>
          <w:rFonts w:ascii="Book Antiqua" w:hAnsi="Book Antiqua"/>
        </w:rPr>
        <w:t>during</w:t>
      </w:r>
      <w:r w:rsidRPr="00051E66">
        <w:rPr>
          <w:rFonts w:ascii="Book Antiqua" w:hAnsi="Book Antiqua"/>
        </w:rPr>
        <w:t xml:space="preserve"> the </w:t>
      </w:r>
      <w:r w:rsidRPr="00051E66" w:rsidR="00454D60">
        <w:rPr>
          <w:rFonts w:ascii="Book Antiqua" w:hAnsi="Book Antiqua"/>
        </w:rPr>
        <w:t>PHC</w:t>
      </w:r>
      <w:r w:rsidR="0069515B">
        <w:rPr>
          <w:rFonts w:ascii="Book Antiqua" w:hAnsi="Book Antiqua"/>
        </w:rPr>
        <w:t>.</w:t>
      </w:r>
      <w:r w:rsidR="00135B37">
        <w:rPr>
          <w:rFonts w:ascii="Book Antiqua" w:hAnsi="Book Antiqua"/>
        </w:rPr>
        <w:t xml:space="preserve">  </w:t>
      </w:r>
    </w:p>
    <w:p w:rsidR="008B1D56" w:rsidP="00777B70" w:rsidRDefault="009D7284" w14:paraId="3A1E80E6" w14:textId="63D9B0B9">
      <w:pPr>
        <w:pStyle w:val="standard0"/>
        <w:rPr>
          <w:rFonts w:ascii="Book Antiqua" w:hAnsi="Book Antiqua"/>
        </w:rPr>
      </w:pPr>
      <w:r>
        <w:rPr>
          <w:rFonts w:ascii="Book Antiqua" w:hAnsi="Book Antiqua"/>
        </w:rPr>
        <w:t xml:space="preserve">On December </w:t>
      </w:r>
      <w:r w:rsidR="00BE3054">
        <w:rPr>
          <w:rFonts w:ascii="Book Antiqua" w:hAnsi="Book Antiqua"/>
        </w:rPr>
        <w:t xml:space="preserve">3, </w:t>
      </w:r>
      <w:r w:rsidRPr="0ABA5D30" w:rsidR="7B56490D">
        <w:rPr>
          <w:rFonts w:ascii="Book Antiqua" w:hAnsi="Book Antiqua"/>
        </w:rPr>
        <w:t>202</w:t>
      </w:r>
      <w:r w:rsidRPr="0ABA5D30" w:rsidR="39BD8428">
        <w:rPr>
          <w:rFonts w:ascii="Book Antiqua" w:hAnsi="Book Antiqua"/>
        </w:rPr>
        <w:t>5</w:t>
      </w:r>
      <w:r w:rsidR="00BE3054">
        <w:rPr>
          <w:rFonts w:ascii="Book Antiqua" w:hAnsi="Book Antiqua"/>
        </w:rPr>
        <w:t xml:space="preserve">, </w:t>
      </w:r>
      <w:r w:rsidRPr="007926CC" w:rsidR="00A966F2">
        <w:rPr>
          <w:rFonts w:ascii="Book Antiqua" w:hAnsi="Book Antiqua"/>
        </w:rPr>
        <w:t>the Assigned Commissioner’s</w:t>
      </w:r>
      <w:r w:rsidR="00076DFB">
        <w:rPr>
          <w:rFonts w:ascii="Book Antiqua" w:hAnsi="Book Antiqua"/>
        </w:rPr>
        <w:t xml:space="preserve"> </w:t>
      </w:r>
      <w:r w:rsidRPr="007926CC" w:rsidR="00A966F2">
        <w:rPr>
          <w:rFonts w:ascii="Book Antiqua" w:hAnsi="Book Antiqua"/>
        </w:rPr>
        <w:t>Scoping</w:t>
      </w:r>
      <w:r w:rsidR="00076DFB">
        <w:rPr>
          <w:rFonts w:ascii="Book Antiqua" w:hAnsi="Book Antiqua"/>
        </w:rPr>
        <w:t xml:space="preserve"> </w:t>
      </w:r>
      <w:r w:rsidRPr="007926CC" w:rsidR="00A966F2">
        <w:rPr>
          <w:rFonts w:ascii="Book Antiqua" w:hAnsi="Book Antiqua"/>
        </w:rPr>
        <w:t>Memo and</w:t>
      </w:r>
      <w:r w:rsidR="00076DFB">
        <w:rPr>
          <w:rFonts w:ascii="Book Antiqua" w:hAnsi="Book Antiqua"/>
        </w:rPr>
        <w:t xml:space="preserve"> </w:t>
      </w:r>
      <w:r w:rsidRPr="007926CC" w:rsidR="00A966F2">
        <w:rPr>
          <w:rFonts w:ascii="Book Antiqua" w:hAnsi="Book Antiqua"/>
        </w:rPr>
        <w:t>Ruling</w:t>
      </w:r>
      <w:r w:rsidR="00076DFB">
        <w:rPr>
          <w:rFonts w:ascii="Book Antiqua" w:hAnsi="Book Antiqua"/>
        </w:rPr>
        <w:t xml:space="preserve"> </w:t>
      </w:r>
      <w:r w:rsidR="00F351FC">
        <w:rPr>
          <w:rFonts w:ascii="Book Antiqua" w:hAnsi="Book Antiqua"/>
        </w:rPr>
        <w:t>was</w:t>
      </w:r>
      <w:r w:rsidR="00076DFB">
        <w:rPr>
          <w:rFonts w:ascii="Book Antiqua" w:hAnsi="Book Antiqua"/>
        </w:rPr>
        <w:t xml:space="preserve"> </w:t>
      </w:r>
      <w:r w:rsidRPr="007926CC" w:rsidR="00A966F2">
        <w:rPr>
          <w:rFonts w:ascii="Book Antiqua" w:hAnsi="Book Antiqua"/>
        </w:rPr>
        <w:t>issued.</w:t>
      </w:r>
      <w:r w:rsidRPr="00A966F2" w:rsidR="00A966F2">
        <w:rPr>
          <w:rFonts w:ascii="Book Antiqua" w:hAnsi="Book Antiqua"/>
        </w:rPr>
        <w:t> </w:t>
      </w:r>
      <w:r w:rsidR="00AB500C">
        <w:rPr>
          <w:rFonts w:ascii="Book Antiqua" w:hAnsi="Book Antiqua"/>
        </w:rPr>
        <w:t xml:space="preserve"> </w:t>
      </w:r>
    </w:p>
    <w:p w:rsidR="008B1D56" w:rsidP="00777B70" w:rsidRDefault="00962A90" w14:paraId="199B48EB" w14:textId="315D9BA0">
      <w:pPr>
        <w:pStyle w:val="standard0"/>
        <w:rPr>
          <w:rFonts w:ascii="Book Antiqua" w:hAnsi="Book Antiqua"/>
        </w:rPr>
      </w:pPr>
      <w:r>
        <w:rPr>
          <w:rFonts w:ascii="Book Antiqua" w:hAnsi="Book Antiqua"/>
        </w:rPr>
        <w:t xml:space="preserve">On December 5, </w:t>
      </w:r>
      <w:r w:rsidRPr="0ABA5D30" w:rsidR="403B6E60">
        <w:rPr>
          <w:rFonts w:ascii="Book Antiqua" w:hAnsi="Book Antiqua"/>
        </w:rPr>
        <w:t>202</w:t>
      </w:r>
      <w:r w:rsidRPr="0ABA5D30" w:rsidR="17DED9D1">
        <w:rPr>
          <w:rFonts w:ascii="Book Antiqua" w:hAnsi="Book Antiqua"/>
        </w:rPr>
        <w:t>5</w:t>
      </w:r>
      <w:r>
        <w:rPr>
          <w:rFonts w:ascii="Book Antiqua" w:hAnsi="Book Antiqua"/>
        </w:rPr>
        <w:t>, IPC filed a response to the November</w:t>
      </w:r>
      <w:r w:rsidR="008D1507">
        <w:rPr>
          <w:rFonts w:ascii="Book Antiqua" w:hAnsi="Book Antiqua"/>
        </w:rPr>
        <w:t xml:space="preserve"> </w:t>
      </w:r>
      <w:r w:rsidR="00D80F6D">
        <w:rPr>
          <w:rFonts w:ascii="Book Antiqua" w:hAnsi="Book Antiqua"/>
        </w:rPr>
        <w:t>20, 2025</w:t>
      </w:r>
      <w:r w:rsidR="00370A3F">
        <w:rPr>
          <w:rFonts w:ascii="Book Antiqua" w:hAnsi="Book Antiqua"/>
        </w:rPr>
        <w:t>,</w:t>
      </w:r>
      <w:r w:rsidR="00D80F6D">
        <w:rPr>
          <w:rFonts w:ascii="Book Antiqua" w:hAnsi="Book Antiqua"/>
        </w:rPr>
        <w:t xml:space="preserve"> ruling</w:t>
      </w:r>
      <w:r w:rsidR="00AB500C">
        <w:rPr>
          <w:rFonts w:ascii="Book Antiqua" w:hAnsi="Book Antiqua"/>
        </w:rPr>
        <w:t>.</w:t>
      </w:r>
      <w:r w:rsidR="00AF37DC">
        <w:rPr>
          <w:rFonts w:ascii="Book Antiqua" w:hAnsi="Book Antiqua"/>
        </w:rPr>
        <w:t xml:space="preserve"> In its response, IPC </w:t>
      </w:r>
      <w:r w:rsidR="00E3049E">
        <w:rPr>
          <w:rFonts w:ascii="Book Antiqua" w:hAnsi="Book Antiqua"/>
        </w:rPr>
        <w:t>stated that</w:t>
      </w:r>
      <w:r w:rsidR="00AF37DC">
        <w:rPr>
          <w:rFonts w:ascii="Book Antiqua" w:hAnsi="Book Antiqua"/>
        </w:rPr>
        <w:t xml:space="preserve"> it does not intend to provide services other than non-interconnected Voice Over Internet Protocol (VoIP) in California</w:t>
      </w:r>
      <w:r w:rsidR="00E3049E">
        <w:rPr>
          <w:rFonts w:ascii="Book Antiqua" w:hAnsi="Book Antiqua"/>
        </w:rPr>
        <w:t xml:space="preserve"> and </w:t>
      </w:r>
      <w:r w:rsidR="00AF37DC">
        <w:rPr>
          <w:rFonts w:ascii="Book Antiqua" w:hAnsi="Book Antiqua"/>
        </w:rPr>
        <w:t>requested that the procedural schedule be held in abeyance to permit resolution of the threshold jurisdictional issue.</w:t>
      </w:r>
    </w:p>
    <w:p w:rsidR="00224D58" w:rsidP="00AB500C" w:rsidRDefault="00AB500C" w14:paraId="34647A36" w14:textId="425E80FB">
      <w:pPr>
        <w:pStyle w:val="standard0"/>
        <w:rPr>
          <w:rFonts w:ascii="Book Antiqua" w:hAnsi="Book Antiqua"/>
        </w:rPr>
      </w:pPr>
      <w:r>
        <w:rPr>
          <w:rFonts w:ascii="Book Antiqua" w:hAnsi="Book Antiqua"/>
        </w:rPr>
        <w:t xml:space="preserve"> </w:t>
      </w:r>
      <w:r w:rsidR="00224D58">
        <w:rPr>
          <w:rFonts w:ascii="Book Antiqua" w:hAnsi="Book Antiqua"/>
        </w:rPr>
        <w:t xml:space="preserve">On December 8, 2025, </w:t>
      </w:r>
      <w:r w:rsidR="00E453BC">
        <w:rPr>
          <w:rFonts w:ascii="Book Antiqua" w:hAnsi="Book Antiqua"/>
        </w:rPr>
        <w:t xml:space="preserve">the ALJ issued a ruling </w:t>
      </w:r>
      <w:r w:rsidR="007A41DA">
        <w:rPr>
          <w:rFonts w:ascii="Book Antiqua" w:hAnsi="Book Antiqua"/>
        </w:rPr>
        <w:t xml:space="preserve">granting </w:t>
      </w:r>
      <w:r w:rsidRPr="007A41DA" w:rsidR="007A41DA">
        <w:rPr>
          <w:rFonts w:ascii="Book Antiqua" w:hAnsi="Book Antiqua"/>
        </w:rPr>
        <w:t>IPC’s request to hold the procedural schedule in abeyance</w:t>
      </w:r>
      <w:r w:rsidR="005A2C9A">
        <w:rPr>
          <w:rFonts w:ascii="Book Antiqua" w:hAnsi="Book Antiqua"/>
        </w:rPr>
        <w:t>.</w:t>
      </w:r>
      <w:r w:rsidR="00E453BC">
        <w:rPr>
          <w:rFonts w:ascii="Book Antiqua" w:hAnsi="Book Antiqua"/>
        </w:rPr>
        <w:t xml:space="preserve"> </w:t>
      </w:r>
    </w:p>
    <w:p w:rsidR="00186F4A" w:rsidP="00051E66" w:rsidRDefault="00186F4A" w14:paraId="749F72D1" w14:textId="5AA56C81">
      <w:pPr>
        <w:pStyle w:val="standard0"/>
        <w:rPr>
          <w:rFonts w:ascii="Book Antiqua" w:hAnsi="Book Antiqua"/>
        </w:rPr>
      </w:pPr>
      <w:r>
        <w:rPr>
          <w:rFonts w:ascii="Book Antiqua" w:hAnsi="Book Antiqua"/>
        </w:rPr>
        <w:t>On February 27, 2026,</w:t>
      </w:r>
      <w:r w:rsidR="00C36622">
        <w:rPr>
          <w:rFonts w:ascii="Book Antiqua" w:hAnsi="Book Antiqua"/>
        </w:rPr>
        <w:t xml:space="preserve"> May 12, 2026</w:t>
      </w:r>
      <w:r w:rsidR="00684C9F">
        <w:rPr>
          <w:rFonts w:ascii="Book Antiqua" w:hAnsi="Book Antiqua"/>
        </w:rPr>
        <w:t>,</w:t>
      </w:r>
      <w:r w:rsidR="0041398F">
        <w:rPr>
          <w:rFonts w:ascii="Book Antiqua" w:hAnsi="Book Antiqua"/>
        </w:rPr>
        <w:t xml:space="preserve"> and June 1, 2026</w:t>
      </w:r>
      <w:r w:rsidR="00C36622">
        <w:rPr>
          <w:rFonts w:ascii="Book Antiqua" w:hAnsi="Book Antiqua"/>
        </w:rPr>
        <w:t>,</w:t>
      </w:r>
      <w:r w:rsidR="009145AA">
        <w:rPr>
          <w:rFonts w:ascii="Book Antiqua" w:hAnsi="Book Antiqua"/>
        </w:rPr>
        <w:t xml:space="preserve"> </w:t>
      </w:r>
      <w:r w:rsidR="001C7AAC">
        <w:rPr>
          <w:rFonts w:ascii="Book Antiqua" w:hAnsi="Book Antiqua"/>
        </w:rPr>
        <w:t>the ALJ issued a</w:t>
      </w:r>
      <w:r w:rsidR="0041398F">
        <w:rPr>
          <w:rFonts w:ascii="Book Antiqua" w:hAnsi="Book Antiqua"/>
        </w:rPr>
        <w:t xml:space="preserve"> series of rulings </w:t>
      </w:r>
      <w:r>
        <w:rPr>
          <w:rFonts w:ascii="Book Antiqua" w:hAnsi="Book Antiqua"/>
        </w:rPr>
        <w:t>directing IPC to file additional information</w:t>
      </w:r>
      <w:r w:rsidR="00AF37DC">
        <w:rPr>
          <w:rFonts w:ascii="Book Antiqua" w:hAnsi="Book Antiqua"/>
        </w:rPr>
        <w:t xml:space="preserve"> so that the Commission could address the jurisdictional issue</w:t>
      </w:r>
      <w:r w:rsidR="0041398F">
        <w:rPr>
          <w:rFonts w:ascii="Book Antiqua" w:hAnsi="Book Antiqua"/>
        </w:rPr>
        <w:t xml:space="preserve">. IPC responded to these rulings </w:t>
      </w:r>
      <w:r w:rsidR="00C36622">
        <w:rPr>
          <w:rFonts w:ascii="Book Antiqua" w:hAnsi="Book Antiqua"/>
        </w:rPr>
        <w:t xml:space="preserve">on </w:t>
      </w:r>
      <w:r w:rsidR="005F42AB">
        <w:rPr>
          <w:rFonts w:ascii="Book Antiqua" w:hAnsi="Book Antiqua"/>
        </w:rPr>
        <w:t>March 1</w:t>
      </w:r>
      <w:r w:rsidR="009D7284">
        <w:rPr>
          <w:rFonts w:ascii="Book Antiqua" w:hAnsi="Book Antiqua"/>
        </w:rPr>
        <w:t>3, 2026</w:t>
      </w:r>
      <w:r w:rsidR="0041398F">
        <w:rPr>
          <w:rFonts w:ascii="Book Antiqua" w:hAnsi="Book Antiqua"/>
        </w:rPr>
        <w:t xml:space="preserve">, </w:t>
      </w:r>
      <w:r w:rsidR="009D7284">
        <w:rPr>
          <w:rFonts w:ascii="Book Antiqua" w:hAnsi="Book Antiqua"/>
        </w:rPr>
        <w:t>May 26, 2026</w:t>
      </w:r>
      <w:r w:rsidR="0041398F">
        <w:rPr>
          <w:rFonts w:ascii="Book Antiqua" w:hAnsi="Book Antiqua"/>
        </w:rPr>
        <w:t xml:space="preserve">, and June </w:t>
      </w:r>
      <w:r w:rsidR="00684C9F">
        <w:rPr>
          <w:rFonts w:ascii="Book Antiqua" w:hAnsi="Book Antiqua"/>
        </w:rPr>
        <w:t xml:space="preserve">15, </w:t>
      </w:r>
      <w:r w:rsidR="00CF0EC5">
        <w:rPr>
          <w:rFonts w:ascii="Book Antiqua" w:hAnsi="Book Antiqua"/>
        </w:rPr>
        <w:t>2026,</w:t>
      </w:r>
      <w:r w:rsidR="00684C9F">
        <w:rPr>
          <w:rFonts w:ascii="Book Antiqua" w:hAnsi="Book Antiqua"/>
        </w:rPr>
        <w:t xml:space="preserve"> </w:t>
      </w:r>
      <w:r w:rsidR="004751B6">
        <w:rPr>
          <w:rFonts w:ascii="Book Antiqua" w:hAnsi="Book Antiqua"/>
        </w:rPr>
        <w:t>respectively</w:t>
      </w:r>
      <w:r>
        <w:rPr>
          <w:rFonts w:ascii="Book Antiqua" w:hAnsi="Book Antiqua"/>
        </w:rPr>
        <w:t>.</w:t>
      </w:r>
    </w:p>
    <w:p w:rsidR="00195406" w:rsidP="00600A87" w:rsidRDefault="00600A87" w14:paraId="2F2AABAF" w14:textId="7AFE5B6A">
      <w:pPr>
        <w:pStyle w:val="standard0"/>
        <w:ind w:firstLine="0"/>
        <w:rPr>
          <w:rFonts w:ascii="Book Antiqua" w:hAnsi="Book Antiqua"/>
        </w:rPr>
      </w:pPr>
      <w:r>
        <w:rPr>
          <w:rFonts w:ascii="Book Antiqua" w:hAnsi="Book Antiqua"/>
        </w:rPr>
        <w:tab/>
      </w:r>
      <w:r w:rsidR="00195406">
        <w:rPr>
          <w:rFonts w:ascii="Book Antiqua" w:hAnsi="Book Antiqua"/>
        </w:rPr>
        <w:t xml:space="preserve">On August 13, 2026, the ALJ issued a Proposed Decision granting IPC a CPCN to provide intra-LATA high-speed digital private line services throughout California as an interexchange carrier. The Proposed Decision also imposed a $2,000 fine on IPC for operating without Commission authority in violation of </w:t>
      </w:r>
      <w:r w:rsidR="00195406">
        <w:rPr>
          <w:rFonts w:ascii="Book Antiqua" w:hAnsi="Book Antiqua"/>
        </w:rPr>
        <w:lastRenderedPageBreak/>
        <w:t xml:space="preserve">Public Utilities (Pub. Util) Code Section 1001. The Proposed Decision was circulated for comment. No comments were received. </w:t>
      </w:r>
    </w:p>
    <w:p w:rsidR="00600A87" w:rsidP="009F390A" w:rsidRDefault="00600A87" w14:paraId="1B2725D7" w14:textId="0DADB46E">
      <w:pPr>
        <w:pStyle w:val="standard0"/>
        <w:rPr>
          <w:rFonts w:ascii="Book Antiqua" w:hAnsi="Book Antiqua"/>
        </w:rPr>
      </w:pPr>
      <w:r>
        <w:rPr>
          <w:rFonts w:ascii="Book Antiqua" w:hAnsi="Book Antiqua"/>
        </w:rPr>
        <w:t xml:space="preserve">On </w:t>
      </w:r>
      <w:r w:rsidR="0021275D">
        <w:rPr>
          <w:rFonts w:ascii="Book Antiqua" w:hAnsi="Book Antiqua"/>
        </w:rPr>
        <w:t xml:space="preserve">September 8, 2026, </w:t>
      </w:r>
      <w:r w:rsidR="00195406">
        <w:rPr>
          <w:rFonts w:ascii="Book Antiqua" w:hAnsi="Book Antiqua"/>
        </w:rPr>
        <w:t>the</w:t>
      </w:r>
      <w:r w:rsidR="0021275D">
        <w:rPr>
          <w:rFonts w:ascii="Book Antiqua" w:hAnsi="Book Antiqua"/>
        </w:rPr>
        <w:t xml:space="preserve"> </w:t>
      </w:r>
      <w:r w:rsidR="00195406">
        <w:rPr>
          <w:rFonts w:ascii="Book Antiqua" w:hAnsi="Book Antiqua"/>
        </w:rPr>
        <w:t>a</w:t>
      </w:r>
      <w:r w:rsidR="0021275D">
        <w:rPr>
          <w:rFonts w:ascii="Book Antiqua" w:hAnsi="Book Antiqua"/>
        </w:rPr>
        <w:t xml:space="preserve">ssigned Commissioner </w:t>
      </w:r>
      <w:r w:rsidR="00195406">
        <w:rPr>
          <w:rFonts w:ascii="Book Antiqua" w:hAnsi="Book Antiqua"/>
        </w:rPr>
        <w:t xml:space="preserve">issued an </w:t>
      </w:r>
      <w:r w:rsidR="0021275D">
        <w:rPr>
          <w:rFonts w:ascii="Book Antiqua" w:hAnsi="Book Antiqua"/>
        </w:rPr>
        <w:t xml:space="preserve">Amended Scoping Memo and Ruling </w:t>
      </w:r>
      <w:r w:rsidR="0035225E">
        <w:rPr>
          <w:rFonts w:ascii="Book Antiqua" w:hAnsi="Book Antiqua"/>
        </w:rPr>
        <w:t>Updating Issues and Schedule and Directing Responses to Questions</w:t>
      </w:r>
      <w:r w:rsidR="00255BD7">
        <w:rPr>
          <w:rFonts w:ascii="Book Antiqua" w:hAnsi="Book Antiqua"/>
        </w:rPr>
        <w:t xml:space="preserve"> (Amended Scoping Ruling).  The Amended Scoping Ruling</w:t>
      </w:r>
      <w:r w:rsidR="004A54F4">
        <w:rPr>
          <w:rFonts w:ascii="Book Antiqua" w:hAnsi="Book Antiqua"/>
        </w:rPr>
        <w:t xml:space="preserve"> </w:t>
      </w:r>
      <w:r w:rsidR="00195406">
        <w:rPr>
          <w:rFonts w:ascii="Book Antiqua" w:hAnsi="Book Antiqua"/>
        </w:rPr>
        <w:t xml:space="preserve">noted the requirement that IPC remit past-due Public Purpose Program surcharges (surcharges), related interest, and Public Utilities Commission Reimbursement Fees (user fees) for the time it </w:t>
      </w:r>
      <w:r w:rsidR="006E7CC7">
        <w:rPr>
          <w:rFonts w:ascii="Book Antiqua" w:hAnsi="Book Antiqua"/>
        </w:rPr>
        <w:t xml:space="preserve">provided service </w:t>
      </w:r>
      <w:r w:rsidR="00195406">
        <w:rPr>
          <w:rFonts w:ascii="Book Antiqua" w:hAnsi="Book Antiqua"/>
        </w:rPr>
        <w:t>without Commission authority, starting July 1, 2025. Given this requirement, the Amended Scoping Ruling added two issues to the scope</w:t>
      </w:r>
      <w:r w:rsidR="008D4BB3">
        <w:rPr>
          <w:rFonts w:ascii="Book Antiqua" w:hAnsi="Book Antiqua"/>
        </w:rPr>
        <w:t xml:space="preserve">.  </w:t>
      </w:r>
      <w:r w:rsidR="00195406">
        <w:rPr>
          <w:rFonts w:ascii="Book Antiqua" w:hAnsi="Book Antiqua"/>
        </w:rPr>
        <w:t>First</w:t>
      </w:r>
      <w:r w:rsidR="00FE1AF0">
        <w:rPr>
          <w:rFonts w:ascii="Book Antiqua" w:hAnsi="Book Antiqua"/>
        </w:rPr>
        <w:t>, the Amended Scoping Ruling provided for the</w:t>
      </w:r>
      <w:r w:rsidR="00974F1F">
        <w:rPr>
          <w:rFonts w:ascii="Book Antiqua" w:hAnsi="Book Antiqua"/>
        </w:rPr>
        <w:t xml:space="preserve"> Commission </w:t>
      </w:r>
      <w:r w:rsidR="00FE1AF0">
        <w:rPr>
          <w:rFonts w:ascii="Book Antiqua" w:hAnsi="Book Antiqua"/>
        </w:rPr>
        <w:t>to</w:t>
      </w:r>
      <w:r w:rsidR="00974F1F">
        <w:rPr>
          <w:rFonts w:ascii="Book Antiqua" w:hAnsi="Book Antiqua"/>
        </w:rPr>
        <w:t xml:space="preserve"> </w:t>
      </w:r>
      <w:r w:rsidR="00C7475B">
        <w:rPr>
          <w:rFonts w:ascii="Book Antiqua" w:hAnsi="Book Antiqua"/>
        </w:rPr>
        <w:t>determine whether IPC should pay a penalty for</w:t>
      </w:r>
      <w:r w:rsidR="00F0551C">
        <w:rPr>
          <w:rFonts w:ascii="Book Antiqua" w:hAnsi="Book Antiqua"/>
        </w:rPr>
        <w:t xml:space="preserve"> providing service without authority in </w:t>
      </w:r>
      <w:r w:rsidR="00C7475B">
        <w:rPr>
          <w:rFonts w:ascii="Book Antiqua" w:hAnsi="Book Antiqua"/>
        </w:rPr>
        <w:t>viola</w:t>
      </w:r>
      <w:r w:rsidR="00F0551C">
        <w:rPr>
          <w:rFonts w:ascii="Book Antiqua" w:hAnsi="Book Antiqua"/>
        </w:rPr>
        <w:t>tion of</w:t>
      </w:r>
      <w:r w:rsidR="00C7475B">
        <w:rPr>
          <w:rFonts w:ascii="Book Antiqua" w:hAnsi="Book Antiqua"/>
        </w:rPr>
        <w:t xml:space="preserve"> Pub. Util. Code Section 1001</w:t>
      </w:r>
      <w:r w:rsidR="00CA5DCF">
        <w:rPr>
          <w:rFonts w:ascii="Book Antiqua" w:hAnsi="Book Antiqua"/>
        </w:rPr>
        <w:t xml:space="preserve">.  </w:t>
      </w:r>
      <w:r w:rsidR="00F35FB9">
        <w:rPr>
          <w:rFonts w:ascii="Book Antiqua" w:hAnsi="Book Antiqua"/>
        </w:rPr>
        <w:t>Second, t</w:t>
      </w:r>
      <w:r w:rsidR="00CA5DCF">
        <w:rPr>
          <w:rFonts w:ascii="Book Antiqua" w:hAnsi="Book Antiqua"/>
        </w:rPr>
        <w:t xml:space="preserve">he Amended Scoping Ruling also provided for the Commission to determine whether IPC should pay an additional </w:t>
      </w:r>
      <w:r w:rsidR="00E1612F">
        <w:rPr>
          <w:rFonts w:ascii="Book Antiqua" w:hAnsi="Book Antiqua"/>
        </w:rPr>
        <w:t xml:space="preserve">late payment </w:t>
      </w:r>
      <w:r w:rsidR="00CA5DCF">
        <w:rPr>
          <w:rFonts w:ascii="Book Antiqua" w:hAnsi="Book Antiqua"/>
        </w:rPr>
        <w:t>penalty</w:t>
      </w:r>
      <w:r w:rsidR="00606AD9">
        <w:rPr>
          <w:rFonts w:ascii="Book Antiqua" w:hAnsi="Book Antiqua"/>
        </w:rPr>
        <w:t xml:space="preserve"> for</w:t>
      </w:r>
      <w:r w:rsidR="00FE1AF0">
        <w:rPr>
          <w:rFonts w:ascii="Book Antiqua" w:hAnsi="Book Antiqua"/>
        </w:rPr>
        <w:t xml:space="preserve"> </w:t>
      </w:r>
      <w:r w:rsidR="00454701">
        <w:rPr>
          <w:rFonts w:ascii="Book Antiqua" w:hAnsi="Book Antiqua"/>
        </w:rPr>
        <w:t xml:space="preserve">past due user fees </w:t>
      </w:r>
      <w:r w:rsidR="00F35FB9">
        <w:rPr>
          <w:rFonts w:ascii="Book Antiqua" w:hAnsi="Book Antiqua"/>
        </w:rPr>
        <w:t>pursuant to</w:t>
      </w:r>
      <w:r w:rsidR="00C7475B">
        <w:rPr>
          <w:rFonts w:ascii="Book Antiqua" w:hAnsi="Book Antiqua"/>
        </w:rPr>
        <w:t xml:space="preserve"> Pub. Util. Code Section 405</w:t>
      </w:r>
      <w:r w:rsidR="00FE1AF0">
        <w:rPr>
          <w:rFonts w:ascii="Book Antiqua" w:hAnsi="Book Antiqua"/>
        </w:rPr>
        <w:t xml:space="preserve">. </w:t>
      </w:r>
      <w:r w:rsidR="002D3538">
        <w:rPr>
          <w:rFonts w:ascii="Book Antiqua" w:hAnsi="Book Antiqua"/>
        </w:rPr>
        <w:t>The Amended Scoping Ruling</w:t>
      </w:r>
      <w:r w:rsidR="00817164">
        <w:rPr>
          <w:rFonts w:ascii="Book Antiqua" w:hAnsi="Book Antiqua"/>
        </w:rPr>
        <w:t xml:space="preserve"> </w:t>
      </w:r>
      <w:r w:rsidR="002D3538">
        <w:rPr>
          <w:rFonts w:ascii="Book Antiqua" w:hAnsi="Book Antiqua"/>
        </w:rPr>
        <w:t>directed IPC to answer questions to address these new issues</w:t>
      </w:r>
      <w:r w:rsidR="00817164">
        <w:rPr>
          <w:rFonts w:ascii="Book Antiqua" w:hAnsi="Book Antiqua"/>
        </w:rPr>
        <w:t>.</w:t>
      </w:r>
    </w:p>
    <w:p w:rsidR="00313503" w:rsidP="00CC1786" w:rsidRDefault="00454701" w14:paraId="0A18378C" w14:textId="4C7E9DD6">
      <w:pPr>
        <w:pStyle w:val="standard0"/>
        <w:ind w:firstLine="0"/>
        <w:rPr>
          <w:rFonts w:ascii="Book Antiqua" w:hAnsi="Book Antiqua"/>
        </w:rPr>
      </w:pPr>
      <w:r>
        <w:rPr>
          <w:rFonts w:ascii="Book Antiqua" w:hAnsi="Book Antiqua"/>
        </w:rPr>
        <w:tab/>
      </w:r>
      <w:r w:rsidR="00E75E09">
        <w:rPr>
          <w:rFonts w:ascii="Book Antiqua" w:hAnsi="Book Antiqua"/>
        </w:rPr>
        <w:t>On September 18, 2026, IPC filed its Response to the Amended Scoping Ruling</w:t>
      </w:r>
      <w:r w:rsidR="00D51CBB">
        <w:rPr>
          <w:rFonts w:ascii="Book Antiqua" w:hAnsi="Book Antiqua"/>
        </w:rPr>
        <w:t xml:space="preserve">.  In its response, IPC </w:t>
      </w:r>
      <w:r w:rsidR="00F35FB9">
        <w:rPr>
          <w:rFonts w:ascii="Book Antiqua" w:hAnsi="Book Antiqua"/>
        </w:rPr>
        <w:t>stipulated to paying a $2,000 penalty for violating Pub. Util. Code Section 1001.</w:t>
      </w:r>
      <w:r w:rsidR="00814CFE">
        <w:rPr>
          <w:rStyle w:val="FootnoteReference"/>
          <w:rFonts w:ascii="Book Antiqua" w:hAnsi="Book Antiqua"/>
        </w:rPr>
        <w:footnoteReference w:id="5"/>
      </w:r>
      <w:r w:rsidR="00F35FB9">
        <w:rPr>
          <w:rFonts w:ascii="Book Antiqua" w:hAnsi="Book Antiqua"/>
        </w:rPr>
        <w:t xml:space="preserve"> IPC also stipulated to the Commission assessing a 25 percent penalty on its past-due user fees</w:t>
      </w:r>
      <w:r w:rsidR="00D826AD">
        <w:rPr>
          <w:rFonts w:ascii="Book Antiqua" w:hAnsi="Book Antiqua"/>
        </w:rPr>
        <w:t xml:space="preserve"> where such fees are more than 30 days late</w:t>
      </w:r>
      <w:r w:rsidR="00F35FB9">
        <w:rPr>
          <w:rFonts w:ascii="Book Antiqua" w:hAnsi="Book Antiqua"/>
        </w:rPr>
        <w:t>.</w:t>
      </w:r>
      <w:r w:rsidR="00BC0E18">
        <w:rPr>
          <w:rStyle w:val="FootnoteReference"/>
          <w:rFonts w:ascii="Book Antiqua" w:hAnsi="Book Antiqua"/>
        </w:rPr>
        <w:footnoteReference w:id="6"/>
      </w:r>
      <w:r w:rsidR="00BC0E18">
        <w:rPr>
          <w:rFonts w:ascii="Book Antiqua" w:hAnsi="Book Antiqua"/>
        </w:rPr>
        <w:t xml:space="preserve"> </w:t>
      </w:r>
      <w:r w:rsidR="00F35FB9">
        <w:rPr>
          <w:rFonts w:ascii="Book Antiqua" w:hAnsi="Book Antiqua"/>
        </w:rPr>
        <w:t xml:space="preserve"> </w:t>
      </w:r>
    </w:p>
    <w:p w:rsidR="00683B2C" w:rsidP="00710EBA" w:rsidRDefault="00683B2C" w14:paraId="0B394AE9" w14:textId="77777777">
      <w:pPr>
        <w:pStyle w:val="Heading1"/>
      </w:pPr>
      <w:bookmarkStart w:name="_Toc232150863" w:id="7"/>
      <w:bookmarkStart w:name="_Toc233294487" w:id="8"/>
      <w:bookmarkStart w:name="_Toc233294537" w:id="9"/>
      <w:bookmarkStart w:name="_Toc233298743" w:id="10"/>
      <w:bookmarkStart w:name="_Toc233361905" w:id="11"/>
      <w:bookmarkStart w:name="_Toc240876447" w:id="12"/>
      <w:bookmarkEnd w:id="7"/>
      <w:bookmarkEnd w:id="8"/>
      <w:bookmarkEnd w:id="9"/>
      <w:bookmarkEnd w:id="10"/>
      <w:bookmarkEnd w:id="11"/>
      <w:r>
        <w:lastRenderedPageBreak/>
        <w:t>Submission Date</w:t>
      </w:r>
      <w:bookmarkEnd w:id="12"/>
    </w:p>
    <w:p w:rsidR="00683B2C" w:rsidP="00362C67" w:rsidRDefault="001912E8" w14:paraId="2FFB8537" w14:textId="2FB85B72">
      <w:pPr>
        <w:pStyle w:val="Standard"/>
      </w:pPr>
      <w:r w:rsidRPr="2473FCFB">
        <w:rPr>
          <w:rFonts w:eastAsia="PMingLiU" w:cs="Arial"/>
        </w:rPr>
        <w:t xml:space="preserve">This matter was submitted on </w:t>
      </w:r>
      <w:r w:rsidRPr="2473FCFB" w:rsidR="007D2DD7">
        <w:rPr>
          <w:rFonts w:eastAsia="Times New Roman" w:cs="Times New Roman"/>
        </w:rPr>
        <w:t xml:space="preserve">September </w:t>
      </w:r>
      <w:r w:rsidRPr="00D55426" w:rsidR="007D2DD7">
        <w:rPr>
          <w:rFonts w:eastAsia="Book Antiqua" w:cs="Book Antiqua"/>
        </w:rPr>
        <w:t>18</w:t>
      </w:r>
      <w:r w:rsidRPr="00D55426" w:rsidR="00DD17E9">
        <w:rPr>
          <w:rFonts w:eastAsia="Book Antiqua" w:cs="Book Antiqua"/>
        </w:rPr>
        <w:t>,</w:t>
      </w:r>
      <w:r w:rsidRPr="00D55426">
        <w:rPr>
          <w:rFonts w:eastAsia="Book Antiqua" w:cs="Book Antiqua"/>
        </w:rPr>
        <w:t xml:space="preserve"> </w:t>
      </w:r>
      <w:r w:rsidRPr="00D55426" w:rsidR="00E3049E">
        <w:rPr>
          <w:rFonts w:eastAsia="Book Antiqua" w:cs="Book Antiqua"/>
        </w:rPr>
        <w:t xml:space="preserve">2026, </w:t>
      </w:r>
      <w:r w:rsidRPr="00D55426">
        <w:rPr>
          <w:rFonts w:eastAsia="Book Antiqua" w:cs="Book Antiqua"/>
        </w:rPr>
        <w:t>u</w:t>
      </w:r>
      <w:r w:rsidRPr="2473FCFB">
        <w:rPr>
          <w:rFonts w:eastAsia="PMingLiU" w:cs="Arial"/>
        </w:rPr>
        <w:t>pon</w:t>
      </w:r>
      <w:r w:rsidRPr="2473FCFB">
        <w:rPr>
          <w:rFonts w:ascii="Palatino" w:hAnsi="Palatino" w:eastAsia="Times New Roman" w:cs="Times New Roman"/>
        </w:rPr>
        <w:t xml:space="preserve"> </w:t>
      </w:r>
      <w:r w:rsidRPr="2473FCFB" w:rsidR="009C45D3">
        <w:rPr>
          <w:rFonts w:eastAsia="Times New Roman" w:cs="Times New Roman"/>
        </w:rPr>
        <w:t>re</w:t>
      </w:r>
      <w:r w:rsidRPr="2473FCFB" w:rsidR="0048713C">
        <w:rPr>
          <w:rFonts w:eastAsia="Times New Roman" w:cs="Times New Roman"/>
        </w:rPr>
        <w:t xml:space="preserve">ceipt of IPC’s response to the </w:t>
      </w:r>
      <w:r w:rsidRPr="2473FCFB" w:rsidR="007D2DD7">
        <w:rPr>
          <w:rFonts w:eastAsia="Times New Roman" w:cs="Times New Roman"/>
        </w:rPr>
        <w:t>assigned Commissioner’s Amended Scoping Ruling questions</w:t>
      </w:r>
      <w:r w:rsidRPr="008D0D47" w:rsidR="00092A69">
        <w:t>.</w:t>
      </w:r>
    </w:p>
    <w:p w:rsidR="00362C67" w:rsidP="00710EBA" w:rsidRDefault="00092A69" w14:paraId="5F326E23" w14:textId="77777777">
      <w:pPr>
        <w:pStyle w:val="Heading1"/>
      </w:pPr>
      <w:bookmarkStart w:name="_Toc240876448" w:id="13"/>
      <w:bookmarkStart w:name="_Toc8123718" w:id="14"/>
      <w:r w:rsidRPr="00092A69">
        <w:t>Issues Before the Commission</w:t>
      </w:r>
      <w:bookmarkEnd w:id="13"/>
    </w:p>
    <w:p w:rsidRPr="00976DD5" w:rsidR="001912E8" w:rsidP="001912E8" w:rsidRDefault="001912E8" w14:paraId="2CB828C8" w14:textId="77777777">
      <w:pPr>
        <w:pStyle w:val="standard0"/>
        <w:rPr>
          <w:rFonts w:ascii="Book Antiqua" w:hAnsi="Book Antiqua"/>
          <w:color w:val="000000" w:themeColor="text1"/>
        </w:rPr>
      </w:pPr>
      <w:r w:rsidRPr="00976DD5">
        <w:rPr>
          <w:rFonts w:ascii="Book Antiqua" w:hAnsi="Book Antiqua"/>
          <w:color w:val="000000" w:themeColor="text1"/>
        </w:rPr>
        <w:t>The issues in this proceeding are as follows:</w:t>
      </w:r>
    </w:p>
    <w:p w:rsidRPr="00976DD5" w:rsidR="00E901C7" w:rsidRDefault="00E901C7" w14:paraId="68EE5246" w14:textId="6A87302D">
      <w:pPr>
        <w:pStyle w:val="Standard"/>
        <w:numPr>
          <w:ilvl w:val="0"/>
          <w:numId w:val="15"/>
        </w:numPr>
        <w:spacing w:after="120" w:line="240" w:lineRule="auto"/>
        <w:ind w:left="1080" w:right="1440"/>
      </w:pPr>
      <w:r w:rsidRPr="00976DD5">
        <w:t>Whether IPC intends to offer wireline telecommunications</w:t>
      </w:r>
      <w:r w:rsidRPr="00976DD5" w:rsidR="00422410">
        <w:t xml:space="preserve"> </w:t>
      </w:r>
      <w:r w:rsidRPr="00976DD5">
        <w:t xml:space="preserve">services. </w:t>
      </w:r>
    </w:p>
    <w:p w:rsidRPr="00976DD5" w:rsidR="00E901C7" w:rsidRDefault="00E901C7" w14:paraId="7006E480" w14:textId="09367132">
      <w:pPr>
        <w:pStyle w:val="Standard"/>
        <w:numPr>
          <w:ilvl w:val="0"/>
          <w:numId w:val="15"/>
        </w:numPr>
        <w:spacing w:after="120" w:line="240" w:lineRule="auto"/>
        <w:ind w:left="1080" w:right="1440"/>
      </w:pPr>
      <w:r w:rsidRPr="00976DD5">
        <w:t xml:space="preserve">Whether the Commission has jurisdiction over the </w:t>
      </w:r>
      <w:r w:rsidRPr="00976DD5" w:rsidR="00CF0EC5">
        <w:t>services IPC</w:t>
      </w:r>
      <w:r w:rsidRPr="00976DD5">
        <w:t xml:space="preserve"> intends to provide. </w:t>
      </w:r>
    </w:p>
    <w:p w:rsidR="00362C67" w:rsidP="00943F92" w:rsidRDefault="00E901C7" w14:paraId="708E6189" w14:textId="1853B6E8">
      <w:pPr>
        <w:pStyle w:val="Standard"/>
        <w:numPr>
          <w:ilvl w:val="0"/>
          <w:numId w:val="15"/>
        </w:numPr>
        <w:spacing w:line="240" w:lineRule="auto"/>
        <w:ind w:left="1080" w:right="1440"/>
      </w:pPr>
      <w:r w:rsidRPr="00976DD5">
        <w:t>Whether IPC meets all of the Commission requirements,</w:t>
      </w:r>
      <w:r w:rsidRPr="00976DD5" w:rsidR="00422410">
        <w:t xml:space="preserve"> </w:t>
      </w:r>
      <w:r w:rsidRPr="00976DD5">
        <w:t>including but not limited to financial, technical, and</w:t>
      </w:r>
      <w:r w:rsidRPr="00976DD5" w:rsidR="00422410">
        <w:t xml:space="preserve"> </w:t>
      </w:r>
      <w:r w:rsidRPr="00976DD5">
        <w:t>California Environmental Quality Act requirements for a CPCN.</w:t>
      </w:r>
    </w:p>
    <w:p w:rsidR="002B4CD3" w:rsidP="00943F92" w:rsidRDefault="002B4CD3" w14:paraId="085548DC" w14:textId="6040326F">
      <w:pPr>
        <w:pStyle w:val="Standard"/>
        <w:numPr>
          <w:ilvl w:val="0"/>
          <w:numId w:val="15"/>
        </w:numPr>
        <w:spacing w:line="240" w:lineRule="auto"/>
        <w:ind w:left="1080" w:right="1440"/>
      </w:pPr>
      <w:r w:rsidRPr="002B4CD3">
        <w:t xml:space="preserve">Given that IPC is required to pay past-due surcharges, interest on the surcharges, and past-due user fees for provision of service in California without authority beginning July 1, 2025, should IPC also pay its initially proposed penalty for violating Pub. Util. Code Section 1001? </w:t>
      </w:r>
    </w:p>
    <w:p w:rsidRPr="00976DD5" w:rsidR="002B4CD3" w:rsidP="00943F92" w:rsidRDefault="002B4CD3" w14:paraId="27BAF9FE" w14:textId="76B7B0EE">
      <w:pPr>
        <w:pStyle w:val="Standard"/>
        <w:numPr>
          <w:ilvl w:val="0"/>
          <w:numId w:val="15"/>
        </w:numPr>
        <w:spacing w:line="240" w:lineRule="auto"/>
        <w:ind w:left="1080" w:right="1440"/>
      </w:pPr>
      <w:r w:rsidRPr="002B4CD3">
        <w:t>Pursuant to Pub. Util. Code Section 405, should IPC pay a penalty of up to 25 percent of the user fees?</w:t>
      </w:r>
    </w:p>
    <w:p w:rsidR="005A148C" w:rsidP="00943F92" w:rsidRDefault="00362C67" w14:paraId="3B4D9619" w14:textId="77777777">
      <w:pPr>
        <w:pStyle w:val="Heading1"/>
        <w:spacing w:before="120"/>
      </w:pPr>
      <w:bookmarkStart w:name="_Toc240876449" w:id="15"/>
      <w:r>
        <w:t>Jurisdiction</w:t>
      </w:r>
      <w:bookmarkEnd w:id="14"/>
      <w:bookmarkEnd w:id="15"/>
    </w:p>
    <w:p w:rsidR="00563022" w:rsidP="00836EAA" w:rsidRDefault="00FC0920" w14:paraId="12622806" w14:textId="74656A90">
      <w:pPr>
        <w:pStyle w:val="standard0"/>
        <w:rPr>
          <w:rFonts w:ascii="Book Antiqua" w:hAnsi="Book Antiqua"/>
          <w:szCs w:val="26"/>
        </w:rPr>
      </w:pPr>
      <w:r>
        <w:rPr>
          <w:rFonts w:ascii="Book Antiqua" w:hAnsi="Book Antiqua"/>
          <w:szCs w:val="26"/>
        </w:rPr>
        <w:t xml:space="preserve">As a preliminary issue, IPC </w:t>
      </w:r>
      <w:r w:rsidR="005B51F5">
        <w:rPr>
          <w:rFonts w:ascii="Book Antiqua" w:hAnsi="Book Antiqua"/>
          <w:szCs w:val="26"/>
        </w:rPr>
        <w:t xml:space="preserve">questions </w:t>
      </w:r>
      <w:r w:rsidR="00E3049E">
        <w:rPr>
          <w:rFonts w:ascii="Book Antiqua" w:hAnsi="Book Antiqua"/>
          <w:szCs w:val="26"/>
        </w:rPr>
        <w:t>whether</w:t>
      </w:r>
      <w:r w:rsidR="005B51F5">
        <w:rPr>
          <w:rFonts w:ascii="Book Antiqua" w:hAnsi="Book Antiqua"/>
          <w:szCs w:val="26"/>
        </w:rPr>
        <w:t xml:space="preserve"> </w:t>
      </w:r>
      <w:r w:rsidR="007D34B7">
        <w:rPr>
          <w:rFonts w:ascii="Book Antiqua" w:hAnsi="Book Antiqua"/>
          <w:szCs w:val="26"/>
        </w:rPr>
        <w:t xml:space="preserve">the </w:t>
      </w:r>
      <w:r w:rsidR="00E3049E">
        <w:rPr>
          <w:rFonts w:ascii="Book Antiqua" w:hAnsi="Book Antiqua"/>
          <w:szCs w:val="26"/>
        </w:rPr>
        <w:t xml:space="preserve">Commission has </w:t>
      </w:r>
      <w:r w:rsidR="007D34B7">
        <w:rPr>
          <w:rFonts w:ascii="Book Antiqua" w:hAnsi="Book Antiqua"/>
          <w:szCs w:val="26"/>
        </w:rPr>
        <w:t xml:space="preserve">jurisdiction </w:t>
      </w:r>
      <w:r w:rsidR="00E3049E">
        <w:rPr>
          <w:rFonts w:ascii="Book Antiqua" w:hAnsi="Book Antiqua"/>
          <w:szCs w:val="26"/>
        </w:rPr>
        <w:t>over the services it provides</w:t>
      </w:r>
      <w:r w:rsidR="007D34B7">
        <w:rPr>
          <w:rFonts w:ascii="Book Antiqua" w:hAnsi="Book Antiqua"/>
          <w:szCs w:val="26"/>
        </w:rPr>
        <w:t xml:space="preserve">. </w:t>
      </w:r>
      <w:r w:rsidR="00563022">
        <w:rPr>
          <w:rFonts w:ascii="Book Antiqua" w:hAnsi="Book Antiqua"/>
          <w:szCs w:val="26"/>
        </w:rPr>
        <w:t xml:space="preserve">Specifically, after </w:t>
      </w:r>
      <w:r w:rsidR="00563022">
        <w:rPr>
          <w:rFonts w:ascii="Book Antiqua" w:hAnsi="Book Antiqua"/>
        </w:rPr>
        <w:t xml:space="preserve">requesting authority to operate </w:t>
      </w:r>
      <w:r w:rsidRPr="008D0D47" w:rsidR="00563022">
        <w:rPr>
          <w:rFonts w:ascii="Book Antiqua" w:hAnsi="Book Antiqua"/>
        </w:rPr>
        <w:t xml:space="preserve">as a </w:t>
      </w:r>
      <w:r w:rsidR="00563022">
        <w:rPr>
          <w:rFonts w:ascii="Book Antiqua" w:hAnsi="Book Antiqua"/>
        </w:rPr>
        <w:t xml:space="preserve">resold </w:t>
      </w:r>
      <w:r w:rsidRPr="008D0D47" w:rsidR="00563022">
        <w:rPr>
          <w:rFonts w:ascii="Book Antiqua" w:hAnsi="Book Antiqua"/>
        </w:rPr>
        <w:t xml:space="preserve">interexchange </w:t>
      </w:r>
      <w:r w:rsidR="00563022">
        <w:rPr>
          <w:rFonts w:ascii="Book Antiqua" w:hAnsi="Book Antiqua"/>
        </w:rPr>
        <w:t xml:space="preserve">carrier in its application, </w:t>
      </w:r>
      <w:r w:rsidR="007D34B7">
        <w:rPr>
          <w:rFonts w:ascii="Book Antiqua" w:hAnsi="Book Antiqua"/>
          <w:szCs w:val="26"/>
        </w:rPr>
        <w:t xml:space="preserve">IPC </w:t>
      </w:r>
      <w:r w:rsidR="0090457A">
        <w:rPr>
          <w:rFonts w:ascii="Book Antiqua" w:hAnsi="Book Antiqua"/>
          <w:szCs w:val="26"/>
        </w:rPr>
        <w:t>claim</w:t>
      </w:r>
      <w:r w:rsidR="00563022">
        <w:rPr>
          <w:rFonts w:ascii="Book Antiqua" w:hAnsi="Book Antiqua"/>
          <w:szCs w:val="26"/>
        </w:rPr>
        <w:t>ed at the PHC and in later filings</w:t>
      </w:r>
      <w:r w:rsidR="0090457A">
        <w:rPr>
          <w:rFonts w:ascii="Book Antiqua" w:hAnsi="Book Antiqua"/>
          <w:szCs w:val="26"/>
        </w:rPr>
        <w:t xml:space="preserve"> that </w:t>
      </w:r>
      <w:r w:rsidR="006475B9">
        <w:rPr>
          <w:rFonts w:ascii="Book Antiqua" w:hAnsi="Book Antiqua"/>
          <w:szCs w:val="26"/>
        </w:rPr>
        <w:t xml:space="preserve">all voice services it will provide are </w:t>
      </w:r>
      <w:r w:rsidR="00836EAA">
        <w:rPr>
          <w:rFonts w:ascii="Book Antiqua" w:hAnsi="Book Antiqua"/>
          <w:szCs w:val="26"/>
        </w:rPr>
        <w:t>—</w:t>
      </w:r>
      <w:r w:rsidR="006475B9">
        <w:rPr>
          <w:rFonts w:ascii="Book Antiqua" w:hAnsi="Book Antiqua"/>
          <w:szCs w:val="26"/>
        </w:rPr>
        <w:t xml:space="preserve">by definition </w:t>
      </w:r>
      <w:r w:rsidR="00836EAA">
        <w:rPr>
          <w:rFonts w:ascii="Book Antiqua" w:hAnsi="Book Antiqua"/>
          <w:szCs w:val="26"/>
        </w:rPr>
        <w:t>—</w:t>
      </w:r>
      <w:r w:rsidR="006475B9">
        <w:rPr>
          <w:rFonts w:ascii="Book Antiqua" w:hAnsi="Book Antiqua"/>
          <w:szCs w:val="26"/>
        </w:rPr>
        <w:t xml:space="preserve">non-interconnected VoIP, because </w:t>
      </w:r>
      <w:r w:rsidR="005979AC">
        <w:rPr>
          <w:rFonts w:ascii="Book Antiqua" w:hAnsi="Book Antiqua"/>
          <w:szCs w:val="26"/>
        </w:rPr>
        <w:t xml:space="preserve">its </w:t>
      </w:r>
      <w:r w:rsidR="006475B9">
        <w:rPr>
          <w:rFonts w:ascii="Book Antiqua" w:hAnsi="Book Antiqua"/>
          <w:szCs w:val="26"/>
        </w:rPr>
        <w:t xml:space="preserve">private network voice services </w:t>
      </w:r>
      <w:r w:rsidR="00FF2648">
        <w:rPr>
          <w:rFonts w:ascii="Book Antiqua" w:hAnsi="Book Antiqua"/>
          <w:szCs w:val="26"/>
        </w:rPr>
        <w:t>do not interconnect with the Public Service Telephone Network.</w:t>
      </w:r>
      <w:r w:rsidR="00FF2648">
        <w:rPr>
          <w:rStyle w:val="FootnoteReference"/>
          <w:rFonts w:ascii="Book Antiqua" w:hAnsi="Book Antiqua"/>
          <w:szCs w:val="26"/>
        </w:rPr>
        <w:footnoteReference w:id="7"/>
      </w:r>
    </w:p>
    <w:p w:rsidR="00C0465C" w:rsidP="00836EAA" w:rsidRDefault="00563022" w14:paraId="03461CF5" w14:textId="2A85D8CC">
      <w:pPr>
        <w:pStyle w:val="standard0"/>
        <w:rPr>
          <w:rFonts w:ascii="Book Antiqua" w:hAnsi="Book Antiqua"/>
          <w:szCs w:val="26"/>
        </w:rPr>
      </w:pPr>
      <w:r>
        <w:rPr>
          <w:rFonts w:ascii="Book Antiqua" w:hAnsi="Book Antiqua"/>
          <w:szCs w:val="26"/>
        </w:rPr>
        <w:lastRenderedPageBreak/>
        <w:t>In Decision (D.) 88-09-059, the Commission adopted a settlement that defined “high-speed digital services” as service at 1.544 megabits per second (</w:t>
      </w:r>
      <w:r w:rsidR="00C74AE3">
        <w:rPr>
          <w:rFonts w:ascii="Book Antiqua" w:hAnsi="Book Antiqua"/>
          <w:szCs w:val="26"/>
        </w:rPr>
        <w:t>M</w:t>
      </w:r>
      <w:r>
        <w:rPr>
          <w:rFonts w:ascii="Book Antiqua" w:hAnsi="Book Antiqua"/>
          <w:szCs w:val="26"/>
        </w:rPr>
        <w:t>bps) and above.</w:t>
      </w:r>
      <w:r w:rsidR="00197881">
        <w:rPr>
          <w:rStyle w:val="FootnoteReference"/>
          <w:rFonts w:ascii="Book Antiqua" w:hAnsi="Book Antiqua"/>
          <w:szCs w:val="26"/>
        </w:rPr>
        <w:footnoteReference w:id="8"/>
      </w:r>
      <w:r>
        <w:rPr>
          <w:rFonts w:ascii="Book Antiqua" w:hAnsi="Book Antiqua"/>
          <w:szCs w:val="26"/>
        </w:rPr>
        <w:t xml:space="preserve"> It further defined </w:t>
      </w:r>
      <w:r w:rsidR="00197881">
        <w:rPr>
          <w:rFonts w:ascii="Book Antiqua" w:hAnsi="Book Antiqua"/>
          <w:szCs w:val="26"/>
        </w:rPr>
        <w:t>“intra-LATA high-speed digital private line,” as a dedicated connection between two or more end-user premises within a LATA to provide intra-LATA non-switched services.</w:t>
      </w:r>
      <w:r w:rsidR="00197881">
        <w:rPr>
          <w:rStyle w:val="FootnoteReference"/>
          <w:rFonts w:ascii="Book Antiqua" w:hAnsi="Book Antiqua"/>
          <w:szCs w:val="26"/>
        </w:rPr>
        <w:footnoteReference w:id="9"/>
      </w:r>
      <w:r w:rsidR="00197881">
        <w:rPr>
          <w:rFonts w:ascii="Book Antiqua" w:hAnsi="Book Antiqua"/>
          <w:szCs w:val="26"/>
        </w:rPr>
        <w:t xml:space="preserve"> The Commission </w:t>
      </w:r>
      <w:r>
        <w:rPr>
          <w:rFonts w:ascii="Book Antiqua" w:hAnsi="Book Antiqua"/>
          <w:szCs w:val="26"/>
        </w:rPr>
        <w:t xml:space="preserve">concluded that provision of intra-LATA high-speed digital private line services by an interexchange carrier is </w:t>
      </w:r>
      <w:r w:rsidR="00197881">
        <w:rPr>
          <w:rFonts w:ascii="Book Antiqua" w:hAnsi="Book Antiqua"/>
          <w:szCs w:val="26"/>
        </w:rPr>
        <w:t xml:space="preserve">not exempt from the CPCN requirements of </w:t>
      </w:r>
      <w:r w:rsidR="002C36D5">
        <w:rPr>
          <w:rFonts w:ascii="Book Antiqua" w:hAnsi="Book Antiqua"/>
          <w:szCs w:val="26"/>
        </w:rPr>
        <w:t>Pub. Util.</w:t>
      </w:r>
      <w:r w:rsidR="00197881">
        <w:rPr>
          <w:rFonts w:ascii="Book Antiqua" w:hAnsi="Book Antiqua"/>
          <w:szCs w:val="26"/>
        </w:rPr>
        <w:t xml:space="preserve"> Code Section 1001, and an interexchange carrier must request Commission authorization.</w:t>
      </w:r>
      <w:r w:rsidR="00197881">
        <w:rPr>
          <w:rStyle w:val="FootnoteReference"/>
          <w:rFonts w:ascii="Book Antiqua" w:hAnsi="Book Antiqua"/>
          <w:szCs w:val="26"/>
        </w:rPr>
        <w:footnoteReference w:id="10"/>
      </w:r>
    </w:p>
    <w:p w:rsidR="00A73D04" w:rsidP="00836EAA" w:rsidRDefault="005979AC" w14:paraId="5F24F75A" w14:textId="5D0FA547">
      <w:pPr>
        <w:pStyle w:val="standard0"/>
        <w:rPr>
          <w:rFonts w:ascii="Book Antiqua" w:hAnsi="Book Antiqua"/>
          <w:szCs w:val="26"/>
        </w:rPr>
      </w:pPr>
      <w:r>
        <w:rPr>
          <w:rFonts w:ascii="Book Antiqua" w:hAnsi="Book Antiqua"/>
          <w:szCs w:val="26"/>
        </w:rPr>
        <w:t>On May 12, 2026,</w:t>
      </w:r>
      <w:r w:rsidR="00C0465C">
        <w:rPr>
          <w:rFonts w:ascii="Book Antiqua" w:hAnsi="Book Antiqua"/>
          <w:szCs w:val="26"/>
        </w:rPr>
        <w:t xml:space="preserve"> the ALJ </w:t>
      </w:r>
      <w:r>
        <w:rPr>
          <w:rFonts w:ascii="Book Antiqua" w:hAnsi="Book Antiqua"/>
          <w:szCs w:val="26"/>
        </w:rPr>
        <w:t>issued a ruling (May 12 Ruling) stating</w:t>
      </w:r>
      <w:r w:rsidR="00C0465C">
        <w:rPr>
          <w:rFonts w:ascii="Book Antiqua" w:hAnsi="Book Antiqua"/>
          <w:szCs w:val="26"/>
        </w:rPr>
        <w:t xml:space="preserve"> that providing resold point-to-point private line voice and data services to business customers using IPC’s private network “could constitute the provision of ‘intraLATA high speed digital private line services’ by an interexchange carrier, over which the Commission has jurisdiction.</w:t>
      </w:r>
      <w:r w:rsidR="00A73D04">
        <w:rPr>
          <w:rFonts w:ascii="Book Antiqua" w:hAnsi="Book Antiqua"/>
          <w:szCs w:val="26"/>
        </w:rPr>
        <w:t>”</w:t>
      </w:r>
      <w:r w:rsidR="00C0465C">
        <w:rPr>
          <w:rStyle w:val="FootnoteReference"/>
          <w:rFonts w:ascii="Book Antiqua" w:hAnsi="Book Antiqua"/>
          <w:szCs w:val="26"/>
        </w:rPr>
        <w:footnoteReference w:id="11"/>
      </w:r>
      <w:r w:rsidR="00C0465C">
        <w:rPr>
          <w:rFonts w:ascii="Book Antiqua" w:hAnsi="Book Antiqua"/>
          <w:szCs w:val="26"/>
        </w:rPr>
        <w:t xml:space="preserve"> The May 12 Ruling </w:t>
      </w:r>
      <w:r w:rsidR="00C74AE3">
        <w:rPr>
          <w:rFonts w:ascii="Book Antiqua" w:hAnsi="Book Antiqua"/>
          <w:szCs w:val="26"/>
        </w:rPr>
        <w:t>provided the definition of “intra-LATA high-speed digital private line services” from D.88-08-059,</w:t>
      </w:r>
      <w:r w:rsidR="001B64BD">
        <w:rPr>
          <w:rStyle w:val="FootnoteReference"/>
          <w:rFonts w:ascii="Book Antiqua" w:hAnsi="Book Antiqua"/>
          <w:szCs w:val="26"/>
        </w:rPr>
        <w:footnoteReference w:id="12"/>
      </w:r>
      <w:r w:rsidR="00C74AE3">
        <w:rPr>
          <w:rFonts w:ascii="Book Antiqua" w:hAnsi="Book Antiqua"/>
          <w:szCs w:val="26"/>
        </w:rPr>
        <w:t xml:space="preserve"> and </w:t>
      </w:r>
      <w:r w:rsidR="00C0465C">
        <w:rPr>
          <w:rFonts w:ascii="Book Antiqua" w:hAnsi="Book Antiqua"/>
          <w:szCs w:val="26"/>
        </w:rPr>
        <w:t xml:space="preserve">asked whether IPC would stipulate </w:t>
      </w:r>
      <w:r>
        <w:rPr>
          <w:rFonts w:ascii="Book Antiqua" w:hAnsi="Book Antiqua"/>
          <w:szCs w:val="26"/>
        </w:rPr>
        <w:t xml:space="preserve">that it is </w:t>
      </w:r>
      <w:r w:rsidR="00C0465C">
        <w:rPr>
          <w:rFonts w:ascii="Book Antiqua" w:hAnsi="Book Antiqua"/>
          <w:szCs w:val="26"/>
        </w:rPr>
        <w:t>seeking to provide intra-LATA high-speed digital private line services.</w:t>
      </w:r>
      <w:r w:rsidR="00C0465C">
        <w:rPr>
          <w:rStyle w:val="FootnoteReference"/>
          <w:rFonts w:ascii="Book Antiqua" w:hAnsi="Book Antiqua"/>
          <w:szCs w:val="26"/>
        </w:rPr>
        <w:footnoteReference w:id="13"/>
      </w:r>
      <w:r w:rsidR="00C0465C">
        <w:rPr>
          <w:rFonts w:ascii="Book Antiqua" w:hAnsi="Book Antiqua"/>
          <w:szCs w:val="26"/>
        </w:rPr>
        <w:t xml:space="preserve"> </w:t>
      </w:r>
    </w:p>
    <w:p w:rsidR="00BA5997" w:rsidP="00836EAA" w:rsidRDefault="00C0465C" w14:paraId="1E1BDA18" w14:textId="77777777">
      <w:pPr>
        <w:pStyle w:val="standard0"/>
        <w:rPr>
          <w:rFonts w:ascii="Book Antiqua" w:hAnsi="Book Antiqua"/>
          <w:szCs w:val="26"/>
        </w:rPr>
      </w:pPr>
      <w:r>
        <w:rPr>
          <w:rFonts w:ascii="Book Antiqua" w:hAnsi="Book Antiqua"/>
          <w:szCs w:val="26"/>
        </w:rPr>
        <w:t xml:space="preserve">In its response, IPC </w:t>
      </w:r>
      <w:r w:rsidR="00A73D04">
        <w:rPr>
          <w:rFonts w:ascii="Book Antiqua" w:hAnsi="Book Antiqua"/>
          <w:szCs w:val="26"/>
        </w:rPr>
        <w:t xml:space="preserve">claimed that D.88-08-059 is not readily available and, therefore, it could not determine whether the specific services to be provided are </w:t>
      </w:r>
      <w:r w:rsidR="00A73D04">
        <w:rPr>
          <w:rFonts w:ascii="Book Antiqua" w:hAnsi="Book Antiqua"/>
          <w:szCs w:val="26"/>
        </w:rPr>
        <w:lastRenderedPageBreak/>
        <w:t>the same as were the subject of the decision.</w:t>
      </w:r>
      <w:r w:rsidR="00A73D04">
        <w:rPr>
          <w:rStyle w:val="FootnoteReference"/>
          <w:rFonts w:ascii="Book Antiqua" w:hAnsi="Book Antiqua"/>
          <w:szCs w:val="26"/>
        </w:rPr>
        <w:footnoteReference w:id="14"/>
      </w:r>
      <w:r w:rsidR="00A73D04">
        <w:rPr>
          <w:rFonts w:ascii="Book Antiqua" w:hAnsi="Book Antiqua"/>
          <w:szCs w:val="26"/>
        </w:rPr>
        <w:t xml:space="preserve"> IPC also stated</w:t>
      </w:r>
      <w:r>
        <w:rPr>
          <w:rFonts w:ascii="Book Antiqua" w:hAnsi="Book Antiqua"/>
          <w:szCs w:val="26"/>
        </w:rPr>
        <w:t xml:space="preserve"> </w:t>
      </w:r>
      <w:r w:rsidR="00A73D04">
        <w:rPr>
          <w:rFonts w:ascii="Book Antiqua" w:hAnsi="Book Antiqua"/>
          <w:szCs w:val="26"/>
        </w:rPr>
        <w:t>it is unlikely that the services it intends to provide are the same as D.88-08-059 “given the monumental evolution of communications over these nearly forty years” and that it does not otherwise operate as an interexchange carrier.</w:t>
      </w:r>
      <w:r w:rsidR="00A73D04">
        <w:rPr>
          <w:rStyle w:val="FootnoteReference"/>
          <w:rFonts w:ascii="Book Antiqua" w:hAnsi="Book Antiqua"/>
          <w:szCs w:val="26"/>
        </w:rPr>
        <w:footnoteReference w:id="15"/>
      </w:r>
      <w:r w:rsidR="00A73D04">
        <w:rPr>
          <w:rFonts w:ascii="Book Antiqua" w:hAnsi="Book Antiqua"/>
          <w:szCs w:val="26"/>
        </w:rPr>
        <w:t xml:space="preserve"> </w:t>
      </w:r>
    </w:p>
    <w:p w:rsidR="00A73D04" w:rsidP="00293246" w:rsidRDefault="00293246" w14:paraId="08521476" w14:textId="32196874">
      <w:pPr>
        <w:pStyle w:val="standard0"/>
        <w:rPr>
          <w:rFonts w:ascii="Book Antiqua" w:hAnsi="Book Antiqua"/>
          <w:szCs w:val="26"/>
        </w:rPr>
      </w:pPr>
      <w:r>
        <w:rPr>
          <w:rFonts w:ascii="Book Antiqua" w:hAnsi="Book Antiqua"/>
        </w:rPr>
        <w:t xml:space="preserve">However, </w:t>
      </w:r>
      <w:r w:rsidRPr="008D0D47">
        <w:rPr>
          <w:rFonts w:ascii="Book Antiqua" w:hAnsi="Book Antiqua"/>
        </w:rPr>
        <w:t>IPC’s application shows it will operate as an interexchange intra/inter</w:t>
      </w:r>
      <w:r>
        <w:rPr>
          <w:rFonts w:ascii="Book Antiqua" w:hAnsi="Book Antiqua"/>
        </w:rPr>
        <w:t>-</w:t>
      </w:r>
      <w:r w:rsidRPr="008D0D47">
        <w:rPr>
          <w:rFonts w:ascii="Book Antiqua" w:hAnsi="Book Antiqua"/>
        </w:rPr>
        <w:t>LATA service provider.</w:t>
      </w:r>
      <w:r w:rsidRPr="008D0D47">
        <w:rPr>
          <w:rStyle w:val="FootnoteReference"/>
          <w:rFonts w:ascii="Book Antiqua" w:hAnsi="Book Antiqua"/>
        </w:rPr>
        <w:footnoteReference w:id="16"/>
      </w:r>
      <w:r>
        <w:rPr>
          <w:rFonts w:ascii="Book Antiqua" w:hAnsi="Book Antiqua"/>
          <w:szCs w:val="26"/>
        </w:rPr>
        <w:t xml:space="preserve"> Moreover</w:t>
      </w:r>
      <w:r w:rsidR="00A73D04">
        <w:rPr>
          <w:rFonts w:ascii="Book Antiqua" w:hAnsi="Book Antiqua"/>
          <w:szCs w:val="26"/>
        </w:rPr>
        <w:t>, IPC stated that it “would be agreeable to a stipulation that it provides high speed digital private line services” if it would permit the expeditious grant of the application.</w:t>
      </w:r>
      <w:r w:rsidR="00A73D04">
        <w:rPr>
          <w:rStyle w:val="FootnoteReference"/>
          <w:rFonts w:ascii="Book Antiqua" w:hAnsi="Book Antiqua"/>
          <w:szCs w:val="26"/>
        </w:rPr>
        <w:footnoteReference w:id="17"/>
      </w:r>
    </w:p>
    <w:p w:rsidR="00A73D04" w:rsidP="00836EAA" w:rsidRDefault="00A73D04" w14:paraId="51735582" w14:textId="6526784A">
      <w:pPr>
        <w:pStyle w:val="standard0"/>
        <w:rPr>
          <w:rFonts w:ascii="Book Antiqua" w:hAnsi="Book Antiqua"/>
          <w:szCs w:val="26"/>
        </w:rPr>
      </w:pPr>
      <w:r>
        <w:rPr>
          <w:rFonts w:ascii="Book Antiqua" w:hAnsi="Book Antiqua"/>
          <w:szCs w:val="26"/>
        </w:rPr>
        <w:t xml:space="preserve">In </w:t>
      </w:r>
      <w:r w:rsidR="005979AC">
        <w:rPr>
          <w:rFonts w:ascii="Book Antiqua" w:hAnsi="Book Antiqua"/>
          <w:szCs w:val="26"/>
        </w:rPr>
        <w:t>a ruling issued June 1, 2026,</w:t>
      </w:r>
      <w:r>
        <w:rPr>
          <w:rFonts w:ascii="Book Antiqua" w:hAnsi="Book Antiqua"/>
          <w:szCs w:val="26"/>
        </w:rPr>
        <w:t xml:space="preserve"> the ALJ provided </w:t>
      </w:r>
      <w:r w:rsidR="005979AC">
        <w:rPr>
          <w:rFonts w:ascii="Book Antiqua" w:hAnsi="Book Antiqua"/>
          <w:szCs w:val="26"/>
        </w:rPr>
        <w:t xml:space="preserve">IPC with </w:t>
      </w:r>
      <w:r>
        <w:rPr>
          <w:rFonts w:ascii="Book Antiqua" w:hAnsi="Book Antiqua"/>
          <w:szCs w:val="26"/>
        </w:rPr>
        <w:t xml:space="preserve">a copy of D.88-08-059 and requested additional information to resolve the </w:t>
      </w:r>
      <w:r w:rsidR="00C74AE3">
        <w:rPr>
          <w:rFonts w:ascii="Book Antiqua" w:hAnsi="Book Antiqua"/>
          <w:szCs w:val="26"/>
        </w:rPr>
        <w:t xml:space="preserve">CPCN </w:t>
      </w:r>
      <w:r>
        <w:rPr>
          <w:rFonts w:ascii="Book Antiqua" w:hAnsi="Book Antiqua"/>
          <w:szCs w:val="26"/>
        </w:rPr>
        <w:t>application. IPC provided additional information without further questioning the Commission’s jurisdiction.</w:t>
      </w:r>
    </w:p>
    <w:p w:rsidR="00C74AE3" w:rsidP="002C36D5" w:rsidRDefault="00C74AE3" w14:paraId="295A712F" w14:textId="0F331236">
      <w:pPr>
        <w:pStyle w:val="standard0"/>
        <w:rPr>
          <w:rFonts w:ascii="Book Antiqua" w:hAnsi="Book Antiqua"/>
          <w:szCs w:val="26"/>
        </w:rPr>
      </w:pPr>
      <w:r>
        <w:rPr>
          <w:rFonts w:ascii="Book Antiqua" w:hAnsi="Book Antiqua"/>
          <w:szCs w:val="26"/>
        </w:rPr>
        <w:t xml:space="preserve">We find that the Commission has jurisdiction over the point-to-point private line voice and data services IPC provides to its business customers because they fit the definition of “intra-LATA high speed digital private line services.” </w:t>
      </w:r>
      <w:r w:rsidR="002C36D5">
        <w:rPr>
          <w:rFonts w:ascii="Book Antiqua" w:hAnsi="Book Antiqua"/>
          <w:szCs w:val="26"/>
        </w:rPr>
        <w:t xml:space="preserve">IPC noted the “monumental evolution over communications” since the 1988 decision, which we infer includes improvements in internet speeds. Therefore, it is reasonable to conclude that IPC provides service at 1.544 Mbps or above. IPC also clearly notes that it will provide a dedicated connection between two or more end-users. Finally, IPC does not dispute that it meets the basic definition of an intra-LATA high-speed digital private line provider and even goes as far as stating that it is agreeable to stipulating that it will provide these </w:t>
      </w:r>
      <w:r w:rsidR="002C36D5">
        <w:rPr>
          <w:rFonts w:ascii="Book Antiqua" w:hAnsi="Book Antiqua"/>
          <w:szCs w:val="26"/>
        </w:rPr>
        <w:lastRenderedPageBreak/>
        <w:t>services. Accordingly, we find that the Commission has jurisdiction to consider IPC’s application for intra-LATA high-speed digital private line services.</w:t>
      </w:r>
    </w:p>
    <w:p w:rsidRPr="006A2B22" w:rsidR="00092A69" w:rsidP="00092A69" w:rsidRDefault="002C36D5" w14:paraId="2A841B58" w14:textId="4B8A880F">
      <w:pPr>
        <w:pStyle w:val="standard0"/>
        <w:rPr>
          <w:color w:val="000000"/>
          <w:szCs w:val="26"/>
          <w:shd w:val="clear" w:color="auto" w:fill="FFFFFF"/>
        </w:rPr>
      </w:pPr>
      <w:r>
        <w:rPr>
          <w:rFonts w:ascii="Book Antiqua" w:hAnsi="Book Antiqua"/>
          <w:szCs w:val="26"/>
        </w:rPr>
        <w:t>We also note that t</w:t>
      </w:r>
      <w:r w:rsidRPr="00145411" w:rsidR="00092A69">
        <w:rPr>
          <w:rFonts w:ascii="Book Antiqua" w:hAnsi="Book Antiqua"/>
          <w:szCs w:val="26"/>
        </w:rPr>
        <w:t>he Commission has broad jurisdiction over “public utilities</w:t>
      </w:r>
      <w:r w:rsidR="00092A69">
        <w:rPr>
          <w:rFonts w:ascii="Book Antiqua" w:hAnsi="Book Antiqua"/>
          <w:szCs w:val="26"/>
        </w:rPr>
        <w:t>,</w:t>
      </w:r>
      <w:r w:rsidRPr="00145411" w:rsidR="00092A69">
        <w:rPr>
          <w:rFonts w:ascii="Book Antiqua" w:hAnsi="Book Antiqua"/>
          <w:szCs w:val="26"/>
        </w:rPr>
        <w:t>”</w:t>
      </w:r>
      <w:r w:rsidR="00540CD7">
        <w:rPr>
          <w:rFonts w:ascii="Book Antiqua" w:hAnsi="Book Antiqua"/>
          <w:szCs w:val="26"/>
        </w:rPr>
        <w:t xml:space="preserve"> and “telephone corporations”</w:t>
      </w:r>
      <w:r w:rsidR="00092A69">
        <w:rPr>
          <w:rFonts w:ascii="Book Antiqua" w:hAnsi="Book Antiqua"/>
          <w:szCs w:val="26"/>
        </w:rPr>
        <w:t xml:space="preserve"> as defined in Pub. Util. Code Section</w:t>
      </w:r>
      <w:r w:rsidR="00745982">
        <w:rPr>
          <w:rFonts w:ascii="Book Antiqua" w:hAnsi="Book Antiqua"/>
          <w:szCs w:val="26"/>
        </w:rPr>
        <w:t>s</w:t>
      </w:r>
      <w:r w:rsidR="00092A69">
        <w:rPr>
          <w:rFonts w:ascii="Book Antiqua" w:hAnsi="Book Antiqua"/>
          <w:szCs w:val="26"/>
        </w:rPr>
        <w:t xml:space="preserve"> 216</w:t>
      </w:r>
      <w:r w:rsidR="00373363">
        <w:rPr>
          <w:rFonts w:ascii="Book Antiqua" w:hAnsi="Book Antiqua"/>
          <w:szCs w:val="26"/>
        </w:rPr>
        <w:t xml:space="preserve">, and </w:t>
      </w:r>
      <w:r w:rsidR="00745982">
        <w:rPr>
          <w:rFonts w:ascii="Book Antiqua" w:hAnsi="Book Antiqua"/>
          <w:szCs w:val="26"/>
        </w:rPr>
        <w:t>234</w:t>
      </w:r>
      <w:r w:rsidR="00092A69">
        <w:rPr>
          <w:rFonts w:ascii="Book Antiqua" w:hAnsi="Book Antiqua"/>
          <w:szCs w:val="26"/>
        </w:rPr>
        <w:t>.</w:t>
      </w:r>
      <w:r w:rsidRPr="00145411" w:rsidR="00092A69">
        <w:rPr>
          <w:rStyle w:val="FootnoteReference"/>
          <w:rFonts w:ascii="Book Antiqua" w:hAnsi="Book Antiqua" w:eastAsiaTheme="majorEastAsia"/>
          <w:szCs w:val="26"/>
        </w:rPr>
        <w:footnoteReference w:id="18"/>
      </w:r>
      <w:r w:rsidRPr="00145411" w:rsidR="00092A69">
        <w:rPr>
          <w:rFonts w:ascii="Book Antiqua" w:hAnsi="Book Antiqua"/>
          <w:szCs w:val="26"/>
        </w:rPr>
        <w:t xml:space="preserve">  </w:t>
      </w:r>
      <w:r w:rsidRPr="00477A18" w:rsidR="00092A69">
        <w:rPr>
          <w:rFonts w:ascii="Book Antiqua" w:hAnsi="Book Antiqua"/>
          <w:szCs w:val="26"/>
        </w:rPr>
        <w:t xml:space="preserve">California’s </w:t>
      </w:r>
      <w:r w:rsidR="00092A69">
        <w:rPr>
          <w:rFonts w:ascii="Book Antiqua" w:hAnsi="Book Antiqua"/>
          <w:szCs w:val="26"/>
        </w:rPr>
        <w:t>C</w:t>
      </w:r>
      <w:r w:rsidRPr="00477A18" w:rsidR="00092A69">
        <w:rPr>
          <w:rFonts w:ascii="Book Antiqua" w:hAnsi="Book Antiqua"/>
          <w:szCs w:val="26"/>
        </w:rPr>
        <w:t>onstitution extends the Commission’s jurisdiction to companies engaged in “the transmission of telephone and telegraph messages,” which includes both public utility services and facilities</w:t>
      </w:r>
      <w:r w:rsidR="00092A69">
        <w:rPr>
          <w:rFonts w:ascii="Book Antiqua" w:hAnsi="Book Antiqua"/>
          <w:szCs w:val="26"/>
        </w:rPr>
        <w:t>.</w:t>
      </w:r>
      <w:r w:rsidRPr="00477A18" w:rsidR="00092A69">
        <w:rPr>
          <w:rStyle w:val="FootnoteReference"/>
          <w:rFonts w:ascii="Book Antiqua" w:hAnsi="Book Antiqua" w:eastAsiaTheme="majorEastAsia"/>
          <w:szCs w:val="26"/>
        </w:rPr>
        <w:footnoteReference w:id="19"/>
      </w:r>
      <w:r w:rsidRPr="00477A18" w:rsidR="00092A69">
        <w:rPr>
          <w:rFonts w:ascii="Book Antiqua" w:hAnsi="Book Antiqua"/>
          <w:szCs w:val="26"/>
        </w:rPr>
        <w:t xml:space="preserve"> </w:t>
      </w:r>
      <w:r w:rsidR="00092A69">
        <w:rPr>
          <w:rFonts w:ascii="Book Antiqua" w:hAnsi="Book Antiqua"/>
        </w:rPr>
        <w:t>The Commission classifies entities providing two-way voice communications service for compensation within California as “telephone corporations,”</w:t>
      </w:r>
      <w:r w:rsidR="00092A69">
        <w:rPr>
          <w:rStyle w:val="FootnoteReference"/>
          <w:rFonts w:ascii="Book Antiqua" w:hAnsi="Book Antiqua" w:eastAsiaTheme="majorEastAsia"/>
        </w:rPr>
        <w:footnoteReference w:id="20"/>
      </w:r>
      <w:r w:rsidR="00092A69">
        <w:rPr>
          <w:rFonts w:ascii="Book Antiqua" w:hAnsi="Book Antiqua"/>
        </w:rPr>
        <w:t xml:space="preserve"> and regulates them as public utilities.</w:t>
      </w:r>
      <w:r w:rsidR="00092A69">
        <w:rPr>
          <w:rStyle w:val="FootnoteReference"/>
          <w:rFonts w:ascii="Book Antiqua" w:hAnsi="Book Antiqua" w:eastAsiaTheme="majorEastAsia"/>
          <w:szCs w:val="26"/>
        </w:rPr>
        <w:footnoteReference w:id="21"/>
      </w:r>
      <w:r w:rsidR="00092A69">
        <w:rPr>
          <w:rFonts w:ascii="Book Antiqua" w:hAnsi="Book Antiqua"/>
        </w:rPr>
        <w:t xml:space="preserve"> </w:t>
      </w:r>
    </w:p>
    <w:p w:rsidR="005939A5" w:rsidP="00092A69" w:rsidRDefault="00092A69" w14:paraId="2919C5C7" w14:textId="7208EA2E">
      <w:pPr>
        <w:pStyle w:val="Standard"/>
      </w:pPr>
      <w:r w:rsidRPr="00477A18">
        <w:rPr>
          <w:szCs w:val="26"/>
        </w:rPr>
        <w:t>As part of its regulatory authority</w:t>
      </w:r>
      <w:r>
        <w:rPr>
          <w:szCs w:val="26"/>
        </w:rPr>
        <w:t xml:space="preserve"> over “telephone corporations</w:t>
      </w:r>
      <w:r w:rsidRPr="00477A18">
        <w:rPr>
          <w:szCs w:val="26"/>
        </w:rPr>
        <w:t>,</w:t>
      </w:r>
      <w:r>
        <w:rPr>
          <w:szCs w:val="26"/>
        </w:rPr>
        <w:t>”</w:t>
      </w:r>
      <w:r w:rsidRPr="00477A18">
        <w:rPr>
          <w:szCs w:val="26"/>
        </w:rPr>
        <w:t xml:space="preserve"> the Commission authorizes certificates of public convenience and</w:t>
      </w:r>
      <w:r>
        <w:t xml:space="preserve"> necessity to “telephone corporations” seeking to construct a “line, plant, or system, or any extension thereof” in California.</w:t>
      </w:r>
      <w:r>
        <w:rPr>
          <w:rStyle w:val="FootnoteReference"/>
        </w:rPr>
        <w:footnoteReference w:id="22"/>
      </w:r>
      <w:r>
        <w:t xml:space="preserve"> Pub. Util. Code Section 233 defines a “telephone line” to include</w:t>
      </w:r>
      <w:r w:rsidR="00FF4062">
        <w:t>,</w:t>
      </w:r>
      <w:r>
        <w:t xml:space="preserve"> “</w:t>
      </w:r>
      <w:r w:rsidR="00FF4062">
        <w:t>…A</w:t>
      </w:r>
      <w:r>
        <w:t xml:space="preserve">ll conduits, ducts, poles, wires, cables, instruments, and appliances, and other real estate, fixtures, and personal property owned or controlled, operated, or managed in connection with or to facilitate communication by telephone, whether such communication is had with or without the use of transmission wires.” </w:t>
      </w:r>
      <w:r w:rsidRPr="00510C3D">
        <w:t xml:space="preserve">This includes services delivered over </w:t>
      </w:r>
      <w:r w:rsidRPr="00510C3D">
        <w:lastRenderedPageBreak/>
        <w:t>any technology, including</w:t>
      </w:r>
      <w:r>
        <w:t>,</w:t>
      </w:r>
      <w:r w:rsidRPr="00510C3D">
        <w:t xml:space="preserve"> but not limited to, traditional copper lines, coaxial cable, fiber optic cable, and mobile or fixed wireless radios</w:t>
      </w:r>
      <w:r w:rsidR="005939A5">
        <w:t>.</w:t>
      </w:r>
    </w:p>
    <w:p w:rsidRPr="004C633E" w:rsidR="00362C67" w:rsidP="00362C67" w:rsidRDefault="00362C67" w14:paraId="5CC52FB8" w14:textId="68E9E6D5">
      <w:pPr>
        <w:pStyle w:val="standard0"/>
        <w:rPr>
          <w:rFonts w:ascii="Book Antiqua" w:hAnsi="Book Antiqua"/>
        </w:rPr>
      </w:pPr>
      <w:bookmarkStart w:name="_Hlk180076350" w:id="16"/>
      <w:bookmarkStart w:name="_Hlk183522120" w:id="17"/>
      <w:r w:rsidRPr="4372617A">
        <w:rPr>
          <w:rStyle w:val="normaltextrun"/>
          <w:rFonts w:ascii="Book Antiqua" w:hAnsi="Book Antiqua"/>
          <w:color w:val="000000"/>
          <w:shd w:val="clear" w:color="auto" w:fill="FFFFFF"/>
        </w:rPr>
        <w:t>Providers of voice services, including</w:t>
      </w:r>
      <w:r>
        <w:rPr>
          <w:rStyle w:val="normaltextrun"/>
          <w:rFonts w:ascii="Book Antiqua" w:hAnsi="Book Antiqua"/>
          <w:color w:val="000000"/>
          <w:shd w:val="clear" w:color="auto" w:fill="FFFFFF"/>
        </w:rPr>
        <w:t xml:space="preserve"> interexchange carriers</w:t>
      </w:r>
      <w:r w:rsidRPr="4372617A">
        <w:rPr>
          <w:rStyle w:val="normaltextrun"/>
          <w:rFonts w:ascii="Book Antiqua" w:hAnsi="Book Antiqua"/>
          <w:color w:val="000000"/>
          <w:shd w:val="clear" w:color="auto" w:fill="FFFFFF"/>
        </w:rPr>
        <w:t xml:space="preserve"> are telephone corporations subject to the Commission’s jurisdiction.</w:t>
      </w:r>
      <w:r w:rsidRPr="4372617A">
        <w:rPr>
          <w:rStyle w:val="FootnoteReference"/>
          <w:rFonts w:ascii="Book Antiqua" w:hAnsi="Book Antiqua" w:eastAsiaTheme="majorEastAsia"/>
          <w:color w:val="000000"/>
          <w:shd w:val="clear" w:color="auto" w:fill="FFFFFF"/>
        </w:rPr>
        <w:footnoteReference w:id="23"/>
      </w:r>
      <w:r w:rsidRPr="4372617A">
        <w:rPr>
          <w:rStyle w:val="normaltextrun"/>
          <w:rFonts w:ascii="Book Antiqua" w:hAnsi="Book Antiqua"/>
          <w:color w:val="000000"/>
          <w:shd w:val="clear" w:color="auto" w:fill="FFFFFF"/>
        </w:rPr>
        <w:t xml:space="preserve"> Providers of </w:t>
      </w:r>
      <w:r>
        <w:rPr>
          <w:rStyle w:val="normaltextrun"/>
          <w:rFonts w:ascii="Book Antiqua" w:hAnsi="Book Antiqua"/>
          <w:color w:val="000000"/>
          <w:shd w:val="clear" w:color="auto" w:fill="FFFFFF"/>
        </w:rPr>
        <w:t>interexchange</w:t>
      </w:r>
      <w:r w:rsidRPr="4372617A">
        <w:rPr>
          <w:rStyle w:val="normaltextrun"/>
          <w:rFonts w:ascii="Book Antiqua" w:hAnsi="Book Antiqua"/>
          <w:color w:val="000000"/>
          <w:shd w:val="clear" w:color="auto" w:fill="FFFFFF"/>
        </w:rPr>
        <w:t xml:space="preserve"> </w:t>
      </w:r>
      <w:r>
        <w:rPr>
          <w:rStyle w:val="normaltextrun"/>
          <w:rFonts w:ascii="Book Antiqua" w:hAnsi="Book Antiqua"/>
          <w:color w:val="000000"/>
          <w:shd w:val="clear" w:color="auto" w:fill="FFFFFF"/>
        </w:rPr>
        <w:t xml:space="preserve">services </w:t>
      </w:r>
      <w:r w:rsidRPr="4372617A">
        <w:rPr>
          <w:rStyle w:val="normaltextrun"/>
          <w:rFonts w:ascii="Book Antiqua" w:hAnsi="Book Antiqua"/>
          <w:color w:val="000000"/>
          <w:shd w:val="clear" w:color="auto" w:fill="FFFFFF"/>
        </w:rPr>
        <w:t xml:space="preserve">must obtain a CPCN or 1013 registration license to operate in California. </w:t>
      </w:r>
      <w:r>
        <w:rPr>
          <w:rStyle w:val="normaltextrun"/>
          <w:rFonts w:ascii="Book Antiqua" w:hAnsi="Book Antiqua"/>
          <w:color w:val="000000"/>
          <w:shd w:val="clear" w:color="auto" w:fill="FFFFFF"/>
        </w:rPr>
        <w:t xml:space="preserve"> </w:t>
      </w:r>
      <w:bookmarkEnd w:id="16"/>
    </w:p>
    <w:p w:rsidRPr="00710EBA" w:rsidR="005939A5" w:rsidP="00710EBA" w:rsidRDefault="00362C67" w14:paraId="7BBD4E7A" w14:textId="1814B50C">
      <w:pPr>
        <w:pStyle w:val="Heading1"/>
        <w:keepNext w:val="0"/>
        <w:keepLines w:val="0"/>
        <w:tabs>
          <w:tab w:val="num" w:pos="1710"/>
        </w:tabs>
        <w:rPr>
          <w:rFonts w:cs="Arial"/>
        </w:rPr>
      </w:pPr>
      <w:bookmarkStart w:name="_Toc335049171" w:id="18"/>
      <w:bookmarkStart w:name="_Toc8123720" w:id="19"/>
      <w:bookmarkStart w:name="_Toc240876450" w:id="20"/>
      <w:bookmarkEnd w:id="17"/>
      <w:r>
        <w:rPr>
          <w:rFonts w:cs="Arial"/>
        </w:rPr>
        <w:t xml:space="preserve">Proposed Construction and </w:t>
      </w:r>
      <w:r w:rsidRPr="003E48C0">
        <w:rPr>
          <w:rFonts w:cs="Arial"/>
        </w:rPr>
        <w:t>California Environmental Quality Act (CEQA)</w:t>
      </w:r>
      <w:bookmarkEnd w:id="18"/>
      <w:r>
        <w:rPr>
          <w:rFonts w:cs="Arial"/>
        </w:rPr>
        <w:t xml:space="preserve"> Compliance</w:t>
      </w:r>
      <w:bookmarkEnd w:id="19"/>
      <w:bookmarkEnd w:id="20"/>
    </w:p>
    <w:p w:rsidR="00FD739B" w:rsidP="006345F9" w:rsidRDefault="00B433B8" w14:paraId="2347094C" w14:textId="450F4A27">
      <w:pPr>
        <w:pStyle w:val="standard0"/>
        <w:rPr>
          <w:rFonts w:ascii="Book Antiqua" w:hAnsi="Book Antiqua"/>
        </w:rPr>
      </w:pPr>
      <w:bookmarkStart w:name="_Hlk183522172" w:id="21"/>
      <w:r>
        <w:rPr>
          <w:rFonts w:ascii="Book Antiqua" w:hAnsi="Book Antiqua"/>
        </w:rPr>
        <w:t>IPC</w:t>
      </w:r>
      <w:r w:rsidR="00362C67">
        <w:rPr>
          <w:rFonts w:ascii="Book Antiqua" w:hAnsi="Book Antiqua"/>
        </w:rPr>
        <w:t xml:space="preserve"> proposes to </w:t>
      </w:r>
      <w:r w:rsidRPr="00097DE6" w:rsidR="00362C67">
        <w:rPr>
          <w:rFonts w:ascii="Book Antiqua" w:hAnsi="Book Antiqua"/>
        </w:rPr>
        <w:t xml:space="preserve">provide </w:t>
      </w:r>
      <w:r w:rsidRPr="00E81898" w:rsidR="00362C67">
        <w:rPr>
          <w:rFonts w:ascii="Book Antiqua" w:hAnsi="Book Antiqua"/>
        </w:rPr>
        <w:t>resold/non-facilities-based</w:t>
      </w:r>
      <w:r w:rsidRPr="00097DE6" w:rsidR="00362C67">
        <w:rPr>
          <w:rFonts w:ascii="Book Antiqua" w:hAnsi="Book Antiqua"/>
          <w:b/>
          <w:bCs/>
        </w:rPr>
        <w:t xml:space="preserve"> </w:t>
      </w:r>
      <w:r w:rsidR="00362C67">
        <w:rPr>
          <w:rFonts w:ascii="Book Antiqua" w:hAnsi="Book Antiqua"/>
        </w:rPr>
        <w:t xml:space="preserve">service. </w:t>
      </w:r>
      <w:bookmarkEnd w:id="21"/>
      <w:r w:rsidRPr="004768C6" w:rsidR="00362C67">
        <w:rPr>
          <w:rFonts w:ascii="Book Antiqua" w:hAnsi="Book Antiqua"/>
        </w:rPr>
        <w:t xml:space="preserve">Pursuant </w:t>
      </w:r>
      <w:r w:rsidRPr="004768C6" w:rsidR="00362C67">
        <w:rPr>
          <w:rFonts w:ascii="Book Antiqua" w:hAnsi="Book Antiqua"/>
          <w:szCs w:val="26"/>
        </w:rPr>
        <w:t xml:space="preserve">to </w:t>
      </w:r>
      <w:r w:rsidRPr="004768C6" w:rsidR="00362C67">
        <w:rPr>
          <w:rFonts w:ascii="Book Antiqua" w:hAnsi="Book Antiqua"/>
        </w:rPr>
        <w:t>CEQA and the Commission’s Rules of Practice and Procedure (Rule</w:t>
      </w:r>
      <w:r w:rsidR="00362C67">
        <w:rPr>
          <w:rFonts w:ascii="Book Antiqua" w:hAnsi="Book Antiqua"/>
        </w:rPr>
        <w:t xml:space="preserve"> 2.4</w:t>
      </w:r>
      <w:r w:rsidR="00DC4F47">
        <w:rPr>
          <w:rFonts w:ascii="Book Antiqua" w:hAnsi="Book Antiqua"/>
        </w:rPr>
        <w:t>)</w:t>
      </w:r>
      <w:r w:rsidRPr="004768C6" w:rsidR="00362C67">
        <w:rPr>
          <w:rFonts w:ascii="Book Antiqua" w:hAnsi="Book Antiqua"/>
        </w:rPr>
        <w:t>, the Commission acts as the designated lead agency to consider the environmental consequences of projects subject to</w:t>
      </w:r>
      <w:r w:rsidR="00362C67">
        <w:rPr>
          <w:rFonts w:ascii="Book Antiqua" w:hAnsi="Book Antiqua"/>
        </w:rPr>
        <w:t xml:space="preserve"> the Commission’s</w:t>
      </w:r>
      <w:r w:rsidRPr="004768C6" w:rsidR="00362C67">
        <w:rPr>
          <w:rFonts w:ascii="Book Antiqua" w:hAnsi="Book Antiqua"/>
        </w:rPr>
        <w:t xml:space="preserve"> approval</w:t>
      </w:r>
      <w:r w:rsidR="00362C67">
        <w:rPr>
          <w:rFonts w:ascii="Book Antiqua" w:hAnsi="Book Antiqua"/>
        </w:rPr>
        <w:t>.</w:t>
      </w:r>
      <w:r w:rsidR="006A45BB">
        <w:rPr>
          <w:rStyle w:val="FootnoteReference"/>
          <w:rFonts w:ascii="Book Antiqua" w:hAnsi="Book Antiqua"/>
        </w:rPr>
        <w:footnoteReference w:id="24"/>
      </w:r>
      <w:r w:rsidR="00362C67">
        <w:rPr>
          <w:rFonts w:ascii="Book Antiqua" w:hAnsi="Book Antiqua"/>
        </w:rPr>
        <w:t xml:space="preserve"> As the lead agency, the Commission must</w:t>
      </w:r>
      <w:r w:rsidRPr="004768C6" w:rsidR="00362C67">
        <w:rPr>
          <w:rFonts w:ascii="Book Antiqua" w:hAnsi="Book Antiqua"/>
        </w:rPr>
        <w:t xml:space="preserve"> </w:t>
      </w:r>
      <w:r w:rsidR="00362C67">
        <w:rPr>
          <w:rFonts w:ascii="Book Antiqua" w:hAnsi="Book Antiqua"/>
        </w:rPr>
        <w:t>identify any potential environmental impacts and reduce and avoid them to the extent feasible</w:t>
      </w:r>
      <w:r w:rsidRPr="004768C6" w:rsidR="00362C67">
        <w:rPr>
          <w:rFonts w:ascii="Book Antiqua" w:hAnsi="Book Antiqua"/>
        </w:rPr>
        <w:t xml:space="preserve">. </w:t>
      </w:r>
    </w:p>
    <w:p w:rsidR="00362C67" w:rsidP="006345F9" w:rsidRDefault="00362C67" w14:paraId="362FAECF" w14:textId="3F0657B0">
      <w:pPr>
        <w:pStyle w:val="standard0"/>
        <w:rPr>
          <w:rFonts w:ascii="Book Antiqua" w:hAnsi="Book Antiqua"/>
        </w:rPr>
      </w:pPr>
      <w:r>
        <w:rPr>
          <w:rFonts w:ascii="Book Antiqua" w:hAnsi="Book Antiqua"/>
        </w:rPr>
        <w:t>Because</w:t>
      </w:r>
      <w:r w:rsidRPr="004768C6">
        <w:rPr>
          <w:rFonts w:ascii="Book Antiqua" w:hAnsi="Book Antiqua"/>
        </w:rPr>
        <w:t xml:space="preserve"> </w:t>
      </w:r>
      <w:r w:rsidR="006345F9">
        <w:rPr>
          <w:rFonts w:ascii="Book Antiqua" w:hAnsi="Book Antiqua"/>
        </w:rPr>
        <w:t>IPC</w:t>
      </w:r>
      <w:r w:rsidRPr="004768C6">
        <w:rPr>
          <w:rFonts w:ascii="Book Antiqua" w:hAnsi="Book Antiqua"/>
        </w:rPr>
        <w:t xml:space="preserve"> states that it does not intend to construct any facilities, it can be seen with certainty that there is no possibility that granting this application will have an adverse impact upon the environment.</w:t>
      </w:r>
      <w:r>
        <w:rPr>
          <w:rStyle w:val="FootnoteReference"/>
          <w:rFonts w:ascii="Book Antiqua" w:hAnsi="Book Antiqua" w:eastAsiaTheme="majorEastAsia"/>
        </w:rPr>
        <w:footnoteReference w:id="25"/>
      </w:r>
      <w:r w:rsidRPr="004768C6">
        <w:rPr>
          <w:rFonts w:ascii="Book Antiqua" w:hAnsi="Book Antiqua"/>
        </w:rPr>
        <w:t xml:space="preserve"> Before it can construct facilities, </w:t>
      </w:r>
      <w:r w:rsidR="006345F9">
        <w:rPr>
          <w:rFonts w:ascii="Book Antiqua" w:hAnsi="Book Antiqua"/>
        </w:rPr>
        <w:t>IPC</w:t>
      </w:r>
      <w:r w:rsidRPr="004768C6">
        <w:rPr>
          <w:rFonts w:ascii="Book Antiqua" w:hAnsi="Book Antiqua"/>
        </w:rPr>
        <w:t xml:space="preserve"> must file for additional authority and submit to any necessary CEQA review.</w:t>
      </w:r>
    </w:p>
    <w:p w:rsidR="0073353F" w:rsidP="00106B70" w:rsidRDefault="00362C67" w14:paraId="7B7F85D6" w14:textId="4734FC13">
      <w:pPr>
        <w:pStyle w:val="standard0"/>
      </w:pPr>
      <w:bookmarkStart w:name="_Hlk183524174" w:id="22"/>
      <w:r>
        <w:rPr>
          <w:rFonts w:ascii="Book Antiqua" w:hAnsi="Book Antiqua"/>
        </w:rPr>
        <w:t xml:space="preserve">Granting this CPCN will benefit the public interest by expanding the availability of technologically advanced telecommunications services within the </w:t>
      </w:r>
      <w:r w:rsidR="00CE6696">
        <w:rPr>
          <w:rFonts w:ascii="Book Antiqua" w:hAnsi="Book Antiqua"/>
        </w:rPr>
        <w:t>s</w:t>
      </w:r>
      <w:r>
        <w:rPr>
          <w:rFonts w:ascii="Book Antiqua" w:hAnsi="Book Antiqua"/>
        </w:rPr>
        <w:t>tate.</w:t>
      </w:r>
      <w:bookmarkEnd w:id="22"/>
    </w:p>
    <w:p w:rsidR="00362C67" w:rsidP="00362C67" w:rsidRDefault="00362C67" w14:paraId="663E60D8" w14:textId="77777777">
      <w:pPr>
        <w:pStyle w:val="Heading1"/>
      </w:pPr>
      <w:bookmarkStart w:name="_Toc240876451" w:id="23"/>
      <w:r>
        <w:lastRenderedPageBreak/>
        <w:t>Financial Qualifications</w:t>
      </w:r>
      <w:bookmarkEnd w:id="23"/>
    </w:p>
    <w:p w:rsidR="00376A59" w:rsidP="00376A59" w:rsidRDefault="00362C67" w14:paraId="28BA31D1" w14:textId="343D9F6A">
      <w:pPr>
        <w:pStyle w:val="standard0"/>
        <w:rPr>
          <w:rFonts w:ascii="Book Antiqua" w:hAnsi="Book Antiqua"/>
        </w:rPr>
      </w:pPr>
      <w:r w:rsidRPr="4372617A">
        <w:rPr>
          <w:rStyle w:val="PageNumber"/>
          <w:rFonts w:ascii="Book Antiqua" w:hAnsi="Book Antiqua"/>
        </w:rPr>
        <w:t xml:space="preserve">To </w:t>
      </w:r>
      <w:r>
        <w:rPr>
          <w:rStyle w:val="PageNumber"/>
          <w:rFonts w:ascii="Book Antiqua" w:hAnsi="Book Antiqua"/>
        </w:rPr>
        <w:t xml:space="preserve">receive </w:t>
      </w:r>
      <w:r w:rsidRPr="4372617A">
        <w:rPr>
          <w:rStyle w:val="PageNumber"/>
          <w:rFonts w:ascii="Book Antiqua" w:hAnsi="Book Antiqua"/>
        </w:rPr>
        <w:t>a CPCN</w:t>
      </w:r>
      <w:r w:rsidRPr="4372617A">
        <w:rPr>
          <w:rFonts w:ascii="Book Antiqua" w:hAnsi="Book Antiqua"/>
        </w:rPr>
        <w:t xml:space="preserve"> for authority to provide </w:t>
      </w:r>
      <w:r w:rsidRPr="00776799">
        <w:rPr>
          <w:rFonts w:ascii="Book Antiqua" w:hAnsi="Book Antiqua"/>
        </w:rPr>
        <w:t>resold/non-facilities-based services</w:t>
      </w:r>
      <w:r w:rsidRPr="00B433B8">
        <w:rPr>
          <w:rFonts w:ascii="Book Antiqua" w:hAnsi="Book Antiqua"/>
        </w:rPr>
        <w:t xml:space="preserve">, </w:t>
      </w:r>
      <w:r w:rsidRPr="00776799">
        <w:rPr>
          <w:rFonts w:ascii="Book Antiqua" w:hAnsi="Book Antiqua"/>
        </w:rPr>
        <w:t xml:space="preserve">an applicant </w:t>
      </w:r>
      <w:r w:rsidRPr="00776799" w:rsidR="00A848A2">
        <w:rPr>
          <w:rFonts w:ascii="Book Antiqua" w:hAnsi="Book Antiqua"/>
        </w:rPr>
        <w:t>is required to</w:t>
      </w:r>
      <w:r w:rsidRPr="008D0D47">
        <w:rPr>
          <w:rFonts w:ascii="Book Antiqua" w:hAnsi="Book Antiqua"/>
        </w:rPr>
        <w:t xml:space="preserve"> demonstrate that it has a minimum of </w:t>
      </w:r>
      <w:r w:rsidRPr="00776799">
        <w:rPr>
          <w:rFonts w:ascii="Book Antiqua" w:hAnsi="Book Antiqua"/>
        </w:rPr>
        <w:t>$25,000</w:t>
      </w:r>
      <w:r w:rsidRPr="008D0D47">
        <w:rPr>
          <w:rFonts w:ascii="Book Antiqua" w:hAnsi="Book Antiqua"/>
        </w:rPr>
        <w:t xml:space="preserve"> cash </w:t>
      </w:r>
      <w:r w:rsidR="001447DC">
        <w:rPr>
          <w:rFonts w:ascii="Book Antiqua" w:hAnsi="Book Antiqua"/>
        </w:rPr>
        <w:t>(</w:t>
      </w:r>
      <w:r w:rsidRPr="008D0D47">
        <w:rPr>
          <w:rFonts w:ascii="Book Antiqua" w:hAnsi="Book Antiqua"/>
        </w:rPr>
        <w:t>or cash equivalent</w:t>
      </w:r>
      <w:r w:rsidR="001447DC">
        <w:rPr>
          <w:rFonts w:ascii="Book Antiqua" w:hAnsi="Book Antiqua"/>
        </w:rPr>
        <w:t>)</w:t>
      </w:r>
      <w:r w:rsidRPr="008D0D47">
        <w:rPr>
          <w:rFonts w:ascii="Book Antiqua" w:hAnsi="Book Antiqua"/>
        </w:rPr>
        <w:t xml:space="preserve">, </w:t>
      </w:r>
      <w:r w:rsidR="001447DC">
        <w:rPr>
          <w:rFonts w:ascii="Book Antiqua" w:hAnsi="Book Antiqua"/>
        </w:rPr>
        <w:t xml:space="preserve">both </w:t>
      </w:r>
      <w:r w:rsidRPr="4372617A">
        <w:rPr>
          <w:rFonts w:ascii="Book Antiqua" w:hAnsi="Book Antiqua"/>
        </w:rPr>
        <w:t>reasonably liquid and readily available to meet the firm’s start</w:t>
      </w:r>
      <w:r w:rsidRPr="00154CA2">
        <w:rPr>
          <w:rFonts w:ascii="Book Antiqua" w:hAnsi="Book Antiqua"/>
          <w:szCs w:val="26"/>
        </w:rPr>
        <w:noBreakHyphen/>
      </w:r>
      <w:r w:rsidRPr="4372617A">
        <w:rPr>
          <w:rFonts w:ascii="Book Antiqua" w:hAnsi="Book Antiqua"/>
        </w:rPr>
        <w:t>up expenses</w:t>
      </w:r>
      <w:r w:rsidR="00444F08">
        <w:rPr>
          <w:rFonts w:ascii="Book Antiqua" w:hAnsi="Book Antiqua"/>
        </w:rPr>
        <w:t xml:space="preserve"> in California</w:t>
      </w:r>
      <w:r w:rsidRPr="4372617A">
        <w:rPr>
          <w:rFonts w:ascii="Book Antiqua" w:hAnsi="Book Antiqua"/>
        </w:rPr>
        <w:t>.</w:t>
      </w:r>
      <w:r w:rsidRPr="00154CA2">
        <w:rPr>
          <w:rStyle w:val="FootnoteReference"/>
          <w:rFonts w:ascii="Book Antiqua" w:hAnsi="Book Antiqua" w:eastAsiaTheme="majorEastAsia"/>
          <w:szCs w:val="26"/>
        </w:rPr>
        <w:footnoteReference w:id="26"/>
      </w:r>
      <w:r w:rsidRPr="4372617A">
        <w:rPr>
          <w:rFonts w:ascii="Book Antiqua" w:hAnsi="Book Antiqua"/>
        </w:rPr>
        <w:t xml:space="preserve"> </w:t>
      </w:r>
    </w:p>
    <w:p w:rsidRPr="00154CA2" w:rsidR="00362C67" w:rsidP="00233AA0" w:rsidRDefault="002E76FA" w14:paraId="0A15DE8C" w14:textId="20B53B6E">
      <w:pPr>
        <w:pStyle w:val="standard0"/>
        <w:rPr>
          <w:rFonts w:ascii="Book Antiqua" w:hAnsi="Book Antiqua"/>
        </w:rPr>
      </w:pPr>
      <w:r>
        <w:rPr>
          <w:rFonts w:ascii="Book Antiqua" w:hAnsi="Book Antiqua"/>
        </w:rPr>
        <w:t xml:space="preserve">In IPC’s </w:t>
      </w:r>
      <w:r w:rsidR="00C048E9">
        <w:rPr>
          <w:rFonts w:ascii="Book Antiqua" w:hAnsi="Book Antiqua"/>
        </w:rPr>
        <w:t>A</w:t>
      </w:r>
      <w:r>
        <w:rPr>
          <w:rFonts w:ascii="Book Antiqua" w:hAnsi="Book Antiqua"/>
        </w:rPr>
        <w:t xml:space="preserve">pplication and in </w:t>
      </w:r>
      <w:r w:rsidRPr="007926CC" w:rsidR="00233AA0">
        <w:rPr>
          <w:rFonts w:ascii="Book Antiqua" w:hAnsi="Book Antiqua"/>
        </w:rPr>
        <w:t>Attachment 1</w:t>
      </w:r>
      <w:r w:rsidR="006E2315">
        <w:rPr>
          <w:rFonts w:ascii="Book Antiqua" w:hAnsi="Book Antiqua"/>
        </w:rPr>
        <w:t xml:space="preserve"> </w:t>
      </w:r>
      <w:r w:rsidR="00A24C53">
        <w:rPr>
          <w:rFonts w:ascii="Book Antiqua" w:hAnsi="Book Antiqua"/>
        </w:rPr>
        <w:t>of</w:t>
      </w:r>
      <w:r w:rsidR="006E2315">
        <w:rPr>
          <w:rFonts w:ascii="Book Antiqua" w:hAnsi="Book Antiqua"/>
        </w:rPr>
        <w:t xml:space="preserve"> its Response to the ALJ In</w:t>
      </w:r>
      <w:r w:rsidR="005A17B9">
        <w:rPr>
          <w:rFonts w:ascii="Book Antiqua" w:hAnsi="Book Antiqua"/>
        </w:rPr>
        <w:t xml:space="preserve">quiry dated June 15, </w:t>
      </w:r>
      <w:r w:rsidRPr="00672CC9" w:rsidR="005A17B9">
        <w:rPr>
          <w:rFonts w:ascii="Book Antiqua" w:hAnsi="Book Antiqua"/>
          <w:color w:val="000000" w:themeColor="text1"/>
        </w:rPr>
        <w:t>2026</w:t>
      </w:r>
      <w:r w:rsidRPr="00672CC9" w:rsidR="001447DC">
        <w:rPr>
          <w:rFonts w:ascii="Book Antiqua" w:hAnsi="Book Antiqua"/>
          <w:color w:val="000000" w:themeColor="text1"/>
        </w:rPr>
        <w:t>,</w:t>
      </w:r>
      <w:r w:rsidRPr="00672CC9" w:rsidR="00362C67">
        <w:rPr>
          <w:rFonts w:ascii="Book Antiqua" w:hAnsi="Book Antiqua"/>
          <w:b/>
          <w:bCs/>
          <w:color w:val="000000" w:themeColor="text1"/>
        </w:rPr>
        <w:t xml:space="preserve"> </w:t>
      </w:r>
      <w:r w:rsidRPr="00672CC9" w:rsidR="00A24C53">
        <w:rPr>
          <w:rFonts w:ascii="Book Antiqua" w:hAnsi="Book Antiqua"/>
          <w:color w:val="000000" w:themeColor="text1"/>
        </w:rPr>
        <w:t>IPC</w:t>
      </w:r>
      <w:r w:rsidRPr="00672CC9" w:rsidR="00A24C53">
        <w:rPr>
          <w:rFonts w:ascii="Book Antiqua" w:hAnsi="Book Antiqua"/>
          <w:b/>
          <w:bCs/>
          <w:color w:val="000000" w:themeColor="text1"/>
        </w:rPr>
        <w:t xml:space="preserve"> </w:t>
      </w:r>
      <w:r w:rsidRPr="00672CC9">
        <w:rPr>
          <w:rFonts w:ascii="Book Antiqua" w:hAnsi="Book Antiqua"/>
          <w:color w:val="000000" w:themeColor="text1"/>
        </w:rPr>
        <w:t xml:space="preserve">demonstrated </w:t>
      </w:r>
      <w:r>
        <w:rPr>
          <w:rFonts w:ascii="Book Antiqua" w:hAnsi="Book Antiqua"/>
        </w:rPr>
        <w:t xml:space="preserve">that </w:t>
      </w:r>
      <w:r w:rsidRPr="00341162" w:rsidR="00362C67">
        <w:rPr>
          <w:rFonts w:ascii="Book Antiqua" w:hAnsi="Book Antiqua"/>
        </w:rPr>
        <w:t>it</w:t>
      </w:r>
      <w:r w:rsidR="00800C43">
        <w:rPr>
          <w:rFonts w:ascii="Book Antiqua" w:hAnsi="Book Antiqua"/>
        </w:rPr>
        <w:t xml:space="preserve"> </w:t>
      </w:r>
      <w:r>
        <w:rPr>
          <w:rFonts w:ascii="Book Antiqua" w:hAnsi="Book Antiqua"/>
        </w:rPr>
        <w:t xml:space="preserve">has </w:t>
      </w:r>
      <w:r w:rsidRPr="000414F6" w:rsidR="00362C67">
        <w:rPr>
          <w:rFonts w:ascii="Book Antiqua" w:hAnsi="Book Antiqua"/>
        </w:rPr>
        <w:t>at</w:t>
      </w:r>
      <w:r w:rsidR="00800C43">
        <w:rPr>
          <w:rFonts w:ascii="Book Antiqua" w:hAnsi="Book Antiqua"/>
        </w:rPr>
        <w:t xml:space="preserve"> </w:t>
      </w:r>
      <w:r w:rsidRPr="000414F6" w:rsidR="00362C67">
        <w:rPr>
          <w:rFonts w:ascii="Book Antiqua" w:hAnsi="Book Antiqua"/>
        </w:rPr>
        <w:t xml:space="preserve">least </w:t>
      </w:r>
      <w:r w:rsidRPr="007926CC" w:rsidR="00362C67">
        <w:rPr>
          <w:rFonts w:ascii="Book Antiqua" w:hAnsi="Book Antiqua"/>
        </w:rPr>
        <w:t>$25,000</w:t>
      </w:r>
      <w:r w:rsidR="00800C43">
        <w:rPr>
          <w:rFonts w:ascii="Book Antiqua" w:hAnsi="Book Antiqua"/>
        </w:rPr>
        <w:t>.00</w:t>
      </w:r>
      <w:r w:rsidRPr="007926CC" w:rsidR="00362C67">
        <w:rPr>
          <w:rFonts w:ascii="Book Antiqua" w:hAnsi="Book Antiqua"/>
        </w:rPr>
        <w:t xml:space="preserve"> reasonably liquid and available</w:t>
      </w:r>
      <w:r w:rsidRPr="000414F6" w:rsidR="00362C67">
        <w:rPr>
          <w:rFonts w:ascii="Book Antiqua" w:hAnsi="Book Antiqua"/>
        </w:rPr>
        <w:t>. Th</w:t>
      </w:r>
      <w:r w:rsidR="00800C43">
        <w:rPr>
          <w:rFonts w:ascii="Book Antiqua" w:hAnsi="Book Antiqua"/>
        </w:rPr>
        <w:t>is</w:t>
      </w:r>
      <w:r w:rsidRPr="000414F6" w:rsidR="00362C67">
        <w:rPr>
          <w:rFonts w:ascii="Book Antiqua" w:hAnsi="Book Antiqua"/>
        </w:rPr>
        <w:t xml:space="preserve"> documentation demonstrates that </w:t>
      </w:r>
      <w:r w:rsidRPr="000414F6" w:rsidR="00452F07">
        <w:rPr>
          <w:rFonts w:ascii="Book Antiqua" w:hAnsi="Book Antiqua"/>
        </w:rPr>
        <w:t>IPC</w:t>
      </w:r>
      <w:r w:rsidRPr="000414F6" w:rsidR="00362C67">
        <w:rPr>
          <w:rFonts w:ascii="Book Antiqua" w:hAnsi="Book Antiqua"/>
        </w:rPr>
        <w:t xml:space="preserve"> has sufficient funds to meet its start</w:t>
      </w:r>
      <w:r w:rsidRPr="000414F6" w:rsidR="00362C67">
        <w:rPr>
          <w:rFonts w:ascii="Book Antiqua" w:hAnsi="Book Antiqua"/>
          <w:szCs w:val="26"/>
        </w:rPr>
        <w:noBreakHyphen/>
      </w:r>
      <w:r w:rsidRPr="000414F6" w:rsidR="00362C67">
        <w:rPr>
          <w:rFonts w:ascii="Book Antiqua" w:hAnsi="Book Antiqua"/>
        </w:rPr>
        <w:t>up expenses and fulfill</w:t>
      </w:r>
      <w:r w:rsidR="00FD739B">
        <w:rPr>
          <w:rFonts w:ascii="Book Antiqua" w:hAnsi="Book Antiqua"/>
        </w:rPr>
        <w:t>s</w:t>
      </w:r>
      <w:r w:rsidRPr="000414F6" w:rsidR="00362C67">
        <w:rPr>
          <w:rFonts w:ascii="Book Antiqua" w:hAnsi="Book Antiqua"/>
        </w:rPr>
        <w:t xml:space="preserve"> this requirement. </w:t>
      </w:r>
      <w:r w:rsidR="00225BB0">
        <w:rPr>
          <w:rFonts w:ascii="Book Antiqua" w:hAnsi="Book Antiqua"/>
        </w:rPr>
        <w:t xml:space="preserve">Because IPC </w:t>
      </w:r>
      <w:r w:rsidR="00126B79">
        <w:rPr>
          <w:rFonts w:ascii="Book Antiqua" w:hAnsi="Book Antiqua"/>
        </w:rPr>
        <w:t xml:space="preserve">is </w:t>
      </w:r>
      <w:r w:rsidRPr="00225BB0" w:rsidR="00225BB0">
        <w:rPr>
          <w:rFonts w:ascii="Book Antiqua" w:hAnsi="Book Antiqua"/>
        </w:rPr>
        <w:t xml:space="preserve">providing the </w:t>
      </w:r>
      <w:r w:rsidR="00225BB0">
        <w:rPr>
          <w:rFonts w:ascii="Book Antiqua" w:hAnsi="Book Antiqua"/>
        </w:rPr>
        <w:t>three</w:t>
      </w:r>
      <w:r w:rsidRPr="00225BB0" w:rsidR="00225BB0">
        <w:rPr>
          <w:rFonts w:ascii="Book Antiqua" w:hAnsi="Book Antiqua"/>
        </w:rPr>
        <w:t xml:space="preserve"> financial statement items</w:t>
      </w:r>
      <w:r w:rsidR="00225BB0">
        <w:rPr>
          <w:rFonts w:ascii="Book Antiqua" w:hAnsi="Book Antiqua"/>
        </w:rPr>
        <w:t xml:space="preserve">, it does not need to </w:t>
      </w:r>
      <w:r w:rsidRPr="00225BB0" w:rsidR="00225BB0">
        <w:rPr>
          <w:rFonts w:ascii="Book Antiqua" w:hAnsi="Book Antiqua"/>
        </w:rPr>
        <w:t>provide a bank statement</w:t>
      </w:r>
      <w:r w:rsidR="00225BB0">
        <w:rPr>
          <w:rFonts w:ascii="Book Antiqua" w:hAnsi="Book Antiqua"/>
        </w:rPr>
        <w:t xml:space="preserve"> </w:t>
      </w:r>
      <w:r w:rsidR="007E5537">
        <w:rPr>
          <w:rFonts w:ascii="Book Antiqua" w:hAnsi="Book Antiqua"/>
        </w:rPr>
        <w:t>after the issuance of this decision.</w:t>
      </w:r>
      <w:r w:rsidR="00225BB0">
        <w:rPr>
          <w:rFonts w:ascii="Book Antiqua" w:hAnsi="Book Antiqua"/>
        </w:rPr>
        <w:t xml:space="preserve"> </w:t>
      </w:r>
      <w:r w:rsidRPr="4372617A" w:rsidR="00362C67">
        <w:rPr>
          <w:rFonts w:ascii="Book Antiqua" w:hAnsi="Book Antiqua"/>
          <w:color w:val="0000FF"/>
        </w:rPr>
        <w:t xml:space="preserve"> </w:t>
      </w:r>
    </w:p>
    <w:p w:rsidR="00362C67" w:rsidP="008F1E3F" w:rsidRDefault="00362C67" w14:paraId="04074D25" w14:textId="58FDD263">
      <w:pPr>
        <w:pStyle w:val="standard0"/>
        <w:rPr>
          <w:rFonts w:ascii="Book Antiqua" w:hAnsi="Book Antiqua"/>
        </w:rPr>
      </w:pPr>
      <w:r w:rsidRPr="4372617A">
        <w:rPr>
          <w:rFonts w:ascii="Book Antiqua" w:hAnsi="Book Antiqua"/>
        </w:rPr>
        <w:t xml:space="preserve">In addition to demonstrating financial fitness, </w:t>
      </w:r>
      <w:r w:rsidR="00667AF1">
        <w:rPr>
          <w:rFonts w:ascii="Book Antiqua" w:hAnsi="Book Antiqua"/>
        </w:rPr>
        <w:t>IPC</w:t>
      </w:r>
      <w:r w:rsidRPr="4372617A">
        <w:rPr>
          <w:rFonts w:ascii="Book Antiqua" w:hAnsi="Book Antiqua"/>
          <w:b/>
          <w:bCs/>
          <w:color w:val="0000FF"/>
        </w:rPr>
        <w:t xml:space="preserve"> </w:t>
      </w:r>
      <w:r w:rsidRPr="4372617A">
        <w:rPr>
          <w:rFonts w:ascii="Book Antiqua" w:hAnsi="Book Antiqua"/>
        </w:rPr>
        <w:t xml:space="preserve">must also demonstrate </w:t>
      </w:r>
      <w:r>
        <w:rPr>
          <w:rFonts w:ascii="Book Antiqua" w:hAnsi="Book Antiqua"/>
        </w:rPr>
        <w:t xml:space="preserve">that </w:t>
      </w:r>
      <w:r w:rsidRPr="4372617A">
        <w:rPr>
          <w:rFonts w:ascii="Book Antiqua" w:hAnsi="Book Antiqua"/>
        </w:rPr>
        <w:t>it has</w:t>
      </w:r>
      <w:r>
        <w:rPr>
          <w:rFonts w:ascii="Book Antiqua" w:hAnsi="Book Antiqua"/>
        </w:rPr>
        <w:t xml:space="preserve"> an additional</w:t>
      </w:r>
      <w:r w:rsidRPr="4372617A">
        <w:rPr>
          <w:rFonts w:ascii="Book Antiqua" w:hAnsi="Book Antiqua"/>
        </w:rPr>
        <w:t xml:space="preserve"> </w:t>
      </w:r>
      <w:bookmarkStart w:name="_Hlk146873886" w:id="24"/>
      <w:r w:rsidRPr="4372617A">
        <w:rPr>
          <w:rFonts w:ascii="Book Antiqua" w:hAnsi="Book Antiqua"/>
        </w:rPr>
        <w:t>$25,000</w:t>
      </w:r>
      <w:r w:rsidR="00466B13">
        <w:rPr>
          <w:rFonts w:ascii="Book Antiqua" w:hAnsi="Book Antiqua"/>
        </w:rPr>
        <w:t>.00</w:t>
      </w:r>
      <w:r w:rsidRPr="4372617A">
        <w:rPr>
          <w:rFonts w:ascii="Book Antiqua" w:hAnsi="Book Antiqua"/>
        </w:rPr>
        <w:t xml:space="preserve"> available for deposits</w:t>
      </w:r>
      <w:r>
        <w:rPr>
          <w:rFonts w:ascii="Book Antiqua" w:hAnsi="Book Antiqua"/>
        </w:rPr>
        <w:t xml:space="preserve"> </w:t>
      </w:r>
      <w:r w:rsidR="00C91049">
        <w:rPr>
          <w:rFonts w:ascii="Book Antiqua" w:hAnsi="Book Antiqua"/>
        </w:rPr>
        <w:t xml:space="preserve">that may be required </w:t>
      </w:r>
      <w:r>
        <w:rPr>
          <w:rFonts w:ascii="Book Antiqua" w:hAnsi="Book Antiqua"/>
        </w:rPr>
        <w:t>to interconnect with local exchange carriers</w:t>
      </w:r>
      <w:bookmarkEnd w:id="24"/>
      <w:r w:rsidRPr="4372617A">
        <w:rPr>
          <w:rFonts w:ascii="Book Antiqua" w:hAnsi="Book Antiqua"/>
        </w:rPr>
        <w:t xml:space="preserve">. </w:t>
      </w:r>
      <w:r w:rsidR="00667AF1">
        <w:rPr>
          <w:rFonts w:ascii="Book Antiqua" w:hAnsi="Book Antiqua"/>
        </w:rPr>
        <w:t>IPC</w:t>
      </w:r>
      <w:r w:rsidRPr="4372617A">
        <w:rPr>
          <w:rFonts w:ascii="Book Antiqua" w:hAnsi="Book Antiqua"/>
          <w:b/>
          <w:bCs/>
          <w:color w:val="0000FF"/>
        </w:rPr>
        <w:t xml:space="preserve"> </w:t>
      </w:r>
      <w:r w:rsidRPr="007926CC">
        <w:rPr>
          <w:rFonts w:ascii="Book Antiqua" w:hAnsi="Book Antiqua"/>
        </w:rPr>
        <w:t xml:space="preserve">met this requirement by </w:t>
      </w:r>
      <w:r w:rsidRPr="4372617A">
        <w:rPr>
          <w:rFonts w:ascii="Book Antiqua" w:hAnsi="Book Antiqua"/>
        </w:rPr>
        <w:t>provid</w:t>
      </w:r>
      <w:r>
        <w:rPr>
          <w:rFonts w:ascii="Book Antiqua" w:hAnsi="Book Antiqua"/>
        </w:rPr>
        <w:t>ing</w:t>
      </w:r>
      <w:r w:rsidRPr="4372617A">
        <w:rPr>
          <w:rFonts w:ascii="Book Antiqua" w:hAnsi="Book Antiqua"/>
        </w:rPr>
        <w:t xml:space="preserve"> documentation of its ability to pay deposits in </w:t>
      </w:r>
      <w:r w:rsidR="00C91049">
        <w:rPr>
          <w:rFonts w:ascii="Book Antiqua" w:hAnsi="Book Antiqua"/>
        </w:rPr>
        <w:t xml:space="preserve">its </w:t>
      </w:r>
      <w:r w:rsidR="00C048E9">
        <w:rPr>
          <w:rFonts w:ascii="Book Antiqua" w:hAnsi="Book Antiqua"/>
        </w:rPr>
        <w:t>A</w:t>
      </w:r>
      <w:r w:rsidR="00C91049">
        <w:rPr>
          <w:rFonts w:ascii="Book Antiqua" w:hAnsi="Book Antiqua"/>
        </w:rPr>
        <w:t xml:space="preserve">pplication and in </w:t>
      </w:r>
      <w:r w:rsidR="00962AD7">
        <w:rPr>
          <w:rFonts w:ascii="Book Antiqua" w:hAnsi="Book Antiqua"/>
        </w:rPr>
        <w:t>A</w:t>
      </w:r>
      <w:r w:rsidRPr="008F1E3F" w:rsidR="008F1E3F">
        <w:rPr>
          <w:rFonts w:ascii="Book Antiqua" w:hAnsi="Book Antiqua"/>
        </w:rPr>
        <w:t xml:space="preserve">ttachment 1 </w:t>
      </w:r>
      <w:r w:rsidR="00C91049">
        <w:rPr>
          <w:rFonts w:ascii="Book Antiqua" w:hAnsi="Book Antiqua"/>
        </w:rPr>
        <w:t>of</w:t>
      </w:r>
      <w:r w:rsidRPr="008F1E3F" w:rsidR="008F1E3F">
        <w:rPr>
          <w:rFonts w:ascii="Book Antiqua" w:hAnsi="Book Antiqua"/>
        </w:rPr>
        <w:t xml:space="preserve"> its Response to the ALJ Inquiry dated June 15, 2026</w:t>
      </w:r>
      <w:r w:rsidRPr="4372617A">
        <w:rPr>
          <w:rFonts w:ascii="Book Antiqua" w:hAnsi="Book Antiqua"/>
        </w:rPr>
        <w:t>.</w:t>
      </w:r>
    </w:p>
    <w:p w:rsidRPr="00D55426" w:rsidR="00362C67" w:rsidP="00AE296C" w:rsidRDefault="00362C67" w14:paraId="289B8CE5" w14:textId="5091073E">
      <w:pPr>
        <w:pStyle w:val="standard0"/>
        <w:rPr>
          <w:rFonts w:ascii="Book Antiqua" w:hAnsi="Book Antiqua" w:eastAsia="Book Antiqua" w:cs="Book Antiqua"/>
        </w:rPr>
      </w:pPr>
      <w:r w:rsidRPr="00D55426">
        <w:rPr>
          <w:rStyle w:val="PageNumber"/>
          <w:rFonts w:ascii="Book Antiqua" w:hAnsi="Book Antiqua" w:eastAsia="Book Antiqua" w:cs="Book Antiqua"/>
        </w:rPr>
        <w:t>To receive a CPCN</w:t>
      </w:r>
      <w:r w:rsidRPr="00D55426">
        <w:rPr>
          <w:rFonts w:ascii="Book Antiqua" w:hAnsi="Book Antiqua" w:eastAsia="Book Antiqua" w:cs="Book Antiqua"/>
        </w:rPr>
        <w:t xml:space="preserve"> for authority to provide resold/non-facilities-based services, an applicant with existing profitable interstate operations may meet the minimum financial requirement by submitting an audited balance sheet for the recent fiscal year, an unaudited balance sheet for the previous quarter, and a bank statement as of the month prior to the date of filing or a third-party undertaking to provide the required amounts on behalf of the applicant.</w:t>
      </w:r>
      <w:r w:rsidRPr="31329661">
        <w:rPr>
          <w:rStyle w:val="FootnoteReference"/>
          <w:rFonts w:ascii="Book Antiqua" w:hAnsi="Book Antiqua" w:eastAsia="Book Antiqua" w:cs="Book Antiqua"/>
        </w:rPr>
        <w:footnoteReference w:id="27"/>
      </w:r>
      <w:r w:rsidRPr="00D55426">
        <w:rPr>
          <w:rFonts w:ascii="Book Antiqua" w:hAnsi="Book Antiqua" w:eastAsia="Book Antiqua" w:cs="Book Antiqua"/>
          <w:b/>
          <w:color w:val="0000FF"/>
        </w:rPr>
        <w:t xml:space="preserve"> </w:t>
      </w:r>
      <w:r w:rsidRPr="00D55426" w:rsidR="000836C5">
        <w:rPr>
          <w:rFonts w:ascii="Book Antiqua" w:hAnsi="Book Antiqua" w:eastAsia="Book Antiqua" w:cs="Book Antiqua"/>
        </w:rPr>
        <w:t>IPC</w:t>
      </w:r>
      <w:r w:rsidRPr="00D55426">
        <w:rPr>
          <w:rFonts w:ascii="Book Antiqua" w:hAnsi="Book Antiqua" w:eastAsia="Book Antiqua" w:cs="Book Antiqua"/>
        </w:rPr>
        <w:t xml:space="preserve"> </w:t>
      </w:r>
      <w:r w:rsidRPr="00D55426">
        <w:rPr>
          <w:rFonts w:ascii="Book Antiqua" w:hAnsi="Book Antiqua" w:eastAsia="Book Antiqua" w:cs="Book Antiqua"/>
        </w:rPr>
        <w:lastRenderedPageBreak/>
        <w:t>provided the aforementioned documentation</w:t>
      </w:r>
      <w:r w:rsidRPr="00D55426" w:rsidR="00BA0866">
        <w:rPr>
          <w:rFonts w:ascii="Book Antiqua" w:hAnsi="Book Antiqua" w:eastAsia="Book Antiqua" w:cs="Book Antiqua"/>
        </w:rPr>
        <w:t xml:space="preserve"> in Appendix K </w:t>
      </w:r>
      <w:r w:rsidRPr="00D55426" w:rsidR="002E35C5">
        <w:rPr>
          <w:rFonts w:ascii="Book Antiqua" w:hAnsi="Book Antiqua" w:eastAsia="Book Antiqua" w:cs="Book Antiqua"/>
        </w:rPr>
        <w:t>to</w:t>
      </w:r>
      <w:r w:rsidRPr="00D55426" w:rsidR="00BA0866">
        <w:rPr>
          <w:rFonts w:ascii="Book Antiqua" w:hAnsi="Book Antiqua" w:eastAsia="Book Antiqua" w:cs="Book Antiqua"/>
        </w:rPr>
        <w:t xml:space="preserve"> its Application and Attachment 1 </w:t>
      </w:r>
      <w:r w:rsidRPr="00D55426" w:rsidR="00FB24F7">
        <w:rPr>
          <w:rFonts w:ascii="Book Antiqua" w:hAnsi="Book Antiqua" w:eastAsia="Book Antiqua" w:cs="Book Antiqua"/>
        </w:rPr>
        <w:t>to</w:t>
      </w:r>
      <w:r w:rsidRPr="00D55426" w:rsidR="00BA0866">
        <w:rPr>
          <w:rFonts w:ascii="Book Antiqua" w:hAnsi="Book Antiqua" w:eastAsia="Book Antiqua" w:cs="Book Antiqua"/>
        </w:rPr>
        <w:t xml:space="preserve"> its Response to the ALJ Inquiry dated June 15, 2026</w:t>
      </w:r>
      <w:r w:rsidRPr="00D55426">
        <w:rPr>
          <w:rFonts w:ascii="Book Antiqua" w:hAnsi="Book Antiqua" w:eastAsia="Book Antiqua" w:cs="Book Antiqua"/>
        </w:rPr>
        <w:t>, and, therefore, demonstrated it has sufficient funds to meet its start</w:t>
      </w:r>
      <w:r>
        <w:noBreakHyphen/>
      </w:r>
      <w:r w:rsidRPr="00D55426">
        <w:rPr>
          <w:rFonts w:ascii="Book Antiqua" w:hAnsi="Book Antiqua" w:eastAsia="Book Antiqua" w:cs="Book Antiqua"/>
        </w:rPr>
        <w:t xml:space="preserve">up expenses and fulfill this requirement. </w:t>
      </w:r>
    </w:p>
    <w:p w:rsidR="00603238" w:rsidP="00376A59" w:rsidRDefault="00376A59" w14:paraId="7278FDD0" w14:textId="77777777">
      <w:pPr>
        <w:pStyle w:val="Heading1"/>
      </w:pPr>
      <w:bookmarkStart w:name="_Toc222922053" w:id="25"/>
      <w:bookmarkStart w:name="_Toc222923634" w:id="26"/>
      <w:bookmarkStart w:name="_Toc222926640" w:id="27"/>
      <w:bookmarkStart w:name="_Toc222928861" w:id="28"/>
      <w:bookmarkStart w:name="_Toc222922054" w:id="29"/>
      <w:bookmarkStart w:name="_Toc222923635" w:id="30"/>
      <w:bookmarkStart w:name="_Toc222926641" w:id="31"/>
      <w:bookmarkStart w:name="_Toc222928862" w:id="32"/>
      <w:bookmarkStart w:name="_Toc222922055" w:id="33"/>
      <w:bookmarkStart w:name="_Toc222923636" w:id="34"/>
      <w:bookmarkStart w:name="_Toc222926642" w:id="35"/>
      <w:bookmarkStart w:name="_Toc222928863" w:id="36"/>
      <w:bookmarkStart w:name="_Toc222922056" w:id="37"/>
      <w:bookmarkStart w:name="_Toc222923637" w:id="38"/>
      <w:bookmarkStart w:name="_Toc222926643" w:id="39"/>
      <w:bookmarkStart w:name="_Toc222928864" w:id="40"/>
      <w:bookmarkStart w:name="_Toc222922057" w:id="41"/>
      <w:bookmarkStart w:name="_Toc222923638" w:id="42"/>
      <w:bookmarkStart w:name="_Toc222926644" w:id="43"/>
      <w:bookmarkStart w:name="_Toc222928865" w:id="44"/>
      <w:bookmarkStart w:name="_Toc222922058" w:id="45"/>
      <w:bookmarkStart w:name="_Toc222923639" w:id="46"/>
      <w:bookmarkStart w:name="_Toc222926645" w:id="47"/>
      <w:bookmarkStart w:name="_Toc222928866" w:id="48"/>
      <w:bookmarkStart w:name="_Toc222922059" w:id="49"/>
      <w:bookmarkStart w:name="_Toc222923640" w:id="50"/>
      <w:bookmarkStart w:name="_Toc222926646" w:id="51"/>
      <w:bookmarkStart w:name="_Toc222928867" w:id="52"/>
      <w:bookmarkStart w:name="_Toc222922060" w:id="53"/>
      <w:bookmarkStart w:name="_Toc222923641" w:id="54"/>
      <w:bookmarkStart w:name="_Toc222926647" w:id="55"/>
      <w:bookmarkStart w:name="_Toc222928868" w:id="56"/>
      <w:bookmarkStart w:name="_Toc222922061" w:id="57"/>
      <w:bookmarkStart w:name="_Toc222923642" w:id="58"/>
      <w:bookmarkStart w:name="_Toc222926648" w:id="59"/>
      <w:bookmarkStart w:name="_Toc222928869" w:id="60"/>
      <w:bookmarkStart w:name="_Toc222922062" w:id="61"/>
      <w:bookmarkStart w:name="_Toc222923643" w:id="62"/>
      <w:bookmarkStart w:name="_Toc222926649" w:id="63"/>
      <w:bookmarkStart w:name="_Toc222928870" w:id="64"/>
      <w:bookmarkStart w:name="_Toc222922063" w:id="65"/>
      <w:bookmarkStart w:name="_Toc222923644" w:id="66"/>
      <w:bookmarkStart w:name="_Toc222926650" w:id="67"/>
      <w:bookmarkStart w:name="_Toc222928871" w:id="68"/>
      <w:bookmarkStart w:name="_Toc222922064" w:id="69"/>
      <w:bookmarkStart w:name="_Toc222923645" w:id="70"/>
      <w:bookmarkStart w:name="_Toc222926651" w:id="71"/>
      <w:bookmarkStart w:name="_Toc222928872" w:id="72"/>
      <w:bookmarkStart w:name="_Toc240876452" w:id="73"/>
      <w:bookmarkStart w:name="_Toc8123721" w:id="7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376A59">
        <w:rPr>
          <w:bCs/>
        </w:rPr>
        <w:t>T</w:t>
      </w:r>
      <w:r w:rsidRPr="00710EBA" w:rsidR="00710EBA">
        <w:t>echnical Qualifications</w:t>
      </w:r>
      <w:bookmarkEnd w:id="73"/>
    </w:p>
    <w:p w:rsidRPr="00603238" w:rsidR="00603238" w:rsidP="00603238" w:rsidRDefault="008845EF" w14:paraId="26ADFF7D" w14:textId="450B6C3B">
      <w:pPr>
        <w:pStyle w:val="Standard"/>
      </w:pPr>
      <w:r w:rsidRPr="008845EF">
        <w:rPr>
          <w:rFonts w:eastAsia="Times New Roman" w:cs="Times New Roman"/>
          <w:szCs w:val="20"/>
        </w:rPr>
        <w:t xml:space="preserve">To receive a CPCN for authority to provide </w:t>
      </w:r>
      <w:r w:rsidRPr="002A22A6">
        <w:rPr>
          <w:rFonts w:eastAsia="Times New Roman" w:cs="Times New Roman"/>
          <w:szCs w:val="20"/>
        </w:rPr>
        <w:t>interexchange service</w:t>
      </w:r>
      <w:r w:rsidRPr="008D0D47">
        <w:rPr>
          <w:rFonts w:eastAsia="Times New Roman" w:cs="Times New Roman"/>
          <w:szCs w:val="20"/>
        </w:rPr>
        <w:t>, an applicant must make a reasonable showing of managerial and technical expertise in telecommunications or a related business.</w:t>
      </w:r>
      <w:r w:rsidRPr="008D0D47">
        <w:rPr>
          <w:rFonts w:eastAsia="Times New Roman" w:cs="Times New Roman"/>
          <w:szCs w:val="26"/>
          <w:vertAlign w:val="superscript"/>
        </w:rPr>
        <w:footnoteReference w:id="28"/>
      </w:r>
      <w:r w:rsidRPr="008D0D47">
        <w:rPr>
          <w:rFonts w:eastAsia="Times New Roman" w:cs="Times New Roman"/>
          <w:szCs w:val="20"/>
        </w:rPr>
        <w:t xml:space="preserve"> </w:t>
      </w:r>
      <w:r w:rsidRPr="007926CC" w:rsidR="00886AEE">
        <w:rPr>
          <w:rFonts w:eastAsia="Times New Roman" w:cs="Times New Roman"/>
          <w:szCs w:val="20"/>
        </w:rPr>
        <w:t>IPC</w:t>
      </w:r>
      <w:r w:rsidRPr="008D0D47">
        <w:rPr>
          <w:rFonts w:eastAsia="Times New Roman" w:cs="Times New Roman"/>
          <w:szCs w:val="20"/>
        </w:rPr>
        <w:t xml:space="preserve"> supplied </w:t>
      </w:r>
      <w:r w:rsidRPr="008845EF">
        <w:rPr>
          <w:rFonts w:eastAsia="Times New Roman" w:cs="Times New Roman"/>
          <w:szCs w:val="20"/>
        </w:rPr>
        <w:t xml:space="preserve">biographical information on its management in </w:t>
      </w:r>
      <w:r w:rsidR="008C6537">
        <w:rPr>
          <w:rFonts w:eastAsia="Times New Roman" w:cs="Times New Roman"/>
          <w:szCs w:val="20"/>
        </w:rPr>
        <w:t>Appendix G</w:t>
      </w:r>
      <w:r w:rsidR="008C6537">
        <w:rPr>
          <w:rFonts w:eastAsia="Times New Roman" w:cs="Times New Roman"/>
          <w:color w:val="000000"/>
          <w:szCs w:val="20"/>
        </w:rPr>
        <w:t xml:space="preserve"> </w:t>
      </w:r>
      <w:r w:rsidRPr="008845EF">
        <w:rPr>
          <w:rFonts w:eastAsia="Times New Roman" w:cs="Times New Roman"/>
          <w:szCs w:val="20"/>
        </w:rPr>
        <w:t>to its application</w:t>
      </w:r>
      <w:r w:rsidR="00F91D69">
        <w:rPr>
          <w:rFonts w:eastAsia="Times New Roman" w:cs="Times New Roman"/>
          <w:szCs w:val="20"/>
        </w:rPr>
        <w:t xml:space="preserve"> and Attachment </w:t>
      </w:r>
      <w:r w:rsidR="008D10EC">
        <w:rPr>
          <w:rFonts w:eastAsia="Times New Roman" w:cs="Times New Roman"/>
          <w:szCs w:val="20"/>
        </w:rPr>
        <w:t xml:space="preserve">3 </w:t>
      </w:r>
      <w:r w:rsidRPr="008F1E3F" w:rsidR="008D10EC">
        <w:t>in its Response to the ALJ Inquiry dated June 15, 2026</w:t>
      </w:r>
      <w:r w:rsidRPr="008845EF">
        <w:rPr>
          <w:rFonts w:eastAsia="Times New Roman" w:cs="Times New Roman"/>
          <w:szCs w:val="20"/>
        </w:rPr>
        <w:t>. The information provided</w:t>
      </w:r>
      <w:r>
        <w:rPr>
          <w:rFonts w:eastAsia="Times New Roman" w:cs="Times New Roman"/>
          <w:szCs w:val="20"/>
        </w:rPr>
        <w:t xml:space="preserve"> </w:t>
      </w:r>
      <w:r w:rsidRPr="008845EF">
        <w:rPr>
          <w:rFonts w:eastAsia="Times New Roman" w:cs="Times New Roman"/>
          <w:szCs w:val="20"/>
        </w:rPr>
        <w:t xml:space="preserve">demonstrates that </w:t>
      </w:r>
      <w:r w:rsidR="008C6537">
        <w:rPr>
          <w:rFonts w:eastAsia="Times New Roman" w:cs="Times New Roman"/>
          <w:szCs w:val="20"/>
        </w:rPr>
        <w:t>IPC</w:t>
      </w:r>
      <w:r w:rsidRPr="008845EF">
        <w:rPr>
          <w:rFonts w:eastAsia="Times New Roman" w:cs="Times New Roman"/>
          <w:szCs w:val="20"/>
        </w:rPr>
        <w:t xml:space="preserve"> has sufficient expertise and training to operate as a telecommunications provider</w:t>
      </w:r>
      <w:r w:rsidR="00603238">
        <w:t>.</w:t>
      </w:r>
    </w:p>
    <w:p w:rsidR="00FA1B4F" w:rsidP="00FA1B4F" w:rsidRDefault="008845EF" w14:paraId="7C2F19AD" w14:textId="77777777">
      <w:pPr>
        <w:pStyle w:val="Heading1"/>
      </w:pPr>
      <w:bookmarkStart w:name="_Toc240876453" w:id="75"/>
      <w:bookmarkEnd w:id="74"/>
      <w:r>
        <w:t>C</w:t>
      </w:r>
      <w:r w:rsidR="00710EBA">
        <w:rPr>
          <w:rFonts w:cs="Arial"/>
        </w:rPr>
        <w:t>ertification Requirements</w:t>
      </w:r>
      <w:bookmarkEnd w:id="75"/>
      <w:r w:rsidRPr="00425E29" w:rsidR="00710EBA">
        <w:rPr>
          <w:rFonts w:cs="Arial"/>
        </w:rPr>
        <w:t xml:space="preserve"> </w:t>
      </w:r>
    </w:p>
    <w:p w:rsidRPr="00D55426" w:rsidR="008845EF" w:rsidP="008845EF" w:rsidRDefault="008C6537" w14:paraId="35F8F5B0" w14:textId="0CBA62EE">
      <w:pPr>
        <w:autoSpaceDE w:val="0"/>
        <w:autoSpaceDN w:val="0"/>
        <w:adjustRightInd w:val="0"/>
        <w:rPr>
          <w:rFonts w:eastAsia="Book Antiqua" w:cs="Book Antiqua"/>
        </w:rPr>
      </w:pPr>
      <w:r>
        <w:t xml:space="preserve">IPC </w:t>
      </w:r>
      <w:r w:rsidR="00A01D85">
        <w:t>cannot certify</w:t>
      </w:r>
      <w:r w:rsidR="00A94451">
        <w:t xml:space="preserve"> that</w:t>
      </w:r>
      <w:r w:rsidR="008845EF">
        <w:t xml:space="preserve"> </w:t>
      </w:r>
      <w:r w:rsidR="00310E66">
        <w:t>neither IPC, nor any of its affiliates, officers, directors, partners, agents, or owners (directly or indirectly)</w:t>
      </w:r>
      <w:r w:rsidR="008845EF">
        <w:t xml:space="preserve"> of more than 10 p</w:t>
      </w:r>
      <w:r w:rsidRPr="00D55426" w:rsidR="008845EF">
        <w:rPr>
          <w:rFonts w:eastAsia="Book Antiqua" w:cs="Book Antiqua"/>
        </w:rPr>
        <w:t xml:space="preserve">ercent of </w:t>
      </w:r>
      <w:r w:rsidRPr="00D55426">
        <w:rPr>
          <w:rFonts w:eastAsia="Book Antiqua" w:cs="Book Antiqua"/>
        </w:rPr>
        <w:t>IPC</w:t>
      </w:r>
      <w:r w:rsidRPr="00D55426" w:rsidR="004C5365">
        <w:rPr>
          <w:rFonts w:eastAsia="Book Antiqua" w:cs="Book Antiqua"/>
        </w:rPr>
        <w:t>,</w:t>
      </w:r>
      <w:r w:rsidRPr="00D55426" w:rsidR="008845EF">
        <w:rPr>
          <w:rFonts w:eastAsia="Book Antiqua" w:cs="Book Antiqua"/>
        </w:rPr>
        <w:t xml:space="preserve"> or anyone acting in a management capacity for </w:t>
      </w:r>
      <w:r w:rsidRPr="00D55426">
        <w:rPr>
          <w:rFonts w:eastAsia="Book Antiqua" w:cs="Book Antiqua"/>
        </w:rPr>
        <w:t>IPC</w:t>
      </w:r>
      <w:r w:rsidRPr="00D55426" w:rsidR="00895E49">
        <w:rPr>
          <w:rFonts w:eastAsia="Book Antiqua" w:cs="Book Antiqua"/>
        </w:rPr>
        <w:t>:</w:t>
      </w:r>
    </w:p>
    <w:p w:rsidRPr="006B73BF" w:rsidR="00155AE8" w:rsidP="000E2FB2" w:rsidRDefault="005E5E6E" w14:paraId="6A88035E" w14:textId="0F5EA499">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t>H</w:t>
      </w:r>
      <w:r w:rsidRPr="006B73BF" w:rsidR="008845EF">
        <w:rPr>
          <w:rFonts w:ascii="Book Antiqua" w:hAnsi="Book Antiqua" w:eastAsia="Book Antiqua" w:cs="Book Antiqua"/>
        </w:rPr>
        <w:t>eld one of these positions with a company that filed for bankruptcy;</w:t>
      </w:r>
    </w:p>
    <w:p w:rsidRPr="006B73BF" w:rsidR="00155AE8" w:rsidP="000E2FB2" w:rsidRDefault="005E5E6E" w14:paraId="4109577A" w14:textId="0CD6574C">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t>Been personally found liable, or held one of these positions with a company that has been found liable, for fraud, dishonesty, failure to disclose, or misrepresentations to consumers or others;</w:t>
      </w:r>
    </w:p>
    <w:p w:rsidRPr="006B73BF" w:rsidR="00155AE8" w:rsidP="000E2FB2" w:rsidRDefault="005E5E6E" w14:paraId="72B9A2AB" w14:textId="436374C8">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t>Been convicted of a felony;</w:t>
      </w:r>
    </w:p>
    <w:p w:rsidRPr="006B73BF" w:rsidR="00155AE8" w:rsidP="000E2FB2" w:rsidRDefault="005E5E6E" w14:paraId="2FBD709C" w14:textId="798B45A4">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t xml:space="preserve">Been (to his/her knowledge) the subject of a criminal referral by </w:t>
      </w:r>
      <w:r w:rsidRPr="006B73BF" w:rsidR="007D4297">
        <w:rPr>
          <w:rFonts w:ascii="Book Antiqua" w:hAnsi="Book Antiqua" w:eastAsia="Book Antiqua" w:cs="Book Antiqua"/>
        </w:rPr>
        <w:t xml:space="preserve">a </w:t>
      </w:r>
      <w:r w:rsidRPr="006B73BF">
        <w:rPr>
          <w:rFonts w:ascii="Book Antiqua" w:hAnsi="Book Antiqua" w:eastAsia="Book Antiqua" w:cs="Book Antiqua"/>
        </w:rPr>
        <w:t>judge or public agency;</w:t>
      </w:r>
    </w:p>
    <w:p w:rsidRPr="006B73BF" w:rsidR="00155AE8" w:rsidP="000E2FB2" w:rsidRDefault="005E5E6E" w14:paraId="3F6C5419" w14:textId="4F8223B6">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t>Had a telecommunications license or operating authority denied, suspended, revoked, or limited in any jurisdiction;</w:t>
      </w:r>
    </w:p>
    <w:p w:rsidRPr="006B73BF" w:rsidR="00155AE8" w:rsidP="000E2FB2" w:rsidRDefault="005E5E6E" w14:paraId="58F8F9FC" w14:textId="010211F5">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lastRenderedPageBreak/>
        <w:t xml:space="preserve">Personally entered into a settlement, or held one of these positions with a company that has entered into settlement of criminal or civil claims involving violations of [Sections] </w:t>
      </w:r>
      <w:r w:rsidRPr="006B73BF" w:rsidR="005B1908">
        <w:rPr>
          <w:rFonts w:ascii="Book Antiqua" w:hAnsi="Book Antiqua" w:eastAsia="Book Antiqua" w:cs="Book Antiqua"/>
        </w:rPr>
        <w:t>§</w:t>
      </w:r>
      <w:r w:rsidRPr="006B73BF">
        <w:rPr>
          <w:rFonts w:ascii="Book Antiqua" w:hAnsi="Book Antiqua" w:eastAsia="Book Antiqua" w:cs="Book Antiqua"/>
        </w:rPr>
        <w:t xml:space="preserve">17000 et seq., [Sections] </w:t>
      </w:r>
      <w:r w:rsidRPr="006B73BF" w:rsidR="005B1908">
        <w:rPr>
          <w:rFonts w:ascii="Book Antiqua" w:hAnsi="Book Antiqua" w:eastAsia="Book Antiqua" w:cs="Book Antiqua"/>
        </w:rPr>
        <w:t>§</w:t>
      </w:r>
      <w:r w:rsidRPr="006B73BF">
        <w:rPr>
          <w:rFonts w:ascii="Book Antiqua" w:hAnsi="Book Antiqua" w:eastAsia="Book Antiqua" w:cs="Book Antiqua"/>
        </w:rPr>
        <w:t xml:space="preserve">17200 et seq., or [Sections] </w:t>
      </w:r>
      <w:r w:rsidRPr="006B73BF" w:rsidR="005B1908">
        <w:rPr>
          <w:rFonts w:ascii="Book Antiqua" w:hAnsi="Book Antiqua" w:eastAsia="Book Antiqua" w:cs="Book Antiqua"/>
        </w:rPr>
        <w:t>§</w:t>
      </w:r>
      <w:r w:rsidRPr="006B73BF">
        <w:rPr>
          <w:rFonts w:ascii="Book Antiqua" w:hAnsi="Book Antiqua" w:eastAsia="Book Antiqua" w:cs="Book Antiqua"/>
        </w:rPr>
        <w:t>17500 et seq. of the California Business &amp; Professions Code, or of any other statute, regulation, or decisional law relating to fraud, dishonesty, failure to disclose, or misrepresentations to consumers or others; or…</w:t>
      </w:r>
    </w:p>
    <w:p w:rsidRPr="006B73BF" w:rsidR="00155AE8" w:rsidP="000E2FB2" w:rsidRDefault="005E5E6E" w14:paraId="71009E70" w14:textId="54D29FB0">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t>Been found to have violated any statute, law, or rule pertaining to public utilities or other regulated industries; or</w:t>
      </w:r>
    </w:p>
    <w:p w:rsidRPr="006B73BF" w:rsidR="00A01D85" w:rsidP="000E2FB2" w:rsidRDefault="005E5E6E" w14:paraId="7A3D104A" w14:textId="558EB2DA">
      <w:pPr>
        <w:pStyle w:val="ListParagraph"/>
        <w:numPr>
          <w:ilvl w:val="1"/>
          <w:numId w:val="27"/>
        </w:numPr>
        <w:tabs>
          <w:tab w:val="left" w:pos="7920"/>
        </w:tabs>
        <w:autoSpaceDE w:val="0"/>
        <w:autoSpaceDN w:val="0"/>
        <w:adjustRightInd w:val="0"/>
        <w:spacing w:after="120"/>
        <w:ind w:left="1080" w:right="1440"/>
        <w:contextualSpacing w:val="0"/>
        <w:rPr>
          <w:rFonts w:ascii="Book Antiqua" w:hAnsi="Book Antiqua" w:eastAsia="Book Antiqua" w:cs="Book Antiqua"/>
        </w:rPr>
      </w:pPr>
      <w:r w:rsidRPr="006B73BF">
        <w:rPr>
          <w:rFonts w:ascii="Book Antiqua" w:hAnsi="Book Antiqua" w:eastAsia="Book Antiqua" w:cs="Book Antiqua"/>
        </w:rPr>
        <w:t>Entered into any settlement agreements or made any voluntary payments or agreed to any other type of monetary forfeitures in resolution of any action by any regulatory body, agency, or attorney general.</w:t>
      </w:r>
    </w:p>
    <w:p w:rsidRPr="002F2A00" w:rsidR="00A01D85" w:rsidP="000E2FB2" w:rsidRDefault="00A01D85" w14:paraId="254FEF79" w14:textId="34156998">
      <w:pPr>
        <w:pStyle w:val="Standard"/>
        <w:spacing w:before="120"/>
        <w:contextualSpacing/>
      </w:pPr>
      <w:r>
        <w:rPr>
          <w:szCs w:val="26"/>
        </w:rPr>
        <w:t xml:space="preserve">Similarly, </w:t>
      </w:r>
      <w:r>
        <w:t>IPC cannot certify that,</w:t>
      </w:r>
      <w:r w:rsidRPr="4372617A">
        <w:t xml:space="preserve"> to the best of</w:t>
      </w:r>
      <w:r w:rsidRPr="00C12A40">
        <w:rPr>
          <w:b/>
          <w:bCs/>
        </w:rPr>
        <w:t xml:space="preserve"> </w:t>
      </w:r>
      <w:r w:rsidRPr="00C12A40">
        <w:t>IPC</w:t>
      </w:r>
      <w:r w:rsidRPr="00A01D85">
        <w:t xml:space="preserve">’s </w:t>
      </w:r>
      <w:r w:rsidRPr="4372617A">
        <w:t xml:space="preserve">knowledge, neither </w:t>
      </w:r>
      <w:r>
        <w:t>IPC</w:t>
      </w:r>
      <w:r w:rsidRPr="4372617A">
        <w:t>, nor any affiliate, officer, director, partner, or owner of more</w:t>
      </w:r>
      <w:r w:rsidR="00281547">
        <w:t xml:space="preserve"> </w:t>
      </w:r>
      <w:r w:rsidRPr="4372617A">
        <w:t xml:space="preserve">than </w:t>
      </w:r>
      <w:r w:rsidR="00281547">
        <w:br/>
      </w:r>
      <w:r w:rsidRPr="4372617A">
        <w:t>10</w:t>
      </w:r>
      <w:r w:rsidR="00281547">
        <w:t xml:space="preserve"> </w:t>
      </w:r>
      <w:r w:rsidRPr="4372617A">
        <w:t xml:space="preserve">percent of </w:t>
      </w:r>
      <w:r>
        <w:t>IPC</w:t>
      </w:r>
      <w:r w:rsidRPr="4372617A">
        <w:t>, or any person acting in such capacity whether or not formally appointed, is being, or has been investigated by the Federal Communications Commission or any law enforcement or regulatory agency for failure to comply with any law, rule or order.</w:t>
      </w:r>
      <w:r w:rsidRPr="00425E29">
        <w:rPr>
          <w:rStyle w:val="FootnoteReference"/>
          <w:rFonts w:cs="BookAntiqua"/>
          <w:szCs w:val="26"/>
        </w:rPr>
        <w:footnoteReference w:id="29"/>
      </w:r>
    </w:p>
    <w:p w:rsidR="006C3D57" w:rsidP="00E66132" w:rsidRDefault="00750845" w14:paraId="11A1462F" w14:textId="5F41D41B">
      <w:pPr>
        <w:pStyle w:val="Standard"/>
      </w:pPr>
      <w:bookmarkStart w:name="_Hlk146809291" w:id="76"/>
      <w:r>
        <w:t>IPC</w:t>
      </w:r>
      <w:r w:rsidR="00E81FF7">
        <w:t xml:space="preserve"> disclosed </w:t>
      </w:r>
      <w:r w:rsidR="00CE5B7E">
        <w:t>that</w:t>
      </w:r>
      <w:r w:rsidR="00E81FF7">
        <w:t xml:space="preserve"> it </w:t>
      </w:r>
      <w:r w:rsidR="00B6333A">
        <w:t xml:space="preserve">previously </w:t>
      </w:r>
      <w:r w:rsidR="00E81FF7">
        <w:t>had a telecommunications license revoked.  Specifically, IPC</w:t>
      </w:r>
      <w:r>
        <w:t xml:space="preserve"> reported that </w:t>
      </w:r>
      <w:r w:rsidR="006C7874">
        <w:t xml:space="preserve">in 2012 </w:t>
      </w:r>
      <w:r>
        <w:t>the Commission revoked the CPCN of IPC Network Services Inc.</w:t>
      </w:r>
      <w:r w:rsidR="006048AB">
        <w:t>, a wholly-owned subsidiary of IPC Systems</w:t>
      </w:r>
      <w:r w:rsidR="0038770B">
        <w:t xml:space="preserve"> Inc.</w:t>
      </w:r>
      <w:r>
        <w:t xml:space="preserve"> IPC noted</w:t>
      </w:r>
      <w:r w:rsidR="004C2034">
        <w:t>,</w:t>
      </w:r>
      <w:r>
        <w:t xml:space="preserve"> </w:t>
      </w:r>
      <w:r w:rsidR="00214B8E">
        <w:t>however</w:t>
      </w:r>
      <w:r w:rsidR="004C2034">
        <w:t>,</w:t>
      </w:r>
      <w:r w:rsidR="00214B8E">
        <w:t xml:space="preserve"> </w:t>
      </w:r>
      <w:r>
        <w:t>that the Commission granted a new certificat</w:t>
      </w:r>
      <w:r w:rsidR="004C2034">
        <w:t>e</w:t>
      </w:r>
      <w:r>
        <w:t xml:space="preserve"> </w:t>
      </w:r>
      <w:r w:rsidR="004C2034">
        <w:t>to</w:t>
      </w:r>
      <w:r>
        <w:t xml:space="preserve"> IPC Network Services in 2014.</w:t>
      </w:r>
      <w:r>
        <w:rPr>
          <w:rStyle w:val="FootnoteReference"/>
        </w:rPr>
        <w:footnoteReference w:id="30"/>
      </w:r>
      <w:r w:rsidR="003D5785">
        <w:rPr>
          <w:vertAlign w:val="superscript"/>
        </w:rPr>
        <w:t xml:space="preserve"> </w:t>
      </w:r>
      <w:r w:rsidR="003D5785">
        <w:t xml:space="preserve">Given that the Commission </w:t>
      </w:r>
      <w:r w:rsidR="009C655D">
        <w:t>reviewed the violation and determined that</w:t>
      </w:r>
      <w:r w:rsidR="003D5785">
        <w:t xml:space="preserve"> IPC </w:t>
      </w:r>
      <w:r w:rsidR="009C655D">
        <w:t xml:space="preserve">Network Services should still be eligible for </w:t>
      </w:r>
      <w:r w:rsidR="003D5785">
        <w:t xml:space="preserve">a new </w:t>
      </w:r>
      <w:r w:rsidR="003D5785">
        <w:lastRenderedPageBreak/>
        <w:t xml:space="preserve">certification, we </w:t>
      </w:r>
      <w:r w:rsidR="009C655D">
        <w:t>affirm the Commission’s prior finding in D.</w:t>
      </w:r>
      <w:r w:rsidR="00E66132">
        <w:t>14-10-042</w:t>
      </w:r>
      <w:r w:rsidR="009C655D">
        <w:t xml:space="preserve"> </w:t>
      </w:r>
      <w:r w:rsidR="003D5785">
        <w:t xml:space="preserve">that IPC’s </w:t>
      </w:r>
      <w:r w:rsidR="00A018CA">
        <w:t>wholly-owned subsidiary</w:t>
      </w:r>
      <w:r w:rsidR="003D5785">
        <w:t>, IPC Network Services Inc.</w:t>
      </w:r>
      <w:r w:rsidR="000922A6">
        <w:t>,</w:t>
      </w:r>
      <w:r w:rsidR="003D5785">
        <w:t xml:space="preserve"> </w:t>
      </w:r>
      <w:r w:rsidR="00981DDF">
        <w:t>was eligible for a CPCN after</w:t>
      </w:r>
      <w:r w:rsidR="00B11B8E">
        <w:t xml:space="preserve"> the Commission’s</w:t>
      </w:r>
      <w:r w:rsidR="003D5785">
        <w:t xml:space="preserve"> initial CPCN revocation</w:t>
      </w:r>
      <w:r w:rsidR="002F2A00">
        <w:t>.</w:t>
      </w:r>
      <w:r w:rsidR="00981DDF">
        <w:t xml:space="preserve"> We also note that IPC Network Services Inc. has operated without </w:t>
      </w:r>
      <w:r w:rsidR="004452A1">
        <w:t xml:space="preserve">penalty or license revocation by the Commission’s Communications Division </w:t>
      </w:r>
      <w:r w:rsidR="000922A6">
        <w:t xml:space="preserve">for the </w:t>
      </w:r>
      <w:r w:rsidR="00BB7B5F">
        <w:t>12</w:t>
      </w:r>
      <w:r w:rsidR="000922A6">
        <w:t xml:space="preserve"> years </w:t>
      </w:r>
      <w:r w:rsidR="004452A1">
        <w:t xml:space="preserve">since </w:t>
      </w:r>
      <w:r w:rsidR="00D65AF5">
        <w:t xml:space="preserve">its license was reinstated in </w:t>
      </w:r>
      <w:r w:rsidR="004452A1">
        <w:t>2014.</w:t>
      </w:r>
    </w:p>
    <w:p w:rsidR="00E81A79" w:rsidP="005060AE" w:rsidRDefault="008845EF" w14:paraId="09A1B335" w14:textId="1C6756A5">
      <w:pPr>
        <w:pStyle w:val="Standard"/>
      </w:pPr>
      <w:r w:rsidRPr="00851EE0">
        <w:t xml:space="preserve">Also, </w:t>
      </w:r>
      <w:r w:rsidR="00B00411">
        <w:t>IPC disclosed that in 2009, the Federal Communications</w:t>
      </w:r>
      <w:r w:rsidR="006F5F23">
        <w:t xml:space="preserve"> Commission’s </w:t>
      </w:r>
      <w:r w:rsidR="004D38A2">
        <w:t xml:space="preserve">(FCC) </w:t>
      </w:r>
      <w:r w:rsidR="006F5F23">
        <w:t xml:space="preserve">Enforcement Bureau issued an Omnibus Notice of Apparent Liability for Forfeiture against </w:t>
      </w:r>
      <w:r w:rsidR="00981DDF">
        <w:t>IPC Network Services</w:t>
      </w:r>
      <w:r w:rsidR="00C91D71">
        <w:t xml:space="preserve"> </w:t>
      </w:r>
      <w:r w:rsidR="00981DDF">
        <w:t xml:space="preserve">Inc. </w:t>
      </w:r>
      <w:r w:rsidR="00C91D71">
        <w:t>for allegedly failing to timely file a C</w:t>
      </w:r>
      <w:r w:rsidR="00E66132">
        <w:t xml:space="preserve">ustomer </w:t>
      </w:r>
      <w:r w:rsidR="00C91D71">
        <w:t>P</w:t>
      </w:r>
      <w:r w:rsidR="00E66132">
        <w:t>roprietary Network Information</w:t>
      </w:r>
      <w:r w:rsidR="001D426E">
        <w:t xml:space="preserve"> (CPNI)</w:t>
      </w:r>
      <w:r w:rsidR="00C91D71">
        <w:t xml:space="preserve"> compliance certification for calendar year 2007. IPC </w:t>
      </w:r>
      <w:r w:rsidR="00E006B6">
        <w:t xml:space="preserve">added that in 2010, a subsequent order was issued finding that </w:t>
      </w:r>
      <w:r w:rsidR="00981DDF">
        <w:t>IPC Network Services Inc.</w:t>
      </w:r>
      <w:r w:rsidR="00E006B6">
        <w:t xml:space="preserve"> was</w:t>
      </w:r>
      <w:r w:rsidR="001B12BF">
        <w:t>,</w:t>
      </w:r>
      <w:r w:rsidR="00E006B6">
        <w:t xml:space="preserve"> </w:t>
      </w:r>
      <w:r w:rsidR="001B12BF">
        <w:br/>
      </w:r>
      <w:r w:rsidR="00E006B6">
        <w:t>“</w:t>
      </w:r>
      <w:r w:rsidR="001B12BF">
        <w:t>…</w:t>
      </w:r>
      <w:r w:rsidR="00466E15">
        <w:t>n</w:t>
      </w:r>
      <w:r w:rsidR="00E006B6">
        <w:t>ot required to file a CPNI certification for calendar year 2007</w:t>
      </w:r>
      <w:r w:rsidR="001B12BF">
        <w:t>,</w:t>
      </w:r>
      <w:r w:rsidR="00E006B6">
        <w:t>” and held that no forfeiture should be imposed.</w:t>
      </w:r>
      <w:r w:rsidR="00227BEA">
        <w:rPr>
          <w:rStyle w:val="FootnoteReference"/>
        </w:rPr>
        <w:footnoteReference w:id="31"/>
      </w:r>
      <w:r w:rsidR="00E006B6">
        <w:t xml:space="preserve"> </w:t>
      </w:r>
      <w:r w:rsidR="005C09D2">
        <w:t xml:space="preserve">Given that the FCC subsequently ordered that IPC </w:t>
      </w:r>
      <w:r w:rsidR="00981DDF">
        <w:t xml:space="preserve">Network </w:t>
      </w:r>
      <w:r w:rsidR="008C28C2">
        <w:t xml:space="preserve">Services </w:t>
      </w:r>
      <w:r w:rsidR="00981DDF">
        <w:t xml:space="preserve">Inc. </w:t>
      </w:r>
      <w:r w:rsidR="005C09D2">
        <w:t>was not required to file a certification for calendar year 2007, we find that IPC</w:t>
      </w:r>
      <w:r w:rsidR="00981DDF">
        <w:t xml:space="preserve"> Network </w:t>
      </w:r>
      <w:r w:rsidR="008C28C2">
        <w:t xml:space="preserve">Services </w:t>
      </w:r>
      <w:r w:rsidR="00981DDF">
        <w:t>Inc.</w:t>
      </w:r>
      <w:r w:rsidR="005C09D2">
        <w:t xml:space="preserve"> adequately remedie</w:t>
      </w:r>
      <w:r w:rsidR="003F48E0">
        <w:t>d</w:t>
      </w:r>
      <w:r w:rsidR="005C09D2">
        <w:t xml:space="preserve"> the issue </w:t>
      </w:r>
      <w:r w:rsidR="00B11B8E">
        <w:t>that gave rise to the</w:t>
      </w:r>
      <w:r w:rsidR="003F48E0">
        <w:t xml:space="preserve"> FCC’s enforcement action.</w:t>
      </w:r>
    </w:p>
    <w:bookmarkEnd w:id="76"/>
    <w:p w:rsidRPr="00343E5C" w:rsidR="00343E5C" w:rsidP="005060AE" w:rsidRDefault="008845EF" w14:paraId="423141DD" w14:textId="38E48D16">
      <w:pPr>
        <w:pStyle w:val="Standard"/>
      </w:pPr>
      <w:r w:rsidRPr="4372617A">
        <w:t xml:space="preserve">For the </w:t>
      </w:r>
      <w:r w:rsidR="003643C1">
        <w:t>aforementioned</w:t>
      </w:r>
      <w:r w:rsidRPr="4372617A">
        <w:t xml:space="preserve"> reasons, this decision finds </w:t>
      </w:r>
      <w:r w:rsidRPr="006527AD">
        <w:rPr>
          <w:rFonts w:cs="Arial"/>
        </w:rPr>
        <w:t xml:space="preserve">that </w:t>
      </w:r>
      <w:bookmarkStart w:name="_Hlk65664970" w:id="77"/>
      <w:r w:rsidRPr="006527AD" w:rsidR="009A0371">
        <w:rPr>
          <w:bCs/>
          <w:szCs w:val="26"/>
        </w:rPr>
        <w:t>IPC</w:t>
      </w:r>
      <w:bookmarkEnd w:id="77"/>
      <w:r w:rsidR="00981DDF">
        <w:rPr>
          <w:rFonts w:cs="Arial"/>
        </w:rPr>
        <w:t xml:space="preserve">, the </w:t>
      </w:r>
      <w:r w:rsidR="00861DA1">
        <w:rPr>
          <w:rFonts w:cs="Arial"/>
        </w:rPr>
        <w:t xml:space="preserve">parent company </w:t>
      </w:r>
      <w:r w:rsidR="00981DDF">
        <w:rPr>
          <w:rFonts w:cs="Arial"/>
        </w:rPr>
        <w:t>of IPC Network</w:t>
      </w:r>
      <w:r w:rsidR="00861DA1">
        <w:rPr>
          <w:rFonts w:cs="Arial"/>
        </w:rPr>
        <w:t xml:space="preserve"> Service</w:t>
      </w:r>
      <w:r w:rsidR="00981DDF">
        <w:rPr>
          <w:rFonts w:cs="Arial"/>
        </w:rPr>
        <w:t xml:space="preserve">s Inc, should be granted a CPCN despite its failure to meet </w:t>
      </w:r>
      <w:r w:rsidRPr="4372617A">
        <w:rPr>
          <w:rFonts w:cs="Arial"/>
        </w:rPr>
        <w:t>the</w:t>
      </w:r>
      <w:r w:rsidR="00642B51">
        <w:rPr>
          <w:rFonts w:cs="Arial"/>
        </w:rPr>
        <w:t xml:space="preserve"> certification</w:t>
      </w:r>
      <w:r w:rsidRPr="4372617A">
        <w:rPr>
          <w:rFonts w:cs="Arial"/>
        </w:rPr>
        <w:t xml:space="preserve"> requirements of D.13</w:t>
      </w:r>
      <w:r>
        <w:rPr>
          <w:rFonts w:cs="Arial"/>
          <w:szCs w:val="26"/>
        </w:rPr>
        <w:noBreakHyphen/>
      </w:r>
      <w:r w:rsidRPr="4372617A">
        <w:rPr>
          <w:rFonts w:cs="Arial"/>
        </w:rPr>
        <w:t>05</w:t>
      </w:r>
      <w:r>
        <w:rPr>
          <w:rFonts w:cs="Arial"/>
          <w:szCs w:val="26"/>
        </w:rPr>
        <w:noBreakHyphen/>
      </w:r>
      <w:r w:rsidRPr="4372617A">
        <w:rPr>
          <w:rFonts w:cs="Arial"/>
        </w:rPr>
        <w:t>035 and D.24-11-003</w:t>
      </w:r>
      <w:r w:rsidR="00343E5C">
        <w:t>.</w:t>
      </w:r>
    </w:p>
    <w:p w:rsidR="004A1EAD" w:rsidP="004A1EAD" w:rsidRDefault="008845EF" w14:paraId="76B8902D" w14:textId="77777777">
      <w:pPr>
        <w:pStyle w:val="Heading1"/>
      </w:pPr>
      <w:bookmarkStart w:name="_Toc240876454" w:id="78"/>
      <w:bookmarkStart w:name="_Toc8123723" w:id="79"/>
      <w:r>
        <w:t>Tariffs</w:t>
      </w:r>
      <w:bookmarkEnd w:id="78"/>
    </w:p>
    <w:p w:rsidRPr="00335AF5" w:rsidR="008845EF" w:rsidP="005006AE" w:rsidRDefault="00331F57" w14:paraId="51551DFF" w14:textId="17A15CA1">
      <w:pPr>
        <w:pStyle w:val="standard0"/>
        <w:rPr>
          <w:rFonts w:ascii="Book Antiqua" w:hAnsi="Book Antiqua"/>
        </w:rPr>
      </w:pPr>
      <w:bookmarkStart w:name="_Hlk183523289" w:id="80"/>
      <w:r>
        <w:rPr>
          <w:rFonts w:ascii="Book Antiqua" w:hAnsi="Book Antiqua"/>
        </w:rPr>
        <w:t>I</w:t>
      </w:r>
      <w:r w:rsidR="007E5654">
        <w:rPr>
          <w:rFonts w:ascii="Book Antiqua" w:hAnsi="Book Antiqua"/>
        </w:rPr>
        <w:t>nterexchange carriers (</w:t>
      </w:r>
      <w:r w:rsidR="008845EF">
        <w:rPr>
          <w:rFonts w:ascii="Book Antiqua" w:hAnsi="Book Antiqua"/>
        </w:rPr>
        <w:t>IECs</w:t>
      </w:r>
      <w:r w:rsidR="007E5654">
        <w:rPr>
          <w:rFonts w:ascii="Book Antiqua" w:hAnsi="Book Antiqua"/>
        </w:rPr>
        <w:t>)</w:t>
      </w:r>
      <w:r w:rsidR="008845EF">
        <w:rPr>
          <w:rFonts w:ascii="Book Antiqua" w:hAnsi="Book Antiqua"/>
        </w:rPr>
        <w:t xml:space="preserve"> requesting</w:t>
      </w:r>
      <w:r w:rsidRPr="00335AF5" w:rsidR="008845EF">
        <w:rPr>
          <w:rFonts w:ascii="Book Antiqua" w:hAnsi="Book Antiqua"/>
        </w:rPr>
        <w:t xml:space="preserve"> detariffed status may be exempt from the requirement to file tariffs</w:t>
      </w:r>
      <w:r w:rsidR="008845EF">
        <w:rPr>
          <w:rFonts w:ascii="Book Antiqua" w:hAnsi="Book Antiqua"/>
        </w:rPr>
        <w:t>,</w:t>
      </w:r>
      <w:r w:rsidRPr="00335AF5" w:rsidR="008845EF">
        <w:rPr>
          <w:rFonts w:ascii="Book Antiqua" w:hAnsi="Book Antiqua"/>
        </w:rPr>
        <w:t xml:space="preserve"> provided </w:t>
      </w:r>
      <w:r w:rsidR="008845EF">
        <w:rPr>
          <w:rFonts w:ascii="Book Antiqua" w:hAnsi="Book Antiqua"/>
        </w:rPr>
        <w:t>they</w:t>
      </w:r>
      <w:r w:rsidRPr="00335AF5" w:rsidR="008845EF">
        <w:rPr>
          <w:rFonts w:ascii="Book Antiqua" w:hAnsi="Book Antiqua"/>
        </w:rPr>
        <w:t xml:space="preserve"> </w:t>
      </w:r>
      <w:r w:rsidR="008845EF">
        <w:rPr>
          <w:rFonts w:ascii="Book Antiqua" w:hAnsi="Book Antiqua"/>
        </w:rPr>
        <w:t>do not provide basic service</w:t>
      </w:r>
      <w:r w:rsidRPr="00335AF5" w:rsidR="008845EF">
        <w:rPr>
          <w:rFonts w:ascii="Book Antiqua" w:hAnsi="Book Antiqua"/>
        </w:rPr>
        <w:t xml:space="preserve"> </w:t>
      </w:r>
      <w:r w:rsidR="008845EF">
        <w:rPr>
          <w:rFonts w:ascii="Book Antiqua" w:hAnsi="Book Antiqua"/>
        </w:rPr>
        <w:t xml:space="preserve">as defined by D.12-12-038 and comply </w:t>
      </w:r>
      <w:r w:rsidRPr="00335AF5" w:rsidR="008845EF">
        <w:rPr>
          <w:rFonts w:ascii="Book Antiqua" w:hAnsi="Book Antiqua"/>
        </w:rPr>
        <w:t xml:space="preserve">with the consumer protection rules identified </w:t>
      </w:r>
      <w:r w:rsidRPr="00335AF5" w:rsidR="008845EF">
        <w:rPr>
          <w:rFonts w:ascii="Book Antiqua" w:hAnsi="Book Antiqua"/>
        </w:rPr>
        <w:lastRenderedPageBreak/>
        <w:t>in D.98</w:t>
      </w:r>
      <w:r w:rsidRPr="00335AF5" w:rsidR="008845EF">
        <w:rPr>
          <w:rFonts w:ascii="Book Antiqua" w:hAnsi="Book Antiqua"/>
        </w:rPr>
        <w:noBreakHyphen/>
        <w:t>08</w:t>
      </w:r>
      <w:r w:rsidRPr="00335AF5" w:rsidR="008845EF">
        <w:rPr>
          <w:rFonts w:ascii="Book Antiqua" w:hAnsi="Book Antiqua"/>
        </w:rPr>
        <w:noBreakHyphen/>
        <w:t>031.</w:t>
      </w:r>
      <w:bookmarkEnd w:id="80"/>
      <w:r w:rsidR="008845EF">
        <w:rPr>
          <w:rFonts w:ascii="Book Antiqua" w:hAnsi="Book Antiqua"/>
        </w:rPr>
        <w:t xml:space="preserve"> </w:t>
      </w:r>
      <w:r w:rsidR="005006AE">
        <w:rPr>
          <w:rFonts w:ascii="Book Antiqua" w:hAnsi="Book Antiqua"/>
        </w:rPr>
        <w:t>IPC</w:t>
      </w:r>
      <w:r w:rsidRPr="00335AF5" w:rsidR="008845EF">
        <w:rPr>
          <w:rFonts w:ascii="Book Antiqua" w:hAnsi="Book Antiqua"/>
        </w:rPr>
        <w:t xml:space="preserve"> indicated it will not offer services that require a tarif</w:t>
      </w:r>
      <w:r w:rsidR="008845EF">
        <w:rPr>
          <w:rFonts w:ascii="Book Antiqua" w:hAnsi="Book Antiqua"/>
        </w:rPr>
        <w:t>f or schedule.</w:t>
      </w:r>
      <w:r w:rsidRPr="00335AF5" w:rsidR="008845EF">
        <w:rPr>
          <w:rFonts w:ascii="Book Antiqua" w:hAnsi="Book Antiqua"/>
        </w:rPr>
        <w:t xml:space="preserve"> </w:t>
      </w:r>
      <w:r w:rsidR="008845EF">
        <w:rPr>
          <w:rFonts w:ascii="Book Antiqua" w:hAnsi="Book Antiqua"/>
        </w:rPr>
        <w:t>T</w:t>
      </w:r>
      <w:r w:rsidRPr="00335AF5" w:rsidR="008845EF">
        <w:rPr>
          <w:rFonts w:ascii="Book Antiqua" w:hAnsi="Book Antiqua"/>
        </w:rPr>
        <w:t>herefore</w:t>
      </w:r>
      <w:r w:rsidR="008845EF">
        <w:rPr>
          <w:rFonts w:ascii="Book Antiqua" w:hAnsi="Book Antiqua"/>
        </w:rPr>
        <w:t>,</w:t>
      </w:r>
      <w:r w:rsidRPr="00335AF5" w:rsidR="008845EF">
        <w:rPr>
          <w:rFonts w:ascii="Book Antiqua" w:hAnsi="Book Antiqua"/>
        </w:rPr>
        <w:t xml:space="preserve"> detariffed status is granted.</w:t>
      </w:r>
    </w:p>
    <w:p w:rsidRPr="008B175A" w:rsidR="007E48BD" w:rsidP="007E48BD" w:rsidRDefault="008845EF" w14:paraId="31D24E56" w14:textId="6216EAD6">
      <w:pPr>
        <w:pStyle w:val="Standard"/>
      </w:pPr>
      <w:r w:rsidRPr="4372617A">
        <w:t xml:space="preserve">In the future, if </w:t>
      </w:r>
      <w:r w:rsidR="005006AE">
        <w:t>IPC</w:t>
      </w:r>
      <w:r w:rsidRPr="4372617A">
        <w:t xml:space="preserve"> decides to offer services that require a tariff or schedule, such as basic service, </w:t>
      </w:r>
      <w:r w:rsidR="00D93347">
        <w:t>IPC</w:t>
      </w:r>
      <w:r w:rsidRPr="4372617A">
        <w:t xml:space="preserve"> must submit proposed tariffs and/or user guides to the Commission’s Communications Division by Tier 2 </w:t>
      </w:r>
      <w:r w:rsidR="00D93347">
        <w:t>a</w:t>
      </w:r>
      <w:r w:rsidRPr="4372617A">
        <w:t>dvice </w:t>
      </w:r>
      <w:r w:rsidR="00D93347">
        <w:t>l</w:t>
      </w:r>
      <w:r w:rsidRPr="4372617A">
        <w:t>etter using the General Order</w:t>
      </w:r>
      <w:r>
        <w:t xml:space="preserve"> (GO)</w:t>
      </w:r>
      <w:r w:rsidRPr="4372617A">
        <w:t> 96B advice letter process at least 30 days before initiation of service.</w:t>
      </w:r>
      <w:r>
        <w:rPr>
          <w:rStyle w:val="FootnoteReference"/>
        </w:rPr>
        <w:footnoteReference w:id="32"/>
      </w:r>
    </w:p>
    <w:p w:rsidR="00FD5971" w:rsidP="007E48BD" w:rsidRDefault="00FD5971" w14:paraId="72B990C7" w14:textId="77777777">
      <w:pPr>
        <w:pStyle w:val="Heading1"/>
      </w:pPr>
      <w:bookmarkStart w:name="_Toc240876455" w:id="81"/>
      <w:r w:rsidRPr="0080384F">
        <w:t xml:space="preserve">Request for Treatment as a </w:t>
      </w:r>
      <w:r>
        <w:br/>
      </w:r>
      <w:r w:rsidRPr="0080384F">
        <w:t>Non-dominant Interexchange Carrier</w:t>
      </w:r>
      <w:bookmarkEnd w:id="81"/>
    </w:p>
    <w:p w:rsidRPr="006B73BF" w:rsidR="00FD5971" w:rsidP="007926CC" w:rsidRDefault="00785307" w14:paraId="54417D79" w14:textId="2A26E9B8">
      <w:pPr>
        <w:pStyle w:val="standard0"/>
        <w:rPr>
          <w:rFonts w:ascii="Book Antiqua" w:hAnsi="Book Antiqua" w:eastAsia="Book Antiqua" w:cs="Book Antiqua"/>
        </w:rPr>
      </w:pPr>
      <w:r w:rsidRPr="006B73BF">
        <w:rPr>
          <w:rFonts w:ascii="Book Antiqua" w:hAnsi="Book Antiqua" w:eastAsia="Book Antiqua" w:cs="Book Antiqua"/>
        </w:rPr>
        <w:t>IPC</w:t>
      </w:r>
      <w:r w:rsidRPr="006B73BF" w:rsidR="00FD5971">
        <w:rPr>
          <w:rFonts w:ascii="Book Antiqua" w:hAnsi="Book Antiqua" w:eastAsia="Book Antiqua" w:cs="Book Antiqua"/>
          <w:b/>
        </w:rPr>
        <w:t xml:space="preserve"> </w:t>
      </w:r>
      <w:r w:rsidRPr="006B73BF" w:rsidR="00FD5971">
        <w:rPr>
          <w:rFonts w:ascii="Book Antiqua" w:hAnsi="Book Antiqua" w:eastAsia="Book Antiqua" w:cs="Book Antiqua"/>
        </w:rPr>
        <w:t>requests treatment as a non</w:t>
      </w:r>
      <w:r w:rsidRPr="009A7BEB" w:rsidR="00FD5971">
        <w:noBreakHyphen/>
      </w:r>
      <w:r w:rsidRPr="006B73BF" w:rsidR="00FD5971">
        <w:rPr>
          <w:rFonts w:ascii="Book Antiqua" w:hAnsi="Book Antiqua" w:eastAsia="Book Antiqua" w:cs="Book Antiqua"/>
        </w:rPr>
        <w:t>dominant interexchange carrier (NDIEC), as detailed in D.85</w:t>
      </w:r>
      <w:r w:rsidRPr="009A7BEB" w:rsidR="00FD5971">
        <w:noBreakHyphen/>
      </w:r>
      <w:r w:rsidRPr="006B73BF" w:rsidR="00FD5971">
        <w:rPr>
          <w:rFonts w:ascii="Book Antiqua" w:hAnsi="Book Antiqua" w:eastAsia="Book Antiqua" w:cs="Book Antiqua"/>
        </w:rPr>
        <w:t>01</w:t>
      </w:r>
      <w:r w:rsidRPr="009A7BEB" w:rsidR="00FD5971">
        <w:noBreakHyphen/>
      </w:r>
      <w:r w:rsidRPr="006B73BF" w:rsidR="00FD5971">
        <w:rPr>
          <w:rFonts w:ascii="Book Antiqua" w:hAnsi="Book Antiqua" w:eastAsia="Book Antiqua" w:cs="Book Antiqua"/>
        </w:rPr>
        <w:t>008 and modified in D.85</w:t>
      </w:r>
      <w:r w:rsidRPr="009A7BEB" w:rsidR="00FD5971">
        <w:noBreakHyphen/>
      </w:r>
      <w:r w:rsidRPr="006B73BF" w:rsidR="00FD5971">
        <w:rPr>
          <w:rFonts w:ascii="Book Antiqua" w:hAnsi="Book Antiqua" w:eastAsia="Book Antiqua" w:cs="Book Antiqua"/>
        </w:rPr>
        <w:t>07</w:t>
      </w:r>
      <w:r w:rsidRPr="009A7BEB" w:rsidR="00FD5971">
        <w:noBreakHyphen/>
      </w:r>
      <w:r w:rsidRPr="006B73BF" w:rsidR="00FD5971">
        <w:rPr>
          <w:rFonts w:ascii="Book Antiqua" w:hAnsi="Book Antiqua" w:eastAsia="Book Antiqua" w:cs="Book Antiqua"/>
        </w:rPr>
        <w:t>081 and D.85</w:t>
      </w:r>
      <w:r w:rsidRPr="009A7BEB" w:rsidR="00FD5971">
        <w:noBreakHyphen/>
      </w:r>
      <w:r w:rsidRPr="006B73BF" w:rsidR="00FD5971">
        <w:rPr>
          <w:rFonts w:ascii="Book Antiqua" w:hAnsi="Book Antiqua" w:eastAsia="Book Antiqua" w:cs="Book Antiqua"/>
        </w:rPr>
        <w:t>11</w:t>
      </w:r>
      <w:r w:rsidRPr="009A7BEB" w:rsidR="00FD5971">
        <w:noBreakHyphen/>
      </w:r>
      <w:r w:rsidRPr="006B73BF" w:rsidR="00FD5971">
        <w:rPr>
          <w:rFonts w:ascii="Book Antiqua" w:hAnsi="Book Antiqua" w:eastAsia="Book Antiqua" w:cs="Book Antiqua"/>
        </w:rPr>
        <w:t xml:space="preserve">044. The Commission recently streamlined and updated the requirements for CLECs and NDIECs, and established a regulatory framework for VoIP providers in D.24-11-003. Therefore, </w:t>
      </w:r>
      <w:r w:rsidRPr="006B73BF">
        <w:rPr>
          <w:rFonts w:ascii="Book Antiqua" w:hAnsi="Book Antiqua" w:eastAsia="Book Antiqua" w:cs="Book Antiqua"/>
        </w:rPr>
        <w:t xml:space="preserve"> IPC </w:t>
      </w:r>
      <w:r w:rsidRPr="006B73BF" w:rsidR="00FD5971">
        <w:rPr>
          <w:rFonts w:ascii="Book Antiqua" w:hAnsi="Book Antiqua" w:eastAsia="Book Antiqua" w:cs="Book Antiqua"/>
        </w:rPr>
        <w:t xml:space="preserve">is accorded all exemptions traditionally granted to NDIECs, without the need for an individual grant for such treatment in this decision. Accordingly, </w:t>
      </w:r>
      <w:r w:rsidRPr="006B73BF">
        <w:rPr>
          <w:rFonts w:ascii="Book Antiqua" w:hAnsi="Book Antiqua" w:eastAsia="Book Antiqua" w:cs="Book Antiqua"/>
        </w:rPr>
        <w:t>IPC</w:t>
      </w:r>
      <w:r w:rsidRPr="006B73BF" w:rsidR="00FE3D58">
        <w:rPr>
          <w:rFonts w:ascii="Book Antiqua" w:hAnsi="Book Antiqua" w:eastAsia="Book Antiqua" w:cs="Book Antiqua"/>
        </w:rPr>
        <w:t>’s</w:t>
      </w:r>
      <w:r w:rsidRPr="006B73BF" w:rsidR="00FD5971">
        <w:rPr>
          <w:rFonts w:ascii="Book Antiqua" w:hAnsi="Book Antiqua" w:eastAsia="Book Antiqua" w:cs="Book Antiqua"/>
        </w:rPr>
        <w:t xml:space="preserve"> request for NDIEC treatment is moot. </w:t>
      </w:r>
      <w:r w:rsidRPr="006B73BF">
        <w:rPr>
          <w:rFonts w:ascii="Book Antiqua" w:hAnsi="Book Antiqua" w:eastAsia="Book Antiqua" w:cs="Book Antiqua"/>
        </w:rPr>
        <w:t>IPC</w:t>
      </w:r>
      <w:r w:rsidRPr="006B73BF" w:rsidR="00FD5971">
        <w:rPr>
          <w:rFonts w:ascii="Book Antiqua" w:hAnsi="Book Antiqua" w:eastAsia="Book Antiqua" w:cs="Book Antiqua"/>
        </w:rPr>
        <w:t xml:space="preserve"> must follow the requirements as summarized and provided for by D.24-11-003,</w:t>
      </w:r>
      <w:r w:rsidRPr="159F8FC3" w:rsidR="00FD5971">
        <w:rPr>
          <w:rStyle w:val="FootnoteReference"/>
          <w:rFonts w:ascii="Book Antiqua" w:hAnsi="Book Antiqua" w:eastAsia="Book Antiqua" w:cs="Book Antiqua"/>
        </w:rPr>
        <w:footnoteReference w:id="33"/>
      </w:r>
      <w:r w:rsidRPr="006B73BF" w:rsidR="00FD5971">
        <w:rPr>
          <w:rFonts w:ascii="Book Antiqua" w:hAnsi="Book Antiqua" w:eastAsia="Book Antiqua" w:cs="Book Antiqua"/>
        </w:rPr>
        <w:t xml:space="preserve"> and as indicated in Appendices B through D.</w:t>
      </w:r>
    </w:p>
    <w:p w:rsidR="00FD5971" w:rsidP="008845EF" w:rsidRDefault="00FD5971" w14:paraId="04BA94C6" w14:textId="77777777">
      <w:pPr>
        <w:pStyle w:val="Heading1"/>
        <w:rPr>
          <w:rFonts w:cs="Arial"/>
        </w:rPr>
      </w:pPr>
      <w:bookmarkStart w:name="_Toc232150874" w:id="82"/>
      <w:bookmarkStart w:name="_Toc233294498" w:id="83"/>
      <w:bookmarkStart w:name="_Toc233294548" w:id="84"/>
      <w:bookmarkStart w:name="_Toc233298754" w:id="85"/>
      <w:bookmarkStart w:name="_Toc233361916" w:id="86"/>
      <w:bookmarkStart w:name="_Toc232150875" w:id="87"/>
      <w:bookmarkStart w:name="_Toc233294499" w:id="88"/>
      <w:bookmarkStart w:name="_Toc233294549" w:id="89"/>
      <w:bookmarkStart w:name="_Toc233298755" w:id="90"/>
      <w:bookmarkStart w:name="_Toc233361917" w:id="91"/>
      <w:bookmarkStart w:name="_Toc232150876" w:id="92"/>
      <w:bookmarkStart w:name="_Toc233294500" w:id="93"/>
      <w:bookmarkStart w:name="_Toc233294550" w:id="94"/>
      <w:bookmarkStart w:name="_Toc233298756" w:id="95"/>
      <w:bookmarkStart w:name="_Toc233361918" w:id="96"/>
      <w:bookmarkStart w:name="_Toc232150877" w:id="97"/>
      <w:bookmarkStart w:name="_Toc233294501" w:id="98"/>
      <w:bookmarkStart w:name="_Toc233294551" w:id="99"/>
      <w:bookmarkStart w:name="_Toc233298757" w:id="100"/>
      <w:bookmarkStart w:name="_Toc233361919" w:id="101"/>
      <w:bookmarkStart w:name="_Toc240876456" w:id="102"/>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661D38">
        <w:rPr>
          <w:rFonts w:cs="Arial"/>
        </w:rPr>
        <w:t>Safety Considerations</w:t>
      </w:r>
      <w:bookmarkEnd w:id="102"/>
    </w:p>
    <w:p w:rsidRPr="006B73BF" w:rsidR="002C4A85" w:rsidP="00041984" w:rsidRDefault="00FD5971" w14:paraId="0C1CB422" w14:textId="6488E5C8">
      <w:pPr>
        <w:pStyle w:val="standard0"/>
        <w:rPr>
          <w:rFonts w:ascii="Book Antiqua" w:hAnsi="Book Antiqua" w:eastAsia="Book Antiqua" w:cs="Book Antiqua"/>
        </w:rPr>
      </w:pPr>
      <w:r w:rsidRPr="006B73BF">
        <w:rPr>
          <w:rFonts w:ascii="Book Antiqua" w:hAnsi="Book Antiqua" w:eastAsia="Book Antiqua" w:cs="Book Antiqua"/>
        </w:rPr>
        <w:t xml:space="preserve">With the adoption of the </w:t>
      </w:r>
      <w:r w:rsidRPr="006B73BF">
        <w:rPr>
          <w:rFonts w:ascii="Book Antiqua" w:hAnsi="Book Antiqua" w:eastAsia="Book Antiqua" w:cs="Book Antiqua"/>
          <w:i/>
        </w:rPr>
        <w:t>Safety</w:t>
      </w:r>
      <w:r w:rsidRPr="006B73BF" w:rsidR="001902B8">
        <w:rPr>
          <w:rFonts w:ascii="Book Antiqua" w:hAnsi="Book Antiqua" w:eastAsia="Book Antiqua" w:cs="Book Antiqua"/>
          <w:i/>
        </w:rPr>
        <w:t xml:space="preserve"> </w:t>
      </w:r>
      <w:r w:rsidRPr="006B73BF">
        <w:rPr>
          <w:rFonts w:ascii="Book Antiqua" w:hAnsi="Book Antiqua" w:eastAsia="Book Antiqua" w:cs="Book Antiqua"/>
          <w:i/>
        </w:rPr>
        <w:t>Policy Statement of the California Pub. Util. Commission</w:t>
      </w:r>
      <w:r w:rsidRPr="006B73BF">
        <w:rPr>
          <w:rFonts w:ascii="Book Antiqua" w:hAnsi="Book Antiqua" w:eastAsia="Book Antiqua" w:cs="Book Antiqua"/>
        </w:rPr>
        <w:t xml:space="preserve"> on July 10, 2014, the Commission has, among other things, heightened its focus on the potential safety implications of every proceeding.  The Commission considered the potential safety implications </w:t>
      </w:r>
      <w:r w:rsidRPr="006B73BF" w:rsidR="00896603">
        <w:rPr>
          <w:rFonts w:ascii="Book Antiqua" w:hAnsi="Book Antiqua" w:eastAsia="Book Antiqua" w:cs="Book Antiqua"/>
        </w:rPr>
        <w:t>in the instant proceeding</w:t>
      </w:r>
      <w:r w:rsidRPr="006B73BF">
        <w:rPr>
          <w:rFonts w:ascii="Book Antiqua" w:hAnsi="Book Antiqua" w:eastAsia="Book Antiqua" w:cs="Book Antiqua"/>
        </w:rPr>
        <w:t xml:space="preserve">. The Commission finds that </w:t>
      </w:r>
      <w:r w:rsidRPr="006B73BF" w:rsidR="004977F5">
        <w:rPr>
          <w:rFonts w:ascii="Book Antiqua" w:hAnsi="Book Antiqua" w:eastAsia="Book Antiqua" w:cs="Book Antiqua"/>
        </w:rPr>
        <w:t>IPC</w:t>
      </w:r>
      <w:r w:rsidRPr="006B73BF" w:rsidDel="001C1206">
        <w:rPr>
          <w:rFonts w:ascii="Book Antiqua" w:hAnsi="Book Antiqua" w:eastAsia="Book Antiqua" w:cs="Book Antiqua"/>
        </w:rPr>
        <w:t xml:space="preserve"> </w:t>
      </w:r>
      <w:r w:rsidRPr="006B73BF">
        <w:rPr>
          <w:rFonts w:ascii="Book Antiqua" w:hAnsi="Book Antiqua" w:eastAsia="Book Antiqua" w:cs="Book Antiqua"/>
        </w:rPr>
        <w:t xml:space="preserve">will meet the Commission’s </w:t>
      </w:r>
      <w:r w:rsidRPr="006B73BF">
        <w:rPr>
          <w:rFonts w:ascii="Book Antiqua" w:hAnsi="Book Antiqua" w:eastAsia="Book Antiqua" w:cs="Book Antiqua"/>
        </w:rPr>
        <w:lastRenderedPageBreak/>
        <w:t xml:space="preserve">minimum safety goals and expectations of </w:t>
      </w:r>
      <w:r w:rsidRPr="006B73BF" w:rsidR="00626441">
        <w:rPr>
          <w:rFonts w:ascii="Book Antiqua" w:hAnsi="Book Antiqua" w:eastAsia="Book Antiqua" w:cs="Book Antiqua"/>
        </w:rPr>
        <w:t>i</w:t>
      </w:r>
      <w:r w:rsidRPr="006B73BF">
        <w:rPr>
          <w:rFonts w:ascii="Book Antiqua" w:hAnsi="Book Antiqua" w:eastAsia="Book Antiqua" w:cs="Book Antiqua"/>
        </w:rPr>
        <w:t>nterexchange carriers because:</w:t>
      </w:r>
      <w:r w:rsidRPr="006B73BF" w:rsidR="00041984">
        <w:rPr>
          <w:rFonts w:ascii="Book Antiqua" w:hAnsi="Book Antiqua" w:eastAsia="Book Antiqua" w:cs="Book Antiqua"/>
        </w:rPr>
        <w:t xml:space="preserve"> (1) </w:t>
      </w:r>
      <w:r w:rsidRPr="006B73BF" w:rsidR="002C4A85">
        <w:rPr>
          <w:rFonts w:ascii="Book Antiqua" w:hAnsi="Book Antiqua" w:eastAsia="Book Antiqua" w:cs="Book Antiqua"/>
        </w:rPr>
        <w:t>IPC has taken steps to meet the financial requirements, as set forth in this decision for a non-facilities-based interexchange carrier, and</w:t>
      </w:r>
      <w:r w:rsidRPr="006B73BF" w:rsidR="00041984">
        <w:rPr>
          <w:rFonts w:ascii="Book Antiqua" w:hAnsi="Book Antiqua" w:eastAsia="Book Antiqua" w:cs="Book Antiqua"/>
        </w:rPr>
        <w:t xml:space="preserve"> (2) </w:t>
      </w:r>
      <w:r w:rsidRPr="006B73BF" w:rsidR="002C4A85">
        <w:rPr>
          <w:rFonts w:ascii="Book Antiqua" w:hAnsi="Book Antiqua" w:eastAsia="Book Antiqua" w:cs="Book Antiqua"/>
        </w:rPr>
        <w:t>IPC is a public utility that is required pursuant to Pub. Util. Code Section 451 to “… furnish and maintain such adequate, efficient, just and reasonable service, instrumentalities, equipment, and facilities, including telephone facilities …  as are necessary to promote the safety, health, comfort, and convenience of its patrons, employees, and the public.”</w:t>
      </w:r>
    </w:p>
    <w:p w:rsidR="00D81681" w:rsidP="00041984" w:rsidRDefault="00CC26C4" w14:paraId="64273870" w14:textId="1B6C819D">
      <w:pPr>
        <w:pStyle w:val="Heading1"/>
      </w:pPr>
      <w:bookmarkStart w:name="_Toc240876457" w:id="103"/>
      <w:r>
        <w:t>Prior Provision of Service</w:t>
      </w:r>
      <w:bookmarkEnd w:id="103"/>
    </w:p>
    <w:p w:rsidR="002067ED" w:rsidP="00D81681" w:rsidRDefault="002067ED" w14:paraId="5DCE80F1" w14:textId="6EC0A33A">
      <w:pPr>
        <w:pStyle w:val="Standard"/>
      </w:pPr>
      <w:r>
        <w:t xml:space="preserve">In its application, IPC disclosed </w:t>
      </w:r>
      <w:r w:rsidR="005979AC">
        <w:t xml:space="preserve">that </w:t>
      </w:r>
      <w:r>
        <w:t xml:space="preserve">it </w:t>
      </w:r>
      <w:r w:rsidR="005979AC">
        <w:t xml:space="preserve">had </w:t>
      </w:r>
      <w:r>
        <w:t xml:space="preserve">contracted with two customers </w:t>
      </w:r>
      <w:r w:rsidR="005979AC">
        <w:t>in California a</w:t>
      </w:r>
      <w:r>
        <w:t>s of July 1, 2025.</w:t>
      </w:r>
      <w:r>
        <w:rPr>
          <w:rStyle w:val="FootnoteReference"/>
        </w:rPr>
        <w:footnoteReference w:id="34"/>
      </w:r>
      <w:r>
        <w:t xml:space="preserve"> Similarly, in its May 26, 2026, response to </w:t>
      </w:r>
      <w:r w:rsidR="00CF0EC5">
        <w:t>the May</w:t>
      </w:r>
      <w:r>
        <w:t xml:space="preserve"> 12</w:t>
      </w:r>
      <w:r w:rsidR="005979AC">
        <w:t xml:space="preserve"> R</w:t>
      </w:r>
      <w:r>
        <w:t xml:space="preserve">uling (May 26 response), IPC admitted it had begun </w:t>
      </w:r>
      <w:r w:rsidR="00BA6B96">
        <w:t>contracting with customers to provide the</w:t>
      </w:r>
      <w:r>
        <w:t xml:space="preserve"> services described in its application as of July 1, 2025.</w:t>
      </w:r>
      <w:r>
        <w:rPr>
          <w:rStyle w:val="FootnoteReference"/>
        </w:rPr>
        <w:footnoteReference w:id="35"/>
      </w:r>
      <w:r>
        <w:t xml:space="preserve"> </w:t>
      </w:r>
    </w:p>
    <w:p w:rsidR="002A171D" w:rsidP="00D25E28" w:rsidRDefault="002A171D" w14:paraId="1E662B17" w14:textId="3527A46E">
      <w:pPr>
        <w:pStyle w:val="Heading2"/>
      </w:pPr>
      <w:bookmarkStart w:name="_Toc240876458" w:id="104"/>
      <w:r>
        <w:t>Surcharges, Interest, User Fees, and Section 405 Penalty</w:t>
      </w:r>
      <w:bookmarkEnd w:id="104"/>
    </w:p>
    <w:p w:rsidR="003A2E80" w:rsidP="003A2E80" w:rsidRDefault="004F024F" w14:paraId="2204E2A9" w14:textId="7697A0BE">
      <w:pPr>
        <w:pStyle w:val="Standard"/>
      </w:pPr>
      <w:r>
        <w:t>All telephone corporations operating in California are required to assess,</w:t>
      </w:r>
      <w:r w:rsidR="003A2E80">
        <w:t xml:space="preserve"> collect</w:t>
      </w:r>
      <w:r w:rsidR="00B30E11">
        <w:t>, report,</w:t>
      </w:r>
      <w:r w:rsidR="003A2E80">
        <w:t xml:space="preserve"> and remit surcharges </w:t>
      </w:r>
      <w:r w:rsidR="005F2CF0">
        <w:t>pursuant to the access line flat rate surcharge mechanism adopted in D.22-10-021</w:t>
      </w:r>
      <w:r w:rsidR="009E4C93">
        <w:rPr>
          <w:rStyle w:val="FootnoteReference"/>
        </w:rPr>
        <w:footnoteReference w:id="36"/>
      </w:r>
      <w:r w:rsidR="005F2CF0">
        <w:t xml:space="preserve"> </w:t>
      </w:r>
      <w:r w:rsidR="003A2E80">
        <w:t xml:space="preserve">in support of </w:t>
      </w:r>
      <w:r w:rsidR="00DB2032">
        <w:t xml:space="preserve">the following </w:t>
      </w:r>
      <w:r w:rsidR="00E71050">
        <w:t>California Public Purpose Program</w:t>
      </w:r>
      <w:r w:rsidR="001116F6">
        <w:t xml:space="preserve">s: </w:t>
      </w:r>
      <w:r w:rsidR="003A2E80">
        <w:t xml:space="preserve"> </w:t>
      </w:r>
    </w:p>
    <w:p w:rsidR="003A2E80" w:rsidP="003A2E80" w:rsidRDefault="003A2E80" w14:paraId="3078304F" w14:textId="77777777">
      <w:pPr>
        <w:pStyle w:val="Standard"/>
        <w:numPr>
          <w:ilvl w:val="0"/>
          <w:numId w:val="28"/>
        </w:numPr>
        <w:spacing w:after="120" w:line="240" w:lineRule="auto"/>
        <w:ind w:left="1080" w:right="1440"/>
      </w:pPr>
      <w:r>
        <w:t>California High-Cost Fund-A Administrative Committee Fund under Pub. Util. Code Section 275;</w:t>
      </w:r>
    </w:p>
    <w:p w:rsidR="003A2E80" w:rsidP="003A2E80" w:rsidRDefault="003A2E80" w14:paraId="0DE2020C" w14:textId="77777777">
      <w:pPr>
        <w:pStyle w:val="Standard"/>
        <w:numPr>
          <w:ilvl w:val="0"/>
          <w:numId w:val="28"/>
        </w:numPr>
        <w:spacing w:after="120" w:line="240" w:lineRule="auto"/>
        <w:ind w:left="1080" w:right="1440"/>
      </w:pPr>
      <w:r>
        <w:t>California High-Cost Fund-B Administrative Committee Fund under Pub. Util. Code Section 276;</w:t>
      </w:r>
    </w:p>
    <w:p w:rsidR="003A2E80" w:rsidP="003A2E80" w:rsidRDefault="003A2E80" w14:paraId="32753471" w14:textId="77777777">
      <w:pPr>
        <w:pStyle w:val="Standard"/>
        <w:numPr>
          <w:ilvl w:val="0"/>
          <w:numId w:val="28"/>
        </w:numPr>
        <w:spacing w:after="120" w:line="240" w:lineRule="auto"/>
        <w:ind w:left="1080" w:right="1440"/>
      </w:pPr>
      <w:r>
        <w:lastRenderedPageBreak/>
        <w:t>Universal Lifeline Telephone Service Trust Administrative Committee Fund under Pub. Util. Code Section 277;</w:t>
      </w:r>
    </w:p>
    <w:p w:rsidR="003A2E80" w:rsidP="003A2E80" w:rsidRDefault="003A2E80" w14:paraId="5569A1B9" w14:textId="77777777">
      <w:pPr>
        <w:pStyle w:val="Standard"/>
        <w:numPr>
          <w:ilvl w:val="0"/>
          <w:numId w:val="28"/>
        </w:numPr>
        <w:spacing w:after="120" w:line="240" w:lineRule="auto"/>
        <w:ind w:left="1080" w:right="1440"/>
      </w:pPr>
      <w:r>
        <w:t>Deaf and Disabled Telecommunications Program Administrative Committee Fund under Pub. Util. Code Section 278;</w:t>
      </w:r>
    </w:p>
    <w:p w:rsidR="003A2E80" w:rsidP="003A2E80" w:rsidRDefault="003A2E80" w14:paraId="506E2BC5" w14:textId="77777777">
      <w:pPr>
        <w:pStyle w:val="Standard"/>
        <w:numPr>
          <w:ilvl w:val="0"/>
          <w:numId w:val="28"/>
        </w:numPr>
        <w:spacing w:after="120" w:line="240" w:lineRule="auto"/>
        <w:ind w:left="1080" w:right="1440"/>
      </w:pPr>
      <w:r>
        <w:t>California Teleconnect Fund Administrative Committee Fund under Pub. Util. Code Section 280; and</w:t>
      </w:r>
    </w:p>
    <w:p w:rsidR="003A2E80" w:rsidP="003A2E80" w:rsidRDefault="003A2E80" w14:paraId="2D91FE2F" w14:textId="77777777">
      <w:pPr>
        <w:pStyle w:val="Standard"/>
        <w:numPr>
          <w:ilvl w:val="0"/>
          <w:numId w:val="28"/>
        </w:numPr>
        <w:spacing w:after="120" w:line="240" w:lineRule="auto"/>
        <w:ind w:left="1080" w:right="1440"/>
      </w:pPr>
      <w:r>
        <w:t>California Advanced Services Fund under Pub. Util. Code Section 281.73.</w:t>
      </w:r>
    </w:p>
    <w:p w:rsidR="00CD4D3A" w:rsidP="003A2E80" w:rsidRDefault="003A2E80" w14:paraId="3D39BE3C" w14:textId="3BD0E2EB">
      <w:pPr>
        <w:pStyle w:val="Standard"/>
      </w:pPr>
      <w:r>
        <w:t xml:space="preserve"> Carriers are assessed 10 percent accrued interest for late remittance of surcharges owed to the Commission.</w:t>
      </w:r>
      <w:r>
        <w:rPr>
          <w:rStyle w:val="FootnoteReference"/>
        </w:rPr>
        <w:footnoteReference w:id="37"/>
      </w:r>
      <w:r w:rsidR="000F1B2A">
        <w:t xml:space="preserve"> Carriers</w:t>
      </w:r>
      <w:r>
        <w:t xml:space="preserve"> are also required to pay user fees.</w:t>
      </w:r>
      <w:r>
        <w:rPr>
          <w:rStyle w:val="FootnoteReference"/>
        </w:rPr>
        <w:footnoteReference w:id="38"/>
      </w:r>
      <w:r w:rsidR="00C21F16">
        <w:t xml:space="preserve"> Pursuant to Pub. Util. Code Section 405</w:t>
      </w:r>
      <w:r w:rsidRPr="00B46F61" w:rsidR="00C21F16">
        <w:t xml:space="preserve">, </w:t>
      </w:r>
      <w:r w:rsidR="00C21F16">
        <w:t>the Commission also may assess a penalty not to exceed 25 percent on the past due amount of user fees.</w:t>
      </w:r>
      <w:r w:rsidR="00C21F16">
        <w:rPr>
          <w:rStyle w:val="FootnoteReference"/>
        </w:rPr>
        <w:footnoteReference w:id="39"/>
      </w:r>
      <w:r w:rsidR="00C21F16">
        <w:t xml:space="preserve"> In its September 18 filing, IPC </w:t>
      </w:r>
      <w:r w:rsidR="00033CDB">
        <w:t>stipulates</w:t>
      </w:r>
      <w:r w:rsidR="00C21F16">
        <w:t xml:space="preserve"> to pay</w:t>
      </w:r>
      <w:r w:rsidR="00033CDB">
        <w:t>ing</w:t>
      </w:r>
      <w:r w:rsidR="00C21F16">
        <w:t xml:space="preserve"> a penalty under Section 405</w:t>
      </w:r>
      <w:r w:rsidR="00BD6166">
        <w:t xml:space="preserve"> </w:t>
      </w:r>
      <w:r w:rsidR="00131678">
        <w:t xml:space="preserve">for failure to pay user fees </w:t>
      </w:r>
      <w:r w:rsidR="00BD6166">
        <w:t xml:space="preserve">where such user fees are more than </w:t>
      </w:r>
      <w:r w:rsidR="00131678">
        <w:t>30 days late</w:t>
      </w:r>
      <w:r w:rsidR="00C21F16">
        <w:t>.</w:t>
      </w:r>
      <w:r w:rsidR="00033CDB">
        <w:rPr>
          <w:rStyle w:val="FootnoteReference"/>
        </w:rPr>
        <w:footnoteReference w:id="40"/>
      </w:r>
      <w:r w:rsidR="00F501FD">
        <w:t xml:space="preserve"> </w:t>
      </w:r>
      <w:r w:rsidR="001E67B7">
        <w:t>The Commission finds that IPC</w:t>
      </w:r>
      <w:r w:rsidR="00B82BD2">
        <w:t xml:space="preserve"> shall pay a penalty of 25 percent </w:t>
      </w:r>
      <w:r w:rsidR="00535635">
        <w:t xml:space="preserve">for </w:t>
      </w:r>
      <w:r w:rsidR="00680707">
        <w:t>user fee</w:t>
      </w:r>
      <w:r w:rsidR="00535635">
        <w:t>s</w:t>
      </w:r>
      <w:r w:rsidR="00680707">
        <w:t xml:space="preserve"> </w:t>
      </w:r>
      <w:r w:rsidRPr="000B0A5F" w:rsidR="000B0A5F">
        <w:t>applicable to intrastate telecommunications services IPC provided in California since July 1,</w:t>
      </w:r>
      <w:r w:rsidR="00B82BD2">
        <w:t xml:space="preserve"> </w:t>
      </w:r>
      <w:r w:rsidRPr="000B0A5F" w:rsidR="000B0A5F">
        <w:t>2025, where such user fees are more than 30 days late</w:t>
      </w:r>
      <w:r w:rsidR="00B82BD2">
        <w:t>.</w:t>
      </w:r>
      <w:r w:rsidR="000B0A5F">
        <w:t xml:space="preserve"> </w:t>
      </w:r>
    </w:p>
    <w:p w:rsidR="003A2E80" w:rsidP="003A2E80" w:rsidRDefault="000F1B2A" w14:paraId="46D989D4" w14:textId="052441FA">
      <w:pPr>
        <w:pStyle w:val="Standard"/>
      </w:pPr>
      <w:r>
        <w:t xml:space="preserve">With the authority granted by this decision, </w:t>
      </w:r>
      <w:r w:rsidR="003A2E80">
        <w:t>IPC</w:t>
      </w:r>
      <w:r>
        <w:t xml:space="preserve">’s </w:t>
      </w:r>
      <w:r w:rsidRPr="00C10A48" w:rsidR="003A2E80">
        <w:t>obligat</w:t>
      </w:r>
      <w:r>
        <w:t>ion</w:t>
      </w:r>
      <w:r w:rsidRPr="00C10A48" w:rsidR="003A2E80">
        <w:t xml:space="preserve"> to pay all Commission prescribed user fees and surcharges </w:t>
      </w:r>
      <w:r>
        <w:t xml:space="preserve">continues, </w:t>
      </w:r>
      <w:r w:rsidRPr="00C10A48" w:rsidR="003A2E80">
        <w:t>as set forth in A</w:t>
      </w:r>
      <w:r w:rsidR="001E54E0">
        <w:t>ttachment</w:t>
      </w:r>
      <w:r w:rsidRPr="00C10A48" w:rsidR="003A2E80">
        <w:t xml:space="preserve"> B of this decision</w:t>
      </w:r>
      <w:r w:rsidR="003A2E80">
        <w:t>.</w:t>
      </w:r>
    </w:p>
    <w:p w:rsidR="003A2E80" w:rsidP="003A2E80" w:rsidRDefault="003A2E80" w14:paraId="22896D5F" w14:textId="6D265823">
      <w:pPr>
        <w:pStyle w:val="Standard"/>
      </w:pPr>
      <w:r w:rsidRPr="004C7824">
        <w:lastRenderedPageBreak/>
        <w:t xml:space="preserve">Within 30 days of the issuance date of this decision, </w:t>
      </w:r>
      <w:r>
        <w:t>IPC</w:t>
      </w:r>
      <w:r w:rsidRPr="004C7824">
        <w:t xml:space="preserve"> must provide the Commission’s Communications Division with a summary of: (1) </w:t>
      </w:r>
      <w:r w:rsidRPr="004C7824" w:rsidR="00CD137E">
        <w:t xml:space="preserve">the </w:t>
      </w:r>
      <w:r w:rsidR="00CD137E">
        <w:t xml:space="preserve">total </w:t>
      </w:r>
      <w:r w:rsidRPr="004C7824" w:rsidR="00CD137E">
        <w:t>number of access lines served each month</w:t>
      </w:r>
      <w:r w:rsidDel="008432FD" w:rsidR="00CD137E">
        <w:t xml:space="preserve"> </w:t>
      </w:r>
      <w:r w:rsidRPr="00B0545A" w:rsidR="00CD137E">
        <w:t>from</w:t>
      </w:r>
      <w:r w:rsidR="00CD137E">
        <w:t xml:space="preserve"> July 1, 2025</w:t>
      </w:r>
      <w:r w:rsidRPr="00B0545A" w:rsidR="00CD137E">
        <w:t xml:space="preserve"> to the </w:t>
      </w:r>
      <w:r w:rsidR="00CD137E">
        <w:t>month</w:t>
      </w:r>
      <w:r w:rsidRPr="00B0545A" w:rsidR="00CD137E">
        <w:t xml:space="preserve"> this decision</w:t>
      </w:r>
      <w:r w:rsidR="00CD137E">
        <w:t xml:space="preserve"> is effective</w:t>
      </w:r>
      <w:r w:rsidRPr="004C7824">
        <w:t xml:space="preserve">; and (2) </w:t>
      </w:r>
      <w:r w:rsidRPr="004C7824" w:rsidR="00CD137E">
        <w:t xml:space="preserve">its </w:t>
      </w:r>
      <w:r w:rsidR="00CD137E">
        <w:t xml:space="preserve">total </w:t>
      </w:r>
      <w:r w:rsidRPr="004C7824" w:rsidR="00CD137E">
        <w:t xml:space="preserve">monthly intrastate revenue </w:t>
      </w:r>
      <w:r w:rsidR="00CD137E">
        <w:t xml:space="preserve">subject to user fees for regulated voice services </w:t>
      </w:r>
      <w:r w:rsidRPr="004C7824" w:rsidR="00CD137E">
        <w:t>provided in California from</w:t>
      </w:r>
      <w:r w:rsidRPr="004C7824" w:rsidDel="00B95CDF" w:rsidR="00CD137E">
        <w:t xml:space="preserve"> </w:t>
      </w:r>
      <w:r w:rsidR="00CD137E">
        <w:t>July 1, 2025 to the month</w:t>
      </w:r>
      <w:r w:rsidDel="009F3CA3" w:rsidR="00CD137E">
        <w:t xml:space="preserve"> </w:t>
      </w:r>
      <w:r w:rsidR="00CD137E">
        <w:t>this decision is effective</w:t>
      </w:r>
      <w:r w:rsidRPr="00B0545A">
        <w:t xml:space="preserve">, by e-mailing this information to </w:t>
      </w:r>
      <w:hyperlink w:history="1" r:id="rId19">
        <w:r w:rsidRPr="009449F4">
          <w:rPr>
            <w:rStyle w:val="Hyperlink"/>
          </w:rPr>
          <w:t>telcosurcharge@cpuc.ca.gov</w:t>
        </w:r>
      </w:hyperlink>
      <w:r w:rsidRPr="00B0545A">
        <w:t xml:space="preserve"> and </w:t>
      </w:r>
      <w:hyperlink w:history="1" r:id="rId20">
        <w:r w:rsidRPr="009449F4">
          <w:rPr>
            <w:rStyle w:val="Hyperlink"/>
          </w:rPr>
          <w:t>cdcompliance@cpuc.ca.gov</w:t>
        </w:r>
      </w:hyperlink>
      <w:r w:rsidRPr="00B0545A">
        <w:t xml:space="preserve">. </w:t>
      </w:r>
      <w:r>
        <w:t xml:space="preserve">IPC </w:t>
      </w:r>
      <w:r w:rsidRPr="00B0545A">
        <w:t>will provide this information by completing the form included as A</w:t>
      </w:r>
      <w:r w:rsidR="001E54E0">
        <w:t>ttachment</w:t>
      </w:r>
      <w:r w:rsidRPr="00B0545A">
        <w:t xml:space="preserve"> E</w:t>
      </w:r>
      <w:r w:rsidR="000F1B2A">
        <w:t xml:space="preserve"> to this decision</w:t>
      </w:r>
      <w:r w:rsidRPr="00B0545A">
        <w:t>. Failure to provide this information within 30 days of the effective date of this decision will result in additional collections or enforcement action pursuant to Resolution T-17601.</w:t>
      </w:r>
    </w:p>
    <w:p w:rsidR="003A2E80" w:rsidP="003A2E80" w:rsidRDefault="003A2E80" w14:paraId="0D35A9CF" w14:textId="659656E8">
      <w:pPr>
        <w:pStyle w:val="Standard"/>
      </w:pPr>
      <w:r w:rsidRPr="008E20CB">
        <w:t>The Commission’s Communications Division is authorized to calculate the surcharges</w:t>
      </w:r>
      <w:r w:rsidR="00473CDF">
        <w:t>,</w:t>
      </w:r>
      <w:r w:rsidRPr="008E20CB">
        <w:t xml:space="preserve"> interest owed for late remittances of past due surcharges</w:t>
      </w:r>
      <w:r w:rsidR="00473CDF">
        <w:t>,</w:t>
      </w:r>
      <w:r w:rsidRPr="008E20CB">
        <w:t xml:space="preserve"> and user fees, </w:t>
      </w:r>
      <w:r w:rsidR="00E17D53">
        <w:t xml:space="preserve">including a 25 percent </w:t>
      </w:r>
      <w:r w:rsidR="00214D9C">
        <w:t xml:space="preserve">late-payment </w:t>
      </w:r>
      <w:r w:rsidR="00E17D53">
        <w:t>penalty on past due user fees</w:t>
      </w:r>
      <w:r w:rsidR="008E7153">
        <w:t xml:space="preserve"> owed</w:t>
      </w:r>
      <w:r w:rsidRPr="008E20CB">
        <w:t xml:space="preserve">, </w:t>
      </w:r>
      <w:r w:rsidR="002F770F">
        <w:t>if any</w:t>
      </w:r>
      <w:r w:rsidRPr="008E20CB">
        <w:t xml:space="preserve">, between </w:t>
      </w:r>
      <w:r>
        <w:t>July 1, 2025</w:t>
      </w:r>
      <w:r w:rsidRPr="008E20CB">
        <w:t xml:space="preserve"> and the effective date of this decision.</w:t>
      </w:r>
    </w:p>
    <w:p w:rsidR="003A2E80" w:rsidP="003A2E80" w:rsidRDefault="003A2E80" w14:paraId="5EC02AF0" w14:textId="0CB58456">
      <w:pPr>
        <w:pStyle w:val="Standard"/>
      </w:pPr>
      <w:r>
        <w:t>IPC</w:t>
      </w:r>
      <w:r w:rsidRPr="003305B8">
        <w:t xml:space="preserve"> must send, within 30 days of its receipt of the total amount owed for surcharges and user fees, including interest</w:t>
      </w:r>
      <w:r w:rsidR="00016CA5">
        <w:t>,</w:t>
      </w:r>
      <w:r w:rsidRPr="003305B8">
        <w:t xml:space="preserve"> </w:t>
      </w:r>
      <w:r w:rsidR="00FC6625">
        <w:t xml:space="preserve">and penalties </w:t>
      </w:r>
      <w:r w:rsidRPr="003305B8">
        <w:t xml:space="preserve">from the Commission’s Communications Division, one cashier’s check or money order for payment of the total amount owed to: California Public Utilities Commission, Fiscal Office, Room 3000, 505 Van Ness Avenue, San Francisco, CA 94102. </w:t>
      </w:r>
      <w:r w:rsidR="002A171D">
        <w:t>IPC</w:t>
      </w:r>
      <w:r w:rsidRPr="003305B8">
        <w:t xml:space="preserve"> </w:t>
      </w:r>
      <w:r w:rsidR="002A171D">
        <w:t>sha</w:t>
      </w:r>
      <w:r w:rsidRPr="003305B8">
        <w:t xml:space="preserve">ll, also, send an email to </w:t>
      </w:r>
      <w:hyperlink w:history="1" r:id="rId21">
        <w:r w:rsidRPr="009449F4">
          <w:rPr>
            <w:rStyle w:val="Hyperlink"/>
          </w:rPr>
          <w:t>telcosurcharge@cpuc.ca.gov</w:t>
        </w:r>
      </w:hyperlink>
      <w:r w:rsidRPr="003305B8">
        <w:t xml:space="preserve"> and </w:t>
      </w:r>
      <w:hyperlink w:history="1" r:id="rId22">
        <w:r w:rsidRPr="009449F4">
          <w:rPr>
            <w:rStyle w:val="Hyperlink"/>
          </w:rPr>
          <w:t>cdcompliance@cpuc.ca.gov</w:t>
        </w:r>
      </w:hyperlink>
      <w:r w:rsidRPr="003305B8">
        <w:t xml:space="preserve"> </w:t>
      </w:r>
      <w:r w:rsidR="002A171D">
        <w:t>with</w:t>
      </w:r>
      <w:r w:rsidRPr="003305B8">
        <w:t xml:space="preserve"> an</w:t>
      </w:r>
      <w:r>
        <w:t xml:space="preserve"> </w:t>
      </w:r>
      <w:r w:rsidRPr="00445DCE">
        <w:t>electronic copy of the check payment and the date it was sent to the Commission</w:t>
      </w:r>
      <w:r w:rsidR="002A171D">
        <w:t>’s Fiscal Office</w:t>
      </w:r>
      <w:r w:rsidRPr="00445DCE">
        <w:t xml:space="preserve">. Failure to send the full payment within 30 days </w:t>
      </w:r>
      <w:r w:rsidR="002A171D">
        <w:t>may</w:t>
      </w:r>
      <w:r w:rsidRPr="00445DCE">
        <w:t xml:space="preserve"> result in additional collections or enforcement action pursuant to Resolution T-17601.</w:t>
      </w:r>
    </w:p>
    <w:p w:rsidR="00CC26C4" w:rsidP="000C5DCF" w:rsidRDefault="003A2E80" w14:paraId="017ED576" w14:textId="7826F853">
      <w:pPr>
        <w:pStyle w:val="Heading2"/>
      </w:pPr>
      <w:bookmarkStart w:name="_Toc240876459" w:id="105"/>
      <w:r>
        <w:lastRenderedPageBreak/>
        <w:t xml:space="preserve">The Commission </w:t>
      </w:r>
      <w:r w:rsidR="002A171D">
        <w:t>exercise</w:t>
      </w:r>
      <w:r w:rsidR="00150B23">
        <w:t>s</w:t>
      </w:r>
      <w:r w:rsidR="002A171D">
        <w:t xml:space="preserve"> its discretion to impose a penalty on</w:t>
      </w:r>
      <w:r>
        <w:t xml:space="preserve"> IPC </w:t>
      </w:r>
      <w:r w:rsidR="00FA2B2A">
        <w:t xml:space="preserve">for </w:t>
      </w:r>
      <w:r w:rsidR="0074663E">
        <w:t xml:space="preserve">its </w:t>
      </w:r>
      <w:r w:rsidR="00A86F25">
        <w:t>v</w:t>
      </w:r>
      <w:r w:rsidR="00CC26C4">
        <w:t>iolation of Pub. Util. Code Section 1001</w:t>
      </w:r>
      <w:bookmarkEnd w:id="105"/>
    </w:p>
    <w:p w:rsidR="00230E6D" w:rsidP="00230E6D" w:rsidRDefault="00CD2E71" w14:paraId="4F0FF2A1" w14:textId="3F0016FE">
      <w:pPr>
        <w:pStyle w:val="Standard"/>
      </w:pPr>
      <w:r>
        <w:t>T</w:t>
      </w:r>
      <w:r w:rsidR="00D81681">
        <w:t xml:space="preserve">elephone corporations </w:t>
      </w:r>
      <w:r>
        <w:t xml:space="preserve">must obtain authority </w:t>
      </w:r>
      <w:r w:rsidR="00D81681">
        <w:t xml:space="preserve">from </w:t>
      </w:r>
      <w:r>
        <w:t>the Commission to offer services in California</w:t>
      </w:r>
      <w:r w:rsidR="00D81681">
        <w:t>.</w:t>
      </w:r>
      <w:r>
        <w:rPr>
          <w:rStyle w:val="FootnoteReference"/>
        </w:rPr>
        <w:footnoteReference w:id="41"/>
      </w:r>
      <w:r w:rsidR="002067ED">
        <w:t xml:space="preserve"> The ALJ asked IPC whether it would stipulate that it violated Pub. Util. Code Section 1001 for </w:t>
      </w:r>
      <w:r w:rsidR="005979AC">
        <w:t>o</w:t>
      </w:r>
      <w:r w:rsidR="002067ED">
        <w:t>perating without Commission authority</w:t>
      </w:r>
      <w:r w:rsidR="005979AC">
        <w:t xml:space="preserve"> by contracting with customers for its services</w:t>
      </w:r>
      <w:r w:rsidR="002067ED">
        <w:t xml:space="preserve">. </w:t>
      </w:r>
      <w:r w:rsidR="00D81681">
        <w:t xml:space="preserve">In </w:t>
      </w:r>
      <w:r w:rsidR="002067ED">
        <w:t xml:space="preserve">its </w:t>
      </w:r>
      <w:r w:rsidR="005979AC">
        <w:t xml:space="preserve">May 26 </w:t>
      </w:r>
      <w:r w:rsidR="00D81681">
        <w:t>response</w:t>
      </w:r>
      <w:r w:rsidR="002067ED">
        <w:t xml:space="preserve">, IPC stipulated that it began offering services as of July 1, </w:t>
      </w:r>
      <w:r w:rsidR="00657352">
        <w:t>2025,</w:t>
      </w:r>
      <w:r w:rsidR="002067ED">
        <w:t xml:space="preserve"> before it obtained authority. However,</w:t>
      </w:r>
      <w:r w:rsidR="00D81681">
        <w:t xml:space="preserve"> IPC </w:t>
      </w:r>
      <w:r w:rsidR="002067ED">
        <w:t xml:space="preserve">also </w:t>
      </w:r>
      <w:r w:rsidR="00D81681">
        <w:t>claim</w:t>
      </w:r>
      <w:r w:rsidR="002067ED">
        <w:t>ed</w:t>
      </w:r>
      <w:r w:rsidR="00D81681">
        <w:t xml:space="preserve"> that, as a private party, </w:t>
      </w:r>
      <w:r w:rsidR="002067ED">
        <w:t>“</w:t>
      </w:r>
      <w:r w:rsidR="00D81681">
        <w:t>it appears to lack the ability to stipulate to a conclusion of law.</w:t>
      </w:r>
      <w:r w:rsidR="002067ED">
        <w:t>”</w:t>
      </w:r>
      <w:r w:rsidR="00D81681">
        <w:rPr>
          <w:rStyle w:val="FootnoteReference"/>
        </w:rPr>
        <w:footnoteReference w:id="42"/>
      </w:r>
      <w:r w:rsidR="00D81681">
        <w:t xml:space="preserve"> </w:t>
      </w:r>
    </w:p>
    <w:p w:rsidR="003B0326" w:rsidP="00230E6D" w:rsidRDefault="00AD704F" w14:paraId="23D3E205" w14:textId="0744FE6B">
      <w:pPr>
        <w:pStyle w:val="Standard"/>
      </w:pPr>
      <w:r>
        <w:t xml:space="preserve">Given that </w:t>
      </w:r>
      <w:r w:rsidR="00BC5003">
        <w:t>IPC</w:t>
      </w:r>
      <w:r w:rsidR="00374D7F">
        <w:t xml:space="preserve"> represented that it</w:t>
      </w:r>
      <w:r w:rsidR="00254952">
        <w:t xml:space="preserve"> began offering services before receiving Commission authority, we find that IPC violated Pub. Util. Code Section 1001. IPC’s claim that it cannot specifically stipulate to a violation of the law is a misreading of</w:t>
      </w:r>
      <w:r w:rsidR="00D81681">
        <w:t xml:space="preserve"> the authority it cites to make its assertion.</w:t>
      </w:r>
      <w:r w:rsidR="00254952">
        <w:rPr>
          <w:rStyle w:val="FootnoteReference"/>
        </w:rPr>
        <w:footnoteReference w:id="43"/>
      </w:r>
      <w:r w:rsidR="00D81681">
        <w:t xml:space="preserve"> </w:t>
      </w:r>
      <w:r w:rsidR="00254952">
        <w:t xml:space="preserve">IPC is </w:t>
      </w:r>
      <w:r w:rsidR="00456532">
        <w:t>cautioned to represent the law to the Commission more carefully in the future.</w:t>
      </w:r>
      <w:r w:rsidR="00AA4A26">
        <w:rPr>
          <w:rStyle w:val="FootnoteReference"/>
        </w:rPr>
        <w:footnoteReference w:id="44"/>
      </w:r>
    </w:p>
    <w:p w:rsidR="00B51273" w:rsidP="003759F8" w:rsidRDefault="007D0754" w14:paraId="1B6B9F31" w14:textId="342F10CD">
      <w:pPr>
        <w:pStyle w:val="Heading2"/>
      </w:pPr>
      <w:bookmarkStart w:name="_Toc240876460" w:id="106"/>
      <w:r>
        <w:lastRenderedPageBreak/>
        <w:t xml:space="preserve">Penalty for </w:t>
      </w:r>
      <w:r w:rsidR="001E54E0">
        <w:t>Violating Pub. Util. Code Section 1001</w:t>
      </w:r>
      <w:bookmarkEnd w:id="106"/>
    </w:p>
    <w:p w:rsidR="007B35CB" w:rsidP="007D0754" w:rsidRDefault="002067ED" w14:paraId="2BB8EA95" w14:textId="64628DF8">
      <w:pPr>
        <w:pStyle w:val="Standard"/>
      </w:pPr>
      <w:r>
        <w:t>I</w:t>
      </w:r>
      <w:r w:rsidR="00163FD3">
        <w:t xml:space="preserve">n its May 26 response, IPC Systems proposed to remit </w:t>
      </w:r>
      <w:r w:rsidR="002D3696">
        <w:t>$2,000 to address the provision of services prior to an application for Commission authority.</w:t>
      </w:r>
      <w:r w:rsidR="0036093C">
        <w:rPr>
          <w:rStyle w:val="FootnoteReference"/>
        </w:rPr>
        <w:footnoteReference w:id="45"/>
      </w:r>
      <w:r w:rsidR="002D3696">
        <w:t xml:space="preserve"> IPC claimed </w:t>
      </w:r>
      <w:r w:rsidR="00912424">
        <w:t xml:space="preserve">that </w:t>
      </w:r>
      <w:r w:rsidR="008D779C">
        <w:t xml:space="preserve">$2,000 as a penalty </w:t>
      </w:r>
      <w:r w:rsidR="00912424">
        <w:t>is consistent with Commission precedent and the factors outlined in D.98-12-075.</w:t>
      </w:r>
      <w:r w:rsidR="00CC26C4">
        <w:t xml:space="preserve"> On September 8, 2026, the assigned Commissioner noted that IPC is required to remit past-due surcharges, related interest, and user fees, and asked whether IPC still stipulates to the $2,000 penalty. On September 18, 2026, IPC filed a response indicating that it still proposes to remit $2,000 to address the violation of Pub. Util. Code Section 1001.</w:t>
      </w:r>
    </w:p>
    <w:p w:rsidR="00F71F01" w:rsidP="00041984" w:rsidRDefault="00F71F01" w14:paraId="398D3580" w14:textId="0F1D4F6C">
      <w:pPr>
        <w:pStyle w:val="Standard"/>
        <w:rPr>
          <w:bCs/>
        </w:rPr>
      </w:pPr>
      <w:r w:rsidRPr="00041984">
        <w:t xml:space="preserve">In assessing the reasonableness of the proposed penalty range, we apply the criteria set forth in Commission D.98-12-075: </w:t>
      </w:r>
      <w:r w:rsidR="00041984">
        <w:t>(1) t</w:t>
      </w:r>
      <w:r w:rsidRPr="00976DD5" w:rsidR="00454A21">
        <w:rPr>
          <w:bCs/>
        </w:rPr>
        <w:t>he severity of the economic or physical harm resulting from the violation;</w:t>
      </w:r>
      <w:r w:rsidR="00041984">
        <w:rPr>
          <w:bCs/>
        </w:rPr>
        <w:t xml:space="preserve"> (2) t</w:t>
      </w:r>
      <w:r w:rsidRPr="00976DD5" w:rsidR="00C12F06">
        <w:rPr>
          <w:bCs/>
        </w:rPr>
        <w:t>he utility’s conduct to prevent, detect, disclose, and rectify the violation;</w:t>
      </w:r>
      <w:r w:rsidR="00041984">
        <w:rPr>
          <w:bCs/>
        </w:rPr>
        <w:t xml:space="preserve"> (3) t</w:t>
      </w:r>
      <w:r w:rsidRPr="00976DD5" w:rsidR="00C12F06">
        <w:rPr>
          <w:bCs/>
        </w:rPr>
        <w:t xml:space="preserve">he utility’s financial resources; </w:t>
      </w:r>
      <w:r w:rsidR="00041984">
        <w:rPr>
          <w:bCs/>
        </w:rPr>
        <w:t>(4) t</w:t>
      </w:r>
      <w:r w:rsidRPr="00976DD5" w:rsidR="00C12F06">
        <w:rPr>
          <w:bCs/>
        </w:rPr>
        <w:t>he public interest involved;</w:t>
      </w:r>
      <w:r w:rsidR="00041984">
        <w:rPr>
          <w:bCs/>
        </w:rPr>
        <w:t xml:space="preserve"> (5) t</w:t>
      </w:r>
      <w:r w:rsidRPr="00976DD5" w:rsidR="00C12F06">
        <w:rPr>
          <w:bCs/>
        </w:rPr>
        <w:t xml:space="preserve">he totality of the circumstances; </w:t>
      </w:r>
      <w:r w:rsidR="00041984">
        <w:rPr>
          <w:bCs/>
        </w:rPr>
        <w:t>and (6) C</w:t>
      </w:r>
      <w:r w:rsidRPr="00976DD5" w:rsidR="00C12F06">
        <w:rPr>
          <w:bCs/>
        </w:rPr>
        <w:t>ommission precedent</w:t>
      </w:r>
      <w:r w:rsidR="00041984">
        <w:rPr>
          <w:bCs/>
        </w:rPr>
        <w:t>.</w:t>
      </w:r>
      <w:r w:rsidRPr="00976DD5" w:rsidR="00C12F06">
        <w:rPr>
          <w:bCs/>
          <w:vertAlign w:val="superscript"/>
        </w:rPr>
        <w:footnoteReference w:id="46"/>
      </w:r>
    </w:p>
    <w:p w:rsidRPr="00041984" w:rsidR="00041984" w:rsidP="003F154B" w:rsidRDefault="00041984" w14:paraId="66187919" w14:textId="13DE3EFA">
      <w:pPr>
        <w:pStyle w:val="Heading3"/>
      </w:pPr>
      <w:bookmarkStart w:name="_Toc240876461" w:id="107"/>
      <w:r>
        <w:t>Severity of Harm</w:t>
      </w:r>
      <w:bookmarkEnd w:id="107"/>
    </w:p>
    <w:p w:rsidR="0057793A" w:rsidP="00041984" w:rsidRDefault="00F01BA7" w14:paraId="5E81F0D6" w14:textId="092AEDC4">
      <w:pPr>
        <w:pStyle w:val="Standard"/>
        <w:spacing w:before="120"/>
      </w:pPr>
      <w:r>
        <w:t>Be</w:t>
      </w:r>
      <w:r w:rsidR="00791260">
        <w:t>ginning</w:t>
      </w:r>
      <w:r w:rsidR="00FB449F">
        <w:t xml:space="preserve"> on</w:t>
      </w:r>
      <w:r>
        <w:t xml:space="preserve"> July 1, 2025</w:t>
      </w:r>
      <w:r w:rsidR="00370A3F">
        <w:t>,</w:t>
      </w:r>
      <w:r>
        <w:t xml:space="preserve"> </w:t>
      </w:r>
      <w:r w:rsidR="00791260">
        <w:t xml:space="preserve">IPC </w:t>
      </w:r>
      <w:r w:rsidR="00782847">
        <w:t>contracted with</w:t>
      </w:r>
      <w:r w:rsidR="00D47D56">
        <w:t xml:space="preserve"> two customers </w:t>
      </w:r>
      <w:r w:rsidR="00791260">
        <w:t>to provide service in California, and IPC did not apply to the Commission for a CPCN until September 11, 202</w:t>
      </w:r>
      <w:r w:rsidR="008E0012">
        <w:t>5</w:t>
      </w:r>
      <w:r w:rsidR="00791260">
        <w:t>.</w:t>
      </w:r>
      <w:r w:rsidR="00D47D56">
        <w:t xml:space="preserve"> </w:t>
      </w:r>
      <w:r w:rsidR="008A45A7">
        <w:t>The size of the fine should be proportionate to the severity of the offense. To determine severity, three factors are considered: (1) physical harm, (2) economic harm, and (3) harm to the regulatory process.</w:t>
      </w:r>
      <w:r w:rsidR="00877AF5">
        <w:rPr>
          <w:rStyle w:val="FootnoteReference"/>
        </w:rPr>
        <w:footnoteReference w:id="47"/>
      </w:r>
      <w:r w:rsidR="00BF7C18">
        <w:t xml:space="preserve"> </w:t>
      </w:r>
      <w:r w:rsidR="00BA2EEB">
        <w:t xml:space="preserve">IPC claims </w:t>
      </w:r>
      <w:r w:rsidR="00BA2EEB">
        <w:lastRenderedPageBreak/>
        <w:t>there was no physical or apparent economic harm, nor harm to the regulatory process</w:t>
      </w:r>
      <w:r w:rsidR="00B97C05">
        <w:t>.</w:t>
      </w:r>
      <w:r w:rsidR="0011591A">
        <w:rPr>
          <w:rStyle w:val="FootnoteReference"/>
        </w:rPr>
        <w:footnoteReference w:id="48"/>
      </w:r>
      <w:r w:rsidR="002B239F">
        <w:t xml:space="preserve"> </w:t>
      </w:r>
    </w:p>
    <w:p w:rsidR="000202ED" w:rsidP="000202ED" w:rsidRDefault="0057793A" w14:paraId="6F582136" w14:textId="6B3A14E8">
      <w:pPr>
        <w:pStyle w:val="Standard"/>
      </w:pPr>
      <w:r>
        <w:t>The Commission finds</w:t>
      </w:r>
      <w:r w:rsidR="00FB449F">
        <w:t xml:space="preserve"> that</w:t>
      </w:r>
      <w:r>
        <w:t xml:space="preserve"> IPC harmed the regulatory process, albeit </w:t>
      </w:r>
      <w:r w:rsidR="003C5B37">
        <w:t>in a limited fashion</w:t>
      </w:r>
      <w:r>
        <w:t xml:space="preserve">. </w:t>
      </w:r>
      <w:r w:rsidR="00815CF1">
        <w:t>IPC</w:t>
      </w:r>
      <w:r w:rsidR="0013244E">
        <w:t xml:space="preserve"> </w:t>
      </w:r>
      <w:r w:rsidR="00815CF1">
        <w:t>contracted with</w:t>
      </w:r>
      <w:r w:rsidR="0013244E">
        <w:t xml:space="preserve"> two customers</w:t>
      </w:r>
      <w:r w:rsidR="000872AD">
        <w:t xml:space="preserve"> for several months before applying for the CPCN</w:t>
      </w:r>
      <w:r>
        <w:t>. IPC Systems began business in California before receiving Commission permission to operate in California.</w:t>
      </w:r>
    </w:p>
    <w:p w:rsidR="00711928" w:rsidP="003F154B" w:rsidRDefault="006000BB" w14:paraId="6790D2DA" w14:textId="0154A8BF">
      <w:pPr>
        <w:pStyle w:val="Heading3"/>
      </w:pPr>
      <w:bookmarkStart w:name="_Toc240876462" w:id="108"/>
      <w:r>
        <w:t>Conduct of the Utility</w:t>
      </w:r>
      <w:bookmarkEnd w:id="108"/>
    </w:p>
    <w:p w:rsidR="006000BB" w:rsidP="006000BB" w:rsidRDefault="0054639D" w14:paraId="7E935541" w14:textId="57A5B8C4">
      <w:pPr>
        <w:pStyle w:val="Standard"/>
      </w:pPr>
      <w:r w:rsidRPr="0054639D">
        <w:t>In D.98-12-075, th</w:t>
      </w:r>
      <w:r w:rsidR="003C6120">
        <w:t>e</w:t>
      </w:r>
      <w:r w:rsidRPr="0054639D">
        <w:t xml:space="preserve"> Commission also held that the size of a fine should reflect the conduct of the utility. When assessing the conduct of the utility, we consider the following factors: (1) the utility's actions to prevent a violation; (2) the utility's actions to detect a violation; and (3) the utility's actions to disclose and rectify a violation. </w:t>
      </w:r>
    </w:p>
    <w:p w:rsidR="00086047" w:rsidP="00A11E2A" w:rsidRDefault="003B7696" w14:paraId="086A06EA" w14:textId="01447C9B">
      <w:pPr>
        <w:pStyle w:val="Standard"/>
      </w:pPr>
      <w:r w:rsidRPr="003B7696">
        <w:t xml:space="preserve">IPC Systems </w:t>
      </w:r>
      <w:r>
        <w:t xml:space="preserve">claims it </w:t>
      </w:r>
      <w:r w:rsidRPr="003B7696">
        <w:t xml:space="preserve">acted in good faith at all times, </w:t>
      </w:r>
      <w:r w:rsidR="00852570">
        <w:t>that it filed</w:t>
      </w:r>
      <w:r w:rsidR="004A0C45">
        <w:t xml:space="preserve"> the application to ensure that the Commission had the opportunity to determine whether it has jurisdiction to authorize IPC Systems’ services</w:t>
      </w:r>
      <w:r w:rsidRPr="003B7696">
        <w:t>,</w:t>
      </w:r>
      <w:r w:rsidR="00852570">
        <w:t xml:space="preserve"> and that it </w:t>
      </w:r>
      <w:r w:rsidRPr="003B7696">
        <w:t>disclos</w:t>
      </w:r>
      <w:r w:rsidR="00852570">
        <w:t>ed</w:t>
      </w:r>
      <w:r w:rsidRPr="003B7696">
        <w:t xml:space="preserve"> </w:t>
      </w:r>
      <w:r w:rsidRPr="003B7696" w:rsidR="00C71EEA">
        <w:t>limited-service</w:t>
      </w:r>
      <w:r w:rsidRPr="003B7696">
        <w:t xml:space="preserve"> offerings</w:t>
      </w:r>
      <w:r w:rsidR="00852570">
        <w:t xml:space="preserve"> beginning in July</w:t>
      </w:r>
      <w:r w:rsidR="00B03C4B">
        <w:t xml:space="preserve"> </w:t>
      </w:r>
      <w:r w:rsidR="00852570">
        <w:t>2025</w:t>
      </w:r>
      <w:r w:rsidRPr="003B7696">
        <w:t>.</w:t>
      </w:r>
      <w:r w:rsidR="003A5149">
        <w:rPr>
          <w:rStyle w:val="FootnoteReference"/>
        </w:rPr>
        <w:footnoteReference w:id="49"/>
      </w:r>
      <w:r w:rsidRPr="003B7696">
        <w:t xml:space="preserve"> </w:t>
      </w:r>
      <w:r w:rsidR="00A73860">
        <w:t>IPC</w:t>
      </w:r>
      <w:r w:rsidR="003D3D27">
        <w:t>’s</w:t>
      </w:r>
      <w:r w:rsidR="00A73860">
        <w:t xml:space="preserve"> </w:t>
      </w:r>
      <w:r w:rsidR="003D3D27">
        <w:t>disclosure that</w:t>
      </w:r>
      <w:r w:rsidR="00A73860">
        <w:t xml:space="preserve"> it </w:t>
      </w:r>
      <w:r w:rsidR="008D347A">
        <w:t xml:space="preserve">had contracted with customers </w:t>
      </w:r>
      <w:r w:rsidR="00710B7F">
        <w:t>in its application</w:t>
      </w:r>
      <w:r w:rsidR="003D3D27">
        <w:t xml:space="preserve"> is a mitigating factor</w:t>
      </w:r>
      <w:r w:rsidR="00084319">
        <w:t xml:space="preserve">. </w:t>
      </w:r>
    </w:p>
    <w:p w:rsidRPr="006000BB" w:rsidR="00FF6877" w:rsidP="003F154B" w:rsidRDefault="00FF6877" w14:paraId="410D6214" w14:textId="6B680DFE">
      <w:pPr>
        <w:pStyle w:val="Heading3"/>
      </w:pPr>
      <w:bookmarkStart w:name="_Toc240876463" w:id="109"/>
      <w:r>
        <w:t>Financial Resources</w:t>
      </w:r>
      <w:bookmarkEnd w:id="109"/>
    </w:p>
    <w:p w:rsidR="004E11EA" w:rsidP="000202ED" w:rsidRDefault="00755492" w14:paraId="0B3D75CC" w14:textId="10B872C3">
      <w:pPr>
        <w:pStyle w:val="Standard"/>
      </w:pPr>
      <w:r>
        <w:t>IPC asserts</w:t>
      </w:r>
      <w:r w:rsidR="00BC63E9">
        <w:t xml:space="preserve"> that</w:t>
      </w:r>
      <w:r>
        <w:t xml:space="preserve"> it</w:t>
      </w:r>
      <w:r w:rsidR="005F390A">
        <w:t xml:space="preserve">s financial resources are, as shown by the confidential documentation it submitted with the </w:t>
      </w:r>
      <w:r w:rsidR="003C6120">
        <w:t>a</w:t>
      </w:r>
      <w:r w:rsidR="005F390A">
        <w:t>pplication, modest in comparison to large utilities operating in the State.</w:t>
      </w:r>
      <w:r w:rsidR="005F390A">
        <w:rPr>
          <w:rStyle w:val="FootnoteReference"/>
        </w:rPr>
        <w:footnoteReference w:id="50"/>
      </w:r>
      <w:r w:rsidR="00801B38">
        <w:t xml:space="preserve">  </w:t>
      </w:r>
      <w:r w:rsidR="00CF1C87">
        <w:t xml:space="preserve">On June 15, 2026, </w:t>
      </w:r>
      <w:r w:rsidR="00801B38">
        <w:t xml:space="preserve">IPC also provided </w:t>
      </w:r>
      <w:r w:rsidR="00E473B3">
        <w:t>an unaudited balance sheet</w:t>
      </w:r>
      <w:r w:rsidR="00CF1C87">
        <w:t xml:space="preserve"> </w:t>
      </w:r>
      <w:r w:rsidR="000C778A">
        <w:t xml:space="preserve">for the quarter immediately preceding the date of application and a bank statement as of the month prior to the application filing </w:t>
      </w:r>
      <w:r w:rsidR="000C778A">
        <w:lastRenderedPageBreak/>
        <w:t xml:space="preserve">date, </w:t>
      </w:r>
      <w:r w:rsidR="00CF1C87">
        <w:t xml:space="preserve">in response to </w:t>
      </w:r>
      <w:r w:rsidR="00A82DE7">
        <w:t xml:space="preserve">an ALJ inquiry on June 1, 2026. All of the confidential information </w:t>
      </w:r>
      <w:r w:rsidR="00744B6F">
        <w:t>gives the Commission a basis to agree that IPC’s resources are more limited</w:t>
      </w:r>
      <w:r w:rsidR="007A4787">
        <w:t>,</w:t>
      </w:r>
      <w:r w:rsidR="00744B6F">
        <w:t xml:space="preserve"> and </w:t>
      </w:r>
      <w:r w:rsidR="007A4787">
        <w:t xml:space="preserve">to </w:t>
      </w:r>
      <w:r w:rsidR="00744B6F">
        <w:t>weigh in favor of a relatively small penalty.</w:t>
      </w:r>
    </w:p>
    <w:p w:rsidR="00562297" w:rsidP="003F154B" w:rsidRDefault="00116E46" w14:paraId="6A2A7707" w14:textId="18F130CE">
      <w:pPr>
        <w:pStyle w:val="Heading3"/>
      </w:pPr>
      <w:bookmarkStart w:name="_Toc240876464" w:id="110"/>
      <w:r>
        <w:t>Public Interest</w:t>
      </w:r>
      <w:bookmarkEnd w:id="110"/>
    </w:p>
    <w:p w:rsidR="00116E46" w:rsidP="00116E46" w:rsidRDefault="00C701B6" w14:paraId="6ADFC0C5" w14:textId="6B57E639">
      <w:pPr>
        <w:pStyle w:val="Standard"/>
      </w:pPr>
      <w:r>
        <w:t xml:space="preserve">By imposing a penalty against </w:t>
      </w:r>
      <w:r w:rsidR="00122989">
        <w:t>IPC, the Commission furthers the public interest</w:t>
      </w:r>
      <w:r w:rsidR="00D428D0">
        <w:t xml:space="preserve">, </w:t>
      </w:r>
      <w:r w:rsidR="00122989">
        <w:t xml:space="preserve">encouraging utilities to apply for a CPCN before </w:t>
      </w:r>
      <w:r w:rsidR="004F6BEE">
        <w:t>operating in California</w:t>
      </w:r>
      <w:r w:rsidR="00677FF5">
        <w:t>, even if they are uncertain whether the Commission will assert jurisdiction over them</w:t>
      </w:r>
      <w:r w:rsidR="00F37EB5">
        <w:t xml:space="preserve">. </w:t>
      </w:r>
      <w:r w:rsidR="009631E8">
        <w:t xml:space="preserve">Therefore, we find </w:t>
      </w:r>
      <w:r w:rsidR="00F45CC3">
        <w:t xml:space="preserve">the </w:t>
      </w:r>
      <w:r w:rsidR="009631E8">
        <w:t>assessment of a penalty in this matter to be in the public interest.</w:t>
      </w:r>
    </w:p>
    <w:p w:rsidR="005979AC" w:rsidP="003F154B" w:rsidRDefault="005979AC" w14:paraId="650B542A" w14:textId="672E89DD">
      <w:pPr>
        <w:pStyle w:val="Heading3"/>
      </w:pPr>
      <w:bookmarkStart w:name="_Toc240876465" w:id="111"/>
      <w:r>
        <w:t>Totality of the Circumstances</w:t>
      </w:r>
      <w:bookmarkEnd w:id="111"/>
    </w:p>
    <w:p w:rsidRPr="005979AC" w:rsidR="005979AC" w:rsidP="004207EC" w:rsidRDefault="005979AC" w14:paraId="061EDB58" w14:textId="27D97BCA">
      <w:pPr>
        <w:pStyle w:val="Standard"/>
      </w:pPr>
      <w:r>
        <w:t>In D.98-12-075, the Commission held that a fine should be tailored to the unique facts of the case.</w:t>
      </w:r>
      <w:r>
        <w:rPr>
          <w:rStyle w:val="FootnoteReference"/>
        </w:rPr>
        <w:footnoteReference w:id="51"/>
      </w:r>
      <w:r>
        <w:t xml:space="preserve"> Here, IPC harmed the regulatory process by contracting for services without Commission authority. However, the degree of wrongdoing is </w:t>
      </w:r>
      <w:r w:rsidR="00F76646">
        <w:t>mitigated</w:t>
      </w:r>
      <w:r>
        <w:t xml:space="preserve"> given IPC’s conduct in submitting its application, disclosing that it contracted for services before receiving authority, and dutifully responding to ALJ rulings. In all cases, the harm will be evaluated from the perspective of the public interest. Given the scope of the violation and the facts of the proceeding, a penalty of $2,000 is reasonable.</w:t>
      </w:r>
    </w:p>
    <w:p w:rsidR="00AE26E2" w:rsidP="003F154B" w:rsidRDefault="00AE26E2" w14:paraId="75DAD4B2" w14:textId="2537B444">
      <w:pPr>
        <w:pStyle w:val="Heading3"/>
      </w:pPr>
      <w:bookmarkStart w:name="_Toc240876466" w:id="112"/>
      <w:r>
        <w:t>Commission Precedent</w:t>
      </w:r>
      <w:bookmarkEnd w:id="112"/>
    </w:p>
    <w:p w:rsidR="00AE26E2" w:rsidP="00AE26E2" w:rsidRDefault="00B114BB" w14:paraId="3F1755CC" w14:textId="5570AD37">
      <w:pPr>
        <w:pStyle w:val="Standard"/>
      </w:pPr>
      <w:r w:rsidRPr="00B114BB">
        <w:t xml:space="preserve">D.98-12-075 requires that the Commission address previous decisions that involve reasonably comparable factual </w:t>
      </w:r>
      <w:r w:rsidRPr="00B114BB" w:rsidR="00574841">
        <w:t>circumstances</w:t>
      </w:r>
      <w:r w:rsidR="00574841">
        <w:t xml:space="preserve"> and</w:t>
      </w:r>
      <w:r w:rsidRPr="00B114BB">
        <w:t xml:space="preserve"> explain any substantial differences in outcome. </w:t>
      </w:r>
      <w:r w:rsidR="000E5943">
        <w:t>T</w:t>
      </w:r>
      <w:r w:rsidRPr="00B114BB">
        <w:t>he Commission has</w:t>
      </w:r>
      <w:r w:rsidR="00C056D7">
        <w:t xml:space="preserve"> </w:t>
      </w:r>
      <w:r w:rsidRPr="00C056D7" w:rsidR="00C056D7">
        <w:t>considered the range of fines assessed in several other decisions and resolutions, including the penalty structure contemplated in Commission Resolution T-17601</w:t>
      </w:r>
      <w:r w:rsidR="00592873">
        <w:t>,</w:t>
      </w:r>
      <w:r w:rsidRPr="00C056D7" w:rsidR="00C056D7">
        <w:t xml:space="preserve"> issued on June 21, </w:t>
      </w:r>
      <w:r w:rsidRPr="00C056D7" w:rsidR="00C056D7">
        <w:lastRenderedPageBreak/>
        <w:t>2018. Resolution T-17601 authorized Communications Division Staff to enforce telecommunication carrier compliance with Commission Resolutions, Decisions, Orders and the Pub</w:t>
      </w:r>
      <w:r w:rsidR="008841F7">
        <w:t>.</w:t>
      </w:r>
      <w:r w:rsidRPr="00C056D7" w:rsidR="00C056D7">
        <w:t xml:space="preserve"> Util</w:t>
      </w:r>
      <w:r w:rsidR="008841F7">
        <w:t>.</w:t>
      </w:r>
      <w:r w:rsidRPr="00C056D7" w:rsidR="00C056D7">
        <w:t xml:space="preserve"> Code by way of a range of penalty calculations for failure to obtain authority to operate in California</w:t>
      </w:r>
      <w:r w:rsidR="00372583">
        <w:t>,</w:t>
      </w:r>
      <w:r w:rsidRPr="00C056D7" w:rsidR="00C056D7">
        <w:t xml:space="preserve"> starting at $1</w:t>
      </w:r>
      <w:r w:rsidR="00372583">
        <w:t>,</w:t>
      </w:r>
      <w:r w:rsidRPr="00C056D7" w:rsidR="00C056D7">
        <w:t xml:space="preserve">000 per month </w:t>
      </w:r>
      <w:r w:rsidR="00984620">
        <w:t xml:space="preserve"> for each month that a carrier has been operating without authority or approval</w:t>
      </w:r>
      <w:r w:rsidRPr="00C056D7" w:rsidR="00C056D7">
        <w:t>.</w:t>
      </w:r>
      <w:r w:rsidR="00D5081A">
        <w:rPr>
          <w:rStyle w:val="FootnoteReference"/>
        </w:rPr>
        <w:footnoteReference w:id="52"/>
      </w:r>
      <w:r w:rsidR="000E5943">
        <w:t xml:space="preserve"> IPC also points out that Resolution T-17601 suggests a baseline assessment of $1,000, where Staff issues a citation to a public utility for failure to obtain authority to operate.</w:t>
      </w:r>
      <w:r w:rsidR="000E5943">
        <w:rPr>
          <w:rStyle w:val="FootnoteReference"/>
        </w:rPr>
        <w:footnoteReference w:id="53"/>
      </w:r>
      <w:r w:rsidR="000E5943">
        <w:t xml:space="preserve"> </w:t>
      </w:r>
    </w:p>
    <w:p w:rsidR="000E5943" w:rsidP="00994E90" w:rsidRDefault="00BE5A0B" w14:paraId="07E77B3E" w14:textId="579147BE">
      <w:pPr>
        <w:pStyle w:val="Standard"/>
      </w:pPr>
      <w:r>
        <w:t>Although Pub</w:t>
      </w:r>
      <w:r w:rsidR="008841F7">
        <w:t>.</w:t>
      </w:r>
      <w:r>
        <w:t xml:space="preserve"> Util</w:t>
      </w:r>
      <w:r w:rsidR="008841F7">
        <w:t>.</w:t>
      </w:r>
      <w:r>
        <w:t xml:space="preserve"> Code Section 2107 </w:t>
      </w:r>
      <w:r w:rsidR="00B317F9">
        <w:t>allows</w:t>
      </w:r>
      <w:r>
        <w:t xml:space="preserve"> for a minimum of $500 and a maximum of $100,000 per </w:t>
      </w:r>
      <w:r w:rsidR="008A5D1A">
        <w:t>violation</w:t>
      </w:r>
      <w:r w:rsidR="00AB55E3">
        <w:t xml:space="preserve"> </w:t>
      </w:r>
      <w:r w:rsidR="0079428A">
        <w:t>of a Commission requirement</w:t>
      </w:r>
      <w:r w:rsidR="008A5D1A">
        <w:t xml:space="preserve">, </w:t>
      </w:r>
      <w:r w:rsidRPr="00187268" w:rsidR="00187268">
        <w:t xml:space="preserve">Resolution T-17601 provides </w:t>
      </w:r>
      <w:r w:rsidR="00984620">
        <w:t>an example</w:t>
      </w:r>
      <w:r w:rsidRPr="00187268" w:rsidR="00187268">
        <w:t xml:space="preserve"> for the penalty structure and assessment contemplated in the instant proceeding,</w:t>
      </w:r>
      <w:r w:rsidR="00187268">
        <w:rPr>
          <w:rStyle w:val="FootnoteReference"/>
        </w:rPr>
        <w:footnoteReference w:id="54"/>
      </w:r>
      <w:r w:rsidRPr="00187268" w:rsidR="00187268">
        <w:t xml:space="preserve"> and the Commission considers it persuasive</w:t>
      </w:r>
      <w:r w:rsidR="00471EFB">
        <w:t xml:space="preserve"> in this case</w:t>
      </w:r>
      <w:r w:rsidRPr="00187268" w:rsidR="00187268">
        <w:t>.</w:t>
      </w:r>
      <w:r w:rsidR="006E2B93">
        <w:t xml:space="preserve"> </w:t>
      </w:r>
    </w:p>
    <w:p w:rsidR="000E5943" w:rsidP="00B66944" w:rsidRDefault="006E2B93" w14:paraId="185F3481" w14:textId="107015BD">
      <w:pPr>
        <w:pStyle w:val="Standard"/>
      </w:pPr>
      <w:r>
        <w:t>In D.</w:t>
      </w:r>
      <w:r w:rsidR="00E579D1">
        <w:t>25-10-011, the Commission</w:t>
      </w:r>
      <w:r w:rsidR="00823401">
        <w:t xml:space="preserve"> also</w:t>
      </w:r>
      <w:r w:rsidR="00101DE2">
        <w:t xml:space="preserve"> applied T-17601</w:t>
      </w:r>
      <w:r w:rsidR="00E579D1">
        <w:t xml:space="preserve"> </w:t>
      </w:r>
      <w:r w:rsidR="000E5943">
        <w:t xml:space="preserve">to </w:t>
      </w:r>
      <w:r w:rsidR="00E579D1">
        <w:t>lev</w:t>
      </w:r>
      <w:r w:rsidR="000E5943">
        <w:t>y</w:t>
      </w:r>
      <w:r w:rsidR="00E579D1">
        <w:t xml:space="preserve"> a penalty of </w:t>
      </w:r>
      <w:r w:rsidR="00101DE2">
        <w:t>$1,000 per month against</w:t>
      </w:r>
      <w:r w:rsidR="009A4EBF">
        <w:t xml:space="preserve"> </w:t>
      </w:r>
      <w:r w:rsidR="00F75A0B">
        <w:t>N</w:t>
      </w:r>
      <w:r w:rsidR="00984620">
        <w:t>T</w:t>
      </w:r>
      <w:r w:rsidR="00F75A0B">
        <w:t>T America</w:t>
      </w:r>
      <w:r w:rsidR="006C5A06">
        <w:t>.</w:t>
      </w:r>
      <w:r w:rsidR="007B2778">
        <w:rPr>
          <w:rStyle w:val="FootnoteReference"/>
        </w:rPr>
        <w:footnoteReference w:id="55"/>
      </w:r>
      <w:r w:rsidR="006C5A06">
        <w:t xml:space="preserve"> </w:t>
      </w:r>
      <w:r w:rsidR="00363FFE">
        <w:t>Similar to IPC’</w:t>
      </w:r>
      <w:r w:rsidR="00511E12">
        <w:t xml:space="preserve">s </w:t>
      </w:r>
      <w:r w:rsidR="00823401">
        <w:t xml:space="preserve">act of </w:t>
      </w:r>
      <w:r w:rsidR="00511E12">
        <w:t xml:space="preserve">contracting with customers </w:t>
      </w:r>
      <w:r w:rsidR="009D7D3C">
        <w:t xml:space="preserve">in California </w:t>
      </w:r>
      <w:r w:rsidR="00511E12">
        <w:t>before receiving a CPCN in this case</w:t>
      </w:r>
      <w:r w:rsidR="00497D89">
        <w:t xml:space="preserve">, the Commission found that </w:t>
      </w:r>
      <w:r w:rsidR="00363FFE">
        <w:t>N</w:t>
      </w:r>
      <w:r w:rsidR="00984620">
        <w:t>T</w:t>
      </w:r>
      <w:r w:rsidR="00363FFE">
        <w:t>T America</w:t>
      </w:r>
      <w:r w:rsidR="00497D89">
        <w:t xml:space="preserve"> continued </w:t>
      </w:r>
      <w:r w:rsidR="000B1FB5">
        <w:t>to provide</w:t>
      </w:r>
      <w:r w:rsidR="00363FFE">
        <w:t xml:space="preserve"> regulated intrastate service without authority in California following revocation of its CPCN.</w:t>
      </w:r>
      <w:r w:rsidR="000B1FB5">
        <w:rPr>
          <w:rStyle w:val="FootnoteReference"/>
        </w:rPr>
        <w:footnoteReference w:id="56"/>
      </w:r>
      <w:r w:rsidR="003166C1">
        <w:t xml:space="preserve"> </w:t>
      </w:r>
      <w:r w:rsidR="000E5943">
        <w:t>T</w:t>
      </w:r>
      <w:r w:rsidR="00B66944">
        <w:t>he Commission</w:t>
      </w:r>
      <w:r w:rsidR="00FE58C2">
        <w:t xml:space="preserve"> </w:t>
      </w:r>
      <w:r w:rsidR="000E5943">
        <w:t xml:space="preserve">then </w:t>
      </w:r>
      <w:r w:rsidR="00FE58C2">
        <w:t>assessed</w:t>
      </w:r>
      <w:r w:rsidR="00221A5B">
        <w:t xml:space="preserve"> a penalty for $50,000, </w:t>
      </w:r>
      <w:r w:rsidR="004D0007">
        <w:t>spanning the time N</w:t>
      </w:r>
      <w:r w:rsidR="008270FF">
        <w:t>T</w:t>
      </w:r>
      <w:r w:rsidR="004D0007">
        <w:t xml:space="preserve">T started </w:t>
      </w:r>
      <w:r w:rsidR="004D0007">
        <w:lastRenderedPageBreak/>
        <w:t xml:space="preserve">providing services in California without a CPCN until the date of the </w:t>
      </w:r>
      <w:r w:rsidR="005C5E6B">
        <w:t>Commission decision.</w:t>
      </w:r>
      <w:r w:rsidR="005C5E6B">
        <w:rPr>
          <w:rStyle w:val="FootnoteReference"/>
        </w:rPr>
        <w:footnoteReference w:id="57"/>
      </w:r>
      <w:r w:rsidR="00B66944">
        <w:t xml:space="preserve"> </w:t>
      </w:r>
    </w:p>
    <w:p w:rsidR="00B66944" w:rsidP="00B66944" w:rsidRDefault="000E5943" w14:paraId="7019FEC6" w14:textId="7420CB56">
      <w:pPr>
        <w:pStyle w:val="Standard"/>
      </w:pPr>
      <w:r>
        <w:t>Here, it is reasonable to assess</w:t>
      </w:r>
      <w:r w:rsidR="00DA62CC">
        <w:t xml:space="preserve"> the penalty </w:t>
      </w:r>
      <w:r>
        <w:t>up to</w:t>
      </w:r>
      <w:r w:rsidR="00DA62CC">
        <w:t xml:space="preserve"> the date IPC filed its application.</w:t>
      </w:r>
      <w:r w:rsidR="00984620">
        <w:rPr>
          <w:rStyle w:val="FootnoteReference"/>
        </w:rPr>
        <w:footnoteReference w:id="58"/>
      </w:r>
      <w:r w:rsidR="00DA62CC">
        <w:t xml:space="preserve"> </w:t>
      </w:r>
      <w:r w:rsidR="009C5DBC">
        <w:t>In N</w:t>
      </w:r>
      <w:r w:rsidR="00984620">
        <w:t>T</w:t>
      </w:r>
      <w:r w:rsidR="009C5DBC">
        <w:t>T America</w:t>
      </w:r>
      <w:r w:rsidR="001A1610">
        <w:t>’s proceeding</w:t>
      </w:r>
      <w:r w:rsidR="009C5DBC">
        <w:t xml:space="preserve">, the ALJ </w:t>
      </w:r>
      <w:r w:rsidR="00B60DD5">
        <w:t xml:space="preserve">issued multiple rulings </w:t>
      </w:r>
      <w:r w:rsidR="00A41551">
        <w:t>that requested supplemental information, and several of N</w:t>
      </w:r>
      <w:r w:rsidR="00984620">
        <w:t>T</w:t>
      </w:r>
      <w:r w:rsidR="00A41551">
        <w:t>T’s responses were only partially responsive.</w:t>
      </w:r>
      <w:r w:rsidR="00A41551">
        <w:rPr>
          <w:rStyle w:val="FootnoteReference"/>
        </w:rPr>
        <w:footnoteReference w:id="59"/>
      </w:r>
      <w:r w:rsidR="00582D98">
        <w:t xml:space="preserve"> </w:t>
      </w:r>
      <w:r w:rsidR="000D7B4B">
        <w:t>In contrast</w:t>
      </w:r>
      <w:r w:rsidR="00582D98">
        <w:t xml:space="preserve">, IPC provided timely </w:t>
      </w:r>
      <w:r w:rsidR="00AB1256">
        <w:t xml:space="preserve">responses with adequate technical and factual information to respond to the ALJ’s rulings. </w:t>
      </w:r>
      <w:r w:rsidR="00682254">
        <w:t>N</w:t>
      </w:r>
      <w:r w:rsidR="00984620">
        <w:t>T</w:t>
      </w:r>
      <w:r w:rsidR="00682254">
        <w:t>T America</w:t>
      </w:r>
      <w:r w:rsidR="00B66944">
        <w:t xml:space="preserve"> </w:t>
      </w:r>
      <w:r>
        <w:t xml:space="preserve">also did not </w:t>
      </w:r>
      <w:r w:rsidR="00B66944">
        <w:t>sufficiently explain why it continued to operate as a telephone corporation providing interexchange services in California for almost three years after the Commission revoked its license.</w:t>
      </w:r>
      <w:r w:rsidR="00B66944">
        <w:rPr>
          <w:rStyle w:val="FootnoteReference"/>
        </w:rPr>
        <w:footnoteReference w:id="60"/>
      </w:r>
      <w:r w:rsidR="00B66944">
        <w:t xml:space="preserve"> </w:t>
      </w:r>
      <w:r>
        <w:t>IPC</w:t>
      </w:r>
      <w:r w:rsidR="00B66944">
        <w:t xml:space="preserve"> came to the Commission approximately two months after it established its contracts</w:t>
      </w:r>
      <w:r w:rsidR="00682254">
        <w:t xml:space="preserve">.  </w:t>
      </w:r>
    </w:p>
    <w:p w:rsidR="003166C1" w:rsidP="00AE26E2" w:rsidRDefault="00EC7064" w14:paraId="3E3F4F0F" w14:textId="700A5923">
      <w:pPr>
        <w:pStyle w:val="Standard"/>
      </w:pPr>
      <w:r>
        <w:t>The Commission will limit its penalty to only two months, July and August of 202</w:t>
      </w:r>
      <w:r w:rsidR="00984620">
        <w:t>5</w:t>
      </w:r>
      <w:r>
        <w:t xml:space="preserve">, </w:t>
      </w:r>
      <w:r w:rsidR="002C3DFA">
        <w:t>given the extent of the mitigating circumstances described herein.</w:t>
      </w:r>
    </w:p>
    <w:p w:rsidR="000D7B4B" w:rsidP="003F154B" w:rsidRDefault="000D7B4B" w14:paraId="037F10BC" w14:textId="419CF547">
      <w:pPr>
        <w:pStyle w:val="Heading3"/>
      </w:pPr>
      <w:bookmarkStart w:name="_Toc240876467" w:id="113"/>
      <w:r>
        <w:t>Penalty Determination</w:t>
      </w:r>
      <w:bookmarkEnd w:id="113"/>
    </w:p>
    <w:p w:rsidR="000D7B4B" w:rsidP="000D7B4B" w:rsidRDefault="000D7B4B" w14:paraId="545B5450" w14:textId="3C660E4E">
      <w:pPr>
        <w:pStyle w:val="Standard"/>
      </w:pPr>
      <w:r>
        <w:t xml:space="preserve">Considering the factors in D.98-12-075, we find the penalty amount of $2,000 reasonable in light of the record as a whole. The penalty is reasonable given the severity of the regulatory harm caused by IPC’s failure to obtain authority </w:t>
      </w:r>
      <w:r>
        <w:rPr>
          <w:i/>
          <w:iCs/>
        </w:rPr>
        <w:t>before</w:t>
      </w:r>
      <w:r>
        <w:t xml:space="preserve"> offering services</w:t>
      </w:r>
      <w:r w:rsidR="002264A7">
        <w:t>.</w:t>
      </w:r>
      <w:r w:rsidR="001E456D">
        <w:t xml:space="preserve"> </w:t>
      </w:r>
      <w:r w:rsidR="002264A7">
        <w:t xml:space="preserve">In </w:t>
      </w:r>
      <w:r>
        <w:t>recogni</w:t>
      </w:r>
      <w:r w:rsidR="002264A7">
        <w:t>tion of</w:t>
      </w:r>
      <w:r>
        <w:t xml:space="preserve"> IPC’s mitigating conduct</w:t>
      </w:r>
      <w:r w:rsidR="00B879B8">
        <w:t>, as described above</w:t>
      </w:r>
      <w:r w:rsidR="002264A7">
        <w:t>, the penalty is also limited</w:t>
      </w:r>
      <w:r>
        <w:t xml:space="preserve">. The penalty is in the public interest </w:t>
      </w:r>
      <w:r>
        <w:lastRenderedPageBreak/>
        <w:t>as it is a sufficient deterrent for a company of IPC’s size given the factual circumstances of this proceeding. Finally, the factual circumstances discussed herein distinguish IPC’s violation from other violations that have necessitated a larger penalty amount. Thus, the stipulated penalty amount of $2,000 is consistent with Commission precedent given the circumstances of this proceeding and reasonable in light of the record.</w:t>
      </w:r>
    </w:p>
    <w:p w:rsidR="00FD5971" w:rsidP="008845EF" w:rsidRDefault="00FD5971" w14:paraId="271AAA69" w14:textId="51249512">
      <w:pPr>
        <w:pStyle w:val="Heading1"/>
      </w:pPr>
      <w:bookmarkStart w:name="_Toc240876468" w:id="114"/>
      <w:r>
        <w:t>Conclusion</w:t>
      </w:r>
      <w:bookmarkEnd w:id="114"/>
    </w:p>
    <w:p w:rsidRPr="005D197E" w:rsidR="00FD5971" w:rsidP="00B53E8E" w:rsidRDefault="004B795A" w14:paraId="45083E95" w14:textId="1D0AE252">
      <w:pPr>
        <w:pStyle w:val="standard0"/>
        <w:rPr>
          <w:rFonts w:ascii="Book Antiqua" w:hAnsi="Book Antiqua"/>
        </w:rPr>
      </w:pPr>
      <w:r w:rsidRPr="005D197E">
        <w:rPr>
          <w:rFonts w:ascii="Book Antiqua" w:hAnsi="Book Antiqua"/>
        </w:rPr>
        <w:t>IPC</w:t>
      </w:r>
      <w:r w:rsidRPr="005D197E" w:rsidR="00FD5971">
        <w:rPr>
          <w:rFonts w:ascii="Book Antiqua" w:hAnsi="Book Antiqua"/>
        </w:rPr>
        <w:t>’</w:t>
      </w:r>
      <w:r w:rsidRPr="005D197E">
        <w:rPr>
          <w:rFonts w:ascii="Book Antiqua" w:hAnsi="Book Antiqua"/>
        </w:rPr>
        <w:t>s</w:t>
      </w:r>
      <w:r w:rsidRPr="005D197E" w:rsidR="00FD5971">
        <w:rPr>
          <w:rFonts w:ascii="Book Antiqua" w:hAnsi="Book Antiqua"/>
        </w:rPr>
        <w:t xml:space="preserve"> application conforms with the Commission’s rules for certification as a</w:t>
      </w:r>
      <w:r w:rsidR="00572110">
        <w:rPr>
          <w:rFonts w:ascii="Book Antiqua" w:hAnsi="Book Antiqua"/>
        </w:rPr>
        <w:t>n</w:t>
      </w:r>
      <w:r w:rsidRPr="005D197E" w:rsidR="00FD5971">
        <w:rPr>
          <w:rFonts w:ascii="Book Antiqua" w:hAnsi="Book Antiqua"/>
        </w:rPr>
        <w:t xml:space="preserve"> interexchange carrier. Accordingly, the Commission grants </w:t>
      </w:r>
      <w:r w:rsidRPr="005D197E">
        <w:t>IPC</w:t>
      </w:r>
      <w:r w:rsidRPr="005D197E" w:rsidR="00FD5971">
        <w:rPr>
          <w:rFonts w:ascii="Book Antiqua" w:hAnsi="Book Antiqua"/>
        </w:rPr>
        <w:t>’</w:t>
      </w:r>
      <w:r w:rsidRPr="005D197E">
        <w:rPr>
          <w:rFonts w:ascii="Book Antiqua" w:hAnsi="Book Antiqua"/>
        </w:rPr>
        <w:t>s</w:t>
      </w:r>
      <w:r w:rsidRPr="005D197E" w:rsidR="00FD5971">
        <w:rPr>
          <w:rFonts w:ascii="Book Antiqua" w:hAnsi="Book Antiqua"/>
        </w:rPr>
        <w:t xml:space="preserve"> CPCN </w:t>
      </w:r>
      <w:r w:rsidR="00C65110">
        <w:rPr>
          <w:rFonts w:ascii="Book Antiqua" w:hAnsi="Book Antiqua"/>
        </w:rPr>
        <w:t xml:space="preserve">application </w:t>
      </w:r>
      <w:r w:rsidRPr="005D197E" w:rsidR="00FD5971">
        <w:rPr>
          <w:rFonts w:ascii="Book Antiqua" w:hAnsi="Book Antiqua"/>
        </w:rPr>
        <w:t xml:space="preserve">to provide </w:t>
      </w:r>
      <w:r w:rsidRPr="005D197E" w:rsidR="00B53E8E">
        <w:rPr>
          <w:rFonts w:ascii="Book Antiqua" w:hAnsi="Book Antiqua"/>
        </w:rPr>
        <w:t>intra</w:t>
      </w:r>
      <w:r w:rsidR="00512EC5">
        <w:rPr>
          <w:rFonts w:ascii="Book Antiqua" w:hAnsi="Book Antiqua"/>
        </w:rPr>
        <w:t>-</w:t>
      </w:r>
      <w:r w:rsidRPr="005D197E" w:rsidR="00B53E8E">
        <w:rPr>
          <w:rFonts w:ascii="Book Antiqua" w:hAnsi="Book Antiqua"/>
        </w:rPr>
        <w:t xml:space="preserve">LATA </w:t>
      </w:r>
      <w:r w:rsidR="000D7B4B">
        <w:rPr>
          <w:rFonts w:ascii="Book Antiqua" w:hAnsi="Book Antiqua"/>
        </w:rPr>
        <w:t>high</w:t>
      </w:r>
      <w:r w:rsidR="008B1624">
        <w:rPr>
          <w:rFonts w:ascii="Book Antiqua" w:hAnsi="Book Antiqua"/>
        </w:rPr>
        <w:t>-</w:t>
      </w:r>
      <w:r w:rsidR="000D7B4B">
        <w:rPr>
          <w:rFonts w:ascii="Book Antiqua" w:hAnsi="Book Antiqua"/>
        </w:rPr>
        <w:t xml:space="preserve">speed digital private line </w:t>
      </w:r>
      <w:r w:rsidRPr="005D197E" w:rsidR="00B53E8E">
        <w:rPr>
          <w:rFonts w:ascii="Book Antiqua" w:hAnsi="Book Antiqua"/>
        </w:rPr>
        <w:t xml:space="preserve">service </w:t>
      </w:r>
      <w:r w:rsidRPr="005D197E" w:rsidR="00B945BF">
        <w:rPr>
          <w:rFonts w:ascii="Book Antiqua" w:hAnsi="Book Antiqua"/>
        </w:rPr>
        <w:t>throughout the state of California</w:t>
      </w:r>
      <w:r w:rsidR="005979AC">
        <w:rPr>
          <w:rFonts w:ascii="Book Antiqua" w:hAnsi="Book Antiqua"/>
        </w:rPr>
        <w:t xml:space="preserve"> as an interexchange carrier</w:t>
      </w:r>
      <w:r w:rsidRPr="005D197E" w:rsidR="00FD5971">
        <w:rPr>
          <w:rFonts w:ascii="Book Antiqua" w:hAnsi="Book Antiqua"/>
          <w:b/>
          <w:bCs/>
        </w:rPr>
        <w:t xml:space="preserve"> </w:t>
      </w:r>
      <w:r w:rsidRPr="005D197E" w:rsidR="00FD5971">
        <w:rPr>
          <w:rFonts w:ascii="Book Antiqua" w:hAnsi="Book Antiqua"/>
        </w:rPr>
        <w:t>subject to compliance with the terms and conditions set forth in the Ordering Paragraphs.</w:t>
      </w:r>
    </w:p>
    <w:p w:rsidRPr="00976DD5" w:rsidR="00FD5971" w:rsidP="00FD5971" w:rsidRDefault="00FD5971" w14:paraId="6855BC0F" w14:textId="02F77428">
      <w:pPr>
        <w:rPr>
          <w:b/>
          <w:bCs/>
          <w:i/>
          <w:iCs/>
        </w:rPr>
      </w:pPr>
      <w:r w:rsidRPr="4372617A">
        <w:t xml:space="preserve">The CPCN granted by this decision provides benefits to </w:t>
      </w:r>
      <w:r w:rsidR="003C2C2E">
        <w:t>IPC</w:t>
      </w:r>
      <w:r w:rsidRPr="00DE0551" w:rsidDel="001C1206" w:rsidR="003C2C2E">
        <w:rPr>
          <w:b/>
          <w:color w:val="0070C0"/>
        </w:rPr>
        <w:t xml:space="preserve"> </w:t>
      </w:r>
      <w:r w:rsidRPr="4372617A">
        <w:t xml:space="preserve">and corresponding obligations. </w:t>
      </w:r>
      <w:r w:rsidR="003C2C2E">
        <w:t>IPC</w:t>
      </w:r>
      <w:r w:rsidRPr="00DE0551" w:rsidDel="001C1206" w:rsidR="003C2C2E">
        <w:rPr>
          <w:b/>
          <w:color w:val="0070C0"/>
        </w:rPr>
        <w:t xml:space="preserve"> </w:t>
      </w:r>
      <w:r w:rsidRPr="4372617A">
        <w:t xml:space="preserve">receives authority to operate in the prescribed service territory, and this authority enables </w:t>
      </w:r>
      <w:r w:rsidR="003C2C2E">
        <w:t>IPC</w:t>
      </w:r>
      <w:r w:rsidRPr="4372617A">
        <w:t>, pursuant to Section 251 of the 1934 Communications Act, as amended by the 1996 Telecommunications Act (47 U.S.C. Section 251), to interconnect with telecommunications carriers</w:t>
      </w:r>
      <w:r w:rsidRPr="00976DD5">
        <w:t>.</w:t>
      </w:r>
      <w:r w:rsidR="00402004">
        <w:rPr>
          <w:rStyle w:val="FootnoteReference"/>
        </w:rPr>
        <w:footnoteReference w:id="61"/>
      </w:r>
      <w:r w:rsidRPr="00976DD5">
        <w:rPr>
          <w:szCs w:val="26"/>
        </w:rPr>
        <w:t> </w:t>
      </w:r>
    </w:p>
    <w:p w:rsidRPr="00FD5971" w:rsidR="00FD5971" w:rsidP="00710EBA" w:rsidRDefault="00FD5971" w14:paraId="3C1C74CD" w14:textId="20FDEA64">
      <w:pPr>
        <w:pStyle w:val="Standard"/>
      </w:pPr>
      <w:r w:rsidRPr="00DE0551">
        <w:rPr>
          <w:szCs w:val="26"/>
        </w:rPr>
        <w:t xml:space="preserve">In return, </w:t>
      </w:r>
      <w:r w:rsidR="003C2C2E">
        <w:t>IPC</w:t>
      </w:r>
      <w:r w:rsidRPr="00DE0551">
        <w:rPr>
          <w:b/>
          <w:color w:val="0000FF"/>
          <w:szCs w:val="26"/>
        </w:rPr>
        <w:t xml:space="preserve"> </w:t>
      </w:r>
      <w:r w:rsidRPr="00DE0551">
        <w:rPr>
          <w:szCs w:val="26"/>
        </w:rPr>
        <w:t>is obligated to comply with all Pub</w:t>
      </w:r>
      <w:r>
        <w:rPr>
          <w:szCs w:val="26"/>
        </w:rPr>
        <w:t>. Util.</w:t>
      </w:r>
      <w:r w:rsidRPr="00DE0551">
        <w:rPr>
          <w:szCs w:val="26"/>
        </w:rPr>
        <w:t xml:space="preserve"> Code provisions, Commission rules, G</w:t>
      </w:r>
      <w:r>
        <w:rPr>
          <w:szCs w:val="26"/>
        </w:rPr>
        <w:t>O</w:t>
      </w:r>
      <w:r w:rsidRPr="00DE0551">
        <w:rPr>
          <w:szCs w:val="26"/>
        </w:rPr>
        <w:t>s, and decisions applicable to telephone corporations providing approved services.</w:t>
      </w:r>
      <w:r w:rsidRPr="00DE0551">
        <w:rPr>
          <w:b/>
          <w:bCs/>
          <w:szCs w:val="26"/>
        </w:rPr>
        <w:t xml:space="preserve"> </w:t>
      </w:r>
      <w:r w:rsidRPr="00DE0551">
        <w:t xml:space="preserve">The applicable statutes, rules, </w:t>
      </w:r>
      <w:r w:rsidRPr="00DE0551">
        <w:rPr>
          <w:szCs w:val="26"/>
        </w:rPr>
        <w:t>G</w:t>
      </w:r>
      <w:r>
        <w:rPr>
          <w:szCs w:val="26"/>
        </w:rPr>
        <w:t>O</w:t>
      </w:r>
      <w:r w:rsidRPr="00DE0551">
        <w:rPr>
          <w:szCs w:val="26"/>
        </w:rPr>
        <w:t>s, and decisions</w:t>
      </w:r>
      <w:r w:rsidRPr="00DE0551">
        <w:t xml:space="preserve"> include, but are not limited to</w:t>
      </w:r>
      <w:r w:rsidR="004E2AA3">
        <w:t>,</w:t>
      </w:r>
      <w:r w:rsidRPr="00DE0551">
        <w:t xml:space="preserve"> </w:t>
      </w:r>
      <w:r>
        <w:t xml:space="preserve">the </w:t>
      </w:r>
      <w:r w:rsidRPr="00DE0551">
        <w:t xml:space="preserve">consumer protection rules, tariffing, and reporting requirements. Moreover, </w:t>
      </w:r>
      <w:r w:rsidR="003C2C2E">
        <w:t>IPC</w:t>
      </w:r>
      <w:r w:rsidRPr="00DE0551">
        <w:t xml:space="preserve"> is obligated to pay all Commission</w:t>
      </w:r>
      <w:r>
        <w:t>-</w:t>
      </w:r>
      <w:r w:rsidRPr="00DE0551">
        <w:t>prescribed user fees and public purpose program surcharges</w:t>
      </w:r>
      <w:r>
        <w:t>,</w:t>
      </w:r>
      <w:r w:rsidRPr="00DE0551">
        <w:t xml:space="preserve"> as set forth in A</w:t>
      </w:r>
      <w:r>
        <w:t>ttachment </w:t>
      </w:r>
      <w:r w:rsidRPr="00DE0551">
        <w:t>B of this decision, to comply with CEQA, and to adhere to Pub.</w:t>
      </w:r>
      <w:r>
        <w:t> </w:t>
      </w:r>
      <w:r w:rsidRPr="00DE0551">
        <w:t xml:space="preserve">Util. </w:t>
      </w:r>
      <w:r w:rsidRPr="00DE0551">
        <w:lastRenderedPageBreak/>
        <w:t>Code</w:t>
      </w:r>
      <w:r>
        <w:t> Section</w:t>
      </w:r>
      <w:r w:rsidRPr="00DE0551">
        <w:t> 451</w:t>
      </w:r>
      <w:r>
        <w:t>,</w:t>
      </w:r>
      <w:r w:rsidRPr="00DE0551">
        <w:t xml:space="preserve"> which states that every public utility “…shall furnish and maintain such adequate, efficient, just, and reasonable service, instrumentalities, equipment, and facilities, including telephone facilities, as defined in </w:t>
      </w:r>
      <w:r>
        <w:t>Section </w:t>
      </w:r>
      <w:r w:rsidRPr="00DE0551">
        <w:t>54.1 of the Civil</w:t>
      </w:r>
      <w:r>
        <w:t> </w:t>
      </w:r>
      <w:r w:rsidRPr="00DE0551">
        <w:t>Code, as are necessary to promote the safety, health, comfort, and convenience of its patrons, employees, and the public.”</w:t>
      </w:r>
      <w:r>
        <w:t xml:space="preserve"> </w:t>
      </w:r>
      <w:r w:rsidRPr="003E48C0">
        <w:rPr>
          <w:szCs w:val="26"/>
        </w:rPr>
        <w:t>Granting this application will benefit the public interest by expanding the availability of technologically advanced telecommunications services within the state</w:t>
      </w:r>
      <w:r>
        <w:rPr>
          <w:szCs w:val="26"/>
        </w:rPr>
        <w:t>.</w:t>
      </w:r>
    </w:p>
    <w:p w:rsidR="00FD5971" w:rsidP="008845EF" w:rsidRDefault="00FD5971" w14:paraId="2AB99EC9" w14:textId="4DB6BD68">
      <w:pPr>
        <w:pStyle w:val="Heading1"/>
      </w:pPr>
      <w:bookmarkStart w:name="_Toc240876469" w:id="115"/>
      <w:r>
        <w:t>Additional Requirements for Applicant Following Commission’s Grant of CPCN</w:t>
      </w:r>
      <w:bookmarkEnd w:id="115"/>
    </w:p>
    <w:p w:rsidRPr="00FD5971" w:rsidR="00FD5971" w:rsidP="00710EBA" w:rsidRDefault="00FD5971" w14:paraId="2E0D5558" w14:textId="4FC4F23D">
      <w:pPr>
        <w:pStyle w:val="Standard"/>
      </w:pPr>
      <w:r>
        <w:t xml:space="preserve">The CPCN granted in this decision is contingent upon </w:t>
      </w:r>
      <w:r w:rsidRPr="0005515B" w:rsidR="003C2C2E">
        <w:t>IPC</w:t>
      </w:r>
      <w:r w:rsidRPr="0005515B" w:rsidDel="001C1206" w:rsidR="003C2C2E">
        <w:t xml:space="preserve"> </w:t>
      </w:r>
      <w:r w:rsidRPr="0005515B">
        <w:t xml:space="preserve">’s compliance </w:t>
      </w:r>
      <w:r>
        <w:t xml:space="preserve">with several requirements: (1) </w:t>
      </w:r>
      <w:r w:rsidRPr="004624AD">
        <w:t>render</w:t>
      </w:r>
      <w:r>
        <w:t>ing</w:t>
      </w:r>
      <w:r w:rsidRPr="004624AD">
        <w:t xml:space="preserve"> service to customers </w:t>
      </w:r>
      <w:r>
        <w:t>within</w:t>
      </w:r>
      <w:r w:rsidRPr="004624AD">
        <w:t xml:space="preserve"> 12 months from the effective date of this decision</w:t>
      </w:r>
      <w:r>
        <w:t xml:space="preserve">; (2) using its assigned </w:t>
      </w:r>
      <w:r w:rsidRPr="00EB362F">
        <w:t>corporate identification number in the caption of all original filings with th</w:t>
      </w:r>
      <w:r>
        <w:t xml:space="preserve">e Commission; (3) </w:t>
      </w:r>
      <w:r w:rsidRPr="00EB362F">
        <w:t>fil</w:t>
      </w:r>
      <w:r>
        <w:t xml:space="preserve">ing in this docket </w:t>
      </w:r>
      <w:r w:rsidRPr="00EB362F">
        <w:t>a written acceptance of the certificate granted in this proceeding</w:t>
      </w:r>
      <w:r>
        <w:t xml:space="preserve"> w</w:t>
      </w:r>
      <w:r w:rsidRPr="00EB362F">
        <w:t>ithin 30</w:t>
      </w:r>
      <w:r>
        <w:t> </w:t>
      </w:r>
      <w:r w:rsidRPr="00EB362F">
        <w:t>days of the effective date of this decision</w:t>
      </w:r>
      <w:r>
        <w:t>; (4)</w:t>
      </w:r>
      <w:r w:rsidRPr="00EB362F">
        <w:t xml:space="preserve"> provid</w:t>
      </w:r>
      <w:r>
        <w:t>ing</w:t>
      </w:r>
      <w:r w:rsidRPr="00EB362F">
        <w:t xml:space="preserve"> the name, address, e</w:t>
      </w:r>
      <w:r>
        <w:noBreakHyphen/>
      </w:r>
      <w:r w:rsidRPr="00EB362F">
        <w:t xml:space="preserve">mail address, and telephone </w:t>
      </w:r>
      <w:r w:rsidRPr="005527B3">
        <w:t>number of its designated primary regulatory/official contact person to the Commission’s Communications Division w</w:t>
      </w:r>
      <w:r w:rsidRPr="005527B3">
        <w:rPr>
          <w:bCs/>
        </w:rPr>
        <w:t>ithin</w:t>
      </w:r>
      <w:r w:rsidRPr="005527B3">
        <w:t xml:space="preserve"> five days of written acceptance of its certificate</w:t>
      </w:r>
      <w:r>
        <w:t xml:space="preserve">; (5) </w:t>
      </w:r>
      <w:r w:rsidRPr="005527B3">
        <w:t>provid</w:t>
      </w:r>
      <w:r>
        <w:t>ing</w:t>
      </w:r>
      <w:r w:rsidRPr="005527B3">
        <w:t xml:space="preserve"> the name, address, e</w:t>
      </w:r>
      <w:r w:rsidRPr="005527B3">
        <w:noBreakHyphen/>
        <w:t>mail address, and telephone number of its designated contact person for purposes of resolving consumer complaints to the Commission’s Consumer Affairs Branch w</w:t>
      </w:r>
      <w:r w:rsidRPr="005527B3">
        <w:rPr>
          <w:bCs/>
        </w:rPr>
        <w:t>ithin</w:t>
      </w:r>
      <w:r w:rsidRPr="005527B3">
        <w:t xml:space="preserve"> five days of written acceptance of its certificate</w:t>
      </w:r>
      <w:r>
        <w:t>; (6)</w:t>
      </w:r>
      <w:r w:rsidRPr="4372617A">
        <w:t xml:space="preserve"> submit</w:t>
      </w:r>
      <w:r>
        <w:t>ting</w:t>
      </w:r>
      <w:r w:rsidRPr="4372617A">
        <w:t xml:space="preserve"> a Tier</w:t>
      </w:r>
      <w:r>
        <w:t xml:space="preserve"> </w:t>
      </w:r>
      <w:r w:rsidRPr="4372617A">
        <w:t xml:space="preserve">1 </w:t>
      </w:r>
      <w:r w:rsidR="001E54E0">
        <w:t>a</w:t>
      </w:r>
      <w:r w:rsidRPr="4372617A">
        <w:t>dvice </w:t>
      </w:r>
      <w:r w:rsidR="001E54E0">
        <w:t>l</w:t>
      </w:r>
      <w:r w:rsidRPr="4372617A">
        <w:t xml:space="preserve">etter containing a copy of the license holder’s executed performance bond within </w:t>
      </w:r>
      <w:r>
        <w:t>30</w:t>
      </w:r>
      <w:r w:rsidRPr="4372617A">
        <w:t xml:space="preserve"> days of the effective date of this decision</w:t>
      </w:r>
      <w:r>
        <w:t xml:space="preserve">; (7) submitting its compliance with </w:t>
      </w:r>
      <w:r w:rsidRPr="002E4891">
        <w:t>Pub</w:t>
      </w:r>
      <w:r>
        <w:t>.</w:t>
      </w:r>
      <w:r w:rsidRPr="002E4891">
        <w:t xml:space="preserve"> Util</w:t>
      </w:r>
      <w:r>
        <w:t>.</w:t>
      </w:r>
      <w:r w:rsidRPr="002E4891">
        <w:t xml:space="preserve"> Code </w:t>
      </w:r>
      <w:r>
        <w:t>Section</w:t>
      </w:r>
      <w:r w:rsidRPr="002E4891">
        <w:t xml:space="preserve"> 708, Employee Identification Cards</w:t>
      </w:r>
      <w:r>
        <w:t>, to</w:t>
      </w:r>
      <w:r w:rsidRPr="002E4891">
        <w:t xml:space="preserve"> </w:t>
      </w:r>
      <w:r>
        <w:t xml:space="preserve">the </w:t>
      </w:r>
      <w:r w:rsidRPr="009A3D94">
        <w:t>Commission’s Director of the Communications Division</w:t>
      </w:r>
      <w:r>
        <w:t xml:space="preserve">, in writing, </w:t>
      </w:r>
      <w:r w:rsidRPr="002E4891">
        <w:t xml:space="preserve">by email to </w:t>
      </w:r>
      <w:hyperlink w:history="1" r:id="rId23">
        <w:r w:rsidRPr="009374C9">
          <w:rPr>
            <w:rStyle w:val="Hyperlink"/>
          </w:rPr>
          <w:t>cdcompliance@cpuc.ca.gov</w:t>
        </w:r>
      </w:hyperlink>
      <w:r>
        <w:t xml:space="preserve">, </w:t>
      </w:r>
      <w:r w:rsidRPr="009A3D94">
        <w:rPr>
          <w:iCs/>
        </w:rPr>
        <w:t>within</w:t>
      </w:r>
      <w:r w:rsidRPr="009A3D94">
        <w:t xml:space="preserve"> 60 days </w:t>
      </w:r>
      <w:r>
        <w:t>of</w:t>
      </w:r>
      <w:r w:rsidRPr="009A3D94">
        <w:t xml:space="preserve"> </w:t>
      </w:r>
      <w:r w:rsidRPr="009A3D94">
        <w:lastRenderedPageBreak/>
        <w:t xml:space="preserve">the effective date of this </w:t>
      </w:r>
      <w:r>
        <w:t xml:space="preserve">decision; </w:t>
      </w:r>
      <w:r w:rsidR="005979AC">
        <w:t xml:space="preserve">and </w:t>
      </w:r>
      <w:r>
        <w:t xml:space="preserve">(8) providing </w:t>
      </w:r>
      <w:r w:rsidRPr="00EB362F">
        <w:t>the date that service is first rendered to the public,</w:t>
      </w:r>
      <w:r>
        <w:t xml:space="preserve"> to</w:t>
      </w:r>
      <w:r w:rsidRPr="00EB362F">
        <w:t xml:space="preserve"> the</w:t>
      </w:r>
      <w:r w:rsidRPr="00C47364">
        <w:t xml:space="preserve"> Commission’s Director of the Communications Division</w:t>
      </w:r>
      <w:r>
        <w:t>, in writing,</w:t>
      </w:r>
      <w:r w:rsidRPr="00EB362F">
        <w:t xml:space="preserve"> by email to </w:t>
      </w:r>
      <w:hyperlink w:history="1" r:id="rId24">
        <w:r w:rsidRPr="00EB362F">
          <w:rPr>
            <w:rStyle w:val="Hyperlink"/>
          </w:rPr>
          <w:t>cdcompliance@cpuc.ca.gov</w:t>
        </w:r>
      </w:hyperlink>
      <w:r>
        <w:rPr>
          <w:rStyle w:val="Hyperlink"/>
        </w:rPr>
        <w:t>,</w:t>
      </w:r>
      <w:r>
        <w:t xml:space="preserve"> </w:t>
      </w:r>
      <w:r w:rsidRPr="00EB362F">
        <w:t>no</w:t>
      </w:r>
      <w:r>
        <w:t> </w:t>
      </w:r>
      <w:r w:rsidRPr="00EB362F">
        <w:t>later</w:t>
      </w:r>
      <w:r>
        <w:t> </w:t>
      </w:r>
      <w:r w:rsidRPr="00EB362F">
        <w:t>than five</w:t>
      </w:r>
      <w:r>
        <w:t> </w:t>
      </w:r>
      <w:r w:rsidRPr="00EB362F">
        <w:t>days after service first begins</w:t>
      </w:r>
      <w:r>
        <w:t xml:space="preserve">. These requirements are in addition to </w:t>
      </w:r>
      <w:r w:rsidR="003C2C2E">
        <w:t>IPC</w:t>
      </w:r>
      <w:r w:rsidR="005979AC">
        <w:t>’s</w:t>
      </w:r>
      <w:r>
        <w:rPr>
          <w:b/>
          <w:color w:val="0000FF"/>
        </w:rPr>
        <w:t xml:space="preserve"> </w:t>
      </w:r>
      <w:r w:rsidRPr="00ED3DF1">
        <w:rPr>
          <w:bCs/>
        </w:rPr>
        <w:t>ongoing obligation to</w:t>
      </w:r>
      <w:r w:rsidRPr="00ED3DF1">
        <w:rPr>
          <w:b/>
        </w:rPr>
        <w:t xml:space="preserve"> </w:t>
      </w:r>
      <w:r>
        <w:t>be</w:t>
      </w:r>
      <w:r w:rsidRPr="00EB362F">
        <w:t xml:space="preserve"> subject </w:t>
      </w:r>
      <w:r>
        <w:t>to</w:t>
      </w:r>
      <w:r w:rsidRPr="00EB362F">
        <w:t xml:space="preserve"> all the </w:t>
      </w:r>
      <w:r>
        <w:t xml:space="preserve">current </w:t>
      </w:r>
      <w:r w:rsidRPr="00EB362F">
        <w:t xml:space="preserve">requirements </w:t>
      </w:r>
      <w:r w:rsidRPr="00803DBA">
        <w:t xml:space="preserve">applicable to </w:t>
      </w:r>
      <w:r w:rsidRPr="009837E1">
        <w:rPr>
          <w:bCs/>
        </w:rPr>
        <w:t>interexchange carriers</w:t>
      </w:r>
      <w:r w:rsidRPr="00730461">
        <w:t xml:space="preserve"> </w:t>
      </w:r>
      <w:r w:rsidRPr="00EB362F">
        <w:t>included in Attachments</w:t>
      </w:r>
      <w:r>
        <w:t> </w:t>
      </w:r>
      <w:r w:rsidRPr="00EB362F">
        <w:t>B, C, and D to this decision</w:t>
      </w:r>
      <w:r>
        <w:t xml:space="preserve"> (including annual affiliate transaction reports, ongoing performance bond requirements, and payment of surcharges and user fees);</w:t>
      </w:r>
      <w:r w:rsidRPr="00EB362F">
        <w:t xml:space="preserve"> </w:t>
      </w:r>
      <w:r>
        <w:t xml:space="preserve">all </w:t>
      </w:r>
      <w:r w:rsidRPr="00EB362F">
        <w:t>Consumer Protection Rules contained in GO</w:t>
      </w:r>
      <w:r>
        <w:t> </w:t>
      </w:r>
      <w:r w:rsidRPr="00EB362F">
        <w:t>168</w:t>
      </w:r>
      <w:r>
        <w:t>;</w:t>
      </w:r>
      <w:r w:rsidRPr="00EB362F">
        <w:t xml:space="preserve"> and all applicable Commission rules, decisions, GOs, and statutes that pertain to California public</w:t>
      </w:r>
      <w:r>
        <w:t> </w:t>
      </w:r>
      <w:r w:rsidRPr="00EB362F">
        <w:t>utilities</w:t>
      </w:r>
      <w:r>
        <w:t xml:space="preserve"> on an ongoing basis.</w:t>
      </w:r>
    </w:p>
    <w:p w:rsidR="00FD5971" w:rsidP="008845EF" w:rsidRDefault="00FD5971" w14:paraId="508FE004" w14:textId="77777777">
      <w:pPr>
        <w:pStyle w:val="Heading1"/>
      </w:pPr>
      <w:bookmarkStart w:name="_Toc240876470" w:id="116"/>
      <w:r>
        <w:t>Confidential Treatment of Documents and Other Procedural Matters</w:t>
      </w:r>
      <w:bookmarkEnd w:id="116"/>
    </w:p>
    <w:p w:rsidR="00FD5971" w:rsidP="00FD5971" w:rsidRDefault="007A036D" w14:paraId="3A91EB7F" w14:textId="44C68528">
      <w:pPr>
        <w:pStyle w:val="standard0"/>
        <w:rPr>
          <w:rFonts w:ascii="Book Antiqua" w:hAnsi="Book Antiqua"/>
          <w:color w:val="000000"/>
        </w:rPr>
      </w:pPr>
      <w:r w:rsidRPr="000E49C0">
        <w:rPr>
          <w:rFonts w:ascii="Book Antiqua" w:hAnsi="Book Antiqua" w:eastAsia="Book Antiqua" w:cs="Book Antiqua"/>
        </w:rPr>
        <w:t>IPC</w:t>
      </w:r>
      <w:r w:rsidRPr="000E49C0" w:rsidR="00FD5971">
        <w:rPr>
          <w:rFonts w:ascii="Book Antiqua" w:hAnsi="Book Antiqua" w:eastAsia="Book Antiqua" w:cs="Book Antiqua"/>
          <w:color w:val="000000"/>
        </w:rPr>
        <w:t xml:space="preserve"> </w:t>
      </w:r>
      <w:r w:rsidRPr="7C0A01EA" w:rsidR="00FD5971">
        <w:rPr>
          <w:rFonts w:ascii="Book Antiqua" w:hAnsi="Book Antiqua"/>
          <w:color w:val="000000" w:themeColor="text1"/>
        </w:rPr>
        <w:t xml:space="preserve">provided financial documents as listed in </w:t>
      </w:r>
      <w:r w:rsidRPr="4372617A" w:rsidR="00FD5971">
        <w:rPr>
          <w:rFonts w:ascii="Book Antiqua" w:hAnsi="Book Antiqua"/>
          <w:color w:val="000000"/>
        </w:rPr>
        <w:t>D.24-11-003</w:t>
      </w:r>
      <w:r w:rsidR="00FD5971">
        <w:rPr>
          <w:rFonts w:ascii="Book Antiqua" w:hAnsi="Book Antiqua"/>
          <w:color w:val="000000"/>
        </w:rPr>
        <w:t xml:space="preserve"> Appendix F</w:t>
      </w:r>
      <w:r w:rsidR="00D12552">
        <w:rPr>
          <w:rFonts w:ascii="Book Antiqua" w:hAnsi="Book Antiqua"/>
          <w:color w:val="000000"/>
        </w:rPr>
        <w:t>, i</w:t>
      </w:r>
      <w:r w:rsidR="00FD5971">
        <w:rPr>
          <w:rFonts w:ascii="Book Antiqua" w:hAnsi="Book Antiqua"/>
          <w:color w:val="000000"/>
        </w:rPr>
        <w:t xml:space="preserve">n </w:t>
      </w:r>
      <w:r>
        <w:rPr>
          <w:rFonts w:ascii="Book Antiqua" w:hAnsi="Book Antiqua"/>
          <w:color w:val="000000"/>
        </w:rPr>
        <w:t>Appendix K</w:t>
      </w:r>
      <w:r w:rsidR="00803DBA">
        <w:rPr>
          <w:rFonts w:ascii="Book Antiqua" w:hAnsi="Book Antiqua"/>
          <w:color w:val="000000"/>
        </w:rPr>
        <w:t xml:space="preserve"> of its Application and Attachment 1 </w:t>
      </w:r>
      <w:r w:rsidR="00B80340">
        <w:rPr>
          <w:rFonts w:ascii="Book Antiqua" w:hAnsi="Book Antiqua"/>
          <w:color w:val="000000"/>
        </w:rPr>
        <w:t>o</w:t>
      </w:r>
      <w:r w:rsidR="000C23E2">
        <w:rPr>
          <w:rFonts w:ascii="Book Antiqua" w:hAnsi="Book Antiqua"/>
          <w:color w:val="000000"/>
        </w:rPr>
        <w:t>f</w:t>
      </w:r>
      <w:r w:rsidR="00B80340">
        <w:rPr>
          <w:rFonts w:ascii="Book Antiqua" w:hAnsi="Book Antiqua"/>
          <w:color w:val="000000"/>
        </w:rPr>
        <w:t xml:space="preserve"> IPC’s Response to ALJ </w:t>
      </w:r>
      <w:r w:rsidR="007C2632">
        <w:rPr>
          <w:rFonts w:ascii="Book Antiqua" w:hAnsi="Book Antiqua"/>
          <w:color w:val="000000"/>
        </w:rPr>
        <w:t>ruling</w:t>
      </w:r>
      <w:r w:rsidR="00B80340">
        <w:rPr>
          <w:rFonts w:ascii="Book Antiqua" w:hAnsi="Book Antiqua"/>
          <w:color w:val="000000"/>
        </w:rPr>
        <w:t xml:space="preserve"> dated June 15, 2026</w:t>
      </w:r>
      <w:r w:rsidR="00FD5971">
        <w:rPr>
          <w:rFonts w:ascii="Book Antiqua" w:hAnsi="Book Antiqua"/>
          <w:color w:val="000000"/>
        </w:rPr>
        <w:t xml:space="preserve">. </w:t>
      </w:r>
      <w:bookmarkStart w:name="_Hlk183523650" w:id="117"/>
      <w:r w:rsidR="00FD5971">
        <w:rPr>
          <w:rFonts w:ascii="Book Antiqua" w:hAnsi="Book Antiqua"/>
          <w:color w:val="000000"/>
        </w:rPr>
        <w:t>These documents are granted confidential treatment for a period of three years, without the need to file a motion for confidential treatment.</w:t>
      </w:r>
      <w:r w:rsidR="00FD5971">
        <w:rPr>
          <w:rStyle w:val="FootnoteReference"/>
          <w:rFonts w:ascii="Book Antiqua" w:hAnsi="Book Antiqua" w:eastAsiaTheme="majorEastAsia"/>
          <w:color w:val="000000"/>
        </w:rPr>
        <w:footnoteReference w:id="62"/>
      </w:r>
      <w:r w:rsidR="00FD5971">
        <w:rPr>
          <w:rFonts w:ascii="Book Antiqua" w:hAnsi="Book Antiqua"/>
          <w:color w:val="000000"/>
        </w:rPr>
        <w:t xml:space="preserve"> </w:t>
      </w:r>
      <w:r w:rsidRPr="00EB362F" w:rsidR="00FD5971">
        <w:rPr>
          <w:rFonts w:ascii="Book Antiqua" w:hAnsi="Book Antiqua"/>
        </w:rPr>
        <w:t>During this three</w:t>
      </w:r>
      <w:r w:rsidR="00FD5971">
        <w:rPr>
          <w:rFonts w:ascii="Book Antiqua" w:hAnsi="Book Antiqua"/>
        </w:rPr>
        <w:t>-year</w:t>
      </w:r>
      <w:r w:rsidRPr="00EB362F" w:rsidR="00FD5971">
        <w:rPr>
          <w:rFonts w:ascii="Book Antiqua" w:hAnsi="Book Antiqua"/>
        </w:rPr>
        <w:t xml:space="preserve"> period, this information shall not be publicly disclosed except on further Commission order or A</w:t>
      </w:r>
      <w:r w:rsidR="00FD5971">
        <w:rPr>
          <w:rFonts w:ascii="Book Antiqua" w:hAnsi="Book Antiqua"/>
        </w:rPr>
        <w:t>LJ</w:t>
      </w:r>
      <w:r w:rsidRPr="00EB362F" w:rsidR="00FD5971">
        <w:rPr>
          <w:rFonts w:ascii="Book Antiqua" w:hAnsi="Book Antiqua"/>
        </w:rPr>
        <w:t xml:space="preserve"> ruling. If </w:t>
      </w:r>
      <w:r w:rsidRPr="000E49C0" w:rsidR="00733BD4">
        <w:rPr>
          <w:rFonts w:ascii="Book Antiqua" w:hAnsi="Book Antiqua" w:eastAsia="Book Antiqua" w:cs="Book Antiqua"/>
        </w:rPr>
        <w:t>IPC</w:t>
      </w:r>
      <w:r w:rsidRPr="000E49C0" w:rsidR="00FD5971">
        <w:rPr>
          <w:rFonts w:ascii="Book Antiqua" w:hAnsi="Book Antiqua" w:eastAsia="Book Antiqua" w:cs="Book Antiqua"/>
        </w:rPr>
        <w:t xml:space="preserve"> </w:t>
      </w:r>
      <w:r w:rsidRPr="00EB362F" w:rsidR="00FD5971">
        <w:rPr>
          <w:rFonts w:ascii="Book Antiqua" w:hAnsi="Book Antiqua"/>
        </w:rPr>
        <w:t>believes that it is necessary for this information to remain under seal for longer</w:t>
      </w:r>
      <w:r w:rsidR="00FD5971">
        <w:rPr>
          <w:rFonts w:ascii="Book Antiqua" w:hAnsi="Book Antiqua"/>
        </w:rPr>
        <w:t> </w:t>
      </w:r>
      <w:r w:rsidRPr="00EB362F" w:rsidR="00FD5971">
        <w:rPr>
          <w:rFonts w:ascii="Book Antiqua" w:hAnsi="Book Antiqua"/>
        </w:rPr>
        <w:t>than three</w:t>
      </w:r>
      <w:r w:rsidR="00FD5971">
        <w:rPr>
          <w:rFonts w:ascii="Book Antiqua" w:hAnsi="Book Antiqua"/>
        </w:rPr>
        <w:t> </w:t>
      </w:r>
      <w:r w:rsidRPr="00EB362F" w:rsidR="00FD5971">
        <w:rPr>
          <w:rFonts w:ascii="Book Antiqua" w:hAnsi="Book Antiqua"/>
        </w:rPr>
        <w:t xml:space="preserve">years, </w:t>
      </w:r>
      <w:r w:rsidRPr="000E49C0" w:rsidR="00733BD4">
        <w:rPr>
          <w:rFonts w:ascii="Book Antiqua" w:hAnsi="Book Antiqua" w:eastAsia="Book Antiqua" w:cs="Book Antiqua"/>
        </w:rPr>
        <w:t>IPC</w:t>
      </w:r>
      <w:r w:rsidRPr="000E49C0" w:rsidR="00FD5971">
        <w:rPr>
          <w:rFonts w:ascii="Book Antiqua" w:hAnsi="Book Antiqua" w:eastAsia="Book Antiqua" w:cs="Book Antiqua"/>
        </w:rPr>
        <w:t xml:space="preserve"> </w:t>
      </w:r>
      <w:r w:rsidRPr="00EB362F" w:rsidR="00FD5971">
        <w:rPr>
          <w:rFonts w:ascii="Book Antiqua" w:hAnsi="Book Antiqua"/>
        </w:rPr>
        <w:t>may file a motion showing good cause for extending this order by no</w:t>
      </w:r>
      <w:r w:rsidR="00FD5971">
        <w:rPr>
          <w:rFonts w:ascii="Book Antiqua" w:hAnsi="Book Antiqua"/>
        </w:rPr>
        <w:t> </w:t>
      </w:r>
      <w:r w:rsidRPr="00EB362F" w:rsidR="00FD5971">
        <w:rPr>
          <w:rFonts w:ascii="Book Antiqua" w:hAnsi="Book Antiqua"/>
        </w:rPr>
        <w:t>later</w:t>
      </w:r>
      <w:r w:rsidR="00FD5971">
        <w:rPr>
          <w:rFonts w:ascii="Book Antiqua" w:hAnsi="Book Antiqua"/>
        </w:rPr>
        <w:t> t</w:t>
      </w:r>
      <w:r w:rsidRPr="00EB362F" w:rsidR="00FD5971">
        <w:rPr>
          <w:rFonts w:ascii="Book Antiqua" w:hAnsi="Book Antiqua"/>
        </w:rPr>
        <w:t>han 30</w:t>
      </w:r>
      <w:r w:rsidR="00FD5971">
        <w:rPr>
          <w:rFonts w:ascii="Book Antiqua" w:hAnsi="Book Antiqua"/>
        </w:rPr>
        <w:t> </w:t>
      </w:r>
      <w:r w:rsidRPr="00EB362F" w:rsidR="00FD5971">
        <w:rPr>
          <w:rFonts w:ascii="Book Antiqua" w:hAnsi="Book Antiqua"/>
        </w:rPr>
        <w:t>days before the expiration of th</w:t>
      </w:r>
      <w:r w:rsidR="00FD5971">
        <w:rPr>
          <w:rFonts w:ascii="Book Antiqua" w:hAnsi="Book Antiqua"/>
        </w:rPr>
        <w:t>e grant of confidentiality</w:t>
      </w:r>
      <w:r w:rsidRPr="00EB362F" w:rsidR="00FD5971">
        <w:rPr>
          <w:rFonts w:ascii="Book Antiqua" w:hAnsi="Book Antiqua"/>
        </w:rPr>
        <w:t>.</w:t>
      </w:r>
    </w:p>
    <w:bookmarkEnd w:id="117"/>
    <w:p w:rsidRPr="000E49C0" w:rsidR="00FD5971" w:rsidP="007A5A09" w:rsidRDefault="00FD5971" w14:paraId="3A1E6C72" w14:textId="6C7CC67C">
      <w:pPr>
        <w:pStyle w:val="standard0"/>
        <w:rPr>
          <w:rFonts w:ascii="Book Antiqua" w:hAnsi="Book Antiqua" w:eastAsia="Book Antiqua" w:cs="Book Antiqua"/>
          <w:color w:val="000000" w:themeColor="text1"/>
        </w:rPr>
      </w:pPr>
      <w:r w:rsidRPr="000E49C0">
        <w:rPr>
          <w:rFonts w:ascii="Book Antiqua" w:hAnsi="Book Antiqua" w:eastAsia="Book Antiqua" w:cs="Book Antiqua"/>
          <w:color w:val="000000" w:themeColor="text1"/>
        </w:rPr>
        <w:t xml:space="preserve">All rulings by the assigned Commissioner and the assigned ALJ are affirmed. </w:t>
      </w:r>
      <w:r w:rsidRPr="000E49C0" w:rsidR="00E9443F">
        <w:rPr>
          <w:rFonts w:ascii="Book Antiqua" w:hAnsi="Book Antiqua" w:eastAsia="Book Antiqua" w:cs="Book Antiqua"/>
          <w:color w:val="000000" w:themeColor="text1"/>
        </w:rPr>
        <w:t>A</w:t>
      </w:r>
      <w:r w:rsidRPr="000E49C0">
        <w:rPr>
          <w:rFonts w:ascii="Book Antiqua" w:hAnsi="Book Antiqua" w:eastAsia="Book Antiqua" w:cs="Book Antiqua"/>
          <w:color w:val="000000" w:themeColor="text1"/>
        </w:rPr>
        <w:t>ll pending motions are deemed denied.</w:t>
      </w:r>
    </w:p>
    <w:p w:rsidR="006F135C" w:rsidP="008845EF" w:rsidRDefault="006F135C" w14:paraId="3C33258F" w14:textId="77777777">
      <w:pPr>
        <w:pStyle w:val="Heading1"/>
      </w:pPr>
      <w:bookmarkStart w:name="_Toc240876471" w:id="118"/>
      <w:r>
        <w:lastRenderedPageBreak/>
        <w:t>Summary of Public Comments</w:t>
      </w:r>
      <w:bookmarkEnd w:id="118"/>
    </w:p>
    <w:p w:rsidRPr="007A5A09" w:rsidR="006F135C" w:rsidP="006F135C" w:rsidRDefault="006F135C" w14:paraId="1134B81E" w14:textId="69CA8EA3">
      <w:pPr>
        <w:pStyle w:val="Standard"/>
      </w:pPr>
      <w:r w:rsidRPr="00036329">
        <w:t>Rule 1.18 allows any member of the public to submit written comment</w:t>
      </w:r>
      <w:r>
        <w:t>s</w:t>
      </w:r>
      <w:r w:rsidRPr="00036329">
        <w:t xml:space="preserve"> in any Commission proceeding using the “Public Comment” tab of the online Docket Card for that proceeding on the Commission’s website. Rule 1.18(b) requires that relevant written comment</w:t>
      </w:r>
      <w:r>
        <w:t>s</w:t>
      </w:r>
      <w:r w:rsidRPr="00036329">
        <w:t xml:space="preserve"> submitted in a proceeding be summarized in the final decision issued in that proceeding.</w:t>
      </w:r>
    </w:p>
    <w:p w:rsidRPr="006F135C" w:rsidR="006F135C" w:rsidP="00B307B4" w:rsidRDefault="00B307B4" w14:paraId="2E881038" w14:textId="1A7C4D82">
      <w:pPr>
        <w:pStyle w:val="Standard"/>
      </w:pPr>
      <w:r w:rsidRPr="007A5A09">
        <w:t xml:space="preserve">There </w:t>
      </w:r>
      <w:r w:rsidR="005979AC">
        <w:t>are no relevant public comments</w:t>
      </w:r>
      <w:r w:rsidRPr="007A5A09">
        <w:t xml:space="preserve"> on the Docket Card for this proceeding</w:t>
      </w:r>
      <w:r>
        <w:t>.</w:t>
      </w:r>
      <w:r w:rsidRPr="007A5A09" w:rsidDel="00467F5A">
        <w:t xml:space="preserve"> </w:t>
      </w:r>
    </w:p>
    <w:p w:rsidR="005939A5" w:rsidP="008845EF" w:rsidRDefault="005939A5" w14:paraId="34E30C76" w14:textId="77777777">
      <w:pPr>
        <w:pStyle w:val="Heading1"/>
      </w:pPr>
      <w:bookmarkStart w:name="_Toc240876472" w:id="119"/>
      <w:r>
        <w:t xml:space="preserve">Comments on </w:t>
      </w:r>
      <w:r w:rsidR="006F135C">
        <w:t xml:space="preserve">Draft </w:t>
      </w:r>
      <w:r>
        <w:t>Decision</w:t>
      </w:r>
      <w:bookmarkEnd w:id="79"/>
      <w:bookmarkEnd w:id="119"/>
    </w:p>
    <w:p w:rsidRPr="00BD609D" w:rsidR="006F135C" w:rsidP="006F135C" w:rsidRDefault="00FF3DAF" w14:paraId="0561D5B9" w14:textId="08F51F43">
      <w:pPr>
        <w:pStyle w:val="Standard"/>
        <w:rPr>
          <w:highlight w:val="yellow"/>
        </w:rPr>
      </w:pPr>
      <w:r>
        <w:t xml:space="preserve">IPC has </w:t>
      </w:r>
      <w:r w:rsidR="00AD6C04">
        <w:t xml:space="preserve">stipulated to </w:t>
      </w:r>
      <w:r w:rsidR="001F02DE">
        <w:t>waive its comment period.</w:t>
      </w:r>
      <w:r w:rsidR="00AB41B8">
        <w:rPr>
          <w:rStyle w:val="FootnoteReference"/>
        </w:rPr>
        <w:footnoteReference w:id="63"/>
      </w:r>
      <w:r w:rsidR="001F02DE">
        <w:t xml:space="preserve"> As IPC is the only party to this proceeding, the </w:t>
      </w:r>
      <w:r w:rsidR="001C3F9E">
        <w:t>public review and comment period is waived pursuant to</w:t>
      </w:r>
      <w:r>
        <w:t xml:space="preserve"> </w:t>
      </w:r>
      <w:r w:rsidR="001E54E0">
        <w:t>Rule</w:t>
      </w:r>
      <w:r>
        <w:t xml:space="preserve"> 14.6</w:t>
      </w:r>
      <w:r w:rsidR="00D91B05">
        <w:t xml:space="preserve">. </w:t>
      </w:r>
    </w:p>
    <w:p w:rsidR="005939A5" w:rsidP="005939A5" w:rsidRDefault="005939A5" w14:paraId="55547295" w14:textId="77777777">
      <w:pPr>
        <w:pStyle w:val="Heading1"/>
      </w:pPr>
      <w:bookmarkStart w:name="_Toc8123724" w:id="120"/>
      <w:bookmarkStart w:name="_Toc240876473" w:id="121"/>
      <w:r>
        <w:t>Assignment of Proceeding</w:t>
      </w:r>
      <w:bookmarkEnd w:id="120"/>
      <w:bookmarkEnd w:id="121"/>
    </w:p>
    <w:p w:rsidR="005939A5" w:rsidP="00A04764" w:rsidRDefault="00A04764" w14:paraId="23BC97AC" w14:textId="2D965257">
      <w:pPr>
        <w:pStyle w:val="Standard"/>
      </w:pPr>
      <w:r w:rsidRPr="00A04764">
        <w:rPr>
          <w:rFonts w:eastAsia="Times New Roman" w:cs="Times New Roman"/>
          <w:szCs w:val="20"/>
        </w:rPr>
        <w:t>Christine Harada</w:t>
      </w:r>
      <w:r w:rsidRPr="006F135C" w:rsidR="006F135C">
        <w:rPr>
          <w:rFonts w:eastAsia="Times New Roman" w:cs="Times New Roman"/>
          <w:szCs w:val="20"/>
        </w:rPr>
        <w:t xml:space="preserve"> is the assigned Commissioner</w:t>
      </w:r>
      <w:r w:rsidR="00866B9C">
        <w:rPr>
          <w:rFonts w:eastAsia="Times New Roman" w:cs="Times New Roman"/>
          <w:szCs w:val="20"/>
        </w:rPr>
        <w:t>,</w:t>
      </w:r>
      <w:r w:rsidRPr="006F135C" w:rsidR="006F135C">
        <w:rPr>
          <w:rFonts w:eastAsia="Times New Roman" w:cs="Times New Roman"/>
          <w:szCs w:val="20"/>
        </w:rPr>
        <w:t xml:space="preserve"> and </w:t>
      </w:r>
      <w:r w:rsidRPr="00B379CD" w:rsidR="00B379CD">
        <w:rPr>
          <w:rFonts w:eastAsia="Times New Roman" w:cs="Times New Roman"/>
          <w:szCs w:val="20"/>
        </w:rPr>
        <w:t>Darryl J. Gruen</w:t>
      </w:r>
      <w:r w:rsidRPr="006F135C" w:rsidR="006F135C">
        <w:rPr>
          <w:rFonts w:eastAsia="Times New Roman" w:cs="Times New Roman"/>
          <w:szCs w:val="20"/>
        </w:rPr>
        <w:t xml:space="preserve"> is the assigned ALJ</w:t>
      </w:r>
      <w:r w:rsidR="00866B9C">
        <w:rPr>
          <w:rFonts w:eastAsia="Times New Roman" w:cs="Times New Roman"/>
          <w:szCs w:val="20"/>
        </w:rPr>
        <w:t>,</w:t>
      </w:r>
      <w:r w:rsidRPr="006F135C" w:rsidR="006F135C">
        <w:rPr>
          <w:rFonts w:eastAsia="Times New Roman" w:cs="Times New Roman"/>
          <w:szCs w:val="20"/>
        </w:rPr>
        <w:t xml:space="preserve"> in this proceeding</w:t>
      </w:r>
      <w:r w:rsidR="005939A5">
        <w:t>.</w:t>
      </w:r>
    </w:p>
    <w:p w:rsidR="005939A5" w:rsidP="005939A5" w:rsidRDefault="005939A5" w14:paraId="15135749" w14:textId="77777777">
      <w:pPr>
        <w:pStyle w:val="Dummy"/>
      </w:pPr>
      <w:bookmarkStart w:name="_Toc8123725" w:id="122"/>
      <w:bookmarkStart w:name="_Toc240876474" w:id="123"/>
      <w:r>
        <w:t>Findings of Fact</w:t>
      </w:r>
      <w:bookmarkEnd w:id="122"/>
      <w:bookmarkEnd w:id="123"/>
    </w:p>
    <w:p w:rsidRPr="001026AB" w:rsidR="006F135C" w:rsidP="001026AB" w:rsidRDefault="002B72E0" w14:paraId="22084F08" w14:textId="0C0C08C9">
      <w:pPr>
        <w:pStyle w:val="FoF"/>
      </w:pPr>
      <w:r w:rsidRPr="001026AB">
        <w:t>IPC</w:t>
      </w:r>
      <w:r w:rsidRPr="001026AB" w:rsidR="006F135C">
        <w:t xml:space="preserve"> is a </w:t>
      </w:r>
      <w:r w:rsidRPr="001026AB">
        <w:t>corporation</w:t>
      </w:r>
      <w:r w:rsidRPr="001026AB" w:rsidR="006F135C">
        <w:t xml:space="preserve"> authorized to do business in California.</w:t>
      </w:r>
      <w:bookmarkStart w:name="_Hlk184730520" w:id="124"/>
      <w:bookmarkStart w:name="_Hlk183523853" w:id="125"/>
    </w:p>
    <w:p w:rsidRPr="001026AB" w:rsidR="006F135C" w:rsidP="001026AB" w:rsidRDefault="001E3AD2" w14:paraId="33CCB2A2" w14:textId="21F826C0">
      <w:pPr>
        <w:pStyle w:val="FoF"/>
      </w:pPr>
      <w:r w:rsidRPr="001026AB">
        <w:t>IPC</w:t>
      </w:r>
      <w:r w:rsidRPr="001026AB" w:rsidR="006F135C">
        <w:t>’s principal place of business is</w:t>
      </w:r>
      <w:r w:rsidRPr="001026AB">
        <w:t xml:space="preserve"> </w:t>
      </w:r>
      <w:r w:rsidRPr="001026AB" w:rsidR="0003192E">
        <w:t>103 Second St., 15th Floor, Harborside Financial Plaza, Jersey City, NJ 07311.</w:t>
      </w:r>
      <w:bookmarkEnd w:id="124"/>
    </w:p>
    <w:bookmarkEnd w:id="125"/>
    <w:p w:rsidR="00623B30" w:rsidP="00141643" w:rsidRDefault="001E3AD2" w14:paraId="197182F2" w14:textId="5FB58065">
      <w:pPr>
        <w:pStyle w:val="FoF"/>
      </w:pPr>
      <w:r w:rsidRPr="001026AB">
        <w:t>IPC</w:t>
      </w:r>
      <w:r w:rsidRPr="001026AB" w:rsidR="006A45BB">
        <w:t xml:space="preserve"> is a telephone corporation and a public utility as defined in Pub. Util. Code Sections 234(a) and 216(a).</w:t>
      </w:r>
    </w:p>
    <w:p w:rsidR="00141643" w:rsidP="001026AB" w:rsidRDefault="00E518D3" w14:paraId="16832CDE" w14:textId="4E582054">
      <w:pPr>
        <w:pStyle w:val="FoF"/>
      </w:pPr>
      <w:r w:rsidRPr="001026AB">
        <w:t xml:space="preserve">IPC </w:t>
      </w:r>
      <w:r w:rsidR="004D3A3E">
        <w:t xml:space="preserve">will operate as an </w:t>
      </w:r>
      <w:r w:rsidR="003E1ABE">
        <w:t>interexchange</w:t>
      </w:r>
      <w:r w:rsidRPr="001026AB" w:rsidR="00DF1556">
        <w:t xml:space="preserve"> intra</w:t>
      </w:r>
      <w:r w:rsidR="00747DE6">
        <w:t>/inter</w:t>
      </w:r>
      <w:r w:rsidRPr="001026AB" w:rsidR="00512EC5">
        <w:t>-</w:t>
      </w:r>
      <w:r w:rsidRPr="001026AB" w:rsidR="00DF1556">
        <w:t xml:space="preserve">LATA </w:t>
      </w:r>
      <w:r w:rsidR="005979AC">
        <w:t xml:space="preserve">high-speed </w:t>
      </w:r>
      <w:r w:rsidR="00822108">
        <w:t xml:space="preserve">service provider </w:t>
      </w:r>
      <w:r w:rsidR="005979AC">
        <w:t>throughout the state of California</w:t>
      </w:r>
      <w:r w:rsidRPr="001026AB" w:rsidR="00DF1556">
        <w:t>.</w:t>
      </w:r>
      <w:r w:rsidR="00141643">
        <w:t xml:space="preserve"> </w:t>
      </w:r>
    </w:p>
    <w:p w:rsidRPr="001026AB" w:rsidR="002421BA" w:rsidP="001026AB" w:rsidRDefault="005979AC" w14:paraId="28B6C6B5" w14:textId="509E0DF8">
      <w:pPr>
        <w:pStyle w:val="FoF"/>
      </w:pPr>
      <w:r>
        <w:lastRenderedPageBreak/>
        <w:t xml:space="preserve">In </w:t>
      </w:r>
      <w:r w:rsidRPr="001026AB" w:rsidR="008E65F5">
        <w:t>D.88-08-059</w:t>
      </w:r>
      <w:r>
        <w:t>,</w:t>
      </w:r>
      <w:r w:rsidRPr="001026AB" w:rsidR="008E65F5">
        <w:t xml:space="preserve"> the Commission asserted jurisdiction over intra</w:t>
      </w:r>
      <w:r w:rsidRPr="001026AB" w:rsidR="00512EC5">
        <w:t>-</w:t>
      </w:r>
      <w:r w:rsidRPr="001026AB" w:rsidR="008E65F5">
        <w:t>LATA high</w:t>
      </w:r>
      <w:r w:rsidR="00A32571">
        <w:t>-</w:t>
      </w:r>
      <w:r w:rsidRPr="001026AB" w:rsidR="008E65F5">
        <w:t>speed digital services providers</w:t>
      </w:r>
      <w:r w:rsidRPr="001026AB" w:rsidR="00E83513">
        <w:t>.</w:t>
      </w:r>
    </w:p>
    <w:p w:rsidR="006F135C" w:rsidP="001026AB" w:rsidRDefault="00A1376E" w14:paraId="1385B9FA" w14:textId="358F6D11">
      <w:pPr>
        <w:pStyle w:val="FoF"/>
      </w:pPr>
      <w:r w:rsidRPr="001026AB">
        <w:t>IPC</w:t>
      </w:r>
      <w:r w:rsidRPr="001026AB" w:rsidR="006F135C">
        <w:t xml:space="preserve"> will not construct any facilities.</w:t>
      </w:r>
    </w:p>
    <w:p w:rsidRPr="001026AB" w:rsidR="003D2BC7" w:rsidP="003A5539" w:rsidRDefault="003D2BC7" w14:paraId="3A2DD691" w14:textId="52B13E03">
      <w:pPr>
        <w:pStyle w:val="FoF"/>
        <w:ind w:firstLine="540"/>
      </w:pPr>
      <w:r>
        <w:t>Because</w:t>
      </w:r>
      <w:r w:rsidRPr="004768C6">
        <w:t xml:space="preserve"> </w:t>
      </w:r>
      <w:r>
        <w:t>IPC</w:t>
      </w:r>
      <w:r w:rsidRPr="004768C6">
        <w:t xml:space="preserve"> states that it does not intend to construct any facilities, granting this application will</w:t>
      </w:r>
      <w:r>
        <w:t xml:space="preserve"> not</w:t>
      </w:r>
      <w:r w:rsidRPr="004768C6">
        <w:t xml:space="preserve"> have an adverse impact upon the environment.</w:t>
      </w:r>
    </w:p>
    <w:p w:rsidR="006F135C" w:rsidP="001026AB" w:rsidRDefault="006F135C" w14:paraId="69F08935" w14:textId="77777777">
      <w:pPr>
        <w:pStyle w:val="FoF"/>
      </w:pPr>
      <w:bookmarkStart w:name="_Hlk183524155" w:id="126"/>
      <w:r w:rsidRPr="001026AB">
        <w:t>Granting this CPCN will expand the availability of technologically advanced telecommunications services within the state.</w:t>
      </w:r>
      <w:bookmarkEnd w:id="126"/>
    </w:p>
    <w:p w:rsidRPr="001026AB" w:rsidR="005979AC" w:rsidP="001026AB" w:rsidRDefault="005979AC" w14:paraId="6B45B390" w14:textId="38C2EEFF">
      <w:pPr>
        <w:pStyle w:val="FoF"/>
      </w:pPr>
      <w:r>
        <w:t>Granting IPC a CPCN is in the public interest.</w:t>
      </w:r>
    </w:p>
    <w:p w:rsidRPr="001026AB" w:rsidR="006F135C" w:rsidP="001026AB" w:rsidRDefault="00D23D5E" w14:paraId="4BCCB110" w14:textId="42EE529F">
      <w:pPr>
        <w:pStyle w:val="FoF"/>
      </w:pPr>
      <w:r w:rsidRPr="001026AB">
        <w:t>IPC</w:t>
      </w:r>
      <w:r w:rsidRPr="001026AB" w:rsidR="006F135C">
        <w:t xml:space="preserve"> has a minimum of $25,000 cash or cash equivalent that is reasonably liquid and readily available to meet its start</w:t>
      </w:r>
      <w:r w:rsidRPr="001026AB" w:rsidR="006F135C">
        <w:noBreakHyphen/>
        <w:t>up expenses</w:t>
      </w:r>
      <w:r w:rsidRPr="001026AB" w:rsidR="0060703B">
        <w:t xml:space="preserve"> in California</w:t>
      </w:r>
      <w:r w:rsidRPr="001026AB" w:rsidR="006F135C">
        <w:t>.</w:t>
      </w:r>
    </w:p>
    <w:p w:rsidRPr="001026AB" w:rsidR="006F135C" w:rsidP="001026AB" w:rsidRDefault="00A60595" w14:paraId="06B1817E" w14:textId="2ADCD76E">
      <w:pPr>
        <w:pStyle w:val="FoF"/>
      </w:pPr>
      <w:bookmarkStart w:name="_Hlk190178097" w:id="127"/>
      <w:r w:rsidRPr="001026AB">
        <w:t>IPC</w:t>
      </w:r>
      <w:r w:rsidRPr="001026AB" w:rsidR="006F135C">
        <w:t xml:space="preserve"> has an additional $25,000 to cover deposits that may be required by other telephone corporations to provide the proposed service.</w:t>
      </w:r>
      <w:bookmarkEnd w:id="127"/>
    </w:p>
    <w:p w:rsidRPr="001026AB" w:rsidR="006A45BB" w:rsidP="001026AB" w:rsidRDefault="00632B0F" w14:paraId="76E9ED77" w14:textId="5EA5FC27">
      <w:pPr>
        <w:pStyle w:val="FoF"/>
      </w:pPr>
      <w:bookmarkStart w:name="_Hlk183525046" w:id="128"/>
      <w:r w:rsidRPr="001026AB">
        <w:t>IPC</w:t>
      </w:r>
      <w:r w:rsidRPr="001026AB" w:rsidR="006A45BB">
        <w:t xml:space="preserve"> meets the financial requirements for a CPCN pursuant to D.24-11-003.</w:t>
      </w:r>
    </w:p>
    <w:bookmarkEnd w:id="128"/>
    <w:p w:rsidRPr="001026AB" w:rsidR="006F135C" w:rsidP="001026AB" w:rsidRDefault="00632B0F" w14:paraId="62C1679C" w14:textId="2958DF75">
      <w:pPr>
        <w:pStyle w:val="FoF"/>
      </w:pPr>
      <w:r w:rsidRPr="001026AB">
        <w:t>IPC’s</w:t>
      </w:r>
      <w:r w:rsidRPr="001026AB" w:rsidR="006F135C">
        <w:t xml:space="preserve"> management possesses sufficient experience, knowledge, and technical expertise to provide interexchange services to the public.</w:t>
      </w:r>
      <w:bookmarkStart w:name="_Hlk183524749" w:id="129"/>
    </w:p>
    <w:p w:rsidRPr="001026AB" w:rsidR="006F135C" w:rsidP="001026AB" w:rsidRDefault="00277C9B" w14:paraId="30B0A54A" w14:textId="50671CC2">
      <w:pPr>
        <w:pStyle w:val="FoF"/>
      </w:pPr>
      <w:r w:rsidRPr="001026AB">
        <w:t xml:space="preserve">IPC </w:t>
      </w:r>
      <w:r w:rsidRPr="001026AB" w:rsidR="002B3FFA">
        <w:t xml:space="preserve">could not attest that </w:t>
      </w:r>
      <w:r w:rsidR="00471AD8">
        <w:t xml:space="preserve">neither IPC, nor any of its affiliates, officers, directors, agents, or owners </w:t>
      </w:r>
      <w:r w:rsidRPr="001026AB" w:rsidR="006F135C">
        <w:t xml:space="preserve">(directly or indirectly) of more than 10 percent of </w:t>
      </w:r>
      <w:r w:rsidRPr="001026AB" w:rsidR="00632B0F">
        <w:t>IPC</w:t>
      </w:r>
      <w:r w:rsidRPr="001026AB" w:rsidR="006F135C">
        <w:t xml:space="preserve">, or anyone acting in a management capacity for </w:t>
      </w:r>
      <w:r w:rsidRPr="001026AB" w:rsidR="00632B0F">
        <w:t>IPC</w:t>
      </w:r>
      <w:r w:rsidRPr="001026AB" w:rsidR="006F135C">
        <w:t xml:space="preserve">: (a) held one of these positions with a company that filed for bankruptcy; (b) been personally found liable, or held one of these positions with a company that has been found liable, for fraud, dishonesty, failure to disclose, or misrepresentations to consumers or others; (c) been convicted of a felony; (d) been the subject of a criminal referral by judge or public agency; (e) had a telecommunications license or operating authority denied, suspended, revoked, or limited in any jurisdiction; (f) personally entered into a settlement, or held one of these positions with a company that has entered into settlement of criminal or civil claims involving </w:t>
      </w:r>
      <w:r w:rsidRPr="001026AB" w:rsidR="006F135C">
        <w:lastRenderedPageBreak/>
        <w:t>violations of Sections 17000 et seq., Sections 17200 et seq., or Sections 17500 et seq. of the California Business &amp; Professions Code, or of any other statute, regulation, or decisional law relating to fraud, dishonesty, failure to disclose, or misrepresentations to consumers or others; (g) been found to have violated any statute, law, or rule pertaining to public utilities or other regulated industries; or (h) entered into any settlement agreements or made any voluntary payments or agreed to any other type of monetary forfeitures in resolution of any action by any regulatory body, agency, or attorney general.</w:t>
      </w:r>
      <w:bookmarkEnd w:id="129"/>
    </w:p>
    <w:p w:rsidRPr="001026AB" w:rsidR="004217A4" w:rsidP="001026AB" w:rsidRDefault="004217A4" w14:paraId="310F3A78" w14:textId="13BEA748">
      <w:pPr>
        <w:pStyle w:val="FoF"/>
      </w:pPr>
      <w:r w:rsidRPr="001026AB">
        <w:t xml:space="preserve">IPC’s </w:t>
      </w:r>
      <w:r w:rsidR="007D79CC">
        <w:t>wholly-owned subsidiary</w:t>
      </w:r>
      <w:r w:rsidRPr="001026AB">
        <w:t>, IP</w:t>
      </w:r>
      <w:r w:rsidRPr="001026AB" w:rsidR="00626761">
        <w:t>C</w:t>
      </w:r>
      <w:r w:rsidRPr="001026AB">
        <w:t xml:space="preserve"> Network Services, Inc., had its CPCN revoked by the Commission in 2012.  </w:t>
      </w:r>
    </w:p>
    <w:p w:rsidRPr="001026AB" w:rsidR="001B2932" w:rsidP="001026AB" w:rsidRDefault="00626761" w14:paraId="44A1AC93" w14:textId="068A4D01">
      <w:pPr>
        <w:pStyle w:val="FoF"/>
      </w:pPr>
      <w:r w:rsidRPr="001026AB">
        <w:t xml:space="preserve">The </w:t>
      </w:r>
      <w:r w:rsidRPr="001026AB" w:rsidR="001B2932">
        <w:t>Commission granted a new certification for IPC Network Services in 2014</w:t>
      </w:r>
      <w:r w:rsidRPr="001026AB" w:rsidR="0069185F">
        <w:t xml:space="preserve"> </w:t>
      </w:r>
      <w:r w:rsidRPr="001026AB" w:rsidR="0083377E">
        <w:t>in D.14-10-042</w:t>
      </w:r>
      <w:r w:rsidRPr="001026AB" w:rsidR="001B2932">
        <w:t>.</w:t>
      </w:r>
    </w:p>
    <w:p w:rsidRPr="001026AB" w:rsidR="002B3FFA" w:rsidP="001026AB" w:rsidRDefault="002B3FFA" w14:paraId="5C9E879F" w14:textId="5031AAB1">
      <w:pPr>
        <w:pStyle w:val="FoF"/>
      </w:pPr>
      <w:r w:rsidRPr="001026AB">
        <w:t>IPC Network Services Inc. adequately remedied the situation that gave rise to the Commission’s initial CPCN revocation</w:t>
      </w:r>
      <w:r w:rsidRPr="001026AB" w:rsidR="001B2932">
        <w:t xml:space="preserve"> in </w:t>
      </w:r>
      <w:r w:rsidRPr="001026AB" w:rsidR="0069185F">
        <w:t>2012.</w:t>
      </w:r>
      <w:r w:rsidRPr="001026AB">
        <w:t xml:space="preserve">   </w:t>
      </w:r>
    </w:p>
    <w:p w:rsidRPr="001026AB" w:rsidR="00877845" w:rsidP="001026AB" w:rsidRDefault="00877845" w14:paraId="2D64C93C" w14:textId="209681B1">
      <w:pPr>
        <w:pStyle w:val="FoF"/>
      </w:pPr>
      <w:r w:rsidRPr="001026AB">
        <w:t>T</w:t>
      </w:r>
      <w:r w:rsidRPr="001026AB" w:rsidR="004D0907">
        <w:t xml:space="preserve">he FCC’s Enforcement Bureau issued an </w:t>
      </w:r>
      <w:r w:rsidRPr="001026AB" w:rsidR="00996999">
        <w:t xml:space="preserve">Omnibus Notice of Apparent Liability for Forfeiture against </w:t>
      </w:r>
      <w:r w:rsidR="002D7915">
        <w:t xml:space="preserve">IPC Network Services Inc. </w:t>
      </w:r>
      <w:r w:rsidRPr="001026AB" w:rsidR="00996999">
        <w:t xml:space="preserve">for allegedly failing to timely file a CPNI compliance certification for calendar year 2007.  </w:t>
      </w:r>
    </w:p>
    <w:p w:rsidRPr="001026AB" w:rsidR="00C7612A" w:rsidP="001026AB" w:rsidRDefault="00877845" w14:paraId="6C034431" w14:textId="3BD7B50A">
      <w:pPr>
        <w:pStyle w:val="FoF"/>
      </w:pPr>
      <w:r w:rsidRPr="001026AB">
        <w:t>I</w:t>
      </w:r>
      <w:r w:rsidRPr="001026AB" w:rsidR="00996999">
        <w:t>n 2010, a</w:t>
      </w:r>
      <w:r w:rsidRPr="001026AB" w:rsidR="00C7612A">
        <w:t>n</w:t>
      </w:r>
      <w:r w:rsidRPr="001026AB" w:rsidR="00996999">
        <w:t xml:space="preserve"> order was issued finding that </w:t>
      </w:r>
      <w:r w:rsidRPr="001026AB">
        <w:t>IPC</w:t>
      </w:r>
      <w:r w:rsidRPr="001026AB" w:rsidR="00996999">
        <w:t xml:space="preserve"> </w:t>
      </w:r>
      <w:r w:rsidR="002D7915">
        <w:t xml:space="preserve">Network Services Inc. </w:t>
      </w:r>
      <w:r w:rsidRPr="001026AB" w:rsidR="00996999">
        <w:t xml:space="preserve">was “not required to file a CPNI certification for calendar year 2007” and held that no forfeiture should be imposed. </w:t>
      </w:r>
    </w:p>
    <w:p w:rsidRPr="001026AB" w:rsidR="00996999" w:rsidP="001026AB" w:rsidRDefault="00996999" w14:paraId="4C8FF8DD" w14:textId="54ACC70B">
      <w:pPr>
        <w:pStyle w:val="FoF"/>
      </w:pPr>
      <w:r w:rsidRPr="001026AB">
        <w:t xml:space="preserve">IPC </w:t>
      </w:r>
      <w:r w:rsidR="002D7915">
        <w:t xml:space="preserve">Network Services Inc. </w:t>
      </w:r>
      <w:r w:rsidRPr="001026AB">
        <w:t>adequately remedied the issue that gave rise to the FCC’s enforcement action.</w:t>
      </w:r>
    </w:p>
    <w:p w:rsidRPr="001026AB" w:rsidR="006F135C" w:rsidP="001026AB" w:rsidRDefault="00632B0F" w14:paraId="3BA1FA0F" w14:textId="7EDE60FF">
      <w:pPr>
        <w:pStyle w:val="FoF"/>
      </w:pPr>
      <w:r w:rsidRPr="001026AB">
        <w:t>IPC</w:t>
      </w:r>
      <w:r w:rsidRPr="001026AB" w:rsidR="006F135C">
        <w:t xml:space="preserve"> requested and is eligible for exemption from tariffing requirements and must observe the consumer protection rules adopted in D.98</w:t>
      </w:r>
      <w:r w:rsidRPr="001026AB" w:rsidR="006F135C">
        <w:noBreakHyphen/>
        <w:t>08-031 and D.24-11-003.</w:t>
      </w:r>
    </w:p>
    <w:p w:rsidRPr="001026AB" w:rsidR="006A45BB" w:rsidP="001026AB" w:rsidRDefault="00632B0F" w14:paraId="7CCEA952" w14:textId="530C0D3C">
      <w:pPr>
        <w:pStyle w:val="FoF"/>
      </w:pPr>
      <w:bookmarkStart w:name="_Hlk183525076" w:id="130"/>
      <w:r w:rsidRPr="001026AB">
        <w:lastRenderedPageBreak/>
        <w:t>IPC</w:t>
      </w:r>
      <w:r w:rsidRPr="001026AB" w:rsidR="006A45BB">
        <w:t xml:space="preserve"> meets the technical managerial requirements for a CPCN pursuant to D.13-05-013 and D.24-11-003.</w:t>
      </w:r>
    </w:p>
    <w:p w:rsidR="006A45BB" w:rsidP="001026AB" w:rsidRDefault="00632B0F" w14:paraId="1F42AB9F" w14:textId="1064ABEA">
      <w:pPr>
        <w:pStyle w:val="FoF"/>
      </w:pPr>
      <w:bookmarkStart w:name="_Hlk183525103" w:id="131"/>
      <w:bookmarkEnd w:id="130"/>
      <w:r w:rsidRPr="001026AB">
        <w:t>IPC</w:t>
      </w:r>
      <w:r w:rsidRPr="001026AB" w:rsidR="006A45BB">
        <w:t xml:space="preserve"> meets the certification requirements for a CPCN pursuant to D.13-05-013 and D.24-11-003.</w:t>
      </w:r>
    </w:p>
    <w:p w:rsidRPr="001026AB" w:rsidR="00AD1590" w:rsidP="001026AB" w:rsidRDefault="00AD1590" w14:paraId="2C46465B" w14:textId="58C9D3A8">
      <w:pPr>
        <w:pStyle w:val="FoF"/>
      </w:pPr>
      <w:r>
        <w:rPr>
          <w:szCs w:val="26"/>
        </w:rPr>
        <w:t xml:space="preserve">The Commission has </w:t>
      </w:r>
      <w:r w:rsidR="003855DC">
        <w:rPr>
          <w:szCs w:val="26"/>
        </w:rPr>
        <w:t xml:space="preserve">concluded </w:t>
      </w:r>
      <w:r>
        <w:rPr>
          <w:szCs w:val="26"/>
        </w:rPr>
        <w:t>that provision of intra-LATA high-speed digital private line services by an interexchange carrier is not exempt from the CPCN requirements of Pub. Util. Code Section 1001, and an interexchange carrier must request Commission authorization.</w:t>
      </w:r>
    </w:p>
    <w:bookmarkEnd w:id="131"/>
    <w:p w:rsidRPr="001026AB" w:rsidR="006F135C" w:rsidP="001026AB" w:rsidRDefault="003D36B2" w14:paraId="5002DE8D" w14:textId="047DC796">
      <w:pPr>
        <w:pStyle w:val="FoF"/>
      </w:pPr>
      <w:r w:rsidRPr="001026AB">
        <w:t>IPC</w:t>
      </w:r>
      <w:r w:rsidRPr="001026AB" w:rsidR="006F135C">
        <w:t xml:space="preserve"> proposes to operate throughout California.</w:t>
      </w:r>
    </w:p>
    <w:p w:rsidRPr="001026AB" w:rsidR="006F135C" w:rsidP="001026AB" w:rsidRDefault="00F74EC3" w14:paraId="36D22762" w14:textId="33E251D4">
      <w:pPr>
        <w:pStyle w:val="FoF"/>
      </w:pPr>
      <w:bookmarkStart w:name="_Hlk190178609" w:id="132"/>
      <w:r w:rsidRPr="001026AB">
        <w:t>IPC</w:t>
      </w:r>
      <w:r w:rsidRPr="001026AB" w:rsidR="006F135C">
        <w:t xml:space="preserve"> is eligible for all exemptions traditionally accorded NDIECs through D.24-11-003, without need for an individual grant of such treatment in this decision. </w:t>
      </w:r>
      <w:bookmarkEnd w:id="132"/>
    </w:p>
    <w:p w:rsidRPr="001026AB" w:rsidR="006F135C" w:rsidP="001026AB" w:rsidRDefault="00F74EC3" w14:paraId="54F28837" w14:textId="4062E672">
      <w:pPr>
        <w:pStyle w:val="FoF"/>
      </w:pPr>
      <w:r w:rsidRPr="001026AB">
        <w:t>IPC</w:t>
      </w:r>
      <w:r w:rsidRPr="001026AB" w:rsidDel="00F74EC3">
        <w:t xml:space="preserve"> </w:t>
      </w:r>
      <w:r w:rsidRPr="001026AB" w:rsidR="006F135C">
        <w:t>will meet the Commission’s minimum safety goals.</w:t>
      </w:r>
    </w:p>
    <w:p w:rsidRPr="001026AB" w:rsidR="008E6AE6" w:rsidP="001026AB" w:rsidRDefault="00A313D9" w14:paraId="4B709455" w14:textId="61555DCE">
      <w:pPr>
        <w:pStyle w:val="FoF"/>
      </w:pPr>
      <w:r w:rsidRPr="001026AB">
        <w:t>IPC</w:t>
      </w:r>
      <w:r w:rsidRPr="001026AB" w:rsidR="006F135C">
        <w:t xml:space="preserve"> filed documents which have a presumption of confidentiality pursuant to D.24-11-003 and GO 66-D in</w:t>
      </w:r>
      <w:r w:rsidRPr="001026AB">
        <w:t xml:space="preserve"> </w:t>
      </w:r>
      <w:r w:rsidRPr="001026AB" w:rsidR="00A835AC">
        <w:t>Appendix K of its Application and Attachment 1 on IPC’s Response to ALJ Inquiry dated June 15, 2026.</w:t>
      </w:r>
    </w:p>
    <w:p w:rsidRPr="001026AB" w:rsidR="00B8022D" w:rsidP="001026AB" w:rsidRDefault="00B8022D" w14:paraId="50FFAF47" w14:textId="39B44F56">
      <w:pPr>
        <w:pStyle w:val="FoF"/>
      </w:pPr>
      <w:r w:rsidRPr="001026AB">
        <w:t>IPC contracted with two customers to access its services in California as of July 1, 2025.</w:t>
      </w:r>
    </w:p>
    <w:p w:rsidR="00E1475D" w:rsidP="001026AB" w:rsidRDefault="00133408" w14:paraId="7D6952B4" w14:textId="10F4E838">
      <w:pPr>
        <w:pStyle w:val="FoF"/>
      </w:pPr>
      <w:r w:rsidRPr="001026AB">
        <w:t>IPC operated without authority</w:t>
      </w:r>
      <w:r w:rsidRPr="001026AB" w:rsidR="00351B8E">
        <w:t xml:space="preserve"> </w:t>
      </w:r>
      <w:r w:rsidR="00950A75">
        <w:t>in violation of Pub. Util. Code Section 1001.</w:t>
      </w:r>
    </w:p>
    <w:p w:rsidRPr="001026AB" w:rsidR="00B8022D" w:rsidP="001026AB" w:rsidRDefault="00B04F69" w14:paraId="7AC34BA8" w14:textId="77A42662">
      <w:pPr>
        <w:pStyle w:val="FoF"/>
      </w:pPr>
      <w:r w:rsidRPr="001026AB">
        <w:t xml:space="preserve">IPC proposed to remit </w:t>
      </w:r>
      <w:r w:rsidR="00950A75">
        <w:t xml:space="preserve">a </w:t>
      </w:r>
      <w:r w:rsidRPr="001026AB">
        <w:t xml:space="preserve">$2,000 </w:t>
      </w:r>
      <w:r w:rsidR="00950A75">
        <w:t xml:space="preserve">penalty </w:t>
      </w:r>
      <w:r w:rsidR="00872F35">
        <w:t>for providing services in California without authority</w:t>
      </w:r>
      <w:r w:rsidR="009449F4">
        <w:t xml:space="preserve"> in </w:t>
      </w:r>
      <w:r w:rsidR="00950A75">
        <w:t>violation of Pub. Util. Code Section 1001</w:t>
      </w:r>
      <w:r w:rsidRPr="001026AB" w:rsidR="00D31829">
        <w:t>.</w:t>
      </w:r>
    </w:p>
    <w:p w:rsidRPr="001026AB" w:rsidR="005979AC" w:rsidP="005979AC" w:rsidRDefault="00BE5859" w14:paraId="6ADBE67B" w14:textId="7A3688AA">
      <w:pPr>
        <w:pStyle w:val="FoF"/>
      </w:pPr>
      <w:r w:rsidRPr="001026AB">
        <w:t xml:space="preserve">IPC harmed the regulatory process </w:t>
      </w:r>
      <w:r w:rsidRPr="001026AB" w:rsidR="00DD0931">
        <w:t>by providing services with customers several months before applying for, and before receiving its CPCN.</w:t>
      </w:r>
    </w:p>
    <w:p w:rsidRPr="001026AB" w:rsidR="006C1385" w:rsidP="001026AB" w:rsidRDefault="00F03BFD" w14:paraId="4D49F008" w14:textId="7CBF952C">
      <w:pPr>
        <w:pStyle w:val="FoF"/>
      </w:pPr>
      <w:r w:rsidRPr="001026AB">
        <w:t>IPC’s resources are more limited in comparison to large utilities that operate in California.</w:t>
      </w:r>
    </w:p>
    <w:p w:rsidR="00003042" w:rsidP="001026AB" w:rsidRDefault="00003042" w14:paraId="10F2332C" w14:textId="772AAE05">
      <w:pPr>
        <w:pStyle w:val="FoF"/>
      </w:pPr>
      <w:r w:rsidRPr="001026AB">
        <w:lastRenderedPageBreak/>
        <w:t>IPC’s proposed penalty is consistent with Commission precedent.</w:t>
      </w:r>
    </w:p>
    <w:p w:rsidR="00FF312E" w:rsidP="00FF312E" w:rsidRDefault="006668A0" w14:paraId="3CA83228" w14:textId="360D6028">
      <w:pPr>
        <w:pStyle w:val="FoF"/>
        <w:ind w:firstLine="540"/>
      </w:pPr>
      <w:r>
        <w:t>Because IPC has provided services</w:t>
      </w:r>
      <w:r w:rsidR="00283BC9">
        <w:t xml:space="preserve"> in California</w:t>
      </w:r>
      <w:r w:rsidR="00965449">
        <w:t>, it is</w:t>
      </w:r>
      <w:r w:rsidR="00283BC9">
        <w:t xml:space="preserve"> required</w:t>
      </w:r>
      <w:r w:rsidR="00FF312E">
        <w:t xml:space="preserve"> to </w:t>
      </w:r>
      <w:r w:rsidR="00283BC9">
        <w:t xml:space="preserve">assess, </w:t>
      </w:r>
      <w:r w:rsidR="00FF312E">
        <w:t>collect</w:t>
      </w:r>
      <w:r w:rsidR="00283BC9">
        <w:t>, report,</w:t>
      </w:r>
      <w:r w:rsidR="00FF312E">
        <w:t xml:space="preserve"> and remit surcharges</w:t>
      </w:r>
      <w:r w:rsidDel="00FB22B6" w:rsidR="00FF312E">
        <w:t xml:space="preserve"> in support of </w:t>
      </w:r>
      <w:r w:rsidR="00BB3694">
        <w:t>the California Public Purpose Programs.</w:t>
      </w:r>
    </w:p>
    <w:p w:rsidR="00FF312E" w:rsidP="00FF312E" w:rsidRDefault="00DE6E56" w14:paraId="5758EF8E" w14:textId="7B6F8C04">
      <w:pPr>
        <w:pStyle w:val="FoF"/>
        <w:ind w:firstLine="540"/>
      </w:pPr>
      <w:r>
        <w:t>IPC is</w:t>
      </w:r>
      <w:r w:rsidR="00FF312E">
        <w:t xml:space="preserve"> assessed 10 percent accrued interest for late remittance of public purpose program surcharges owed to the Commission.</w:t>
      </w:r>
    </w:p>
    <w:p w:rsidR="00FF312E" w:rsidP="00FF312E" w:rsidRDefault="00FF312E" w14:paraId="1653A3E7" w14:textId="1BF3E504">
      <w:pPr>
        <w:pStyle w:val="FoF"/>
        <w:ind w:firstLine="540"/>
      </w:pPr>
      <w:r>
        <w:t>Providers of interexchange service are also required to pay user fees.</w:t>
      </w:r>
    </w:p>
    <w:p w:rsidR="00D8271E" w:rsidP="00FF312E" w:rsidRDefault="00F662CB" w14:paraId="5ABBA6AB" w14:textId="1CF29D8F">
      <w:pPr>
        <w:pStyle w:val="FoF"/>
        <w:ind w:firstLine="540"/>
      </w:pPr>
      <w:r>
        <w:t>As a c</w:t>
      </w:r>
      <w:r w:rsidR="00D8271E">
        <w:t>arrier</w:t>
      </w:r>
      <w:r w:rsidR="00077C91">
        <w:t xml:space="preserve"> that has</w:t>
      </w:r>
      <w:r w:rsidR="006800CE">
        <w:t xml:space="preserve"> past due </w:t>
      </w:r>
      <w:r w:rsidR="00AC7718">
        <w:t>user fees</w:t>
      </w:r>
      <w:r>
        <w:t>, IPC</w:t>
      </w:r>
      <w:r w:rsidR="00D8271E">
        <w:t xml:space="preserve"> </w:t>
      </w:r>
      <w:r w:rsidR="00B71C27">
        <w:t>stipulated to</w:t>
      </w:r>
      <w:r w:rsidR="00D8271E">
        <w:t xml:space="preserve"> </w:t>
      </w:r>
      <w:r w:rsidR="008C1DB4">
        <w:t>a</w:t>
      </w:r>
      <w:r w:rsidRPr="008C1DB4" w:rsidR="008C1DB4">
        <w:t xml:space="preserve"> </w:t>
      </w:r>
      <w:r w:rsidRPr="008C1DB4" w:rsidR="00375B10">
        <w:t xml:space="preserve">25% </w:t>
      </w:r>
      <w:r w:rsidRPr="008C1DB4" w:rsidR="008C1DB4">
        <w:t>late payment penalty o</w:t>
      </w:r>
      <w:r w:rsidR="008C1DB4">
        <w:t>n</w:t>
      </w:r>
      <w:r w:rsidRPr="008C1DB4" w:rsidR="008C1DB4">
        <w:t xml:space="preserve"> user fees</w:t>
      </w:r>
      <w:r w:rsidR="007E7B7C">
        <w:t xml:space="preserve"> pursuant to Pub. Util Code Section 405</w:t>
      </w:r>
      <w:r w:rsidR="003917E6">
        <w:t xml:space="preserve"> </w:t>
      </w:r>
      <w:r w:rsidRPr="000B0A5F" w:rsidR="003917E6">
        <w:t>applicable to intrastate telecommunications services IPC provided in California since July 1,</w:t>
      </w:r>
      <w:r w:rsidR="003917E6">
        <w:t xml:space="preserve"> </w:t>
      </w:r>
      <w:r w:rsidRPr="000B0A5F" w:rsidR="003917E6">
        <w:t>2025, where such user fees are more than 30 days late</w:t>
      </w:r>
      <w:r w:rsidRPr="008C1DB4" w:rsidR="008C1DB4">
        <w:t>.</w:t>
      </w:r>
    </w:p>
    <w:p w:rsidRPr="004A4371" w:rsidR="000023D4" w:rsidP="00CC1786" w:rsidRDefault="00FF312E" w14:paraId="2B81B6A6" w14:textId="76A5960E">
      <w:pPr>
        <w:pStyle w:val="FoF"/>
        <w:ind w:firstLine="540"/>
      </w:pPr>
      <w:r w:rsidRPr="004A4371">
        <w:t>IPC waived its comment period on the Proposed Decision.</w:t>
      </w:r>
    </w:p>
    <w:p w:rsidRPr="008D0D47" w:rsidR="005939A5" w:rsidP="00826066" w:rsidRDefault="005939A5" w14:paraId="38F75F11" w14:textId="77777777">
      <w:pPr>
        <w:pStyle w:val="Dummy"/>
      </w:pPr>
      <w:bookmarkStart w:name="_Toc8123726" w:id="133"/>
      <w:bookmarkStart w:name="_Toc240876475" w:id="134"/>
      <w:r w:rsidRPr="008D0D47">
        <w:t>Conclusions of Law</w:t>
      </w:r>
      <w:bookmarkEnd w:id="133"/>
      <w:bookmarkEnd w:id="134"/>
    </w:p>
    <w:p w:rsidRPr="00B17B38" w:rsidR="004078BB" w:rsidP="00B17B38" w:rsidRDefault="00A313D9" w14:paraId="0506CF05" w14:textId="6B136673">
      <w:pPr>
        <w:pStyle w:val="CoL"/>
      </w:pPr>
      <w:r w:rsidRPr="00B17B38">
        <w:t>IPC</w:t>
      </w:r>
      <w:r w:rsidRPr="00B17B38" w:rsidR="004078BB">
        <w:t xml:space="preserve"> should be granted a CPCN to provide</w:t>
      </w:r>
      <w:r w:rsidRPr="00B17B38" w:rsidR="00786D68">
        <w:t xml:space="preserve"> </w:t>
      </w:r>
      <w:r w:rsidR="005979AC">
        <w:t xml:space="preserve">intra-LATA high-speed digital private line services </w:t>
      </w:r>
      <w:r w:rsidRPr="00B17B38" w:rsidR="004078BB">
        <w:t>in California</w:t>
      </w:r>
      <w:r w:rsidR="005979AC">
        <w:t xml:space="preserve"> as an interexchange carrier</w:t>
      </w:r>
      <w:r w:rsidRPr="00B17B38" w:rsidR="004078BB">
        <w:t>, subject to the terms and conditions set forth in this decision.</w:t>
      </w:r>
    </w:p>
    <w:p w:rsidRPr="00B17B38" w:rsidR="004078BB" w:rsidP="002C7730" w:rsidRDefault="00E7012D" w14:paraId="7543B9E7" w14:textId="21437426">
      <w:pPr>
        <w:pStyle w:val="CoL"/>
      </w:pPr>
      <w:r w:rsidRPr="00B17B38">
        <w:t>IPC</w:t>
      </w:r>
      <w:r w:rsidRPr="00B17B38" w:rsidR="004078BB">
        <w:t xml:space="preserve"> should be granted resold interexchange authority and may not construct any facilities, including equipment in existing buildings or structures.</w:t>
      </w:r>
    </w:p>
    <w:p w:rsidRPr="00B17B38" w:rsidR="004078BB" w:rsidP="00B17B38" w:rsidRDefault="0038296E" w14:paraId="35CBC579" w14:textId="512B4B0D">
      <w:pPr>
        <w:pStyle w:val="CoL"/>
      </w:pPr>
      <w:bookmarkStart w:name="_Hlk161468709" w:id="135"/>
      <w:r w:rsidRPr="00B17B38">
        <w:t>IPC</w:t>
      </w:r>
      <w:r w:rsidRPr="00B17B38" w:rsidR="004078BB">
        <w:t xml:space="preserve"> is exempt from tariffing. In the future, if </w:t>
      </w:r>
      <w:r w:rsidRPr="00B17B38">
        <w:t>IPC</w:t>
      </w:r>
      <w:r w:rsidRPr="00B17B38" w:rsidR="004078BB">
        <w:t xml:space="preserve"> decides to offer services that require a tariff or schedule, such as basic service, </w:t>
      </w:r>
      <w:r w:rsidR="005979AC">
        <w:t>IPC</w:t>
      </w:r>
      <w:r w:rsidRPr="00B17B38" w:rsidR="005979AC">
        <w:t xml:space="preserve"> </w:t>
      </w:r>
      <w:r w:rsidRPr="00B17B38" w:rsidR="004078BB">
        <w:t xml:space="preserve">should submit proposed tariffs and/or user guides to the Commission’s Communications Division via Tier 2 </w:t>
      </w:r>
      <w:r w:rsidR="005979AC">
        <w:t>a</w:t>
      </w:r>
      <w:r w:rsidRPr="00B17B38" w:rsidR="004078BB">
        <w:t>dvice </w:t>
      </w:r>
      <w:r w:rsidR="005979AC">
        <w:t>l</w:t>
      </w:r>
      <w:r w:rsidRPr="00B17B38" w:rsidR="004078BB">
        <w:t>etters using the GO 96</w:t>
      </w:r>
      <w:r w:rsidRPr="00B17B38" w:rsidR="004078BB">
        <w:noBreakHyphen/>
        <w:t>B advice letter process at least 30 days before initiation of service.</w:t>
      </w:r>
      <w:bookmarkEnd w:id="135"/>
    </w:p>
    <w:p w:rsidRPr="009717B9" w:rsidR="00E83E0D" w:rsidP="009717B9" w:rsidRDefault="00690CD2" w14:paraId="27EFF38E" w14:textId="11364185">
      <w:pPr>
        <w:pStyle w:val="CoL"/>
      </w:pPr>
      <w:r w:rsidRPr="009717B9">
        <w:t xml:space="preserve">Because IPC does not intend to construct any facilities that would cause a direct physical change or a reasonably foreseeable indirect physical change in the </w:t>
      </w:r>
      <w:r w:rsidRPr="009717B9">
        <w:lastRenderedPageBreak/>
        <w:t>environment, the request at issue in this application should not be subject to the California Environmental Quality Act.</w:t>
      </w:r>
    </w:p>
    <w:p w:rsidRPr="00B17B38" w:rsidR="004078BB" w:rsidP="00B17B38" w:rsidRDefault="0038296E" w14:paraId="336D9440" w14:textId="1EA53C15">
      <w:pPr>
        <w:pStyle w:val="CoL"/>
      </w:pPr>
      <w:r w:rsidRPr="00B17B38">
        <w:t>IPC</w:t>
      </w:r>
      <w:r w:rsidRPr="00B17B38" w:rsidR="004078BB">
        <w:t>’s request for NDIEC treatment should be denied as moot.</w:t>
      </w:r>
    </w:p>
    <w:p w:rsidR="004078BB" w:rsidP="00B17B38" w:rsidRDefault="004078BB" w14:paraId="0DDD1FAA" w14:textId="6B122B0C">
      <w:pPr>
        <w:pStyle w:val="CoL"/>
      </w:pPr>
      <w:bookmarkStart w:name="_Hlk183525242" w:id="136"/>
      <w:r w:rsidRPr="00B17B38">
        <w:t xml:space="preserve">The certificate granted, and the authority for </w:t>
      </w:r>
      <w:r w:rsidRPr="00B17B38" w:rsidR="0038296E">
        <w:t>IPC</w:t>
      </w:r>
      <w:r w:rsidRPr="00B17B38">
        <w:t xml:space="preserve"> to render service to customers under the rates, charges, and rules authorized, should expire if not exercised, by offering or actively providing service on a wholesale and/or resale basis, after 12 months from the effective date of this decision. </w:t>
      </w:r>
      <w:r w:rsidRPr="00B17B38" w:rsidR="0038296E">
        <w:t>I</w:t>
      </w:r>
      <w:r w:rsidRPr="00B17B38" w:rsidR="0064415E">
        <w:t>P</w:t>
      </w:r>
      <w:r w:rsidRPr="00B17B38" w:rsidR="0038296E">
        <w:t>C</w:t>
      </w:r>
      <w:r w:rsidRPr="00B17B38">
        <w:t xml:space="preserve"> should be responsible for seeking approval for an extension of time to comply with this decision pursuant to Rule 16.6.</w:t>
      </w:r>
    </w:p>
    <w:p w:rsidRPr="00B17B38" w:rsidR="004078BB" w:rsidP="00B17B38" w:rsidRDefault="0038296E" w14:paraId="77146A03" w14:textId="0E948DAC">
      <w:pPr>
        <w:pStyle w:val="CoL"/>
      </w:pPr>
      <w:r w:rsidRPr="00B17B38">
        <w:t>IPC</w:t>
      </w:r>
      <w:r w:rsidRPr="00B17B38" w:rsidR="004078BB">
        <w:t xml:space="preserve"> should be assigned utility identification number U</w:t>
      </w:r>
      <w:r w:rsidRPr="00B17B38" w:rsidR="00491ABF">
        <w:t>-7552-C</w:t>
      </w:r>
      <w:r w:rsidRPr="00B17B38" w:rsidR="004078BB">
        <w:t xml:space="preserve"> and should be responsible for using this as its corporate identification number in the caption of all original filings with this Commission, in the titles of other pleadings filed in existing cases, and informal submissions to the Commission.</w:t>
      </w:r>
    </w:p>
    <w:p w:rsidRPr="00B17B38" w:rsidR="004078BB" w:rsidP="00B17B38" w:rsidRDefault="0038296E" w14:paraId="6533EA33" w14:textId="3A12FBAB">
      <w:pPr>
        <w:pStyle w:val="CoL"/>
      </w:pPr>
      <w:r w:rsidRPr="00B17B38">
        <w:t>IPC</w:t>
      </w:r>
      <w:r w:rsidRPr="00B17B38" w:rsidR="004078BB">
        <w:t xml:space="preserve"> should file in this docket a written acceptance of the certificate granted in this proceeding within 30 days of the effective date of this decision. The written acceptance filed in this docket does not reopen the proceeding.</w:t>
      </w:r>
    </w:p>
    <w:p w:rsidRPr="00B17B38" w:rsidR="004078BB" w:rsidP="00B17B38" w:rsidRDefault="0038296E" w14:paraId="13ACA323" w14:textId="42913DFF">
      <w:pPr>
        <w:pStyle w:val="CoL"/>
      </w:pPr>
      <w:r w:rsidRPr="00B17B38">
        <w:t>IPC</w:t>
      </w:r>
      <w:r w:rsidRPr="00B17B38" w:rsidR="004078BB">
        <w:t xml:space="preserve"> should provide the name, address, email address, and telephone number of its designated primary regulatory/official contact person to the Commission’s Communications Division within five days of written acceptance of its certificate.</w:t>
      </w:r>
    </w:p>
    <w:p w:rsidRPr="00B17B38" w:rsidR="004078BB" w:rsidP="00B17B38" w:rsidRDefault="0038296E" w14:paraId="60FB2BD0" w14:textId="31F51513">
      <w:pPr>
        <w:pStyle w:val="CoL"/>
      </w:pPr>
      <w:r w:rsidRPr="00B17B38">
        <w:t>IPC</w:t>
      </w:r>
      <w:r w:rsidRPr="00B17B38" w:rsidR="004078BB">
        <w:t xml:space="preserve"> should provide the name, address, email address, and telephone number of its designated contact person for purposes of resolving consumer complaints to the Commission’s Consumer Affairs Branch within five days of written acceptance of its certificate.</w:t>
      </w:r>
    </w:p>
    <w:p w:rsidRPr="00B17B38" w:rsidR="004078BB" w:rsidP="00B17B38" w:rsidRDefault="0038296E" w14:paraId="1ECCA9F3" w14:textId="479F6CA6">
      <w:pPr>
        <w:pStyle w:val="CoL"/>
      </w:pPr>
      <w:r w:rsidRPr="00B17B38">
        <w:t>IPC</w:t>
      </w:r>
      <w:r w:rsidRPr="00B17B38" w:rsidR="004078BB">
        <w:t xml:space="preserve"> should submit a Tier 1 </w:t>
      </w:r>
      <w:r w:rsidR="005979AC">
        <w:t>a</w:t>
      </w:r>
      <w:r w:rsidRPr="00B17B38" w:rsidR="004078BB">
        <w:t>dvice </w:t>
      </w:r>
      <w:r w:rsidR="005979AC">
        <w:t>l</w:t>
      </w:r>
      <w:r w:rsidRPr="00B17B38" w:rsidR="004078BB">
        <w:t xml:space="preserve">etter containing a copy of the license holder’s executed performance bond in accordance with the process established </w:t>
      </w:r>
      <w:r w:rsidRPr="00B17B38" w:rsidR="004078BB">
        <w:lastRenderedPageBreak/>
        <w:t xml:space="preserve">in D.10-09-017/D.11-09-026 and modified by D.13-05-035 and </w:t>
      </w:r>
      <w:r w:rsidR="005979AC">
        <w:t>D.</w:t>
      </w:r>
      <w:r w:rsidRPr="00B17B38" w:rsidR="004078BB">
        <w:t>24-11-003 to the Commission’s Communications Division within 30 days of the effective date of this decision.</w:t>
      </w:r>
    </w:p>
    <w:p w:rsidRPr="00B17B38" w:rsidR="004078BB" w:rsidP="00B17B38" w:rsidRDefault="0038296E" w14:paraId="2CA08B85" w14:textId="36C361C9">
      <w:pPr>
        <w:pStyle w:val="CoL"/>
      </w:pPr>
      <w:r w:rsidRPr="00B17B38">
        <w:t>IPC</w:t>
      </w:r>
      <w:r w:rsidRPr="00B17B38" w:rsidR="004078BB">
        <w:t xml:space="preserve"> should submit its compliance with Pub. Util. Code Section 708, Employee Identification Cards, to the Commission’s Director of the Communications Division, in writing, by email to </w:t>
      </w:r>
      <w:hyperlink w:history="1" r:id="rId25">
        <w:r w:rsidRPr="00B17B38" w:rsidR="004078BB">
          <w:rPr>
            <w:rStyle w:val="Hyperlink"/>
            <w:color w:val="auto"/>
            <w:u w:val="none"/>
          </w:rPr>
          <w:t>cdcompliance@cpuc.ca.gov</w:t>
        </w:r>
      </w:hyperlink>
      <w:r w:rsidRPr="00B17B38" w:rsidR="004078BB">
        <w:t>, within 60 days of the effective date of this decision.</w:t>
      </w:r>
    </w:p>
    <w:p w:rsidRPr="00B17B38" w:rsidR="004078BB" w:rsidP="00B17B38" w:rsidRDefault="008B0D35" w14:paraId="1991189F" w14:textId="092C28D5">
      <w:pPr>
        <w:pStyle w:val="CoL"/>
      </w:pPr>
      <w:r w:rsidRPr="00B17B38">
        <w:t>IPC</w:t>
      </w:r>
      <w:r w:rsidRPr="00B17B38" w:rsidR="004078BB">
        <w:t xml:space="preserve"> should be subject to all the current requirements applicable to interexchange carriers included in Attachments B, C, and D to this decision (including annual affiliate transaction reports, ongoing performance bond requirements, and payment of surcharges and user fees); all Consumer Protection Rules contained in GO 168; and all applicable Commission rules, decisions, GOs, and statutes that pertain to California public utilities on an ongoing basis.</w:t>
      </w:r>
    </w:p>
    <w:p w:rsidRPr="00B17B38" w:rsidR="004078BB" w:rsidP="00B17B38" w:rsidRDefault="008B0D35" w14:paraId="6E6A3917" w14:textId="03F57E89">
      <w:pPr>
        <w:pStyle w:val="CoL"/>
      </w:pPr>
      <w:r w:rsidRPr="00B17B38">
        <w:t>IPC</w:t>
      </w:r>
      <w:r w:rsidRPr="00B17B38" w:rsidR="004078BB">
        <w:t>’s financial documents should be kept under seal for a period of three years from the issuance date of this decision pursuant to D.24-11-003.</w:t>
      </w:r>
    </w:p>
    <w:p w:rsidR="00304096" w:rsidP="00B17B38" w:rsidRDefault="005979AC" w14:paraId="44E6C73C" w14:textId="6EB5224A">
      <w:pPr>
        <w:pStyle w:val="CoL"/>
      </w:pPr>
      <w:r>
        <w:t>IPC should pay a penalty of $2,000 for contracting for services without Commission authority within 30 days of the issuance date of this decision</w:t>
      </w:r>
      <w:r w:rsidR="00950A75">
        <w:t xml:space="preserve"> in violation of Pub. Util. Code Section 1001</w:t>
      </w:r>
      <w:r>
        <w:t>. Payment should be made by check or money order, by mail or in-person delivery to California Public Utilities Commission, Fiscal Office, Room 3000, 505 Van Ness Avenue, San Francisco, CA 94102. IPC should include on the check a written identification stating the decision number and the application number, such as the following: “</w:t>
      </w:r>
      <w:r w:rsidR="00A32571">
        <w:t>For deposit to the General Fund p</w:t>
      </w:r>
      <w:r>
        <w:t>er Decision 26-</w:t>
      </w:r>
      <w:r w:rsidR="0015188D">
        <w:t>10</w:t>
      </w:r>
      <w:r>
        <w:t>-XXX of A</w:t>
      </w:r>
      <w:r w:rsidR="00A32571">
        <w:t>.</w:t>
      </w:r>
      <w:r>
        <w:t>25-09-002.”</w:t>
      </w:r>
    </w:p>
    <w:p w:rsidR="005979AC" w:rsidP="00B17B38" w:rsidRDefault="005979AC" w14:paraId="066ABD4E" w14:textId="271ADE06">
      <w:pPr>
        <w:pStyle w:val="CoL"/>
      </w:pPr>
      <w:r>
        <w:t xml:space="preserve">IPC should email the Commission’s Communications Division of payment after payment of the penalty at </w:t>
      </w:r>
      <w:hyperlink w:history="1" r:id="rId26">
        <w:r w:rsidRPr="009E010F">
          <w:rPr>
            <w:rStyle w:val="Hyperlink"/>
          </w:rPr>
          <w:t>cdcompliance@cpuc.ca.gov</w:t>
        </w:r>
      </w:hyperlink>
      <w:r>
        <w:t>.</w:t>
      </w:r>
    </w:p>
    <w:p w:rsidR="005979AC" w:rsidP="00B17B38" w:rsidRDefault="005979AC" w14:paraId="43F1E271" w14:textId="5DD6BC1B">
      <w:pPr>
        <w:pStyle w:val="CoL"/>
      </w:pPr>
      <w:r>
        <w:lastRenderedPageBreak/>
        <w:t>Failure to remit the penalty amount owed within 90 days of the payment deadline should result in additional collections or enforcement against IPC.</w:t>
      </w:r>
    </w:p>
    <w:p w:rsidR="004A5B9C" w:rsidP="004A5B9C" w:rsidRDefault="004A5B9C" w14:paraId="73E095DC" w14:textId="4F15F35E">
      <w:pPr>
        <w:pStyle w:val="CoL"/>
        <w:ind w:firstLine="540"/>
      </w:pPr>
      <w:r>
        <w:t>IPC should be</w:t>
      </w:r>
      <w:r w:rsidRPr="00B46F61">
        <w:t xml:space="preserve"> required to pay all past-due surcharges and user fees it avoided by </w:t>
      </w:r>
      <w:r>
        <w:t>providing services</w:t>
      </w:r>
      <w:r w:rsidRPr="00B46F61">
        <w:t xml:space="preserve"> without authority between </w:t>
      </w:r>
      <w:r>
        <w:t>July 1, 2025,</w:t>
      </w:r>
      <w:r w:rsidRPr="00B46F61">
        <w:t xml:space="preserve"> and the issuance date of this decision, along with appli</w:t>
      </w:r>
      <w:r>
        <w:t>c</w:t>
      </w:r>
      <w:r w:rsidRPr="00B46F61">
        <w:t>able interest</w:t>
      </w:r>
      <w:r w:rsidR="00864BDB">
        <w:t xml:space="preserve"> on past due surcharges</w:t>
      </w:r>
      <w:r w:rsidRPr="00B46F61">
        <w:t>.</w:t>
      </w:r>
      <w:r>
        <w:t xml:space="preserve">  </w:t>
      </w:r>
    </w:p>
    <w:p w:rsidR="00D6336A" w:rsidP="004A5B9C" w:rsidRDefault="00D6336A" w14:paraId="250F416A" w14:textId="7C397946">
      <w:pPr>
        <w:pStyle w:val="CoL"/>
        <w:ind w:firstLine="540"/>
      </w:pPr>
      <w:r>
        <w:t xml:space="preserve">IPC should be required to pay a </w:t>
      </w:r>
      <w:r w:rsidRPr="008C1DB4" w:rsidR="001F20AA">
        <w:t>25% late payment penalty o</w:t>
      </w:r>
      <w:r w:rsidR="001F20AA">
        <w:t>n</w:t>
      </w:r>
      <w:r w:rsidRPr="008C1DB4" w:rsidR="001F20AA">
        <w:t xml:space="preserve"> user fees</w:t>
      </w:r>
      <w:r w:rsidR="001F20AA">
        <w:t xml:space="preserve"> pursuant to Pub. Util Code Section 405 </w:t>
      </w:r>
      <w:r w:rsidRPr="000B0A5F" w:rsidR="001F20AA">
        <w:t>applicable to intrastate telecommunications services IPC provided in California since July 1,</w:t>
      </w:r>
      <w:r w:rsidR="001F20AA">
        <w:t xml:space="preserve"> </w:t>
      </w:r>
      <w:r w:rsidRPr="000B0A5F" w:rsidR="001F20AA">
        <w:t>2025, where such user fees are more than 30 days late</w:t>
      </w:r>
      <w:r w:rsidR="001F20AA">
        <w:t>.</w:t>
      </w:r>
    </w:p>
    <w:p w:rsidRPr="00213ECB" w:rsidR="003409CE" w:rsidP="00826066" w:rsidRDefault="004A5B9C" w14:paraId="0D9731AD" w14:textId="54DA5CBA">
      <w:pPr>
        <w:pStyle w:val="CoL"/>
        <w:ind w:firstLine="540"/>
      </w:pPr>
      <w:r w:rsidRPr="00213ECB">
        <w:t>The public comment period in response to this decision should be waived.</w:t>
      </w:r>
    </w:p>
    <w:p w:rsidRPr="00B17B38" w:rsidR="004078BB" w:rsidP="00B17B38" w:rsidRDefault="004078BB" w14:paraId="7C1D236F" w14:textId="77777777">
      <w:pPr>
        <w:pStyle w:val="CoL"/>
      </w:pPr>
      <w:r w:rsidRPr="00B17B38">
        <w:t>All rulings by the assigned Commissioner and the assigned ALJ should be affirmed.</w:t>
      </w:r>
    </w:p>
    <w:p w:rsidRPr="00B17B38" w:rsidR="004078BB" w:rsidP="00B17B38" w:rsidRDefault="004078BB" w14:paraId="04E551BD" w14:textId="77777777">
      <w:pPr>
        <w:pStyle w:val="CoL"/>
      </w:pPr>
      <w:r w:rsidRPr="00B17B38">
        <w:t>All pending motions should be deemed denied.</w:t>
      </w:r>
    </w:p>
    <w:bookmarkEnd w:id="136"/>
    <w:p w:rsidRPr="004078BB" w:rsidR="008F143D" w:rsidP="00826066" w:rsidRDefault="004078BB" w14:paraId="23215E1D" w14:textId="7D80B7DA">
      <w:pPr>
        <w:pStyle w:val="CoL"/>
      </w:pPr>
      <w:r w:rsidRPr="00B17B38">
        <w:t>This proceeding should be closed</w:t>
      </w:r>
      <w:r w:rsidRPr="00B17B38" w:rsidR="000E0D1C">
        <w:t>.</w:t>
      </w:r>
    </w:p>
    <w:p w:rsidR="00BB0243" w:rsidP="000A6E05" w:rsidRDefault="005939A5" w14:paraId="52244830" w14:textId="77777777">
      <w:pPr>
        <w:pStyle w:val="Mainex"/>
      </w:pPr>
      <w:bookmarkStart w:name="_Toc240876476" w:id="137"/>
      <w:r>
        <w:t>O</w:t>
      </w:r>
      <w:r w:rsidR="00722850">
        <w:t>RDER</w:t>
      </w:r>
      <w:bookmarkEnd w:id="137"/>
    </w:p>
    <w:p w:rsidRPr="006A3D74" w:rsidR="004078BB" w:rsidP="00710EBA" w:rsidRDefault="00BB0243" w14:paraId="54F2487B" w14:textId="77777777">
      <w:pPr>
        <w:keepNext/>
      </w:pPr>
      <w:r w:rsidRPr="00BB0243">
        <w:rPr>
          <w:b/>
        </w:rPr>
        <w:t>IT IS ORDERED</w:t>
      </w:r>
      <w:r>
        <w:t xml:space="preserve"> that:</w:t>
      </w:r>
      <w:bookmarkStart w:name="_Hlk183525931" w:id="138"/>
    </w:p>
    <w:bookmarkEnd w:id="138"/>
    <w:p w:rsidRPr="00B17B38" w:rsidR="00410529" w:rsidP="00B17B38" w:rsidRDefault="00410529" w14:paraId="6DD377DD" w14:textId="75A2EBCD">
      <w:pPr>
        <w:pStyle w:val="OP"/>
      </w:pPr>
      <w:r w:rsidRPr="00B17B38">
        <w:t xml:space="preserve">A Certificate of Public Convenience and Necessity is granted to </w:t>
      </w:r>
      <w:r w:rsidRPr="00B17B38" w:rsidR="00EF7F90">
        <w:t xml:space="preserve">IPC Systems, Inc. </w:t>
      </w:r>
      <w:r w:rsidRPr="00B17B38">
        <w:t xml:space="preserve">to provide </w:t>
      </w:r>
      <w:r w:rsidR="00842C04">
        <w:t>resold</w:t>
      </w:r>
      <w:r w:rsidRPr="00B17B38">
        <w:t xml:space="preserve"> </w:t>
      </w:r>
      <w:r w:rsidR="005979AC">
        <w:t xml:space="preserve">intra-Local Access Transport Area high-speed digital private line </w:t>
      </w:r>
      <w:r w:rsidRPr="00B17B38">
        <w:t xml:space="preserve">services </w:t>
      </w:r>
      <w:r w:rsidR="00201C26">
        <w:t xml:space="preserve">throughout California </w:t>
      </w:r>
      <w:r w:rsidR="005979AC">
        <w:t xml:space="preserve">as an interexchange carrier </w:t>
      </w:r>
      <w:r w:rsidRPr="00B17B38">
        <w:t>subject to the terms and conditions set forth in this decision.</w:t>
      </w:r>
    </w:p>
    <w:p w:rsidRPr="00B17B38" w:rsidR="00410529" w:rsidP="000E0455" w:rsidRDefault="00E26A4B" w14:paraId="08FCE5B6" w14:textId="76202254">
      <w:pPr>
        <w:pStyle w:val="OP"/>
      </w:pPr>
      <w:bookmarkStart w:name="_Hlk183525733" w:id="139"/>
      <w:r w:rsidRPr="00B17B38">
        <w:t>IPC</w:t>
      </w:r>
      <w:r w:rsidRPr="00B17B38" w:rsidR="00410529">
        <w:t xml:space="preserve"> </w:t>
      </w:r>
      <w:r w:rsidRPr="00B17B38">
        <w:t xml:space="preserve">Systems, Inc. </w:t>
      </w:r>
      <w:r w:rsidRPr="00B17B38" w:rsidR="00410529">
        <w:t>may not construct any facilities, including equipment in existing buildings or structures.</w:t>
      </w:r>
      <w:bookmarkEnd w:id="139"/>
    </w:p>
    <w:p w:rsidRPr="00B17B38" w:rsidR="00410529" w:rsidP="00B17B38" w:rsidRDefault="00C817FA" w14:paraId="05E0FF2A" w14:textId="64EB7072">
      <w:pPr>
        <w:pStyle w:val="OP"/>
      </w:pPr>
      <w:r w:rsidRPr="00B17B38">
        <w:t>IPC Systems, Inc.</w:t>
      </w:r>
      <w:r w:rsidRPr="00B17B38" w:rsidR="00A4515B">
        <w:t xml:space="preserve"> </w:t>
      </w:r>
      <w:r w:rsidR="005979AC">
        <w:t xml:space="preserve">(IPC) </w:t>
      </w:r>
      <w:r w:rsidRPr="00B17B38" w:rsidR="00410529">
        <w:t xml:space="preserve">may operate on a detariffed basis. In the future, if </w:t>
      </w:r>
      <w:r w:rsidRPr="00B17B38">
        <w:t>IPC</w:t>
      </w:r>
      <w:r w:rsidRPr="00B17B38" w:rsidR="00410529">
        <w:t xml:space="preserve"> decides to offer services that require a tariff or schedule, such as basic service, </w:t>
      </w:r>
      <w:r w:rsidR="005979AC">
        <w:t>IPC</w:t>
      </w:r>
      <w:r w:rsidRPr="00B17B38" w:rsidR="00410529">
        <w:t xml:space="preserve"> must submit proposed tariffs and/or user guides to the California </w:t>
      </w:r>
      <w:r w:rsidRPr="00B17B38" w:rsidR="00410529">
        <w:lastRenderedPageBreak/>
        <w:t xml:space="preserve">Public Utilities Commission’s Communications Division via a Tier 2 </w:t>
      </w:r>
      <w:r w:rsidR="005979AC">
        <w:t>a</w:t>
      </w:r>
      <w:r w:rsidRPr="00B17B38" w:rsidR="00410529">
        <w:t xml:space="preserve">dvice </w:t>
      </w:r>
      <w:r w:rsidR="005979AC">
        <w:t>l</w:t>
      </w:r>
      <w:r w:rsidRPr="00B17B38" w:rsidR="00410529">
        <w:t>etter using the General Order 96-B process at least 30 days before initiation of service.</w:t>
      </w:r>
    </w:p>
    <w:p w:rsidRPr="00B17B38" w:rsidR="00410529" w:rsidP="00B17B38" w:rsidRDefault="00C817FA" w14:paraId="23A98FD4" w14:textId="7189A0B0">
      <w:pPr>
        <w:pStyle w:val="OP"/>
      </w:pPr>
      <w:r w:rsidRPr="00B17B38">
        <w:t>IPC Systems, Inc.</w:t>
      </w:r>
      <w:r w:rsidRPr="00B17B38" w:rsidR="00410529">
        <w:t xml:space="preserve">’s </w:t>
      </w:r>
      <w:r w:rsidR="00C17214">
        <w:t>request</w:t>
      </w:r>
      <w:r w:rsidRPr="00B17B38" w:rsidR="00410529">
        <w:t xml:space="preserve"> for non</w:t>
      </w:r>
      <w:r w:rsidRPr="00B17B38" w:rsidR="00410529">
        <w:noBreakHyphen/>
        <w:t>dominant carrier status treatment is denied.</w:t>
      </w:r>
    </w:p>
    <w:p w:rsidRPr="00B17B38" w:rsidR="00410529" w:rsidP="00B17B38" w:rsidRDefault="00410529" w14:paraId="3AFF79E1" w14:textId="4B624FA4">
      <w:pPr>
        <w:pStyle w:val="OP"/>
      </w:pPr>
      <w:r w:rsidRPr="00B17B38">
        <w:t xml:space="preserve">The certificate granted, and the authority for </w:t>
      </w:r>
      <w:r w:rsidRPr="00B17B38" w:rsidR="00C817FA">
        <w:t>IPC Systems, Inc. (IPC)</w:t>
      </w:r>
      <w:r w:rsidRPr="00B17B38">
        <w:t xml:space="preserve"> to render service to customers under the rates, charges, and rules authorized, will expire if not exercised, by offering or actively providing service on a wholesale and/or resale basis, after 12 months from the effective date of this decision. </w:t>
      </w:r>
      <w:r w:rsidRPr="00B17B38" w:rsidR="00C817FA">
        <w:t xml:space="preserve">IPC </w:t>
      </w:r>
      <w:r w:rsidRPr="00B17B38">
        <w:t>is responsible for seeking approval for an extension of time to comply with this decision pursuant to Rules of Practice and Procedure</w:t>
      </w:r>
      <w:r w:rsidR="00C17214">
        <w:t>,</w:t>
      </w:r>
      <w:r w:rsidRPr="00B17B38">
        <w:t xml:space="preserve"> Rule 16.6. </w:t>
      </w:r>
    </w:p>
    <w:p w:rsidRPr="00B17B38" w:rsidR="00410529" w:rsidP="00B17B38" w:rsidRDefault="00C817FA" w14:paraId="75F3799D" w14:textId="67D39E6A">
      <w:pPr>
        <w:pStyle w:val="OP"/>
      </w:pPr>
      <w:r w:rsidRPr="00B17B38">
        <w:t xml:space="preserve">IPC Systems, Inc. </w:t>
      </w:r>
      <w:r w:rsidRPr="00B17B38" w:rsidR="00410529">
        <w:t>is assigned utility identification number U</w:t>
      </w:r>
      <w:r w:rsidRPr="00B17B38" w:rsidR="002D5E45">
        <w:t>-7552-</w:t>
      </w:r>
      <w:r w:rsidRPr="00B17B38" w:rsidR="00410529">
        <w:t>C and is responsible for using this as its corporate identification number in the caption of all original filings with the California Public Utilities Commission (Commission), in the titles of other pleadings filed in existing cases, and informal submissions to the Commission</w:t>
      </w:r>
      <w:r w:rsidRPr="00B17B38" w:rsidR="008C21C4">
        <w:t>.</w:t>
      </w:r>
    </w:p>
    <w:p w:rsidRPr="00B17B38" w:rsidR="00410529" w:rsidP="00B17B38" w:rsidRDefault="00C817FA" w14:paraId="188D63D0" w14:textId="1ACAA092">
      <w:pPr>
        <w:pStyle w:val="OP"/>
      </w:pPr>
      <w:r w:rsidRPr="00B17B38">
        <w:t xml:space="preserve">IPC Systems, Inc. </w:t>
      </w:r>
      <w:r w:rsidRPr="00B17B38" w:rsidR="00410529">
        <w:t>must file in this docket a written acceptance of the certificate granted in this proceeding within 30 days of the effective date of this decision. The written acceptance filed in this docket does not reopen the proceeding.</w:t>
      </w:r>
    </w:p>
    <w:p w:rsidRPr="00B17B38" w:rsidR="00410529" w:rsidP="00B17B38" w:rsidRDefault="00C817FA" w14:paraId="033AEC12" w14:textId="40B46532">
      <w:pPr>
        <w:pStyle w:val="OP"/>
      </w:pPr>
      <w:r w:rsidRPr="00B17B38">
        <w:t xml:space="preserve">IPC Systems, Inc. </w:t>
      </w:r>
      <w:r w:rsidRPr="00B17B38" w:rsidR="00410529">
        <w:t>must provide the name, address, email address, and telephone number of its designated primary regulatory/official contact person to the California Public Utilities Commission’s Communications Division within five days of written acceptance of its certificate. Refer to Attachment B for additional information related to updating contact information.</w:t>
      </w:r>
    </w:p>
    <w:p w:rsidRPr="00B17B38" w:rsidR="00410529" w:rsidP="00B17B38" w:rsidRDefault="00C817FA" w14:paraId="067F2949" w14:textId="5CD6F9F6">
      <w:pPr>
        <w:pStyle w:val="OP"/>
      </w:pPr>
      <w:r w:rsidRPr="00B17B38">
        <w:t xml:space="preserve">IPC Systems, Inc. </w:t>
      </w:r>
      <w:r w:rsidRPr="00B17B38" w:rsidR="00410529">
        <w:t xml:space="preserve">must provide the name, address, email address, and telephone number of its designated contact person for purposes of resolving </w:t>
      </w:r>
      <w:r w:rsidRPr="00B17B38" w:rsidR="00410529">
        <w:lastRenderedPageBreak/>
        <w:t>consumer complaints to the California Public Utilities Commission’s Consumer Affairs Branch within five days of written acceptance of its certificate. Refer to Attachment B for additional information related to updating contact information.</w:t>
      </w:r>
    </w:p>
    <w:p w:rsidRPr="00B17B38" w:rsidR="00410529" w:rsidP="00B17B38" w:rsidRDefault="00410529" w14:paraId="575F9895" w14:textId="35F8E4FC">
      <w:pPr>
        <w:pStyle w:val="OP"/>
      </w:pPr>
      <w:r w:rsidRPr="00B17B38">
        <w:t xml:space="preserve"> </w:t>
      </w:r>
      <w:r w:rsidRPr="00B17B38" w:rsidR="00C817FA">
        <w:t xml:space="preserve">IPC Systems, Inc. </w:t>
      </w:r>
      <w:r w:rsidRPr="00B17B38">
        <w:t xml:space="preserve">must submit a Tier 1 </w:t>
      </w:r>
      <w:r w:rsidR="00C17214">
        <w:t>a</w:t>
      </w:r>
      <w:r w:rsidRPr="00B17B38">
        <w:t>dvice </w:t>
      </w:r>
      <w:r w:rsidR="00C17214">
        <w:t>l</w:t>
      </w:r>
      <w:r w:rsidRPr="00B17B38">
        <w:t xml:space="preserve">etter containing a copy of the license holder’s executed performance bond in accordance </w:t>
      </w:r>
      <w:bookmarkStart w:name="_Hlk183526091" w:id="140"/>
      <w:r w:rsidRPr="00B17B38">
        <w:t>with the process established in Decision (D.) 10-09-017/D.11-09-026 and modified by D.13-05-035 and D.24-11-003</w:t>
      </w:r>
      <w:bookmarkEnd w:id="140"/>
      <w:r w:rsidRPr="00B17B38">
        <w:t xml:space="preserve"> to the California Public Utilities Commission’s Communications Division within 30 days of the effective date of this decision.  Refer to Attachment B for additional information on annual performance bond requirements.</w:t>
      </w:r>
    </w:p>
    <w:p w:rsidRPr="00B17B38" w:rsidR="00410529" w:rsidP="00B17B38" w:rsidRDefault="00C817FA" w14:paraId="096D6C68" w14:textId="6CC4DF7E">
      <w:pPr>
        <w:pStyle w:val="OP"/>
      </w:pPr>
      <w:r w:rsidRPr="00B17B38">
        <w:t xml:space="preserve">IPC Systems, Inc. </w:t>
      </w:r>
      <w:r w:rsidRPr="00B17B38" w:rsidR="00410529">
        <w:t xml:space="preserve">must submit its compliance with Public Utilities Code Section 708, Employee Identification Cards, to the California Public Utilities Commission’s Director of the Communications Division, in writing, by email to </w:t>
      </w:r>
      <w:hyperlink w:history="1" r:id="rId27">
        <w:r w:rsidRPr="00B17B38" w:rsidR="00410529">
          <w:t>cdcompliance@cpuc.ca.gov</w:t>
        </w:r>
      </w:hyperlink>
      <w:r w:rsidRPr="00B17B38" w:rsidR="00410529">
        <w:t>, within 60 days of the effective date of this decision.</w:t>
      </w:r>
    </w:p>
    <w:p w:rsidRPr="00B17B38" w:rsidR="00410529" w:rsidP="00B17B38" w:rsidRDefault="00C817FA" w14:paraId="6AE76600" w14:textId="73D8B7C4">
      <w:pPr>
        <w:pStyle w:val="OP"/>
      </w:pPr>
      <w:r w:rsidRPr="00B17B38">
        <w:t xml:space="preserve">IPC Systems, Inc. </w:t>
      </w:r>
      <w:r w:rsidRPr="00B17B38" w:rsidR="00410529">
        <w:t>is subject to all the current requirements applicable to interexchange carriers included in Attachments B, C, and D to this decision (including annual affiliate transaction reports, ongoing performance bond requirements, and payment of surcharges and user fees); all Consumer Protection Rules contained in General Order 168; and all applicable California Public Utilities Commission rules, decisions, General Orders, and statutes that pertain to California public utilities on an ongoing basis.</w:t>
      </w:r>
    </w:p>
    <w:p w:rsidRPr="00B17B38" w:rsidR="00410529" w:rsidP="00B17B38" w:rsidRDefault="00410529" w14:paraId="4A40F926" w14:textId="1A1F1240">
      <w:pPr>
        <w:pStyle w:val="OP"/>
      </w:pPr>
      <w:r w:rsidRPr="00B17B38">
        <w:t xml:space="preserve">Confidential </w:t>
      </w:r>
      <w:r w:rsidR="00C17214">
        <w:t>t</w:t>
      </w:r>
      <w:r w:rsidRPr="00B17B38">
        <w:t xml:space="preserve">reatment of </w:t>
      </w:r>
      <w:r w:rsidRPr="00B17B38" w:rsidR="00C817FA">
        <w:t>IPC Systems, Inc.</w:t>
      </w:r>
      <w:r w:rsidRPr="00B17B38">
        <w:t>’</w:t>
      </w:r>
      <w:r w:rsidRPr="00B17B38" w:rsidR="00C817FA">
        <w:t>s</w:t>
      </w:r>
      <w:r w:rsidRPr="00B17B38" w:rsidR="0002066B">
        <w:t xml:space="preserve"> (IPC) </w:t>
      </w:r>
      <w:r w:rsidRPr="00B17B38" w:rsidR="0068544E">
        <w:t>Appendix K of its Application and Attachment 1 o</w:t>
      </w:r>
      <w:r w:rsidR="0078129C">
        <w:t>f</w:t>
      </w:r>
      <w:r w:rsidRPr="00B17B38" w:rsidR="0068544E">
        <w:t xml:space="preserve"> IPC’s Response dated June 15, </w:t>
      </w:r>
      <w:r w:rsidRPr="00B17B38" w:rsidR="00B17B38">
        <w:t>2026,</w:t>
      </w:r>
      <w:r w:rsidRPr="00B17B38" w:rsidR="0068544E">
        <w:t xml:space="preserve"> are </w:t>
      </w:r>
      <w:r w:rsidRPr="00B17B38">
        <w:t xml:space="preserve">granted for a period of three years after the date of this decision pursuant to Decision 24-11-003. During this three-year period, this information shall not be publicly disclosed except </w:t>
      </w:r>
      <w:r w:rsidR="00B17B38">
        <w:t>up</w:t>
      </w:r>
      <w:r w:rsidRPr="00B17B38">
        <w:t xml:space="preserve">on further Commission order or Administrative Law Judge </w:t>
      </w:r>
      <w:r w:rsidRPr="00B17B38">
        <w:lastRenderedPageBreak/>
        <w:t xml:space="preserve">ruling. If </w:t>
      </w:r>
      <w:r w:rsidRPr="00B17B38" w:rsidR="0002066B">
        <w:t>IPC</w:t>
      </w:r>
      <w:r w:rsidRPr="00B17B38">
        <w:t xml:space="preserve"> believes that it is necessary for this information to remain under seal for longer than three years, </w:t>
      </w:r>
      <w:r w:rsidRPr="00B17B38" w:rsidR="0002066B">
        <w:t>IPC</w:t>
      </w:r>
      <w:r w:rsidRPr="00B17B38">
        <w:t xml:space="preserve"> may file a motion showing good cause for extending this order by no later than 30 days before the expiration of this order.</w:t>
      </w:r>
    </w:p>
    <w:p w:rsidRPr="00B17B38" w:rsidR="00A41E2E" w:rsidP="00B17B38" w:rsidRDefault="00A41E2E" w14:paraId="0D92B4F7" w14:textId="2CADFB74">
      <w:pPr>
        <w:pStyle w:val="OP"/>
      </w:pPr>
      <w:r w:rsidRPr="00B17B38">
        <w:t xml:space="preserve">IPC Systems, Inc. must pay a penalty of $2,000 for contracting </w:t>
      </w:r>
      <w:r w:rsidR="00C17214">
        <w:t xml:space="preserve">with </w:t>
      </w:r>
      <w:r w:rsidRPr="00B17B38">
        <w:t xml:space="preserve">customers without </w:t>
      </w:r>
      <w:r w:rsidR="00C17214">
        <w:t xml:space="preserve">a certificate of public convenience and necessity </w:t>
      </w:r>
      <w:r w:rsidRPr="00B17B38">
        <w:t xml:space="preserve">from July 1, </w:t>
      </w:r>
      <w:r w:rsidRPr="00B17B38" w:rsidR="00B17B38">
        <w:t>202</w:t>
      </w:r>
      <w:r w:rsidR="009D7615">
        <w:t>5</w:t>
      </w:r>
      <w:r w:rsidRPr="00B17B38" w:rsidR="00B17B38">
        <w:t>,</w:t>
      </w:r>
      <w:r w:rsidRPr="00B17B38">
        <w:t xml:space="preserve"> to September 11, 202</w:t>
      </w:r>
      <w:r w:rsidR="009D7615">
        <w:t>5</w:t>
      </w:r>
      <w:r w:rsidR="00C67AD3">
        <w:t>, in violation of Public Utilities Code Section 1001</w:t>
      </w:r>
      <w:r w:rsidRPr="00B17B38">
        <w:t xml:space="preserve">. Payment must be made by check or money order </w:t>
      </w:r>
      <w:r w:rsidR="00C17214">
        <w:t>payable</w:t>
      </w:r>
      <w:r w:rsidRPr="00B17B38">
        <w:t xml:space="preserve"> to</w:t>
      </w:r>
      <w:r w:rsidR="00C17214">
        <w:t xml:space="preserve"> the</w:t>
      </w:r>
      <w:r w:rsidRPr="00B17B38">
        <w:t xml:space="preserve"> California Public Utilities Commission</w:t>
      </w:r>
      <w:r w:rsidR="00C17214">
        <w:t xml:space="preserve"> (Commission) and mailed or delivered to</w:t>
      </w:r>
      <w:r w:rsidRPr="00B17B38">
        <w:t xml:space="preserve"> </w:t>
      </w:r>
      <w:r w:rsidR="00C17214">
        <w:t xml:space="preserve">the Commission’s </w:t>
      </w:r>
      <w:r w:rsidRPr="00B17B38">
        <w:t>Fiscal Office</w:t>
      </w:r>
      <w:r w:rsidR="003B662C">
        <w:t xml:space="preserve">, Room 3000, </w:t>
      </w:r>
      <w:r w:rsidR="00C17214">
        <w:t>at</w:t>
      </w:r>
      <w:r w:rsidRPr="00B17B38">
        <w:t xml:space="preserve"> 505 Van Ness Avenue, San Francisco, California 94102. IPC Systems, Inc. shall </w:t>
      </w:r>
      <w:r w:rsidR="00C17214">
        <w:t xml:space="preserve">write on the face of the check or money </w:t>
      </w:r>
      <w:r w:rsidR="00355F3E">
        <w:t>order</w:t>
      </w:r>
      <w:r w:rsidRPr="00B17B38" w:rsidR="00355F3E">
        <w:t>, “</w:t>
      </w:r>
      <w:r w:rsidR="00C17214">
        <w:t>For deposit to the General Fund per</w:t>
      </w:r>
      <w:r w:rsidRPr="00B17B38">
        <w:t xml:space="preserve"> Decision 2</w:t>
      </w:r>
      <w:r w:rsidR="00C17214">
        <w:t>6</w:t>
      </w:r>
      <w:r w:rsidRPr="00B17B38">
        <w:t>-</w:t>
      </w:r>
      <w:r w:rsidR="00A47F48">
        <w:t>10</w:t>
      </w:r>
      <w:r w:rsidRPr="00B17B38">
        <w:t>-</w:t>
      </w:r>
      <w:r w:rsidR="00C17214">
        <w:t>X</w:t>
      </w:r>
      <w:r w:rsidRPr="00B17B38">
        <w:t>XX of A.25-09-002.”</w:t>
      </w:r>
    </w:p>
    <w:p w:rsidRPr="00B17B38" w:rsidR="00A41E2E" w:rsidP="00B17B38" w:rsidRDefault="00A41E2E" w14:paraId="0015C35C" w14:textId="0BC2E17B">
      <w:pPr>
        <w:pStyle w:val="OP"/>
      </w:pPr>
      <w:r w:rsidRPr="00B17B38">
        <w:t xml:space="preserve">IPC Systems, Inc. must </w:t>
      </w:r>
      <w:r w:rsidR="00C17214">
        <w:t>inform</w:t>
      </w:r>
      <w:r w:rsidRPr="00B17B38">
        <w:t xml:space="preserve"> the California Public Utilities Commission’s Communications Division </w:t>
      </w:r>
      <w:r w:rsidR="00C17214">
        <w:t>by email</w:t>
      </w:r>
      <w:r w:rsidRPr="00B17B38">
        <w:t xml:space="preserve"> at </w:t>
      </w:r>
      <w:hyperlink w:history="1" r:id="rId28">
        <w:r w:rsidRPr="00FD2457" w:rsidR="002B29B6">
          <w:rPr>
            <w:rStyle w:val="Hyperlink"/>
          </w:rPr>
          <w:t>cdcompliance@cpuc.ca.gov</w:t>
        </w:r>
      </w:hyperlink>
      <w:r w:rsidR="00C17214">
        <w:t xml:space="preserve"> upon payment of the penalty</w:t>
      </w:r>
      <w:r w:rsidRPr="00B17B38">
        <w:t>.</w:t>
      </w:r>
    </w:p>
    <w:p w:rsidR="00A41E2E" w:rsidP="00B17B38" w:rsidRDefault="00A41E2E" w14:paraId="4D3D563A" w14:textId="4C02FD19">
      <w:pPr>
        <w:pStyle w:val="OP"/>
      </w:pPr>
      <w:r w:rsidRPr="00B17B38">
        <w:t xml:space="preserve">Failure to remit the penalty amount owed within 90 days of the payment deadline will result in additional collections or enforcement action against </w:t>
      </w:r>
      <w:r w:rsidRPr="00B17B38" w:rsidR="00930AD1">
        <w:t xml:space="preserve">IPC Systems, Inc. </w:t>
      </w:r>
    </w:p>
    <w:p w:rsidRPr="00EA7C03" w:rsidR="00C62F01" w:rsidP="00C62F01" w:rsidRDefault="00C62F01" w14:paraId="63E416CB" w14:textId="7186F585">
      <w:pPr>
        <w:pStyle w:val="OP"/>
      </w:pPr>
      <w:r w:rsidRPr="00C62F01">
        <w:rPr>
          <w:szCs w:val="26"/>
        </w:rPr>
        <w:t xml:space="preserve">IPC Systems, Inc. </w:t>
      </w:r>
      <w:r w:rsidRPr="00EA7C03">
        <w:t xml:space="preserve">must remit </w:t>
      </w:r>
      <w:r w:rsidRPr="00C62F01">
        <w:rPr>
          <w:rFonts w:cs="Calibri"/>
        </w:rPr>
        <w:t xml:space="preserve">to the </w:t>
      </w:r>
      <w:r w:rsidRPr="00EA7C03">
        <w:t xml:space="preserve">California Public Utilities Commission </w:t>
      </w:r>
      <w:r>
        <w:t xml:space="preserve">(Commission) </w:t>
      </w:r>
      <w:r w:rsidRPr="00EA7C03">
        <w:t>public purpose program surcharges owed, if any, in accordance with the established methodology in effect at the time the surcharge was accrued</w:t>
      </w:r>
      <w:r w:rsidRPr="00C62F01">
        <w:rPr>
          <w:rFonts w:cs="Calibri"/>
        </w:rPr>
        <w:t xml:space="preserve"> </w:t>
      </w:r>
      <w:r w:rsidR="00EE3D6D">
        <w:rPr>
          <w:rFonts w:cs="Calibri"/>
        </w:rPr>
        <w:t xml:space="preserve">along </w:t>
      </w:r>
      <w:r w:rsidR="00E17940">
        <w:rPr>
          <w:rFonts w:cs="Calibri"/>
        </w:rPr>
        <w:t xml:space="preserve">with </w:t>
      </w:r>
      <w:r w:rsidRPr="00C62F01">
        <w:rPr>
          <w:rFonts w:cs="Calibri"/>
        </w:rPr>
        <w:t>accrued interest of 10 percent assessed on remittance of past due surcharges</w:t>
      </w:r>
      <w:r w:rsidR="0079391C">
        <w:t>; and must remit</w:t>
      </w:r>
      <w:r w:rsidR="00710824">
        <w:t xml:space="preserve"> </w:t>
      </w:r>
      <w:r w:rsidR="0079391C">
        <w:t>user fees owed, if any</w:t>
      </w:r>
      <w:r w:rsidR="001B3648">
        <w:t xml:space="preserve">, </w:t>
      </w:r>
      <w:r w:rsidR="00F51A0E">
        <w:t xml:space="preserve">and a late payment penalty </w:t>
      </w:r>
      <w:r w:rsidR="009A588B">
        <w:t xml:space="preserve">of 25 percent assessed on </w:t>
      </w:r>
      <w:r w:rsidR="00470004">
        <w:t>user fees that are more than 30 days late</w:t>
      </w:r>
      <w:r>
        <w:t>.</w:t>
      </w:r>
    </w:p>
    <w:p w:rsidRPr="00EA7C03" w:rsidR="00080CC8" w:rsidP="00080CC8" w:rsidRDefault="00080CC8" w14:paraId="180D7000" w14:textId="2E332B5E">
      <w:pPr>
        <w:pStyle w:val="OP"/>
      </w:pPr>
      <w:r>
        <w:t xml:space="preserve">Within 30 days of the effective date of this decision, </w:t>
      </w:r>
      <w:r w:rsidRPr="00080CC8">
        <w:rPr>
          <w:szCs w:val="26"/>
        </w:rPr>
        <w:t xml:space="preserve">IPC Systems, Inc. </w:t>
      </w:r>
      <w:r>
        <w:t>must provide the Commission’s Communications Division with a summary of: (1) </w:t>
      </w:r>
      <w:r w:rsidR="003F4F65">
        <w:t>the total number of access lines</w:t>
      </w:r>
      <w:r w:rsidRPr="007C0D49" w:rsidR="003F4F65">
        <w:t xml:space="preserve"> served each month </w:t>
      </w:r>
      <w:r w:rsidR="003F4F65">
        <w:t xml:space="preserve">from July 1, 2025 to the month </w:t>
      </w:r>
      <w:r w:rsidR="003F4F65">
        <w:lastRenderedPageBreak/>
        <w:t>this decision is effective</w:t>
      </w:r>
      <w:r>
        <w:t>;</w:t>
      </w:r>
      <w:r w:rsidRPr="00080CC8">
        <w:rPr>
          <w:rFonts w:cs="Calibri"/>
        </w:rPr>
        <w:t xml:space="preserve"> </w:t>
      </w:r>
      <w:r>
        <w:t>and (2) </w:t>
      </w:r>
      <w:r w:rsidR="007C1860">
        <w:t>its total monthly intrastate revenue subject to user fees for regulated voice services provided in California from July 1, 2025 to the month this decision is effective</w:t>
      </w:r>
      <w:r>
        <w:t xml:space="preserve">, by e-mailing this information to </w:t>
      </w:r>
      <w:hyperlink r:id="rId29">
        <w:r w:rsidRPr="7E8EBA2E">
          <w:rPr>
            <w:rStyle w:val="Hyperlink"/>
          </w:rPr>
          <w:t>telcosurcharge@cpuc.ca.gov</w:t>
        </w:r>
      </w:hyperlink>
      <w:r>
        <w:t xml:space="preserve"> and </w:t>
      </w:r>
      <w:hyperlink r:id="rId30">
        <w:r w:rsidRPr="7E8EBA2E">
          <w:rPr>
            <w:rStyle w:val="Hyperlink"/>
          </w:rPr>
          <w:t>cdcompliance@cpuc.ca.gov</w:t>
        </w:r>
      </w:hyperlink>
      <w:r>
        <w:t xml:space="preserve">. </w:t>
      </w:r>
      <w:r w:rsidRPr="00080CC8">
        <w:rPr>
          <w:szCs w:val="26"/>
        </w:rPr>
        <w:t>IPC Systems, Inc</w:t>
      </w:r>
      <w:r>
        <w:t>. will provide this information by completing the form included as Attachment E</w:t>
      </w:r>
      <w:r w:rsidR="00625283">
        <w:t xml:space="preserve"> to this decision</w:t>
      </w:r>
      <w:r>
        <w:t>.  Failure to provide this information within 30 days of the effective date of this decision will result in additional collections or enforcement action pursuant to Resolution T-17601.</w:t>
      </w:r>
    </w:p>
    <w:p w:rsidR="00A502F7" w:rsidP="00A502F7" w:rsidRDefault="00A502F7" w14:paraId="01D3B29F" w14:textId="5A596FCE">
      <w:pPr>
        <w:pStyle w:val="OP"/>
      </w:pPr>
      <w:r>
        <w:t>The Commission’s Communications Division is authorized to calculate the public purpose program surcharges</w:t>
      </w:r>
      <w:r w:rsidR="00C67AD3">
        <w:t>,</w:t>
      </w:r>
      <w:r>
        <w:t xml:space="preserve"> </w:t>
      </w:r>
      <w:r w:rsidR="00C67AD3">
        <w:t xml:space="preserve">related </w:t>
      </w:r>
      <w:r>
        <w:t>interest</w:t>
      </w:r>
      <w:r w:rsidR="005902E2">
        <w:t xml:space="preserve"> on </w:t>
      </w:r>
      <w:r w:rsidR="008817B1">
        <w:t>past due surcharges</w:t>
      </w:r>
      <w:r w:rsidR="00C67AD3">
        <w:t>, and user fees</w:t>
      </w:r>
      <w:r w:rsidR="00ED2A86">
        <w:t>,</w:t>
      </w:r>
      <w:r>
        <w:t xml:space="preserve"> </w:t>
      </w:r>
      <w:r w:rsidR="00BF3A30">
        <w:t xml:space="preserve">including </w:t>
      </w:r>
      <w:r w:rsidR="00ED2A86">
        <w:t xml:space="preserve">a </w:t>
      </w:r>
      <w:r w:rsidR="0027547C">
        <w:t xml:space="preserve">25 percent penalty on </w:t>
      </w:r>
      <w:r w:rsidR="00ED2A86">
        <w:t xml:space="preserve">past due </w:t>
      </w:r>
      <w:r w:rsidR="0027547C">
        <w:t>user fees</w:t>
      </w:r>
      <w:r>
        <w:t xml:space="preserve"> owed, if any, between July 1, 2025 and the effective date of this decision.  </w:t>
      </w:r>
    </w:p>
    <w:p w:rsidRPr="0052516C" w:rsidR="00D1319F" w:rsidP="00D1319F" w:rsidRDefault="00D1319F" w14:paraId="6EC20AA3" w14:textId="36CA7111">
      <w:pPr>
        <w:pStyle w:val="OP"/>
      </w:pPr>
      <w:r w:rsidRPr="00D1319F">
        <w:rPr>
          <w:szCs w:val="26"/>
        </w:rPr>
        <w:t>IPC Systems, Inc</w:t>
      </w:r>
      <w:r>
        <w:t>. must send, within 30 days of its receipt of the total amount owed for surcharges and user fees, including interest</w:t>
      </w:r>
      <w:r w:rsidR="00C50A0C">
        <w:t>,</w:t>
      </w:r>
      <w:r>
        <w:t xml:space="preserve"> </w:t>
      </w:r>
      <w:r w:rsidDel="00C50A0C">
        <w:t xml:space="preserve">and penalties </w:t>
      </w:r>
      <w:r>
        <w:t xml:space="preserve">from the </w:t>
      </w:r>
      <w:r w:rsidRPr="00D1319F">
        <w:rPr>
          <w:rFonts w:cs="Arial"/>
        </w:rPr>
        <w:t xml:space="preserve">Commission’s </w:t>
      </w:r>
      <w:r>
        <w:t xml:space="preserve">Communications Division (CD), one cashier’s check or money order for payment of the total amount owed to: California Public Utilities Commission, Fiscal Office, Room 3000, 505 Van Ness Avenue, San Francisco, CA  94102. </w:t>
      </w:r>
      <w:r w:rsidRPr="00D1319F">
        <w:rPr>
          <w:szCs w:val="26"/>
        </w:rPr>
        <w:t>IPC Systems, Inc</w:t>
      </w:r>
      <w:r>
        <w:t xml:space="preserve">. </w:t>
      </w:r>
      <w:r w:rsidRPr="00D1319F">
        <w:rPr>
          <w:rFonts w:cs="Calibri"/>
        </w:rPr>
        <w:t xml:space="preserve">will, also, send an email to </w:t>
      </w:r>
      <w:hyperlink r:id="rId31">
        <w:r w:rsidRPr="00D1319F">
          <w:rPr>
            <w:rStyle w:val="Hyperlink"/>
            <w:rFonts w:cs="Calibri"/>
          </w:rPr>
          <w:t>telcosurcharge@cpuc.ca.gov</w:t>
        </w:r>
      </w:hyperlink>
      <w:r w:rsidRPr="00D1319F">
        <w:rPr>
          <w:rFonts w:cs="Calibri"/>
        </w:rPr>
        <w:t xml:space="preserve"> </w:t>
      </w:r>
      <w:r w:rsidR="00647D2B">
        <w:rPr>
          <w:rFonts w:cs="Calibri"/>
        </w:rPr>
        <w:t xml:space="preserve"> and </w:t>
      </w:r>
      <w:hyperlink w:history="1" r:id="rId32">
        <w:r w:rsidRPr="00FD3A89" w:rsidR="00647D2B">
          <w:rPr>
            <w:rStyle w:val="Hyperlink"/>
            <w:rFonts w:cs="Calibri"/>
          </w:rPr>
          <w:t>cdcompliance@cpuc.ca.gov</w:t>
        </w:r>
      </w:hyperlink>
      <w:r w:rsidR="00647D2B">
        <w:rPr>
          <w:rFonts w:cs="Calibri"/>
        </w:rPr>
        <w:t xml:space="preserve"> </w:t>
      </w:r>
      <w:r w:rsidR="00C67AD3">
        <w:rPr>
          <w:rFonts w:cs="Calibri"/>
        </w:rPr>
        <w:t>with</w:t>
      </w:r>
      <w:r w:rsidRPr="00D1319F">
        <w:rPr>
          <w:rFonts w:cs="Calibri"/>
        </w:rPr>
        <w:t xml:space="preserve"> an electronic copy of the check payment and the date it was sent to the C</w:t>
      </w:r>
      <w:r w:rsidR="00C67AD3">
        <w:rPr>
          <w:rFonts w:cs="Calibri"/>
        </w:rPr>
        <w:t>ommission’s Fiscal Office</w:t>
      </w:r>
      <w:r w:rsidRPr="00D1319F">
        <w:rPr>
          <w:rFonts w:cs="Calibri"/>
        </w:rPr>
        <w:t xml:space="preserve">. </w:t>
      </w:r>
      <w:r>
        <w:t xml:space="preserve">Failure to send the full payment within 30 days of </w:t>
      </w:r>
      <w:r w:rsidR="00C67AD3">
        <w:t>the notice from CD</w:t>
      </w:r>
      <w:r>
        <w:t xml:space="preserve"> will result in additional collections or enforcement action pursuant to Resolution T-17601.</w:t>
      </w:r>
    </w:p>
    <w:p w:rsidRPr="00B17B38" w:rsidR="00C7256B" w:rsidP="00802ED3" w:rsidRDefault="00802ED3" w14:paraId="19570C0B" w14:textId="5DD69C9F">
      <w:pPr>
        <w:pStyle w:val="OP"/>
      </w:pPr>
      <w:r w:rsidRPr="00802ED3">
        <w:rPr>
          <w:szCs w:val="26"/>
        </w:rPr>
        <w:t>IPC Systems, Inc</w:t>
      </w:r>
      <w:r>
        <w:t xml:space="preserve">. </w:t>
      </w:r>
      <w:r w:rsidRPr="00EA7C03">
        <w:t>is subject to California public purpose program surcharges and user fees; and is responsible for timely reporting and remittance of surcharges and user fees using the</w:t>
      </w:r>
      <w:r>
        <w:t xml:space="preserve"> </w:t>
      </w:r>
      <w:r w:rsidRPr="00EA7C03">
        <w:t xml:space="preserve">Commission’s proprietary </w:t>
      </w:r>
      <w:r w:rsidRPr="00EA7C03">
        <w:lastRenderedPageBreak/>
        <w:t>Telecommunications and User Fee Filing System</w:t>
      </w:r>
      <w:r>
        <w:t>.</w:t>
      </w:r>
      <w:r w:rsidRPr="00EA7C03">
        <w:t xml:space="preserve"> </w:t>
      </w:r>
      <w:r>
        <w:t>Refer to Attachment B for additional information on surcharges and user fees requirements.</w:t>
      </w:r>
    </w:p>
    <w:p w:rsidRPr="00B17B38" w:rsidR="00410529" w:rsidP="00B17B38" w:rsidRDefault="00410529" w14:paraId="39A2F70E" w14:textId="77777777">
      <w:pPr>
        <w:pStyle w:val="OP"/>
      </w:pPr>
      <w:r w:rsidRPr="00B17B38">
        <w:t>All rulings by the assigned Commissioner and the assigned Administrative Law Judge are affirmed.</w:t>
      </w:r>
    </w:p>
    <w:p w:rsidRPr="00B17B38" w:rsidR="00410529" w:rsidP="00B17B38" w:rsidRDefault="00410529" w14:paraId="3BEC9C2B" w14:textId="77777777">
      <w:pPr>
        <w:pStyle w:val="OP"/>
      </w:pPr>
      <w:r w:rsidRPr="00B17B38">
        <w:t>All pending motions are deemed denied.</w:t>
      </w:r>
    </w:p>
    <w:p w:rsidRPr="00B17B38" w:rsidR="00410529" w:rsidP="00B17B38" w:rsidRDefault="00410529" w14:paraId="7F2FED6B" w14:textId="325D754C">
      <w:pPr>
        <w:pStyle w:val="OP"/>
      </w:pPr>
      <w:r w:rsidRPr="00B17B38">
        <w:t xml:space="preserve">Application </w:t>
      </w:r>
      <w:r w:rsidRPr="00B17B38" w:rsidR="0002066B">
        <w:t>25</w:t>
      </w:r>
      <w:r w:rsidRPr="00B17B38" w:rsidR="0068544E">
        <w:t>-</w:t>
      </w:r>
      <w:r w:rsidRPr="00B17B38" w:rsidR="003C646F">
        <w:t>09-002</w:t>
      </w:r>
      <w:r w:rsidRPr="00B17B38">
        <w:t xml:space="preserve"> is closed.</w:t>
      </w:r>
    </w:p>
    <w:p w:rsidRPr="001E2A62" w:rsidR="00B564DF" w:rsidP="005C5796" w:rsidRDefault="00D17CD6" w14:paraId="6CB40CDE" w14:textId="0A632117">
      <w:pPr>
        <w:pStyle w:val="num2"/>
        <w:ind w:firstLine="0"/>
      </w:pPr>
      <w:r>
        <w:rPr>
          <w:rFonts w:ascii="Book Antiqua" w:hAnsi="Book Antiqua"/>
        </w:rPr>
        <w:tab/>
      </w:r>
      <w:r w:rsidRPr="00710EBA" w:rsidR="00410529">
        <w:rPr>
          <w:rFonts w:ascii="Book Antiqua" w:hAnsi="Book Antiqua"/>
        </w:rPr>
        <w:t>This decision is effective today</w:t>
      </w:r>
      <w:r>
        <w:rPr>
          <w:rFonts w:ascii="Book Antiqua" w:hAnsi="Book Antiqua"/>
        </w:rPr>
        <w:t>.</w:t>
      </w:r>
    </w:p>
    <w:p w:rsidR="00126269" w:rsidP="00126269" w:rsidRDefault="008F0116" w14:paraId="7E01668C" w14:textId="77777777">
      <w:r>
        <w:t xml:space="preserve">Dated </w:t>
      </w:r>
      <w:r w:rsidR="00126269">
        <w:t>October 8</w:t>
      </w:r>
      <w:r w:rsidR="005C5796">
        <w:t>,</w:t>
      </w:r>
      <w:r w:rsidR="00B17B38">
        <w:t xml:space="preserve"> 2026</w:t>
      </w:r>
      <w:r>
        <w:t xml:space="preserve">, at </w:t>
      </w:r>
      <w:r w:rsidR="005C5796">
        <w:t>Sacramento, California</w:t>
      </w:r>
      <w:r w:rsidR="006A05E1">
        <w:t>.</w:t>
      </w:r>
    </w:p>
    <w:p w:rsidR="00126269" w:rsidP="00126269" w:rsidRDefault="00126269" w14:paraId="5991C250" w14:textId="77777777">
      <w:pPr>
        <w:ind w:firstLine="0"/>
      </w:pPr>
    </w:p>
    <w:p w:rsidRPr="00126269" w:rsidR="00126269" w:rsidP="00126269" w:rsidRDefault="00126269" w14:paraId="7C7D0193" w14:textId="77777777">
      <w:pPr>
        <w:autoSpaceDE w:val="0"/>
        <w:autoSpaceDN w:val="0"/>
        <w:adjustRightInd w:val="0"/>
        <w:spacing w:line="240" w:lineRule="auto"/>
        <w:ind w:left="3600" w:firstLine="1602"/>
        <w:jc w:val="both"/>
        <w:rPr>
          <w:rFonts w:cs="Times New Roman"/>
          <w:szCs w:val="20"/>
        </w:rPr>
      </w:pPr>
      <w:r w:rsidRPr="00126269">
        <w:rPr>
          <w:rFonts w:cs="Times New Roman"/>
          <w:szCs w:val="20"/>
        </w:rPr>
        <w:t>JOHN REYNOLDS</w:t>
      </w:r>
    </w:p>
    <w:p w:rsidRPr="00126269" w:rsidR="00126269" w:rsidP="00126269" w:rsidRDefault="00126269" w14:paraId="62B27217" w14:textId="77777777">
      <w:pPr>
        <w:autoSpaceDE w:val="0"/>
        <w:autoSpaceDN w:val="0"/>
        <w:adjustRightInd w:val="0"/>
        <w:spacing w:line="240" w:lineRule="auto"/>
        <w:ind w:firstLine="1602"/>
        <w:jc w:val="both"/>
        <w:rPr>
          <w:rFonts w:cs="Times New Roman"/>
          <w:szCs w:val="20"/>
        </w:rPr>
      </w:pPr>
      <w:r w:rsidRPr="00126269">
        <w:rPr>
          <w:rFonts w:cs="Times New Roman"/>
          <w:szCs w:val="20"/>
        </w:rPr>
        <w:tab/>
      </w:r>
      <w:r w:rsidRPr="00126269">
        <w:rPr>
          <w:rFonts w:cs="Times New Roman"/>
          <w:szCs w:val="20"/>
        </w:rPr>
        <w:tab/>
      </w:r>
      <w:r w:rsidRPr="00126269">
        <w:rPr>
          <w:rFonts w:cs="Times New Roman"/>
          <w:szCs w:val="20"/>
        </w:rPr>
        <w:tab/>
      </w:r>
      <w:r w:rsidRPr="00126269">
        <w:rPr>
          <w:rFonts w:cs="Times New Roman"/>
          <w:szCs w:val="20"/>
        </w:rPr>
        <w:tab/>
      </w:r>
      <w:r w:rsidRPr="00126269">
        <w:rPr>
          <w:rFonts w:cs="Times New Roman"/>
          <w:szCs w:val="20"/>
        </w:rPr>
        <w:tab/>
        <w:t xml:space="preserve">                    President</w:t>
      </w:r>
    </w:p>
    <w:p w:rsidRPr="00126269" w:rsidR="00126269" w:rsidP="00126269" w:rsidRDefault="00126269" w14:paraId="72CFC8C6" w14:textId="77777777">
      <w:pPr>
        <w:autoSpaceDE w:val="0"/>
        <w:autoSpaceDN w:val="0"/>
        <w:adjustRightInd w:val="0"/>
        <w:spacing w:line="240" w:lineRule="auto"/>
        <w:ind w:left="3600" w:firstLine="1602"/>
        <w:jc w:val="both"/>
        <w:rPr>
          <w:rFonts w:cs="Times New Roman"/>
          <w:szCs w:val="20"/>
        </w:rPr>
      </w:pPr>
      <w:r w:rsidRPr="00126269">
        <w:rPr>
          <w:rFonts w:cs="Times New Roman"/>
          <w:szCs w:val="20"/>
        </w:rPr>
        <w:t>DARCIE L. HOUCK</w:t>
      </w:r>
    </w:p>
    <w:p w:rsidRPr="00126269" w:rsidR="00126269" w:rsidP="00126269" w:rsidRDefault="00126269" w14:paraId="28564DC4" w14:textId="77777777">
      <w:pPr>
        <w:autoSpaceDE w:val="0"/>
        <w:autoSpaceDN w:val="0"/>
        <w:adjustRightInd w:val="0"/>
        <w:spacing w:line="240" w:lineRule="auto"/>
        <w:ind w:left="3600" w:firstLine="1602"/>
        <w:jc w:val="both"/>
        <w:rPr>
          <w:rFonts w:eastAsia="Times New Roman" w:cs="Calibri"/>
          <w:color w:val="000000"/>
          <w:szCs w:val="26"/>
        </w:rPr>
      </w:pPr>
      <w:r w:rsidRPr="00126269">
        <w:rPr>
          <w:rFonts w:eastAsia="Times New Roman" w:cs="Calibri"/>
          <w:color w:val="000000"/>
          <w:szCs w:val="26"/>
        </w:rPr>
        <w:t>KAREN DOUGLAS</w:t>
      </w:r>
    </w:p>
    <w:p w:rsidRPr="00126269" w:rsidR="00126269" w:rsidP="00126269" w:rsidRDefault="00126269" w14:paraId="11F2192B" w14:textId="77777777">
      <w:pPr>
        <w:autoSpaceDE w:val="0"/>
        <w:autoSpaceDN w:val="0"/>
        <w:adjustRightInd w:val="0"/>
        <w:spacing w:line="240" w:lineRule="auto"/>
        <w:ind w:left="3600" w:firstLine="1602"/>
        <w:jc w:val="both"/>
        <w:rPr>
          <w:rFonts w:eastAsia="Times New Roman" w:cs="Calibri"/>
          <w:color w:val="000000"/>
          <w:szCs w:val="26"/>
        </w:rPr>
      </w:pPr>
      <w:r w:rsidRPr="00126269">
        <w:rPr>
          <w:rFonts w:eastAsia="Times New Roman" w:cs="Calibri"/>
          <w:color w:val="000000"/>
          <w:szCs w:val="26"/>
        </w:rPr>
        <w:t>MATTHEW BAKER</w:t>
      </w:r>
    </w:p>
    <w:p w:rsidRPr="00126269" w:rsidR="00126269" w:rsidP="00126269" w:rsidRDefault="00126269" w14:paraId="0FBC4C9B" w14:textId="77777777">
      <w:pPr>
        <w:autoSpaceDE w:val="0"/>
        <w:autoSpaceDN w:val="0"/>
        <w:adjustRightInd w:val="0"/>
        <w:spacing w:line="240" w:lineRule="auto"/>
        <w:ind w:left="3600" w:firstLine="1602"/>
        <w:jc w:val="both"/>
        <w:rPr>
          <w:rFonts w:cs="Times New Roman"/>
          <w:szCs w:val="20"/>
        </w:rPr>
      </w:pPr>
      <w:r w:rsidRPr="00126269">
        <w:rPr>
          <w:rFonts w:cs="Times New Roman"/>
          <w:szCs w:val="20"/>
        </w:rPr>
        <w:t>CHRISTINE HARADA</w:t>
      </w:r>
    </w:p>
    <w:p w:rsidRPr="00126269" w:rsidR="00126269" w:rsidP="00126269" w:rsidRDefault="00126269" w14:paraId="45D3A2CF" w14:textId="77777777">
      <w:pPr>
        <w:autoSpaceDE w:val="0"/>
        <w:autoSpaceDN w:val="0"/>
        <w:adjustRightInd w:val="0"/>
        <w:spacing w:line="240" w:lineRule="auto"/>
        <w:ind w:left="4320" w:firstLine="1602"/>
        <w:jc w:val="both"/>
        <w:rPr>
          <w:rFonts w:cs="Times New Roman"/>
          <w:szCs w:val="20"/>
        </w:rPr>
      </w:pPr>
      <w:r w:rsidRPr="00126269">
        <w:rPr>
          <w:rFonts w:cs="Times New Roman"/>
          <w:szCs w:val="20"/>
        </w:rPr>
        <w:t xml:space="preserve">      Commissioners</w:t>
      </w:r>
    </w:p>
    <w:p w:rsidR="00126269" w:rsidP="00126269" w:rsidRDefault="00126269" w14:paraId="6B5B3220" w14:textId="7C4300E4">
      <w:pPr>
        <w:ind w:firstLine="0"/>
        <w:sectPr w:rsidR="00126269" w:rsidSect="00126269">
          <w:headerReference w:type="default" r:id="rId33"/>
          <w:footerReference w:type="default" r:id="rId34"/>
          <w:headerReference w:type="first" r:id="rId35"/>
          <w:footerReference w:type="first" r:id="rId36"/>
          <w:pgSz w:w="12240" w:h="15840" w:code="1"/>
          <w:pgMar w:top="1620" w:right="1440" w:bottom="1620" w:left="1440" w:header="720" w:footer="720" w:gutter="0"/>
          <w:pgNumType w:start="2"/>
          <w:cols w:space="720"/>
          <w:titlePg/>
          <w:docGrid w:linePitch="354"/>
        </w:sectPr>
      </w:pPr>
    </w:p>
    <w:p w:rsidR="001912E8" w:rsidP="006A05E1" w:rsidRDefault="001912E8" w14:paraId="0FC145D0" w14:textId="77777777">
      <w:pPr>
        <w:ind w:firstLine="0"/>
      </w:pPr>
    </w:p>
    <w:p w:rsidR="001912E8" w:rsidP="00816E05" w:rsidRDefault="001912E8" w14:paraId="049FF477" w14:textId="77777777"/>
    <w:p w:rsidR="000C66D0" w:rsidP="006A05E1" w:rsidRDefault="000C66D0" w14:paraId="3B93F030" w14:textId="77777777">
      <w:pPr>
        <w:spacing w:line="240" w:lineRule="auto"/>
        <w:ind w:firstLine="0"/>
        <w:rPr>
          <w:rFonts w:eastAsia="Times New Roman" w:cs="Times New Roman"/>
          <w:b/>
          <w:sz w:val="40"/>
          <w:szCs w:val="40"/>
        </w:rPr>
      </w:pPr>
      <w:bookmarkStart w:name="_Hlk190175855" w:id="141"/>
    </w:p>
    <w:p w:rsidR="000C66D0" w:rsidP="001912E8" w:rsidRDefault="000C66D0" w14:paraId="7BC8D3E8" w14:textId="77777777">
      <w:pPr>
        <w:spacing w:line="240" w:lineRule="auto"/>
        <w:ind w:firstLine="0"/>
        <w:jc w:val="center"/>
        <w:rPr>
          <w:rFonts w:eastAsia="Times New Roman" w:cs="Times New Roman"/>
          <w:b/>
          <w:sz w:val="40"/>
          <w:szCs w:val="40"/>
        </w:rPr>
      </w:pPr>
    </w:p>
    <w:p w:rsidR="006072DE" w:rsidP="006A05E1" w:rsidRDefault="006072DE" w14:paraId="3A595319" w14:textId="77777777">
      <w:pPr>
        <w:spacing w:line="240" w:lineRule="auto"/>
        <w:ind w:firstLine="0"/>
        <w:rPr>
          <w:rFonts w:eastAsia="Times New Roman" w:cs="Times New Roman"/>
          <w:b/>
          <w:sz w:val="40"/>
          <w:szCs w:val="40"/>
        </w:rPr>
      </w:pPr>
    </w:p>
    <w:p w:rsidR="00151633" w:rsidP="001912E8" w:rsidRDefault="00151633" w14:paraId="1E338D57" w14:textId="77777777">
      <w:pPr>
        <w:spacing w:line="240" w:lineRule="auto"/>
        <w:ind w:firstLine="0"/>
        <w:jc w:val="center"/>
        <w:rPr>
          <w:rFonts w:eastAsia="Times New Roman" w:cs="Times New Roman"/>
          <w:b/>
          <w:sz w:val="40"/>
          <w:szCs w:val="40"/>
        </w:rPr>
      </w:pPr>
    </w:p>
    <w:p w:rsidR="00126269" w:rsidP="001912E8" w:rsidRDefault="00126269" w14:paraId="41F5ED8C" w14:textId="77777777">
      <w:pPr>
        <w:spacing w:line="240" w:lineRule="auto"/>
        <w:ind w:firstLine="0"/>
        <w:jc w:val="center"/>
        <w:rPr>
          <w:rFonts w:eastAsia="Times New Roman" w:cs="Times New Roman"/>
          <w:b/>
          <w:sz w:val="40"/>
          <w:szCs w:val="40"/>
        </w:rPr>
      </w:pPr>
    </w:p>
    <w:p w:rsidR="00126269" w:rsidP="001912E8" w:rsidRDefault="00126269" w14:paraId="2741F17D" w14:textId="77777777">
      <w:pPr>
        <w:spacing w:line="240" w:lineRule="auto"/>
        <w:ind w:firstLine="0"/>
        <w:jc w:val="center"/>
        <w:rPr>
          <w:rFonts w:eastAsia="Times New Roman" w:cs="Times New Roman"/>
          <w:b/>
          <w:sz w:val="40"/>
          <w:szCs w:val="40"/>
        </w:rPr>
      </w:pPr>
    </w:p>
    <w:p w:rsidR="00126269" w:rsidP="001912E8" w:rsidRDefault="00126269" w14:paraId="7310C912" w14:textId="77777777">
      <w:pPr>
        <w:spacing w:line="240" w:lineRule="auto"/>
        <w:ind w:firstLine="0"/>
        <w:jc w:val="center"/>
        <w:rPr>
          <w:rFonts w:eastAsia="Times New Roman" w:cs="Times New Roman"/>
          <w:b/>
          <w:sz w:val="40"/>
          <w:szCs w:val="40"/>
        </w:rPr>
      </w:pPr>
    </w:p>
    <w:p w:rsidR="00126269" w:rsidP="001912E8" w:rsidRDefault="00126269" w14:paraId="76017B2E" w14:textId="77777777">
      <w:pPr>
        <w:spacing w:line="240" w:lineRule="auto"/>
        <w:ind w:firstLine="0"/>
        <w:jc w:val="center"/>
        <w:rPr>
          <w:rFonts w:eastAsia="Times New Roman" w:cs="Times New Roman"/>
          <w:b/>
          <w:sz w:val="40"/>
          <w:szCs w:val="40"/>
        </w:rPr>
      </w:pPr>
    </w:p>
    <w:p w:rsidR="00126269" w:rsidP="001912E8" w:rsidRDefault="00126269" w14:paraId="69AA64C9" w14:textId="77777777">
      <w:pPr>
        <w:spacing w:line="240" w:lineRule="auto"/>
        <w:ind w:firstLine="0"/>
        <w:jc w:val="center"/>
        <w:rPr>
          <w:rFonts w:eastAsia="Times New Roman" w:cs="Times New Roman"/>
          <w:b/>
          <w:sz w:val="40"/>
          <w:szCs w:val="40"/>
        </w:rPr>
      </w:pPr>
    </w:p>
    <w:p w:rsidR="00126269" w:rsidP="001912E8" w:rsidRDefault="00126269" w14:paraId="3A24FADC" w14:textId="77777777">
      <w:pPr>
        <w:spacing w:line="240" w:lineRule="auto"/>
        <w:ind w:firstLine="0"/>
        <w:jc w:val="center"/>
        <w:rPr>
          <w:rFonts w:eastAsia="Times New Roman" w:cs="Times New Roman"/>
          <w:b/>
          <w:sz w:val="40"/>
          <w:szCs w:val="40"/>
        </w:rPr>
      </w:pPr>
    </w:p>
    <w:p w:rsidR="00126269" w:rsidP="001912E8" w:rsidRDefault="00126269" w14:paraId="41D99CBA" w14:textId="77777777">
      <w:pPr>
        <w:spacing w:line="240" w:lineRule="auto"/>
        <w:ind w:firstLine="0"/>
        <w:jc w:val="center"/>
        <w:rPr>
          <w:rFonts w:eastAsia="Times New Roman" w:cs="Times New Roman"/>
          <w:b/>
          <w:sz w:val="40"/>
          <w:szCs w:val="40"/>
        </w:rPr>
      </w:pPr>
    </w:p>
    <w:p w:rsidR="00126269" w:rsidP="001912E8" w:rsidRDefault="00126269" w14:paraId="44795DE9" w14:textId="77777777">
      <w:pPr>
        <w:spacing w:line="240" w:lineRule="auto"/>
        <w:ind w:firstLine="0"/>
        <w:jc w:val="center"/>
        <w:rPr>
          <w:rFonts w:eastAsia="Times New Roman" w:cs="Times New Roman"/>
          <w:b/>
          <w:sz w:val="40"/>
          <w:szCs w:val="40"/>
        </w:rPr>
      </w:pPr>
    </w:p>
    <w:p w:rsidR="00126269" w:rsidP="001912E8" w:rsidRDefault="00126269" w14:paraId="53E07012" w14:textId="77777777">
      <w:pPr>
        <w:spacing w:line="240" w:lineRule="auto"/>
        <w:ind w:firstLine="0"/>
        <w:jc w:val="center"/>
        <w:rPr>
          <w:rFonts w:eastAsia="Times New Roman" w:cs="Times New Roman"/>
          <w:b/>
          <w:sz w:val="40"/>
          <w:szCs w:val="40"/>
        </w:rPr>
      </w:pPr>
    </w:p>
    <w:p w:rsidR="00126269" w:rsidP="001912E8" w:rsidRDefault="00126269" w14:paraId="5C65A76D" w14:textId="77777777">
      <w:pPr>
        <w:spacing w:line="240" w:lineRule="auto"/>
        <w:ind w:firstLine="0"/>
        <w:jc w:val="center"/>
        <w:rPr>
          <w:rFonts w:eastAsia="Times New Roman" w:cs="Times New Roman"/>
          <w:b/>
          <w:sz w:val="40"/>
          <w:szCs w:val="40"/>
        </w:rPr>
      </w:pPr>
    </w:p>
    <w:p w:rsidR="00126269" w:rsidP="001912E8" w:rsidRDefault="00126269" w14:paraId="7D33F0AE" w14:textId="77777777">
      <w:pPr>
        <w:spacing w:line="240" w:lineRule="auto"/>
        <w:ind w:firstLine="0"/>
        <w:jc w:val="center"/>
        <w:rPr>
          <w:rFonts w:eastAsia="Times New Roman" w:cs="Times New Roman"/>
          <w:b/>
          <w:sz w:val="40"/>
          <w:szCs w:val="40"/>
        </w:rPr>
      </w:pPr>
    </w:p>
    <w:p w:rsidR="00126269" w:rsidP="001912E8" w:rsidRDefault="00126269" w14:paraId="7B180B40" w14:textId="77777777">
      <w:pPr>
        <w:spacing w:line="240" w:lineRule="auto"/>
        <w:ind w:firstLine="0"/>
        <w:jc w:val="center"/>
        <w:rPr>
          <w:rFonts w:eastAsia="Times New Roman" w:cs="Times New Roman"/>
          <w:b/>
          <w:sz w:val="40"/>
          <w:szCs w:val="40"/>
        </w:rPr>
      </w:pPr>
    </w:p>
    <w:p w:rsidRPr="006A05E1" w:rsidR="00130D2B" w:rsidP="006A05E1" w:rsidRDefault="001912E8" w14:paraId="41530F85" w14:textId="4466DEDD">
      <w:pPr>
        <w:spacing w:line="240" w:lineRule="auto"/>
        <w:ind w:firstLine="0"/>
        <w:jc w:val="center"/>
        <w:rPr>
          <w:rFonts w:eastAsia="Times New Roman" w:cs="Times New Roman"/>
          <w:b/>
          <w:sz w:val="40"/>
          <w:szCs w:val="40"/>
        </w:rPr>
      </w:pPr>
      <w:r w:rsidRPr="001912E8">
        <w:rPr>
          <w:rFonts w:eastAsia="Times New Roman" w:cs="Times New Roman"/>
          <w:b/>
          <w:sz w:val="40"/>
          <w:szCs w:val="40"/>
        </w:rPr>
        <w:t>ATTACHMENT A</w:t>
      </w:r>
    </w:p>
    <w:p w:rsidRPr="005A5A6F" w:rsidR="00130D2B" w:rsidP="005A5A6F" w:rsidRDefault="00130D2B" w14:paraId="22C6EA41" w14:textId="77777777">
      <w:pPr>
        <w:rPr>
          <w:rFonts w:eastAsia="Times New Roman" w:cs="Times New Roman"/>
          <w:sz w:val="40"/>
          <w:szCs w:val="40"/>
        </w:rPr>
      </w:pPr>
    </w:p>
    <w:p w:rsidRPr="005A5A6F" w:rsidR="00130D2B" w:rsidP="005A5A6F" w:rsidRDefault="00130D2B" w14:paraId="094B643C" w14:textId="77777777">
      <w:pPr>
        <w:rPr>
          <w:rFonts w:eastAsia="Times New Roman" w:cs="Times New Roman"/>
          <w:sz w:val="40"/>
          <w:szCs w:val="40"/>
        </w:rPr>
      </w:pPr>
    </w:p>
    <w:p w:rsidRPr="0096436A" w:rsidR="00130D2B" w:rsidP="00D07E1C" w:rsidRDefault="00130D2B" w14:paraId="2963FECB" w14:textId="317FD93D">
      <w:pPr>
        <w:tabs>
          <w:tab w:val="left" w:pos="5944"/>
        </w:tabs>
        <w:ind w:firstLine="0"/>
        <w:rPr>
          <w:rFonts w:eastAsia="Times New Roman" w:cs="Times New Roman"/>
          <w:sz w:val="40"/>
          <w:szCs w:val="40"/>
        </w:rPr>
        <w:sectPr w:rsidRPr="0096436A" w:rsidR="00130D2B" w:rsidSect="003D109A">
          <w:footerReference w:type="default" r:id="rId37"/>
          <w:type w:val="continuous"/>
          <w:pgSz w:w="12240" w:h="15840" w:code="1"/>
          <w:pgMar w:top="1152" w:right="1440" w:bottom="1440" w:left="1440" w:header="720" w:footer="720" w:gutter="0"/>
          <w:pgNumType w:start="1"/>
          <w:cols w:space="720"/>
          <w:titlePg/>
          <w:docGrid w:linePitch="354"/>
        </w:sectPr>
      </w:pPr>
      <w:r>
        <w:rPr>
          <w:rFonts w:eastAsia="Times New Roman" w:cs="Times New Roman"/>
          <w:sz w:val="40"/>
          <w:szCs w:val="40"/>
        </w:rPr>
        <w:tab/>
      </w:r>
    </w:p>
    <w:p w:rsidRPr="001912E8" w:rsidR="001912E8" w:rsidP="001912E8" w:rsidRDefault="001912E8" w14:paraId="7C326D29" w14:textId="77777777">
      <w:pPr>
        <w:spacing w:line="240" w:lineRule="auto"/>
        <w:ind w:firstLine="0"/>
        <w:jc w:val="center"/>
        <w:rPr>
          <w:rFonts w:eastAsia="Times New Roman" w:cs="Times New Roman"/>
          <w:szCs w:val="20"/>
        </w:rPr>
      </w:pPr>
    </w:p>
    <w:p w:rsidRPr="001912E8" w:rsidR="001912E8" w:rsidP="001912E8" w:rsidRDefault="001912E8" w14:paraId="3592BFAC" w14:textId="77777777">
      <w:pPr>
        <w:spacing w:line="240" w:lineRule="auto"/>
        <w:ind w:firstLine="0"/>
        <w:rPr>
          <w:rFonts w:eastAsia="Times New Roman" w:cs="Times New Roman"/>
          <w:b/>
          <w:i/>
          <w:szCs w:val="20"/>
        </w:rPr>
      </w:pPr>
    </w:p>
    <w:p w:rsidRPr="00D6171E" w:rsidR="00D6171E" w:rsidP="00D6171E" w:rsidRDefault="00D6171E" w14:paraId="59CFF409" w14:textId="77777777">
      <w:pPr>
        <w:spacing w:line="240" w:lineRule="auto"/>
        <w:ind w:firstLine="0"/>
        <w:jc w:val="center"/>
        <w:rPr>
          <w:rFonts w:eastAsia="Times New Roman" w:cs="Times New Roman"/>
          <w:b/>
          <w:szCs w:val="20"/>
        </w:rPr>
      </w:pPr>
      <w:r w:rsidRPr="00D6171E">
        <w:rPr>
          <w:rFonts w:eastAsia="Times New Roman" w:cs="Times New Roman"/>
          <w:b/>
          <w:szCs w:val="20"/>
        </w:rPr>
        <w:t>ATTACHMENT A</w:t>
      </w:r>
    </w:p>
    <w:p w:rsidRPr="00D6171E" w:rsidR="00D6171E" w:rsidP="00D6171E" w:rsidRDefault="00D6171E" w14:paraId="19D1F336" w14:textId="77777777">
      <w:pPr>
        <w:spacing w:line="240" w:lineRule="auto"/>
        <w:ind w:firstLine="0"/>
        <w:jc w:val="center"/>
        <w:rPr>
          <w:rFonts w:eastAsia="Times New Roman" w:cs="Times New Roman"/>
          <w:b/>
          <w:szCs w:val="20"/>
        </w:rPr>
      </w:pPr>
    </w:p>
    <w:p w:rsidRPr="00D6171E" w:rsidR="00D6171E" w:rsidP="00D6171E" w:rsidRDefault="00D6171E" w14:paraId="266C0E59" w14:textId="77777777">
      <w:pPr>
        <w:spacing w:line="240" w:lineRule="auto"/>
        <w:ind w:firstLine="0"/>
        <w:jc w:val="center"/>
        <w:rPr>
          <w:rFonts w:eastAsia="Times New Roman" w:cs="Times New Roman"/>
          <w:b/>
          <w:szCs w:val="20"/>
        </w:rPr>
      </w:pPr>
      <w:r w:rsidRPr="00D6171E">
        <w:rPr>
          <w:rFonts w:eastAsia="Times New Roman" w:cs="Times New Roman"/>
          <w:b/>
          <w:szCs w:val="20"/>
        </w:rPr>
        <w:t>TARIFF DEFICIENCIES</w:t>
      </w:r>
    </w:p>
    <w:p w:rsidRPr="00D6171E" w:rsidR="00D6171E" w:rsidP="00D6171E" w:rsidRDefault="00D6171E" w14:paraId="1A6F3ADC" w14:textId="77777777">
      <w:pPr>
        <w:spacing w:line="240" w:lineRule="auto"/>
        <w:ind w:firstLine="0"/>
        <w:jc w:val="center"/>
        <w:rPr>
          <w:rFonts w:eastAsia="Times New Roman" w:cs="Times New Roman"/>
          <w:b/>
          <w:szCs w:val="20"/>
        </w:rPr>
      </w:pPr>
    </w:p>
    <w:p w:rsidRPr="00D6171E" w:rsidR="00D6171E" w:rsidP="00D6171E" w:rsidRDefault="00D6171E" w14:paraId="3831CB2F" w14:textId="77777777">
      <w:pPr>
        <w:spacing w:line="240" w:lineRule="auto"/>
        <w:ind w:firstLine="0"/>
        <w:jc w:val="center"/>
        <w:rPr>
          <w:rFonts w:eastAsia="Times New Roman" w:cs="Times New Roman"/>
          <w:bCs/>
          <w:szCs w:val="20"/>
        </w:rPr>
      </w:pPr>
    </w:p>
    <w:p w:rsidRPr="00D6171E" w:rsidR="00D6171E" w:rsidP="00D6171E" w:rsidRDefault="00D6171E" w14:paraId="694CABEE" w14:textId="77777777">
      <w:pPr>
        <w:spacing w:line="240" w:lineRule="auto"/>
        <w:ind w:firstLine="0"/>
        <w:jc w:val="center"/>
        <w:rPr>
          <w:rFonts w:eastAsia="Times New Roman" w:cs="Times New Roman"/>
          <w:bCs/>
          <w:szCs w:val="20"/>
        </w:rPr>
      </w:pPr>
      <w:r w:rsidRPr="00D6171E">
        <w:rPr>
          <w:rFonts w:eastAsia="Times New Roman" w:cs="Times New Roman"/>
          <w:bCs/>
          <w:szCs w:val="20"/>
        </w:rPr>
        <w:t>Intentionally Left Blank.</w:t>
      </w:r>
    </w:p>
    <w:p w:rsidRPr="00D6171E" w:rsidR="00D6171E" w:rsidP="00D6171E" w:rsidRDefault="00D6171E" w14:paraId="3D6CABD8" w14:textId="77777777">
      <w:pPr>
        <w:spacing w:line="240" w:lineRule="auto"/>
        <w:ind w:firstLine="0"/>
        <w:jc w:val="center"/>
        <w:rPr>
          <w:rFonts w:eastAsia="Times New Roman" w:cs="Times New Roman"/>
          <w:b/>
          <w:szCs w:val="20"/>
        </w:rPr>
      </w:pPr>
    </w:p>
    <w:p w:rsidRPr="00D6171E" w:rsidR="00D6171E" w:rsidP="00D6171E" w:rsidRDefault="00D6171E" w14:paraId="0D0943E8" w14:textId="77777777">
      <w:pPr>
        <w:spacing w:line="240" w:lineRule="auto"/>
        <w:ind w:firstLine="0"/>
        <w:jc w:val="center"/>
        <w:rPr>
          <w:rFonts w:eastAsia="Times New Roman" w:cs="Times New Roman"/>
          <w:b/>
          <w:szCs w:val="20"/>
        </w:rPr>
      </w:pPr>
    </w:p>
    <w:p w:rsidRPr="00D6171E" w:rsidR="00D6171E" w:rsidP="00D6171E" w:rsidRDefault="00D6171E" w14:paraId="377EC4DE" w14:textId="77777777">
      <w:pPr>
        <w:spacing w:line="240" w:lineRule="auto"/>
        <w:ind w:firstLine="0"/>
        <w:jc w:val="center"/>
        <w:rPr>
          <w:rFonts w:eastAsia="Times New Roman" w:cs="Times New Roman"/>
          <w:b/>
          <w:szCs w:val="20"/>
        </w:rPr>
      </w:pPr>
    </w:p>
    <w:p w:rsidR="001912E8" w:rsidP="001912E8" w:rsidRDefault="001912E8" w14:paraId="40E5AB0E" w14:textId="77777777">
      <w:pPr>
        <w:spacing w:line="240" w:lineRule="auto"/>
        <w:ind w:firstLine="0"/>
        <w:rPr>
          <w:rFonts w:eastAsia="Times New Roman" w:cs="Times New Roman"/>
          <w:szCs w:val="20"/>
        </w:rPr>
      </w:pPr>
    </w:p>
    <w:p w:rsidR="0096436A" w:rsidP="001912E8" w:rsidRDefault="0096436A" w14:paraId="295B96FB" w14:textId="77777777">
      <w:pPr>
        <w:spacing w:line="240" w:lineRule="auto"/>
        <w:ind w:firstLine="0"/>
        <w:rPr>
          <w:rFonts w:eastAsia="Times New Roman" w:cs="Times New Roman"/>
          <w:szCs w:val="20"/>
        </w:rPr>
      </w:pPr>
    </w:p>
    <w:p w:rsidR="0096436A" w:rsidP="001912E8" w:rsidRDefault="0096436A" w14:paraId="69930417" w14:textId="77777777">
      <w:pPr>
        <w:spacing w:line="240" w:lineRule="auto"/>
        <w:ind w:firstLine="0"/>
        <w:rPr>
          <w:rFonts w:eastAsia="Times New Roman" w:cs="Times New Roman"/>
          <w:szCs w:val="20"/>
        </w:rPr>
      </w:pPr>
    </w:p>
    <w:p w:rsidR="0096436A" w:rsidP="001912E8" w:rsidRDefault="0096436A" w14:paraId="557F638C" w14:textId="77777777">
      <w:pPr>
        <w:spacing w:line="240" w:lineRule="auto"/>
        <w:ind w:firstLine="0"/>
        <w:rPr>
          <w:rFonts w:eastAsia="Times New Roman" w:cs="Times New Roman"/>
          <w:szCs w:val="20"/>
        </w:rPr>
      </w:pPr>
    </w:p>
    <w:p w:rsidR="0096436A" w:rsidP="001912E8" w:rsidRDefault="0096436A" w14:paraId="6CBFD630" w14:textId="77777777">
      <w:pPr>
        <w:spacing w:line="240" w:lineRule="auto"/>
        <w:ind w:firstLine="0"/>
        <w:rPr>
          <w:rFonts w:eastAsia="Times New Roman" w:cs="Times New Roman"/>
          <w:szCs w:val="20"/>
        </w:rPr>
      </w:pPr>
    </w:p>
    <w:p w:rsidR="0096436A" w:rsidP="001912E8" w:rsidRDefault="0096436A" w14:paraId="451BC817" w14:textId="77777777">
      <w:pPr>
        <w:spacing w:line="240" w:lineRule="auto"/>
        <w:ind w:firstLine="0"/>
        <w:rPr>
          <w:rFonts w:eastAsia="Times New Roman" w:cs="Times New Roman"/>
          <w:szCs w:val="20"/>
        </w:rPr>
      </w:pPr>
    </w:p>
    <w:p w:rsidR="0096436A" w:rsidP="001912E8" w:rsidRDefault="0096436A" w14:paraId="154DD42B" w14:textId="77777777">
      <w:pPr>
        <w:spacing w:line="240" w:lineRule="auto"/>
        <w:ind w:firstLine="0"/>
        <w:rPr>
          <w:rFonts w:eastAsia="Times New Roman" w:cs="Times New Roman"/>
          <w:szCs w:val="20"/>
        </w:rPr>
      </w:pPr>
    </w:p>
    <w:p w:rsidR="0096436A" w:rsidP="001912E8" w:rsidRDefault="0096436A" w14:paraId="5983027D" w14:textId="77777777">
      <w:pPr>
        <w:spacing w:line="240" w:lineRule="auto"/>
        <w:ind w:firstLine="0"/>
        <w:rPr>
          <w:rFonts w:eastAsia="Times New Roman" w:cs="Times New Roman"/>
          <w:szCs w:val="20"/>
        </w:rPr>
      </w:pPr>
    </w:p>
    <w:p w:rsidR="0096436A" w:rsidP="001912E8" w:rsidRDefault="0096436A" w14:paraId="30DEA0FF" w14:textId="77777777">
      <w:pPr>
        <w:spacing w:line="240" w:lineRule="auto"/>
        <w:ind w:firstLine="0"/>
        <w:rPr>
          <w:rFonts w:eastAsia="Times New Roman" w:cs="Times New Roman"/>
          <w:szCs w:val="20"/>
        </w:rPr>
      </w:pPr>
    </w:p>
    <w:p w:rsidR="0096436A" w:rsidP="001912E8" w:rsidRDefault="0096436A" w14:paraId="15423020" w14:textId="77777777">
      <w:pPr>
        <w:spacing w:line="240" w:lineRule="auto"/>
        <w:ind w:firstLine="0"/>
        <w:rPr>
          <w:rFonts w:eastAsia="Times New Roman" w:cs="Times New Roman"/>
          <w:szCs w:val="20"/>
        </w:rPr>
      </w:pPr>
    </w:p>
    <w:p w:rsidR="0096436A" w:rsidP="001912E8" w:rsidRDefault="0096436A" w14:paraId="39B56AF1" w14:textId="77777777">
      <w:pPr>
        <w:spacing w:line="240" w:lineRule="auto"/>
        <w:ind w:firstLine="0"/>
        <w:rPr>
          <w:rFonts w:eastAsia="Times New Roman" w:cs="Times New Roman"/>
          <w:szCs w:val="20"/>
        </w:rPr>
      </w:pPr>
    </w:p>
    <w:p w:rsidR="0096436A" w:rsidP="001912E8" w:rsidRDefault="0096436A" w14:paraId="7F1208E4" w14:textId="77777777">
      <w:pPr>
        <w:spacing w:line="240" w:lineRule="auto"/>
        <w:ind w:firstLine="0"/>
        <w:rPr>
          <w:rFonts w:eastAsia="Times New Roman" w:cs="Times New Roman"/>
          <w:szCs w:val="20"/>
        </w:rPr>
      </w:pPr>
    </w:p>
    <w:p w:rsidR="0096436A" w:rsidP="001912E8" w:rsidRDefault="0096436A" w14:paraId="395270A6" w14:textId="77777777">
      <w:pPr>
        <w:spacing w:line="240" w:lineRule="auto"/>
        <w:ind w:firstLine="0"/>
        <w:rPr>
          <w:rFonts w:eastAsia="Times New Roman" w:cs="Times New Roman"/>
          <w:szCs w:val="20"/>
        </w:rPr>
      </w:pPr>
    </w:p>
    <w:p w:rsidR="0096436A" w:rsidP="001912E8" w:rsidRDefault="0096436A" w14:paraId="5FA805BB" w14:textId="77777777">
      <w:pPr>
        <w:spacing w:line="240" w:lineRule="auto"/>
        <w:ind w:firstLine="0"/>
        <w:rPr>
          <w:rFonts w:eastAsia="Times New Roman" w:cs="Times New Roman"/>
          <w:szCs w:val="20"/>
        </w:rPr>
      </w:pPr>
    </w:p>
    <w:p w:rsidR="0096436A" w:rsidP="001912E8" w:rsidRDefault="0096436A" w14:paraId="6B41076A" w14:textId="77777777">
      <w:pPr>
        <w:spacing w:line="240" w:lineRule="auto"/>
        <w:ind w:firstLine="0"/>
        <w:rPr>
          <w:rFonts w:eastAsia="Times New Roman" w:cs="Times New Roman"/>
          <w:szCs w:val="20"/>
        </w:rPr>
      </w:pPr>
    </w:p>
    <w:p w:rsidR="0096436A" w:rsidP="001912E8" w:rsidRDefault="0096436A" w14:paraId="6893AC2E" w14:textId="77777777">
      <w:pPr>
        <w:spacing w:line="240" w:lineRule="auto"/>
        <w:ind w:firstLine="0"/>
        <w:rPr>
          <w:rFonts w:eastAsia="Times New Roman" w:cs="Times New Roman"/>
          <w:szCs w:val="20"/>
        </w:rPr>
      </w:pPr>
    </w:p>
    <w:p w:rsidR="0096436A" w:rsidP="001912E8" w:rsidRDefault="0096436A" w14:paraId="22A3B505" w14:textId="77777777">
      <w:pPr>
        <w:spacing w:line="240" w:lineRule="auto"/>
        <w:ind w:firstLine="0"/>
        <w:rPr>
          <w:rFonts w:eastAsia="Times New Roman" w:cs="Times New Roman"/>
          <w:szCs w:val="20"/>
        </w:rPr>
      </w:pPr>
    </w:p>
    <w:p w:rsidR="0096436A" w:rsidP="001912E8" w:rsidRDefault="0096436A" w14:paraId="2EDA0FB4" w14:textId="77777777">
      <w:pPr>
        <w:spacing w:line="240" w:lineRule="auto"/>
        <w:ind w:firstLine="0"/>
        <w:rPr>
          <w:rFonts w:eastAsia="Times New Roman" w:cs="Times New Roman"/>
          <w:szCs w:val="20"/>
        </w:rPr>
      </w:pPr>
    </w:p>
    <w:p w:rsidR="0096436A" w:rsidP="001912E8" w:rsidRDefault="0096436A" w14:paraId="54909DA0" w14:textId="77777777">
      <w:pPr>
        <w:spacing w:line="240" w:lineRule="auto"/>
        <w:ind w:firstLine="0"/>
        <w:rPr>
          <w:rFonts w:eastAsia="Times New Roman" w:cs="Times New Roman"/>
          <w:szCs w:val="20"/>
        </w:rPr>
      </w:pPr>
    </w:p>
    <w:p w:rsidR="0096436A" w:rsidP="001912E8" w:rsidRDefault="0096436A" w14:paraId="47A42B64" w14:textId="77777777">
      <w:pPr>
        <w:spacing w:line="240" w:lineRule="auto"/>
        <w:ind w:firstLine="0"/>
        <w:rPr>
          <w:rFonts w:eastAsia="Times New Roman" w:cs="Times New Roman"/>
          <w:szCs w:val="20"/>
        </w:rPr>
      </w:pPr>
    </w:p>
    <w:p w:rsidR="0096436A" w:rsidP="001912E8" w:rsidRDefault="0096436A" w14:paraId="63B80023" w14:textId="77777777">
      <w:pPr>
        <w:spacing w:line="240" w:lineRule="auto"/>
        <w:ind w:firstLine="0"/>
        <w:rPr>
          <w:rFonts w:eastAsia="Times New Roman" w:cs="Times New Roman"/>
          <w:szCs w:val="20"/>
        </w:rPr>
      </w:pPr>
    </w:p>
    <w:p w:rsidRPr="001912E8" w:rsidR="0096436A" w:rsidP="001912E8" w:rsidRDefault="0096436A" w14:paraId="46C4DBF1" w14:textId="77777777">
      <w:pPr>
        <w:spacing w:line="240" w:lineRule="auto"/>
        <w:ind w:firstLine="0"/>
        <w:rPr>
          <w:rFonts w:eastAsia="Times New Roman" w:cs="Times New Roman"/>
          <w:szCs w:val="20"/>
        </w:rPr>
      </w:pPr>
    </w:p>
    <w:p w:rsidRPr="001912E8" w:rsidR="001912E8" w:rsidP="001912E8" w:rsidRDefault="001912E8" w14:paraId="45E00856" w14:textId="77777777">
      <w:pPr>
        <w:spacing w:line="240" w:lineRule="auto"/>
        <w:ind w:firstLine="0"/>
        <w:rPr>
          <w:rFonts w:eastAsia="Times New Roman" w:cs="Times New Roman"/>
          <w:szCs w:val="20"/>
        </w:rPr>
      </w:pPr>
    </w:p>
    <w:p w:rsidRPr="001912E8" w:rsidR="001912E8" w:rsidP="001912E8" w:rsidRDefault="001912E8" w14:paraId="3EAC9353" w14:textId="77777777">
      <w:pPr>
        <w:spacing w:line="240" w:lineRule="auto"/>
        <w:ind w:firstLine="0"/>
        <w:jc w:val="center"/>
        <w:rPr>
          <w:rFonts w:eastAsia="Times New Roman" w:cs="Times New Roman"/>
          <w:b/>
          <w:szCs w:val="20"/>
        </w:rPr>
      </w:pPr>
      <w:r w:rsidRPr="001912E8">
        <w:rPr>
          <w:rFonts w:eastAsia="Times New Roman" w:cs="Times New Roman"/>
          <w:b/>
          <w:szCs w:val="20"/>
        </w:rPr>
        <w:t>(END OF ATTACHMENT A)</w:t>
      </w:r>
    </w:p>
    <w:bookmarkEnd w:id="141"/>
    <w:p w:rsidRPr="001912E8" w:rsidR="001912E8" w:rsidP="001912E8" w:rsidRDefault="001912E8" w14:paraId="7DBDA346" w14:textId="77777777">
      <w:pPr>
        <w:spacing w:line="240" w:lineRule="auto"/>
        <w:ind w:firstLine="0"/>
        <w:jc w:val="center"/>
        <w:rPr>
          <w:rFonts w:ascii="Palatino" w:hAnsi="Palatino" w:eastAsia="Times New Roman" w:cs="Times New Roman"/>
          <w:b/>
          <w:szCs w:val="20"/>
        </w:rPr>
      </w:pPr>
    </w:p>
    <w:p w:rsidRPr="001912E8" w:rsidR="001912E8" w:rsidP="001912E8" w:rsidRDefault="001912E8" w14:paraId="6F2D9CF4" w14:textId="77777777">
      <w:pPr>
        <w:spacing w:line="240" w:lineRule="auto"/>
        <w:ind w:firstLine="0"/>
        <w:jc w:val="center"/>
        <w:rPr>
          <w:rFonts w:ascii="Palatino" w:hAnsi="Palatino" w:eastAsia="Times New Roman" w:cs="Times New Roman"/>
          <w:b/>
          <w:szCs w:val="20"/>
        </w:rPr>
      </w:pPr>
    </w:p>
    <w:p w:rsidRPr="001912E8" w:rsidR="001912E8" w:rsidP="001912E8" w:rsidRDefault="001912E8" w14:paraId="43EB2577" w14:textId="77777777">
      <w:pPr>
        <w:spacing w:line="240" w:lineRule="auto"/>
        <w:ind w:firstLine="0"/>
        <w:rPr>
          <w:rFonts w:ascii="Palatino" w:hAnsi="Palatino" w:eastAsia="Times New Roman" w:cs="Times New Roman"/>
          <w:szCs w:val="20"/>
        </w:rPr>
        <w:sectPr w:rsidRPr="001912E8" w:rsidR="001912E8" w:rsidSect="001912E8">
          <w:footerReference w:type="first" r:id="rId38"/>
          <w:pgSz w:w="12240" w:h="15840" w:code="1"/>
          <w:pgMar w:top="1152" w:right="1440" w:bottom="1440" w:left="1440" w:header="720" w:footer="720" w:gutter="0"/>
          <w:pgNumType w:start="1"/>
          <w:cols w:space="720"/>
          <w:titlePg/>
          <w:docGrid w:linePitch="354"/>
        </w:sectPr>
      </w:pPr>
    </w:p>
    <w:p w:rsidRPr="001912E8" w:rsidR="001912E8" w:rsidP="00C65224" w:rsidRDefault="001912E8" w14:paraId="0CCC9C74" w14:textId="77777777">
      <w:pPr>
        <w:spacing w:line="240" w:lineRule="auto"/>
        <w:ind w:firstLine="0"/>
        <w:rPr>
          <w:rFonts w:ascii="Palatino" w:hAnsi="Palatino" w:eastAsia="Times New Roman" w:cs="Times New Roman"/>
          <w:szCs w:val="20"/>
        </w:rPr>
      </w:pPr>
    </w:p>
    <w:p w:rsidR="00F6448E" w:rsidP="00710EBA" w:rsidRDefault="00F6448E" w14:paraId="560E1CD8" w14:textId="77777777">
      <w:pPr>
        <w:spacing w:line="240" w:lineRule="auto"/>
        <w:ind w:firstLine="0"/>
        <w:jc w:val="center"/>
        <w:rPr>
          <w:rFonts w:eastAsia="Times New Roman" w:cs="Times New Roman"/>
          <w:b/>
          <w:sz w:val="40"/>
          <w:szCs w:val="40"/>
        </w:rPr>
      </w:pPr>
      <w:bookmarkStart w:name="_Hlk190175920" w:id="142"/>
    </w:p>
    <w:p w:rsidR="00F6448E" w:rsidP="00710EBA" w:rsidRDefault="00F6448E" w14:paraId="73BAA4D0" w14:textId="77777777">
      <w:pPr>
        <w:spacing w:line="240" w:lineRule="auto"/>
        <w:ind w:firstLine="0"/>
        <w:jc w:val="center"/>
        <w:rPr>
          <w:rFonts w:eastAsia="Times New Roman" w:cs="Times New Roman"/>
          <w:b/>
          <w:sz w:val="40"/>
          <w:szCs w:val="40"/>
        </w:rPr>
      </w:pPr>
    </w:p>
    <w:p w:rsidR="00F6448E" w:rsidP="00710EBA" w:rsidRDefault="00F6448E" w14:paraId="7FEC02F7" w14:textId="77777777">
      <w:pPr>
        <w:spacing w:line="240" w:lineRule="auto"/>
        <w:ind w:firstLine="0"/>
        <w:jc w:val="center"/>
        <w:rPr>
          <w:rFonts w:eastAsia="Times New Roman" w:cs="Times New Roman"/>
          <w:b/>
          <w:sz w:val="40"/>
          <w:szCs w:val="40"/>
        </w:rPr>
      </w:pPr>
    </w:p>
    <w:p w:rsidR="00F6448E" w:rsidP="00710EBA" w:rsidRDefault="00F6448E" w14:paraId="1A710F79" w14:textId="77777777">
      <w:pPr>
        <w:spacing w:line="240" w:lineRule="auto"/>
        <w:ind w:firstLine="0"/>
        <w:jc w:val="center"/>
        <w:rPr>
          <w:rFonts w:eastAsia="Times New Roman" w:cs="Times New Roman"/>
          <w:b/>
          <w:sz w:val="40"/>
          <w:szCs w:val="40"/>
        </w:rPr>
      </w:pPr>
    </w:p>
    <w:p w:rsidR="00F6448E" w:rsidP="00710EBA" w:rsidRDefault="00F6448E" w14:paraId="36F8C8DE" w14:textId="77777777">
      <w:pPr>
        <w:spacing w:line="240" w:lineRule="auto"/>
        <w:ind w:firstLine="0"/>
        <w:jc w:val="center"/>
        <w:rPr>
          <w:rFonts w:eastAsia="Times New Roman" w:cs="Times New Roman"/>
          <w:b/>
          <w:sz w:val="40"/>
          <w:szCs w:val="40"/>
        </w:rPr>
      </w:pPr>
    </w:p>
    <w:p w:rsidR="00F6448E" w:rsidP="00710EBA" w:rsidRDefault="00F6448E" w14:paraId="58A10DD2" w14:textId="77777777">
      <w:pPr>
        <w:spacing w:line="240" w:lineRule="auto"/>
        <w:ind w:firstLine="0"/>
        <w:jc w:val="center"/>
        <w:rPr>
          <w:rFonts w:eastAsia="Times New Roman" w:cs="Times New Roman"/>
          <w:b/>
          <w:sz w:val="40"/>
          <w:szCs w:val="40"/>
        </w:rPr>
      </w:pPr>
    </w:p>
    <w:p w:rsidR="00F6448E" w:rsidP="00710EBA" w:rsidRDefault="00F6448E" w14:paraId="3B6B3C93" w14:textId="77777777">
      <w:pPr>
        <w:spacing w:line="240" w:lineRule="auto"/>
        <w:ind w:firstLine="0"/>
        <w:jc w:val="center"/>
        <w:rPr>
          <w:rFonts w:eastAsia="Times New Roman" w:cs="Times New Roman"/>
          <w:b/>
          <w:sz w:val="40"/>
          <w:szCs w:val="40"/>
        </w:rPr>
      </w:pPr>
    </w:p>
    <w:p w:rsidR="00F6448E" w:rsidP="00710EBA" w:rsidRDefault="00F6448E" w14:paraId="1E9CF1CA" w14:textId="77777777">
      <w:pPr>
        <w:spacing w:line="240" w:lineRule="auto"/>
        <w:ind w:firstLine="0"/>
        <w:jc w:val="center"/>
        <w:rPr>
          <w:rFonts w:eastAsia="Times New Roman" w:cs="Times New Roman"/>
          <w:b/>
          <w:sz w:val="40"/>
          <w:szCs w:val="40"/>
        </w:rPr>
      </w:pPr>
    </w:p>
    <w:p w:rsidR="00F6448E" w:rsidP="00710EBA" w:rsidRDefault="00F6448E" w14:paraId="0622E444" w14:textId="77777777">
      <w:pPr>
        <w:spacing w:line="240" w:lineRule="auto"/>
        <w:ind w:firstLine="0"/>
        <w:jc w:val="center"/>
        <w:rPr>
          <w:rFonts w:eastAsia="Times New Roman" w:cs="Times New Roman"/>
          <w:b/>
          <w:sz w:val="40"/>
          <w:szCs w:val="40"/>
        </w:rPr>
      </w:pPr>
    </w:p>
    <w:p w:rsidR="00F6448E" w:rsidP="00710EBA" w:rsidRDefault="00F6448E" w14:paraId="0A3255D8" w14:textId="77777777">
      <w:pPr>
        <w:spacing w:line="240" w:lineRule="auto"/>
        <w:ind w:firstLine="0"/>
        <w:jc w:val="center"/>
        <w:rPr>
          <w:rFonts w:eastAsia="Times New Roman" w:cs="Times New Roman"/>
          <w:b/>
          <w:sz w:val="40"/>
          <w:szCs w:val="40"/>
        </w:rPr>
      </w:pPr>
    </w:p>
    <w:p w:rsidRPr="00710EBA" w:rsidR="001912E8" w:rsidP="00710EBA" w:rsidRDefault="001912E8" w14:paraId="209AD673" w14:textId="2A2C8D38">
      <w:pPr>
        <w:spacing w:line="240" w:lineRule="auto"/>
        <w:ind w:firstLine="0"/>
        <w:jc w:val="center"/>
        <w:rPr>
          <w:rFonts w:eastAsia="Times New Roman" w:cs="Times New Roman"/>
          <w:szCs w:val="20"/>
        </w:rPr>
        <w:sectPr w:rsidRPr="00710EBA" w:rsidR="001912E8" w:rsidSect="001912E8">
          <w:footerReference w:type="default" r:id="rId39"/>
          <w:footnotePr>
            <w:numRestart w:val="eachSect"/>
          </w:footnotePr>
          <w:pgSz w:w="12240" w:h="15840" w:code="1"/>
          <w:pgMar w:top="1152" w:right="1440" w:bottom="1440" w:left="1440" w:header="720" w:footer="720" w:gutter="0"/>
          <w:pgNumType w:start="1"/>
          <w:cols w:space="720"/>
        </w:sectPr>
      </w:pPr>
      <w:r w:rsidRPr="001912E8">
        <w:rPr>
          <w:rFonts w:eastAsia="Times New Roman" w:cs="Times New Roman"/>
          <w:b/>
          <w:sz w:val="40"/>
          <w:szCs w:val="40"/>
        </w:rPr>
        <w:t>ATTACHMENT B</w:t>
      </w:r>
    </w:p>
    <w:p w:rsidRPr="001912E8" w:rsidR="001912E8" w:rsidP="00710EBA" w:rsidRDefault="001912E8" w14:paraId="6F21B81D" w14:textId="77777777">
      <w:pPr>
        <w:spacing w:after="120" w:line="240" w:lineRule="auto"/>
        <w:ind w:firstLine="0"/>
        <w:rPr>
          <w:rFonts w:eastAsia="Times New Roman" w:cs="Times New Roman"/>
          <w:b/>
          <w:szCs w:val="20"/>
        </w:rPr>
      </w:pPr>
    </w:p>
    <w:p w:rsidRPr="001912E8" w:rsidR="001912E8" w:rsidP="001912E8" w:rsidRDefault="001912E8" w14:paraId="7BA13588"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t>ATTACHMENT B</w:t>
      </w:r>
    </w:p>
    <w:p w:rsidRPr="001912E8" w:rsidR="001912E8" w:rsidP="001912E8" w:rsidRDefault="001912E8" w14:paraId="728F8C21"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t>TELEPHONE CORPORATION REQUIREMENTS APPLICABLE TO PROVIDERS OF COMPETITIVE LOCAL EXCHANGE CARRIERS, INTEREXCHANGE CARRIERS AND FIXED INTERCONNECTED VOIP CARRIERS (Carrier)</w:t>
      </w:r>
    </w:p>
    <w:p w:rsidRPr="001912E8" w:rsidR="001912E8" w:rsidRDefault="001912E8" w14:paraId="07FFB338" w14:textId="77777777">
      <w:pPr>
        <w:numPr>
          <w:ilvl w:val="0"/>
          <w:numId w:val="11"/>
        </w:numPr>
        <w:tabs>
          <w:tab w:val="num" w:pos="0"/>
          <w:tab w:val="num" w:pos="630"/>
          <w:tab w:val="left" w:pos="720"/>
        </w:tabs>
        <w:suppressAutoHyphens/>
        <w:spacing w:after="120" w:line="240" w:lineRule="auto"/>
        <w:ind w:left="0" w:right="1440" w:firstLine="274"/>
        <w:rPr>
          <w:rFonts w:eastAsia="Times New Roman" w:cs="Times New Roman"/>
          <w:szCs w:val="20"/>
        </w:rPr>
      </w:pPr>
      <w:r w:rsidRPr="001912E8">
        <w:rPr>
          <w:rFonts w:eastAsia="Times New Roman" w:cs="Times New Roman"/>
          <w:szCs w:val="20"/>
        </w:rPr>
        <w:t>Carrier is subject to all the current applicable California Public Utilities Commission (Commission) rules, decisions, General Orders, and statutes that pertain to California public utilities and telephone corporations on an ongoing basis.</w:t>
      </w:r>
    </w:p>
    <w:p w:rsidRPr="001912E8" w:rsidR="001912E8" w:rsidRDefault="001912E8" w14:paraId="778B2E1A" w14:textId="475F4797">
      <w:pPr>
        <w:numPr>
          <w:ilvl w:val="0"/>
          <w:numId w:val="11"/>
        </w:numPr>
        <w:tabs>
          <w:tab w:val="num" w:pos="0"/>
          <w:tab w:val="num" w:pos="630"/>
          <w:tab w:val="left" w:pos="720"/>
        </w:tabs>
        <w:suppressAutoHyphens/>
        <w:spacing w:after="120" w:line="240" w:lineRule="auto"/>
        <w:ind w:left="0" w:right="1440" w:firstLine="274"/>
        <w:rPr>
          <w:rFonts w:eastAsia="Times New Roman" w:cs="Times New Roman"/>
          <w:szCs w:val="20"/>
        </w:rPr>
      </w:pPr>
      <w:r w:rsidRPr="001912E8">
        <w:rPr>
          <w:rFonts w:eastAsia="Times New Roman" w:cs="Times New Roman"/>
          <w:szCs w:val="20"/>
        </w:rPr>
        <w:t xml:space="preserve">Carrier is responsible for rendering services to customers under the rates, charges, and rules authorized by the Commission within 12 months from the date of the decision.  Rendering services may include, but are not limited to, offering and/or actively providing services to its customers on a wholesale and/or resale basis. </w:t>
      </w:r>
    </w:p>
    <w:p w:rsidRPr="001912E8" w:rsidR="001912E8" w:rsidRDefault="001912E8" w14:paraId="31749594" w14:textId="77777777">
      <w:pPr>
        <w:numPr>
          <w:ilvl w:val="0"/>
          <w:numId w:val="11"/>
        </w:numPr>
        <w:tabs>
          <w:tab w:val="num" w:pos="0"/>
          <w:tab w:val="num" w:pos="630"/>
          <w:tab w:val="left" w:pos="720"/>
        </w:tabs>
        <w:suppressAutoHyphens/>
        <w:spacing w:after="120" w:line="240" w:lineRule="auto"/>
        <w:ind w:left="0" w:right="1440" w:firstLine="274"/>
        <w:rPr>
          <w:rFonts w:eastAsia="Times New Roman" w:cs="Times New Roman"/>
          <w:szCs w:val="26"/>
        </w:rPr>
      </w:pPr>
      <w:r w:rsidRPr="001912E8">
        <w:rPr>
          <w:rFonts w:eastAsia="Times New Roman" w:cs="Times New Roman"/>
          <w:szCs w:val="26"/>
        </w:rPr>
        <w:t xml:space="preserve">Carrier is </w:t>
      </w:r>
      <w:r w:rsidRPr="001912E8">
        <w:rPr>
          <w:rFonts w:eastAsia="Times New Roman" w:cs="Times New Roman"/>
          <w:szCs w:val="20"/>
        </w:rPr>
        <w:t>responsible</w:t>
      </w:r>
      <w:r w:rsidRPr="001912E8">
        <w:rPr>
          <w:rFonts w:eastAsia="Times New Roman" w:cs="Times New Roman"/>
          <w:szCs w:val="26"/>
        </w:rPr>
        <w:t xml:space="preserve"> for keeping all contact information up to date with the Commission.  Changes to its primary regulatory and/or complaint contact information must be updated in the Commission’s </w:t>
      </w:r>
      <w:r w:rsidRPr="001912E8">
        <w:rPr>
          <w:rFonts w:eastAsia="Times New Roman" w:cs="Times New Roman"/>
          <w:szCs w:val="20"/>
        </w:rPr>
        <w:t>Telecommunications and User Fee Filing System (</w:t>
      </w:r>
      <w:r w:rsidRPr="001912E8">
        <w:rPr>
          <w:rFonts w:eastAsia="Times New Roman" w:cs="Times New Roman"/>
          <w:szCs w:val="26"/>
        </w:rPr>
        <w:t xml:space="preserve">TUFFS) portal within 30 days of any change or at least annually by June 1 of each calendar year.  Additionally, information on accessing TUFFS is available from the Commission’s website: </w:t>
      </w:r>
      <w:hyperlink w:history="1" r:id="rId40">
        <w:r w:rsidRPr="001912E8">
          <w:rPr>
            <w:rFonts w:eastAsia="Times New Roman" w:cs="Times New Roman"/>
            <w:color w:val="0000FF"/>
            <w:szCs w:val="26"/>
            <w:u w:val="single"/>
          </w:rPr>
          <w:t>https://www.cpuc.ca.gov/industries-and-topics/internet-and-phone/telecommunications-surcharges-and-user-fees</w:t>
        </w:r>
      </w:hyperlink>
      <w:r w:rsidRPr="001912E8">
        <w:rPr>
          <w:rFonts w:ascii="Palatino" w:hAnsi="Palatino" w:eastAsia="Times New Roman" w:cs="Times New Roman"/>
          <w:szCs w:val="20"/>
        </w:rPr>
        <w:t>.</w:t>
      </w:r>
      <w:r w:rsidRPr="001912E8">
        <w:rPr>
          <w:rFonts w:eastAsia="Times New Roman" w:cs="Times New Roman"/>
          <w:szCs w:val="26"/>
        </w:rPr>
        <w:t xml:space="preserve"> </w:t>
      </w:r>
    </w:p>
    <w:p w:rsidRPr="001912E8" w:rsidR="001912E8" w:rsidRDefault="001912E8" w14:paraId="609B2B9A" w14:textId="77777777">
      <w:pPr>
        <w:numPr>
          <w:ilvl w:val="0"/>
          <w:numId w:val="11"/>
        </w:numPr>
        <w:tabs>
          <w:tab w:val="num" w:pos="0"/>
          <w:tab w:val="num" w:pos="630"/>
          <w:tab w:val="left" w:pos="720"/>
        </w:tabs>
        <w:suppressAutoHyphens/>
        <w:spacing w:after="120" w:line="240" w:lineRule="auto"/>
        <w:ind w:left="0" w:right="1440" w:firstLine="274"/>
        <w:rPr>
          <w:rFonts w:eastAsia="Times New Roman" w:cs="Times New Roman"/>
          <w:szCs w:val="20"/>
        </w:rPr>
      </w:pPr>
      <w:r w:rsidRPr="001912E8">
        <w:rPr>
          <w:rFonts w:eastAsia="Times New Roman" w:cs="Times New Roman"/>
          <w:szCs w:val="20"/>
        </w:rPr>
        <w:t xml:space="preserve">Carrier is subject to California public purpose program surcharges and user fees.  Pursuant to Decision (D.) 22-10-021, as modified by D.24-11-003, all telephone corporations operating in California must assess, collect, report, and remit public purpose program surcharges based on the number of active access lines.  For the definition of “access line,” see Section 5.2.2 of D.22-10-021.  The surcharge funds the following California public purpose programs:  </w:t>
      </w:r>
    </w:p>
    <w:p w:rsidRPr="001912E8" w:rsidR="001912E8" w:rsidRDefault="001912E8" w14:paraId="3BE48ECF" w14:textId="77777777">
      <w:pPr>
        <w:numPr>
          <w:ilvl w:val="0"/>
          <w:numId w:val="14"/>
        </w:numPr>
        <w:tabs>
          <w:tab w:val="left" w:pos="900"/>
        </w:tabs>
        <w:spacing w:before="120" w:after="120" w:line="240" w:lineRule="auto"/>
        <w:ind w:left="1170" w:right="1440" w:hanging="630"/>
        <w:rPr>
          <w:rFonts w:eastAsia="Times New Roman" w:cs="Times New Roman"/>
          <w:szCs w:val="20"/>
        </w:rPr>
      </w:pPr>
      <w:r w:rsidRPr="001912E8">
        <w:rPr>
          <w:rFonts w:eastAsia="Times New Roman" w:cs="Times New Roman"/>
          <w:szCs w:val="20"/>
        </w:rPr>
        <w:t>The Universal Lifeline Telephone Service Trust Administrative Committee Fund (Pub. Util. Code § 277);</w:t>
      </w:r>
    </w:p>
    <w:p w:rsidRPr="001912E8" w:rsidR="001912E8" w:rsidRDefault="001912E8" w14:paraId="4A476933" w14:textId="77777777">
      <w:pPr>
        <w:numPr>
          <w:ilvl w:val="0"/>
          <w:numId w:val="14"/>
        </w:numPr>
        <w:tabs>
          <w:tab w:val="left" w:pos="900"/>
        </w:tabs>
        <w:spacing w:before="120" w:after="120" w:line="240" w:lineRule="auto"/>
        <w:ind w:left="1170" w:right="1440" w:hanging="630"/>
        <w:rPr>
          <w:rFonts w:eastAsia="Times New Roman" w:cs="Times New Roman"/>
          <w:szCs w:val="20"/>
        </w:rPr>
      </w:pPr>
      <w:r w:rsidRPr="001912E8">
        <w:rPr>
          <w:rFonts w:eastAsia="Times New Roman" w:cs="Times New Roman"/>
          <w:szCs w:val="20"/>
        </w:rPr>
        <w:t>The California Relay Service and Communications Devices Fund (Pub. Util. Code § 2881; D.98</w:t>
      </w:r>
      <w:r w:rsidRPr="001912E8">
        <w:rPr>
          <w:rFonts w:eastAsia="Times New Roman" w:cs="Times New Roman"/>
          <w:szCs w:val="20"/>
        </w:rPr>
        <w:noBreakHyphen/>
        <w:t>12</w:t>
      </w:r>
      <w:r w:rsidRPr="001912E8">
        <w:rPr>
          <w:rFonts w:eastAsia="Times New Roman" w:cs="Times New Roman"/>
          <w:szCs w:val="20"/>
        </w:rPr>
        <w:noBreakHyphen/>
        <w:t>073);</w:t>
      </w:r>
    </w:p>
    <w:p w:rsidRPr="001912E8" w:rsidR="001912E8" w:rsidRDefault="001912E8" w14:paraId="309BA6BD" w14:textId="77777777">
      <w:pPr>
        <w:numPr>
          <w:ilvl w:val="0"/>
          <w:numId w:val="14"/>
        </w:numPr>
        <w:tabs>
          <w:tab w:val="left" w:pos="900"/>
        </w:tabs>
        <w:spacing w:before="120" w:after="120" w:line="240" w:lineRule="auto"/>
        <w:ind w:left="1170" w:right="1440" w:hanging="630"/>
        <w:rPr>
          <w:rFonts w:eastAsia="Times New Roman" w:cs="Times New Roman"/>
          <w:szCs w:val="20"/>
        </w:rPr>
      </w:pPr>
      <w:r w:rsidRPr="001912E8">
        <w:rPr>
          <w:rFonts w:eastAsia="Times New Roman" w:cs="Times New Roman"/>
          <w:szCs w:val="20"/>
        </w:rPr>
        <w:lastRenderedPageBreak/>
        <w:t>The California High Cost Fund</w:t>
      </w:r>
      <w:r w:rsidRPr="001912E8">
        <w:rPr>
          <w:rFonts w:eastAsia="Times New Roman" w:cs="Times New Roman"/>
          <w:szCs w:val="20"/>
        </w:rPr>
        <w:noBreakHyphen/>
        <w:t>A (Pub. Util. Code § 275.6); D.96</w:t>
      </w:r>
      <w:r w:rsidRPr="001912E8">
        <w:rPr>
          <w:rFonts w:eastAsia="Times New Roman" w:cs="Times New Roman"/>
          <w:szCs w:val="20"/>
        </w:rPr>
        <w:noBreakHyphen/>
        <w:t>10</w:t>
      </w:r>
      <w:r w:rsidRPr="001912E8">
        <w:rPr>
          <w:rFonts w:eastAsia="Times New Roman" w:cs="Times New Roman"/>
          <w:szCs w:val="20"/>
        </w:rPr>
        <w:noBreakHyphen/>
        <w:t>066, at 3</w:t>
      </w:r>
      <w:r w:rsidRPr="001912E8">
        <w:rPr>
          <w:rFonts w:eastAsia="Times New Roman" w:cs="Times New Roman"/>
          <w:szCs w:val="20"/>
        </w:rPr>
        <w:noBreakHyphen/>
        <w:t>4, App. B, Rule 1.C);</w:t>
      </w:r>
    </w:p>
    <w:p w:rsidRPr="001912E8" w:rsidR="001912E8" w:rsidRDefault="001912E8" w14:paraId="5E587900" w14:textId="77777777">
      <w:pPr>
        <w:numPr>
          <w:ilvl w:val="0"/>
          <w:numId w:val="14"/>
        </w:numPr>
        <w:tabs>
          <w:tab w:val="left" w:pos="900"/>
        </w:tabs>
        <w:spacing w:before="120" w:after="120" w:line="240" w:lineRule="auto"/>
        <w:ind w:left="1170" w:right="1440" w:hanging="630"/>
        <w:rPr>
          <w:rFonts w:eastAsia="Times New Roman" w:cs="Times New Roman"/>
          <w:szCs w:val="20"/>
        </w:rPr>
      </w:pPr>
      <w:r w:rsidRPr="001912E8">
        <w:rPr>
          <w:rFonts w:eastAsia="Times New Roman" w:cs="Times New Roman"/>
          <w:szCs w:val="20"/>
        </w:rPr>
        <w:t>The California High Cost Fund</w:t>
      </w:r>
      <w:r w:rsidRPr="001912E8">
        <w:rPr>
          <w:rFonts w:eastAsia="Times New Roman" w:cs="Times New Roman"/>
          <w:szCs w:val="20"/>
        </w:rPr>
        <w:noBreakHyphen/>
        <w:t>B (Pub. Util. Code § 276.5), D.96</w:t>
      </w:r>
      <w:r w:rsidRPr="001912E8">
        <w:rPr>
          <w:rFonts w:eastAsia="Times New Roman" w:cs="Times New Roman"/>
          <w:szCs w:val="20"/>
        </w:rPr>
        <w:noBreakHyphen/>
        <w:t>10</w:t>
      </w:r>
      <w:r w:rsidRPr="001912E8">
        <w:rPr>
          <w:rFonts w:eastAsia="Times New Roman" w:cs="Times New Roman"/>
          <w:szCs w:val="20"/>
        </w:rPr>
        <w:noBreakHyphen/>
        <w:t>066, at 191, App. B, Rule 6.F.; D.07</w:t>
      </w:r>
      <w:r w:rsidRPr="001912E8">
        <w:rPr>
          <w:rFonts w:eastAsia="Times New Roman" w:cs="Times New Roman"/>
          <w:szCs w:val="20"/>
        </w:rPr>
        <w:noBreakHyphen/>
        <w:t>12</w:t>
      </w:r>
      <w:r w:rsidRPr="001912E8">
        <w:rPr>
          <w:rFonts w:eastAsia="Times New Roman" w:cs="Times New Roman"/>
          <w:szCs w:val="20"/>
        </w:rPr>
        <w:noBreakHyphen/>
        <w:t>054);</w:t>
      </w:r>
    </w:p>
    <w:p w:rsidRPr="001912E8" w:rsidR="001912E8" w:rsidRDefault="001912E8" w14:paraId="0326D4C3" w14:textId="77777777">
      <w:pPr>
        <w:numPr>
          <w:ilvl w:val="0"/>
          <w:numId w:val="14"/>
        </w:numPr>
        <w:tabs>
          <w:tab w:val="left" w:pos="900"/>
        </w:tabs>
        <w:spacing w:before="120" w:after="120" w:line="240" w:lineRule="auto"/>
        <w:ind w:left="1170" w:right="1440" w:hanging="630"/>
        <w:rPr>
          <w:rFonts w:eastAsia="Times New Roman" w:cs="Times New Roman"/>
          <w:szCs w:val="20"/>
        </w:rPr>
      </w:pPr>
      <w:r w:rsidRPr="001912E8">
        <w:rPr>
          <w:rFonts w:eastAsia="Times New Roman" w:cs="Times New Roman"/>
          <w:szCs w:val="20"/>
        </w:rPr>
        <w:t>The California Advanced Services Fund (Pub. Util. Code § 281; D.07</w:t>
      </w:r>
      <w:r w:rsidRPr="001912E8">
        <w:rPr>
          <w:rFonts w:eastAsia="Times New Roman" w:cs="Times New Roman"/>
          <w:szCs w:val="20"/>
        </w:rPr>
        <w:noBreakHyphen/>
        <w:t>12</w:t>
      </w:r>
      <w:r w:rsidRPr="001912E8">
        <w:rPr>
          <w:rFonts w:eastAsia="Times New Roman" w:cs="Times New Roman"/>
          <w:szCs w:val="20"/>
        </w:rPr>
        <w:noBreakHyphen/>
        <w:t>054); and</w:t>
      </w:r>
    </w:p>
    <w:p w:rsidRPr="001912E8" w:rsidR="001912E8" w:rsidRDefault="001912E8" w14:paraId="03BCF591" w14:textId="77777777">
      <w:pPr>
        <w:numPr>
          <w:ilvl w:val="0"/>
          <w:numId w:val="14"/>
        </w:numPr>
        <w:tabs>
          <w:tab w:val="left" w:pos="900"/>
        </w:tabs>
        <w:spacing w:before="120" w:after="120" w:line="240" w:lineRule="auto"/>
        <w:ind w:left="1170" w:right="1440" w:hanging="630"/>
        <w:rPr>
          <w:rFonts w:eastAsia="Times New Roman" w:cs="Times New Roman"/>
          <w:szCs w:val="20"/>
        </w:rPr>
      </w:pPr>
      <w:r w:rsidRPr="001912E8">
        <w:rPr>
          <w:rFonts w:eastAsia="Times New Roman" w:cs="Times New Roman"/>
          <w:szCs w:val="20"/>
        </w:rPr>
        <w:t>The California Teleconnect Fund (Pub. Util. Code § 280; D.96</w:t>
      </w:r>
      <w:r w:rsidRPr="001912E8">
        <w:rPr>
          <w:rFonts w:eastAsia="Times New Roman" w:cs="Times New Roman"/>
          <w:szCs w:val="20"/>
        </w:rPr>
        <w:noBreakHyphen/>
        <w:t>10</w:t>
      </w:r>
      <w:r w:rsidRPr="001912E8">
        <w:rPr>
          <w:rFonts w:eastAsia="Times New Roman" w:cs="Times New Roman"/>
          <w:szCs w:val="20"/>
        </w:rPr>
        <w:noBreakHyphen/>
        <w:t>066, at 88, App. B, Rule 8.G).</w:t>
      </w:r>
    </w:p>
    <w:p w:rsidRPr="001912E8" w:rsidR="001912E8" w:rsidP="00B173B0" w:rsidRDefault="001912E8" w14:paraId="03255C0D" w14:textId="77777777">
      <w:pPr>
        <w:tabs>
          <w:tab w:val="left" w:pos="720"/>
        </w:tabs>
        <w:suppressAutoHyphens/>
        <w:spacing w:after="120" w:line="240" w:lineRule="auto"/>
        <w:ind w:right="1440" w:firstLine="274"/>
        <w:rPr>
          <w:rFonts w:eastAsia="Times New Roman" w:cs="Times New Roman"/>
          <w:szCs w:val="26"/>
        </w:rPr>
      </w:pPr>
      <w:r w:rsidRPr="001912E8">
        <w:rPr>
          <w:rFonts w:eastAsia="Times New Roman" w:cs="Times New Roman"/>
          <w:szCs w:val="20"/>
        </w:rPr>
        <w:t>User Fees must be assessed and collected based on intrastate telecommunications revenues.  The User Fee funds the Commission’s annual operating budget for regulating  telecommunications corporations under its jurisdiction (Pub. Util. Code §§ 431</w:t>
      </w:r>
      <w:r w:rsidRPr="001912E8">
        <w:rPr>
          <w:rFonts w:eastAsia="Times New Roman" w:cs="Times New Roman"/>
          <w:szCs w:val="20"/>
        </w:rPr>
        <w:noBreakHyphen/>
        <w:t>435).   </w:t>
      </w:r>
      <w:r w:rsidRPr="001912E8">
        <w:rPr>
          <w:rFonts w:eastAsia="Times New Roman" w:cs="Times New Roman"/>
          <w:szCs w:val="26"/>
        </w:rPr>
        <w:t>Pursuant to D.24-11-003, Interconnected VoIP service providers operating in California are subject to User Fees, starting on July 1, 2025.</w:t>
      </w:r>
    </w:p>
    <w:p w:rsidRPr="001912E8" w:rsidR="001912E8" w:rsidRDefault="001912E8" w14:paraId="4B4914D0" w14:textId="77777777">
      <w:pPr>
        <w:numPr>
          <w:ilvl w:val="0"/>
          <w:numId w:val="11"/>
        </w:numPr>
        <w:tabs>
          <w:tab w:val="num" w:pos="0"/>
          <w:tab w:val="num" w:pos="630"/>
        </w:tabs>
        <w:spacing w:after="120" w:line="240" w:lineRule="auto"/>
        <w:ind w:left="0" w:right="1440" w:firstLine="274"/>
        <w:rPr>
          <w:rFonts w:eastAsia="Times New Roman" w:cs="Times New Roman"/>
          <w:szCs w:val="20"/>
        </w:rPr>
      </w:pPr>
      <w:r w:rsidRPr="001912E8">
        <w:rPr>
          <w:rFonts w:eastAsia="Times New Roman" w:cs="Times New Roman"/>
          <w:szCs w:val="20"/>
        </w:rPr>
        <w:t xml:space="preserve">Carrier is responsible for obtaining guidance and directives from the Commission’s Communications Division for timely reporting and remitting of public purpose program surcharges and the user fees through the Commission’s proprietary TUFFS portal. Additional information about telecommunications surcharges and user fees is available from the Commission’s website: </w:t>
      </w:r>
      <w:hyperlink w:history="1" r:id="rId41">
        <w:r w:rsidRPr="001912E8">
          <w:rPr>
            <w:rFonts w:eastAsia="Times New Roman" w:cs="Times New Roman"/>
            <w:color w:val="0000FF"/>
            <w:szCs w:val="20"/>
            <w:u w:val="single"/>
          </w:rPr>
          <w:t>https://www.cpuc.ca.gov/industries-and-topics/internet-and-phone/telecommunications-surcharges-and-user-fees</w:t>
        </w:r>
      </w:hyperlink>
      <w:r w:rsidRPr="001912E8">
        <w:rPr>
          <w:rFonts w:eastAsia="Times New Roman" w:cs="Times New Roman"/>
          <w:szCs w:val="20"/>
        </w:rPr>
        <w:t xml:space="preserve">. </w:t>
      </w:r>
    </w:p>
    <w:p w:rsidRPr="001912E8" w:rsidR="001912E8" w:rsidRDefault="001912E8" w14:paraId="4DB03FB1" w14:textId="77777777">
      <w:pPr>
        <w:numPr>
          <w:ilvl w:val="0"/>
          <w:numId w:val="11"/>
        </w:numPr>
        <w:tabs>
          <w:tab w:val="num" w:pos="0"/>
          <w:tab w:val="num" w:pos="630"/>
        </w:tabs>
        <w:spacing w:after="120" w:line="240" w:lineRule="auto"/>
        <w:ind w:left="0" w:right="1440" w:firstLine="274"/>
        <w:rPr>
          <w:rFonts w:eastAsia="Times New Roman" w:cs="Times New Roman"/>
          <w:szCs w:val="20"/>
        </w:rPr>
      </w:pPr>
      <w:r w:rsidRPr="001912E8">
        <w:rPr>
          <w:rFonts w:eastAsia="Times New Roman" w:cs="Times New Roman"/>
          <w:szCs w:val="20"/>
        </w:rPr>
        <w:t xml:space="preserve">Carrier is responsible for timely and accurate reporting of its number of access lines and remitting the resulting public purpose program surcharges through TUFFS, even if there are zero access lines to report and zero resulting surcharges to remit.  Carriers that report and/or remit surcharge funds after the due date will be charged a penalty equal to an annual rate of 10 percent.  Send an email to </w:t>
      </w:r>
      <w:hyperlink w:history="1" r:id="rId42">
        <w:r w:rsidRPr="001912E8">
          <w:rPr>
            <w:rFonts w:eastAsia="Times New Roman" w:cs="Times New Roman"/>
            <w:color w:val="0000FF"/>
            <w:szCs w:val="20"/>
            <w:u w:val="single"/>
          </w:rPr>
          <w:t>Telcosurcharge@cpuc.ca.gov</w:t>
        </w:r>
      </w:hyperlink>
      <w:r w:rsidRPr="001912E8">
        <w:rPr>
          <w:rFonts w:eastAsia="Times New Roman" w:cs="Times New Roman"/>
          <w:szCs w:val="20"/>
        </w:rPr>
        <w:t xml:space="preserve"> for questions related to surcharges and access to TUFFS.  Current and historical surcharge rates are </w:t>
      </w:r>
      <w:r w:rsidRPr="001912E8">
        <w:rPr>
          <w:rFonts w:eastAsia="Times New Roman" w:cs="Times New Roman"/>
          <w:szCs w:val="26"/>
        </w:rPr>
        <w:t xml:space="preserve">available from the Commission’s website: </w:t>
      </w:r>
      <w:hyperlink w:history="1" r:id="rId43">
        <w:r w:rsidRPr="001912E8">
          <w:rPr>
            <w:rFonts w:ascii="Palatino" w:hAnsi="Palatino" w:eastAsia="Times New Roman" w:cs="Times New Roman"/>
            <w:color w:val="0000FF"/>
            <w:szCs w:val="20"/>
            <w:u w:val="single"/>
          </w:rPr>
          <w:t>https://www.cpuc.ca.gov/industries-and-topics/internet-and-phone/telecommunications-surcharges-and-user-fees/surcharge-rates</w:t>
        </w:r>
      </w:hyperlink>
      <w:r w:rsidRPr="001912E8">
        <w:rPr>
          <w:rFonts w:eastAsia="Times New Roman" w:cs="Times New Roman"/>
          <w:szCs w:val="20"/>
        </w:rPr>
        <w:t xml:space="preserve">.  </w:t>
      </w:r>
    </w:p>
    <w:p w:rsidRPr="001912E8" w:rsidR="001912E8" w:rsidRDefault="001912E8" w14:paraId="7D8841DD" w14:textId="77777777">
      <w:pPr>
        <w:numPr>
          <w:ilvl w:val="0"/>
          <w:numId w:val="11"/>
        </w:numPr>
        <w:tabs>
          <w:tab w:val="left" w:pos="-720"/>
          <w:tab w:val="num" w:pos="630"/>
          <w:tab w:val="num" w:pos="720"/>
        </w:tabs>
        <w:suppressAutoHyphens/>
        <w:spacing w:after="120" w:line="240" w:lineRule="auto"/>
        <w:ind w:left="0" w:right="1440" w:firstLine="274"/>
        <w:rPr>
          <w:rFonts w:eastAsia="Times New Roman" w:cs="Times New Roman"/>
          <w:szCs w:val="20"/>
        </w:rPr>
      </w:pPr>
      <w:r w:rsidRPr="001912E8">
        <w:rPr>
          <w:rFonts w:eastAsia="Times New Roman" w:cs="Times New Roman"/>
          <w:szCs w:val="20"/>
        </w:rPr>
        <w:t xml:space="preserve">Carrier is responsible for timely and accurate reporting and remitting of the user fees based on a standard user fee remittance </w:t>
      </w:r>
      <w:r w:rsidRPr="001912E8">
        <w:rPr>
          <w:rFonts w:eastAsia="Times New Roman" w:cs="Times New Roman"/>
          <w:szCs w:val="20"/>
        </w:rPr>
        <w:lastRenderedPageBreak/>
        <w:t xml:space="preserve">rate applied to the gross intrastate revenue or an annual minimum user fee of $100, whichever is greater.  The user fee remittance rate is determined annually by the Commission and posted on the Commission’s webpage.  The reporting and remittance of user fees must be through TUFFS within 15 days after the end of each calendar quarter (March 31, June 30, September 30, and December 31) or January 15 due date for those paying the annual minimum user fee of $100.  TUFFS will automatically adjust the minimum user fee amount to $100 when the annual gross intrastate revenue is zero </w:t>
      </w:r>
      <w:r w:rsidRPr="001912E8">
        <w:rPr>
          <w:rFonts w:eastAsia="Times New Roman" w:cs="Times New Roman"/>
          <w:szCs w:val="26"/>
        </w:rPr>
        <w:t xml:space="preserve">($0) </w:t>
      </w:r>
      <w:r w:rsidRPr="001912E8">
        <w:rPr>
          <w:rFonts w:eastAsia="Times New Roman" w:cs="Times New Roman"/>
          <w:szCs w:val="20"/>
        </w:rPr>
        <w:t xml:space="preserve">or less than the annual minimum user fee of $100. Under </w:t>
      </w:r>
      <w:r w:rsidRPr="001912E8">
        <w:rPr>
          <w:rFonts w:ascii="Palatino" w:hAnsi="Palatino" w:eastAsia="Times New Roman" w:cs="Times New Roman"/>
          <w:szCs w:val="20"/>
        </w:rPr>
        <w:t xml:space="preserve">Pub. Util. Code Section </w:t>
      </w:r>
      <w:r w:rsidRPr="001912E8">
        <w:rPr>
          <w:rFonts w:eastAsia="Times New Roman" w:cs="Times New Roman"/>
          <w:szCs w:val="20"/>
        </w:rPr>
        <w:t xml:space="preserve">405, carriers that are in default of reporting and submitting user fees more than 30 days after the quarterly user fee payment due dates of April 15, July 15, October 15, and January 15, or more than 30 days after the January 15 due date for those utilities paying the annual minimum user fee of $100, will be subject to automatic penalties including suspension or revocation of their authority to operate in California. </w:t>
      </w:r>
      <w:r w:rsidRPr="001912E8">
        <w:rPr>
          <w:rFonts w:eastAsia="Times New Roman" w:cs="Times New Roman"/>
          <w:szCs w:val="26"/>
        </w:rPr>
        <w:t xml:space="preserve"> Pursuant to D.24-11-003, Interconnected VoIP service providers operating in California are subject to User Fees, starting on July 1, 2025.  Send an email to </w:t>
      </w:r>
      <w:hyperlink w:history="1" r:id="rId44">
        <w:r w:rsidRPr="001912E8">
          <w:rPr>
            <w:rFonts w:eastAsia="Times New Roman" w:cs="Times New Roman"/>
            <w:color w:val="0000FF"/>
            <w:szCs w:val="26"/>
            <w:u w:val="single"/>
          </w:rPr>
          <w:t>userfees@cpuc.ca.gov</w:t>
        </w:r>
      </w:hyperlink>
      <w:r w:rsidRPr="001912E8">
        <w:rPr>
          <w:rFonts w:eastAsia="Times New Roman" w:cs="Times New Roman"/>
          <w:szCs w:val="26"/>
        </w:rPr>
        <w:t xml:space="preserve"> for questions related to user fees.  </w:t>
      </w:r>
      <w:r w:rsidRPr="001912E8">
        <w:rPr>
          <w:rFonts w:eastAsia="Times New Roman" w:cs="Times New Roman"/>
          <w:szCs w:val="20"/>
        </w:rPr>
        <w:t xml:space="preserve">Send an email to </w:t>
      </w:r>
      <w:hyperlink w:history="1" r:id="rId45">
        <w:r w:rsidRPr="001912E8">
          <w:rPr>
            <w:rFonts w:eastAsia="Times New Roman" w:cs="Times New Roman"/>
            <w:color w:val="0000FF"/>
            <w:szCs w:val="20"/>
            <w:u w:val="single"/>
          </w:rPr>
          <w:t>userfees@cpuc.ca.gov</w:t>
        </w:r>
      </w:hyperlink>
      <w:r w:rsidRPr="001912E8">
        <w:rPr>
          <w:rFonts w:eastAsia="Times New Roman" w:cs="Times New Roman"/>
          <w:szCs w:val="20"/>
        </w:rPr>
        <w:t xml:space="preserve"> for questions related to user fees.  Current and historical user fee rates are available from the Commission’s website: </w:t>
      </w:r>
      <w:hyperlink w:history="1" r:id="rId46">
        <w:r w:rsidRPr="001912E8">
          <w:rPr>
            <w:rFonts w:eastAsia="Times New Roman" w:cs="Times New Roman"/>
            <w:color w:val="0000FF"/>
            <w:szCs w:val="20"/>
            <w:u w:val="single"/>
          </w:rPr>
          <w:t>https://www.cpuc.ca.gov/industries-and-topics/internet-and-phone/telecommunications-surcharges-and-user-fees/user-fee-rates</w:t>
        </w:r>
      </w:hyperlink>
      <w:r w:rsidRPr="001912E8">
        <w:rPr>
          <w:rFonts w:eastAsia="Times New Roman" w:cs="Times New Roman"/>
          <w:szCs w:val="20"/>
        </w:rPr>
        <w:t xml:space="preserve">.  </w:t>
      </w:r>
    </w:p>
    <w:p w:rsidRPr="001912E8" w:rsidR="001912E8" w:rsidRDefault="001912E8" w14:paraId="6F53AFF2" w14:textId="16FFB69F">
      <w:pPr>
        <w:numPr>
          <w:ilvl w:val="0"/>
          <w:numId w:val="11"/>
        </w:numPr>
        <w:tabs>
          <w:tab w:val="left" w:pos="-720"/>
          <w:tab w:val="num" w:pos="630"/>
          <w:tab w:val="num" w:pos="720"/>
        </w:tabs>
        <w:suppressAutoHyphens/>
        <w:spacing w:after="120" w:line="240" w:lineRule="auto"/>
        <w:ind w:left="0" w:right="1440" w:firstLine="274"/>
        <w:rPr>
          <w:rFonts w:eastAsia="Times New Roman" w:cs="Times New Roman"/>
          <w:szCs w:val="20"/>
        </w:rPr>
      </w:pPr>
      <w:r w:rsidRPr="001912E8">
        <w:rPr>
          <w:rFonts w:eastAsia="Times New Roman" w:cs="Times New Roman"/>
          <w:szCs w:val="20"/>
        </w:rPr>
        <w:t xml:space="preserve">In compliance with Resolution T-16901, </w:t>
      </w:r>
      <w:r w:rsidR="000D4786">
        <w:rPr>
          <w:rFonts w:eastAsia="Times New Roman" w:cs="Times New Roman"/>
          <w:szCs w:val="20"/>
        </w:rPr>
        <w:t xml:space="preserve">from </w:t>
      </w:r>
      <w:r w:rsidRPr="001912E8">
        <w:rPr>
          <w:rFonts w:eastAsia="Times New Roman" w:cs="Times New Roman"/>
          <w:szCs w:val="20"/>
        </w:rPr>
        <w:t>December 2, 2004, Carrier is responsible for checking the joint tariff for public purpose program surcharges and user fees filed by Pacific Bell Telephone Company d</w:t>
      </w:r>
      <w:r w:rsidR="000D4786">
        <w:rPr>
          <w:rFonts w:eastAsia="Times New Roman" w:cs="Times New Roman"/>
          <w:szCs w:val="20"/>
        </w:rPr>
        <w:t>/</w:t>
      </w:r>
      <w:r w:rsidRPr="001912E8">
        <w:rPr>
          <w:rFonts w:eastAsia="Times New Roman" w:cs="Times New Roman"/>
          <w:szCs w:val="20"/>
        </w:rPr>
        <w:t>b</w:t>
      </w:r>
      <w:r w:rsidR="000D4786">
        <w:rPr>
          <w:rFonts w:eastAsia="Times New Roman" w:cs="Times New Roman"/>
          <w:szCs w:val="20"/>
        </w:rPr>
        <w:t>/</w:t>
      </w:r>
      <w:r w:rsidRPr="001912E8">
        <w:rPr>
          <w:rFonts w:eastAsia="Times New Roman" w:cs="Times New Roman"/>
          <w:szCs w:val="20"/>
        </w:rPr>
        <w:t>a AT&amp;T California and applying the current public purpose program surcharges and user fees amounts in that joint tariff on end user bills until further revised.</w:t>
      </w:r>
    </w:p>
    <w:p w:rsidRPr="001912E8" w:rsidR="001912E8" w:rsidRDefault="001912E8" w14:paraId="7891D012" w14:textId="77777777">
      <w:pPr>
        <w:numPr>
          <w:ilvl w:val="0"/>
          <w:numId w:val="11"/>
        </w:numPr>
        <w:tabs>
          <w:tab w:val="left" w:pos="-720"/>
          <w:tab w:val="num" w:pos="630"/>
          <w:tab w:val="num" w:pos="720"/>
        </w:tabs>
        <w:suppressAutoHyphens/>
        <w:spacing w:after="120" w:line="240" w:lineRule="auto"/>
        <w:ind w:left="0" w:right="1440" w:firstLine="274"/>
        <w:rPr>
          <w:rFonts w:eastAsia="Times New Roman" w:cs="Times New Roman"/>
          <w:szCs w:val="20"/>
        </w:rPr>
      </w:pPr>
      <w:bookmarkStart w:name="_Hlk211408771" w:id="143"/>
      <w:r w:rsidRPr="001912E8">
        <w:rPr>
          <w:rFonts w:eastAsia="Times New Roman" w:cs="Times New Roman"/>
          <w:szCs w:val="20"/>
        </w:rPr>
        <w:t>Carrier is responsible for ensuring that its tariff filings reflect all surcharges and fees to which it is subject, as identified above.</w:t>
      </w:r>
    </w:p>
    <w:bookmarkEnd w:id="143"/>
    <w:p w:rsidRPr="001912E8" w:rsidR="001912E8" w:rsidRDefault="001912E8" w14:paraId="0CE837CE" w14:textId="77777777">
      <w:pPr>
        <w:numPr>
          <w:ilvl w:val="0"/>
          <w:numId w:val="11"/>
        </w:numPr>
        <w:tabs>
          <w:tab w:val="left" w:pos="-720"/>
          <w:tab w:val="num" w:pos="630"/>
          <w:tab w:val="num" w:pos="720"/>
        </w:tabs>
        <w:suppressAutoHyphens/>
        <w:spacing w:after="120" w:line="240" w:lineRule="auto"/>
        <w:ind w:left="0" w:right="1440" w:firstLine="274"/>
        <w:rPr>
          <w:rFonts w:eastAsia="Times New Roman" w:cs="Times New Roman"/>
          <w:szCs w:val="20"/>
        </w:rPr>
      </w:pPr>
      <w:r w:rsidRPr="00D757B5">
        <w:rPr>
          <w:rFonts w:eastAsia="Times New Roman" w:cs="Times New Roman"/>
          <w:szCs w:val="20"/>
        </w:rPr>
        <w:t xml:space="preserve">  If Carrier is a provider of interexchange services, competitive local exchange services, and/or fixed interconnected VoIP services</w:t>
      </w:r>
      <w:r w:rsidRPr="001912E8">
        <w:rPr>
          <w:rFonts w:eastAsia="Times New Roman" w:cs="Times New Roman"/>
          <w:szCs w:val="20"/>
        </w:rPr>
        <w:t>, the effectiveness of its future nondominant carrier tariffs, if applicable, is subject to the requirements of General Order 96</w:t>
      </w:r>
      <w:r w:rsidRPr="001912E8">
        <w:rPr>
          <w:rFonts w:eastAsia="Times New Roman" w:cs="Times New Roman"/>
          <w:szCs w:val="20"/>
        </w:rPr>
        <w:noBreakHyphen/>
        <w:t>B and the Telecommunications Industry Rules (D.07</w:t>
      </w:r>
      <w:r w:rsidRPr="001912E8">
        <w:rPr>
          <w:rFonts w:eastAsia="Times New Roman" w:cs="Times New Roman"/>
          <w:szCs w:val="20"/>
        </w:rPr>
        <w:noBreakHyphen/>
        <w:t>09</w:t>
      </w:r>
      <w:r w:rsidRPr="001912E8">
        <w:rPr>
          <w:rFonts w:eastAsia="Times New Roman" w:cs="Times New Roman"/>
          <w:szCs w:val="20"/>
        </w:rPr>
        <w:noBreakHyphen/>
        <w:t>019).</w:t>
      </w:r>
    </w:p>
    <w:p w:rsidRPr="001912E8" w:rsidR="001912E8" w:rsidRDefault="001912E8" w14:paraId="43B197A7"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lastRenderedPageBreak/>
        <w:t>If Carrier is a non</w:t>
      </w:r>
      <w:r w:rsidRPr="001912E8">
        <w:rPr>
          <w:rFonts w:eastAsia="Times New Roman" w:cs="Times New Roman"/>
          <w:szCs w:val="20"/>
        </w:rPr>
        <w:noBreakHyphen/>
        <w:t>dominant interexchange carrier, the effectiveness of its future non</w:t>
      </w:r>
      <w:r w:rsidRPr="001912E8">
        <w:rPr>
          <w:rFonts w:eastAsia="Times New Roman" w:cs="Times New Roman"/>
          <w:szCs w:val="20"/>
        </w:rPr>
        <w:noBreakHyphen/>
        <w:t>dominant interexchange carrier tariffs is subject to the requirement of General Order 96</w:t>
      </w:r>
      <w:r w:rsidRPr="001912E8">
        <w:rPr>
          <w:rFonts w:eastAsia="Times New Roman" w:cs="Times New Roman"/>
          <w:szCs w:val="20"/>
        </w:rPr>
        <w:noBreakHyphen/>
        <w:t>B and the Telecommunications Industry Rules (D.07</w:t>
      </w:r>
      <w:r w:rsidRPr="001912E8">
        <w:rPr>
          <w:rFonts w:eastAsia="Times New Roman" w:cs="Times New Roman"/>
          <w:szCs w:val="20"/>
        </w:rPr>
        <w:noBreakHyphen/>
        <w:t>09</w:t>
      </w:r>
      <w:r w:rsidRPr="001912E8">
        <w:rPr>
          <w:rFonts w:eastAsia="Times New Roman" w:cs="Times New Roman"/>
          <w:szCs w:val="20"/>
        </w:rPr>
        <w:noBreakHyphen/>
        <w:t>019).</w:t>
      </w:r>
    </w:p>
    <w:p w:rsidRPr="001912E8" w:rsidR="001912E8" w:rsidRDefault="001912E8" w14:paraId="0F13B5E4"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 Carrier providing competitive local exchange service is responsible for submitting a service area map as part of its initial tariff filed via Advice Letter to the Communications Division.</w:t>
      </w:r>
    </w:p>
    <w:p w:rsidRPr="00D757B5" w:rsidR="001912E8" w:rsidRDefault="001912E8" w14:paraId="0235A59A"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Carrier is responsible for submitting a copy of its complete tariff in use to the Commission’s Director of the Communications Division, by email to </w:t>
      </w:r>
      <w:hyperlink w:history="1" r:id="rId47">
        <w:r w:rsidRPr="00D757B5">
          <w:rPr>
            <w:rFonts w:eastAsia="Times New Roman" w:cs="Times New Roman"/>
            <w:szCs w:val="20"/>
          </w:rPr>
          <w:t>cdcompliance@cpuc.ca.gov</w:t>
        </w:r>
      </w:hyperlink>
      <w:r w:rsidRPr="00D757B5">
        <w:rPr>
          <w:rFonts w:eastAsia="Times New Roman" w:cs="Times New Roman"/>
          <w:szCs w:val="20"/>
        </w:rPr>
        <w:t>,</w:t>
      </w:r>
      <w:r w:rsidRPr="001912E8">
        <w:rPr>
          <w:rFonts w:eastAsia="Times New Roman" w:cs="Times New Roman"/>
          <w:szCs w:val="20"/>
        </w:rPr>
        <w:t xml:space="preserve"> in compliance with Pub. Util. Codes Section 489(a), no later than February 15 of each year.  </w:t>
      </w:r>
      <w:r w:rsidRPr="00D757B5">
        <w:rPr>
          <w:rFonts w:eastAsia="Times New Roman" w:cs="Times New Roman"/>
          <w:szCs w:val="20"/>
        </w:rPr>
        <w:t xml:space="preserve">Additional information is available from the Commission’s Website: </w:t>
      </w:r>
      <w:hyperlink r:id="rId48">
        <w:r w:rsidRPr="00D757B5">
          <w:rPr>
            <w:rFonts w:eastAsia="Times New Roman" w:cs="Times New Roman"/>
            <w:szCs w:val="20"/>
          </w:rPr>
          <w:t>https://www.cpuc.ca.gov/industries-and-topics/internet-and-phone/carrier-reporting-requirements/tariff-filing-requirements</w:t>
        </w:r>
      </w:hyperlink>
      <w:r w:rsidRPr="00D757B5">
        <w:rPr>
          <w:rFonts w:eastAsia="Times New Roman" w:cs="Times New Roman"/>
          <w:szCs w:val="20"/>
        </w:rPr>
        <w:t>.</w:t>
      </w:r>
    </w:p>
    <w:p w:rsidRPr="001912E8" w:rsidR="001912E8" w:rsidRDefault="001912E8" w14:paraId="5F1EBA25"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Carrier is responsible for obtaining a performance bond of at least $25,000 in accordance with D.13-05-035 and D.24-11-003.  Within 30 calendar days after the effective date of CPCN authority, Carrier is required to submit a Tier-1 advice letter to the Director of the Communications Division via </w:t>
      </w:r>
      <w:hyperlink w:history="1" r:id="rId49">
        <w:r w:rsidRPr="00D757B5">
          <w:rPr>
            <w:rFonts w:eastAsia="Times New Roman" w:cs="Times New Roman"/>
            <w:szCs w:val="20"/>
          </w:rPr>
          <w:t>TD._PAL@cpuc.ca.gov</w:t>
        </w:r>
      </w:hyperlink>
      <w:r w:rsidRPr="001912E8">
        <w:rPr>
          <w:rFonts w:eastAsia="Times New Roman" w:cs="Times New Roman"/>
          <w:szCs w:val="20"/>
        </w:rPr>
        <w:t xml:space="preserve"> with a copy of the license holder’s executed performance bond.  The performance bond must be a continuous bond </w:t>
      </w:r>
      <w:r w:rsidRPr="00D757B5">
        <w:rPr>
          <w:rFonts w:eastAsia="Times New Roman" w:cs="Times New Roman"/>
          <w:szCs w:val="20"/>
        </w:rPr>
        <w:t>(i.e</w:t>
      </w:r>
      <w:r w:rsidRPr="001912E8">
        <w:rPr>
          <w:rFonts w:eastAsia="Times New Roman" w:cs="Times New Roman"/>
          <w:szCs w:val="20"/>
        </w:rPr>
        <w:t xml:space="preserve">., there is no termination date on the bond) issued by a corporate surety company authorized to transact surety business in California, and the Commission must be listed as the obligee on the bond.  </w:t>
      </w:r>
      <w:r w:rsidRPr="00D757B5">
        <w:rPr>
          <w:rFonts w:eastAsia="Times New Roman" w:cs="Times New Roman"/>
          <w:szCs w:val="20"/>
        </w:rPr>
        <w:t xml:space="preserve">Requests for an extension of time to submit the initial performance bond must be submitted to the Director of the Communications Division via email at </w:t>
      </w:r>
      <w:hyperlink w:history="1" r:id="rId50">
        <w:r w:rsidRPr="00D757B5">
          <w:rPr>
            <w:rFonts w:eastAsia="Times New Roman" w:cs="Times New Roman"/>
            <w:szCs w:val="20"/>
          </w:rPr>
          <w:t>cdcompliance@cpuc.ca.gov</w:t>
        </w:r>
      </w:hyperlink>
      <w:r w:rsidRPr="00D757B5">
        <w:rPr>
          <w:rFonts w:eastAsia="Times New Roman" w:cs="Times New Roman"/>
          <w:szCs w:val="20"/>
        </w:rPr>
        <w:t xml:space="preserve"> within 30 days of the effective date of this decision using the performance bond filing extension form is available from the Commission’s  website: </w:t>
      </w:r>
      <w:hyperlink w:history="1" r:id="rId51">
        <w:r w:rsidRPr="00D757B5">
          <w:rPr>
            <w:rFonts w:eastAsia="Times New Roman" w:cs="Times New Roman"/>
            <w:szCs w:val="20"/>
          </w:rPr>
          <w:t>https://www.cpuc.ca.gov/industries-and-topics/internet-and-phone/carrier-reporting-requirements/performance-bond-requirements</w:t>
        </w:r>
      </w:hyperlink>
      <w:r w:rsidRPr="00D757B5">
        <w:rPr>
          <w:rFonts w:eastAsia="Times New Roman" w:cs="Times New Roman"/>
          <w:szCs w:val="20"/>
        </w:rPr>
        <w:t xml:space="preserve">.  </w:t>
      </w:r>
      <w:r w:rsidRPr="001912E8">
        <w:rPr>
          <w:rFonts w:eastAsia="Times New Roman" w:cs="Times New Roman"/>
          <w:szCs w:val="20"/>
        </w:rPr>
        <w:t xml:space="preserve">Pursuant to D. 13-05-035, the Commission must revoke a CPCN if a carrier is more than 120 days late in providing the Communications Division a copy of its executed performance bond and the carrier has not been granted an extension of time by the Communications Division. </w:t>
      </w:r>
    </w:p>
    <w:p w:rsidRPr="001912E8" w:rsidR="001912E8" w:rsidRDefault="001912E8" w14:paraId="38D7F5EF" w14:textId="7B560E1B">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lastRenderedPageBreak/>
        <w:t xml:space="preserve"> Carrier is required to submit a Tier-1 Advice Letter on an annual basis, no later than March 31 of each year, with a copy of the executed performance bond. Carrier is responsible for ensuring that its performance bond does not lapse during any period of its operation.  Additional information regarding performance bond requirement is </w:t>
      </w:r>
      <w:r w:rsidRPr="00D757B5">
        <w:rPr>
          <w:rFonts w:eastAsia="Times New Roman" w:cs="Times New Roman"/>
          <w:szCs w:val="20"/>
        </w:rPr>
        <w:t xml:space="preserve">available from the </w:t>
      </w:r>
      <w:r w:rsidRPr="00D757B5" w:rsidR="00F05F80">
        <w:rPr>
          <w:rFonts w:eastAsia="Times New Roman" w:cs="Times New Roman"/>
          <w:szCs w:val="20"/>
        </w:rPr>
        <w:t>Commission’s</w:t>
      </w:r>
      <w:r w:rsidRPr="00D757B5">
        <w:rPr>
          <w:rFonts w:eastAsia="Times New Roman" w:cs="Times New Roman"/>
          <w:szCs w:val="20"/>
        </w:rPr>
        <w:t xml:space="preserve"> website: </w:t>
      </w:r>
      <w:hyperlink w:history="1" r:id="rId52">
        <w:r w:rsidRPr="00D757B5">
          <w:rPr>
            <w:rFonts w:eastAsia="Times New Roman" w:cs="Times New Roman"/>
            <w:szCs w:val="20"/>
          </w:rPr>
          <w:t>https://www.cpuc.ca.gov/industries-and-topics/internet-and-phone/carrier-reporting-requirements/performance-bond-requirements</w:t>
        </w:r>
      </w:hyperlink>
      <w:r w:rsidRPr="001912E8">
        <w:rPr>
          <w:rFonts w:eastAsia="Times New Roman" w:cs="Times New Roman"/>
          <w:szCs w:val="20"/>
        </w:rPr>
        <w:t xml:space="preserve">. </w:t>
      </w:r>
      <w:r w:rsidRPr="001912E8" w:rsidDel="00171110">
        <w:rPr>
          <w:rFonts w:eastAsia="Times New Roman" w:cs="Times New Roman"/>
          <w:szCs w:val="20"/>
        </w:rPr>
        <w:t xml:space="preserve"> </w:t>
      </w:r>
      <w:r w:rsidRPr="001912E8">
        <w:rPr>
          <w:rFonts w:eastAsia="Times New Roman" w:cs="Times New Roman"/>
          <w:szCs w:val="20"/>
        </w:rPr>
        <w:t xml:space="preserve"> </w:t>
      </w:r>
    </w:p>
    <w:p w:rsidRPr="001912E8" w:rsidR="001912E8" w:rsidRDefault="001912E8" w14:paraId="5002B029"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 Carrier is responsible for ensuring that its employees comply with the provisions of Pub. Util. Code Section 2889.5 regarding solicitation of customers.</w:t>
      </w:r>
    </w:p>
    <w:p w:rsidRPr="001912E8" w:rsidR="001912E8" w:rsidRDefault="001912E8" w14:paraId="122CE2AC"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 If Carrier is 90 days or more late in complying with its reporting obligations to the Commission including but not limited to filing its annual reports (</w:t>
      </w:r>
      <w:r w:rsidRPr="00D757B5">
        <w:rPr>
          <w:rFonts w:eastAsia="Times New Roman" w:cs="Times New Roman"/>
          <w:szCs w:val="20"/>
        </w:rPr>
        <w:t>e.g.</w:t>
      </w:r>
      <w:r w:rsidRPr="001912E8">
        <w:rPr>
          <w:rFonts w:eastAsia="Times New Roman" w:cs="Times New Roman"/>
          <w:szCs w:val="20"/>
        </w:rPr>
        <w:t>, Operations and Financials, and Affiliated Transaction Reports), submitting Performance Bonds, reporting and remitting surcharges and user fees; and has not received written permission from the Commission or Communications Division to file or remit late</w:t>
      </w:r>
      <w:r w:rsidRPr="00D757B5">
        <w:rPr>
          <w:rFonts w:eastAsia="Times New Roman" w:cs="Times New Roman"/>
          <w:szCs w:val="20"/>
        </w:rPr>
        <w:t xml:space="preserve">, the Communications Division may issue a citation pursuant to Resolution T-17601.  Failure to comply with the issued citation or timely appeal the citation may result in a revocation of the company’s operating authority and/or a referral to the Commission’s Consumer Protection and Enforcement Division for enforcement action, which could result in additional fines, penalties, or other sanctions. </w:t>
      </w:r>
    </w:p>
    <w:p w:rsidRPr="001912E8" w:rsidR="001912E8" w:rsidRDefault="001912E8" w14:paraId="5F00A8CA"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 Carrier is exempt from Rule 3.1(b) of the Commission’s Rules of Practice and Procedure. </w:t>
      </w:r>
    </w:p>
    <w:p w:rsidRPr="001912E8" w:rsidR="001912E8" w:rsidRDefault="001912E8" w14:paraId="37583216" w14:textId="77777777">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 Carrier is exempt from Pub. Util. Code Sections 816</w:t>
      </w:r>
      <w:r w:rsidRPr="001912E8">
        <w:rPr>
          <w:rFonts w:eastAsia="Times New Roman" w:cs="Times New Roman"/>
          <w:szCs w:val="20"/>
        </w:rPr>
        <w:noBreakHyphen/>
        <w:t xml:space="preserve">830. </w:t>
      </w:r>
    </w:p>
    <w:p w:rsidRPr="00175378" w:rsidR="001912E8" w:rsidRDefault="001912E8" w14:paraId="356967C6" w14:textId="71860D3E">
      <w:pPr>
        <w:numPr>
          <w:ilvl w:val="0"/>
          <w:numId w:val="11"/>
        </w:numPr>
        <w:tabs>
          <w:tab w:val="left" w:pos="-720"/>
          <w:tab w:val="num" w:pos="630"/>
          <w:tab w:val="num" w:pos="720"/>
        </w:tabs>
        <w:suppressAutoHyphens/>
        <w:spacing w:after="120" w:line="240" w:lineRule="auto"/>
        <w:ind w:left="0" w:right="1440" w:firstLine="90"/>
        <w:rPr>
          <w:rFonts w:eastAsia="Times New Roman" w:cs="Times New Roman"/>
          <w:szCs w:val="20"/>
        </w:rPr>
      </w:pPr>
      <w:r w:rsidRPr="001912E8">
        <w:rPr>
          <w:rFonts w:eastAsia="Times New Roman" w:cs="Times New Roman"/>
          <w:szCs w:val="20"/>
        </w:rPr>
        <w:t xml:space="preserve"> If Carrier decides to discontinue service or file for bankruptcy, it must immediately notify the Commission’s Director of the Communications Division by email to </w:t>
      </w:r>
      <w:hyperlink w:history="1" r:id="rId53">
        <w:r w:rsidRPr="00D757B5">
          <w:rPr>
            <w:rFonts w:eastAsia="Times New Roman" w:cs="Times New Roman"/>
            <w:szCs w:val="20"/>
          </w:rPr>
          <w:t>cdcompliance@cpuc.ca.gov</w:t>
        </w:r>
      </w:hyperlink>
      <w:r w:rsidRPr="001912E8">
        <w:rPr>
          <w:rFonts w:eastAsia="Times New Roman" w:cs="Times New Roman"/>
          <w:szCs w:val="20"/>
        </w:rPr>
        <w:t>.</w:t>
      </w:r>
    </w:p>
    <w:p w:rsidRPr="001912E8" w:rsidR="001912E8" w:rsidP="00175378" w:rsidRDefault="001912E8" w14:paraId="63CE3FBC" w14:textId="77777777">
      <w:pPr>
        <w:spacing w:line="240" w:lineRule="auto"/>
        <w:ind w:firstLine="0"/>
        <w:rPr>
          <w:rFonts w:ascii="Palatino" w:hAnsi="Palatino" w:eastAsia="Times New Roman" w:cs="Times New Roman"/>
          <w:szCs w:val="20"/>
        </w:rPr>
      </w:pPr>
    </w:p>
    <w:p w:rsidRPr="001912E8" w:rsidR="001912E8" w:rsidP="001912E8" w:rsidRDefault="001912E8" w14:paraId="7A700634" w14:textId="77777777">
      <w:pPr>
        <w:spacing w:line="240" w:lineRule="auto"/>
        <w:ind w:firstLine="0"/>
        <w:jc w:val="center"/>
        <w:rPr>
          <w:rFonts w:ascii="Palatino" w:hAnsi="Palatino" w:eastAsia="Times New Roman" w:cs="Times New Roman"/>
          <w:szCs w:val="20"/>
        </w:rPr>
        <w:sectPr w:rsidRPr="001912E8" w:rsidR="001912E8" w:rsidSect="001912E8">
          <w:footerReference w:type="default" r:id="rId54"/>
          <w:footnotePr>
            <w:numRestart w:val="eachSect"/>
          </w:footnotePr>
          <w:pgSz w:w="12240" w:h="15840" w:code="1"/>
          <w:pgMar w:top="1152" w:right="1440" w:bottom="1440" w:left="1440" w:header="720" w:footer="720" w:gutter="0"/>
          <w:pgNumType w:start="1"/>
          <w:cols w:space="720"/>
        </w:sectPr>
      </w:pPr>
      <w:r w:rsidRPr="001912E8">
        <w:rPr>
          <w:rFonts w:eastAsia="Times New Roman" w:cs="Times New Roman"/>
          <w:b/>
          <w:szCs w:val="20"/>
        </w:rPr>
        <w:t>(END OF ATTACHMENT B)</w:t>
      </w:r>
    </w:p>
    <w:bookmarkEnd w:id="142"/>
    <w:p w:rsidRPr="001912E8" w:rsidR="001912E8" w:rsidP="00242DED" w:rsidRDefault="001912E8" w14:paraId="74086FB2" w14:textId="77777777">
      <w:pPr>
        <w:spacing w:line="240" w:lineRule="auto"/>
        <w:ind w:firstLine="0"/>
        <w:rPr>
          <w:rFonts w:ascii="Palatino" w:hAnsi="Palatino" w:eastAsia="Times New Roman" w:cs="Times New Roman"/>
          <w:szCs w:val="20"/>
        </w:rPr>
      </w:pPr>
    </w:p>
    <w:p w:rsidRPr="001912E8" w:rsidR="001912E8" w:rsidP="001912E8" w:rsidRDefault="001912E8" w14:paraId="02B1F83A"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008C8697"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2A140735"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5D653724"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0F01444C"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3EA5DC18" w14:textId="77777777">
      <w:pPr>
        <w:spacing w:line="240" w:lineRule="auto"/>
        <w:ind w:firstLine="0"/>
        <w:jc w:val="center"/>
        <w:rPr>
          <w:rFonts w:ascii="Palatino" w:hAnsi="Palatino" w:eastAsia="Times New Roman" w:cs="Times New Roman"/>
          <w:szCs w:val="20"/>
        </w:rPr>
      </w:pPr>
    </w:p>
    <w:p w:rsidR="001912E8" w:rsidP="001912E8" w:rsidRDefault="001912E8" w14:paraId="7BF95F4E" w14:textId="77777777">
      <w:pPr>
        <w:spacing w:line="240" w:lineRule="auto"/>
        <w:ind w:firstLine="0"/>
        <w:jc w:val="center"/>
        <w:rPr>
          <w:rFonts w:ascii="Palatino" w:hAnsi="Palatino" w:eastAsia="Times New Roman" w:cs="Times New Roman"/>
          <w:szCs w:val="20"/>
        </w:rPr>
      </w:pPr>
    </w:p>
    <w:p w:rsidR="00242DED" w:rsidP="001912E8" w:rsidRDefault="00242DED" w14:paraId="62BF3C03" w14:textId="77777777">
      <w:pPr>
        <w:spacing w:line="240" w:lineRule="auto"/>
        <w:ind w:firstLine="0"/>
        <w:jc w:val="center"/>
        <w:rPr>
          <w:rFonts w:ascii="Palatino" w:hAnsi="Palatino" w:eastAsia="Times New Roman" w:cs="Times New Roman"/>
          <w:szCs w:val="20"/>
        </w:rPr>
      </w:pPr>
    </w:p>
    <w:p w:rsidR="00242DED" w:rsidP="001912E8" w:rsidRDefault="00242DED" w14:paraId="526207C8" w14:textId="77777777">
      <w:pPr>
        <w:spacing w:line="240" w:lineRule="auto"/>
        <w:ind w:firstLine="0"/>
        <w:jc w:val="center"/>
        <w:rPr>
          <w:rFonts w:ascii="Palatino" w:hAnsi="Palatino" w:eastAsia="Times New Roman" w:cs="Times New Roman"/>
          <w:szCs w:val="20"/>
        </w:rPr>
      </w:pPr>
    </w:p>
    <w:p w:rsidRPr="001912E8" w:rsidR="00242DED" w:rsidP="001912E8" w:rsidRDefault="00242DED" w14:paraId="0889A7F8"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28CA2454" w14:textId="77777777">
      <w:pPr>
        <w:spacing w:line="240" w:lineRule="auto"/>
        <w:ind w:firstLine="0"/>
        <w:jc w:val="center"/>
        <w:rPr>
          <w:rFonts w:eastAsia="Times New Roman" w:cs="Times New Roman"/>
          <w:szCs w:val="20"/>
        </w:rPr>
      </w:pPr>
      <w:r w:rsidRPr="001912E8">
        <w:rPr>
          <w:rFonts w:eastAsia="Times New Roman" w:cs="Times New Roman"/>
          <w:b/>
          <w:sz w:val="40"/>
          <w:szCs w:val="40"/>
        </w:rPr>
        <w:t>ATTACHMENT C</w:t>
      </w:r>
    </w:p>
    <w:p w:rsidRPr="001912E8" w:rsidR="001912E8" w:rsidP="001912E8" w:rsidRDefault="001912E8" w14:paraId="6DE0810E" w14:textId="77777777">
      <w:pPr>
        <w:spacing w:line="240" w:lineRule="auto"/>
        <w:ind w:firstLine="0"/>
        <w:jc w:val="center"/>
        <w:rPr>
          <w:rFonts w:eastAsia="Times New Roman" w:cs="Times New Roman"/>
          <w:szCs w:val="20"/>
        </w:rPr>
        <w:sectPr w:rsidRPr="001912E8" w:rsidR="001912E8" w:rsidSect="001912E8">
          <w:footerReference w:type="default" r:id="rId55"/>
          <w:pgSz w:w="12240" w:h="15840" w:code="1"/>
          <w:pgMar w:top="1152" w:right="1440" w:bottom="1440" w:left="1440" w:header="720" w:footer="720" w:gutter="0"/>
          <w:pgNumType w:start="1"/>
          <w:cols w:space="720"/>
        </w:sectPr>
      </w:pPr>
    </w:p>
    <w:p w:rsidRPr="001912E8" w:rsidR="001912E8" w:rsidP="001912E8" w:rsidRDefault="001912E8" w14:paraId="58C3EE6B"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lastRenderedPageBreak/>
        <w:t>ATTACHMENT C</w:t>
      </w:r>
    </w:p>
    <w:p w:rsidRPr="001912E8" w:rsidR="001912E8" w:rsidP="001912E8" w:rsidRDefault="001912E8" w14:paraId="6F9E7448"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t>ANNUAL REPORT</w:t>
      </w:r>
    </w:p>
    <w:p w:rsidRPr="001912E8" w:rsidR="001912E8" w:rsidP="00D6171E" w:rsidRDefault="001912E8" w14:paraId="2CDFE033" w14:textId="77777777">
      <w:pPr>
        <w:spacing w:before="240" w:after="240" w:line="276" w:lineRule="auto"/>
        <w:ind w:firstLine="0"/>
        <w:rPr>
          <w:rFonts w:eastAsia="Times New Roman" w:cs="Times New Roman"/>
          <w:szCs w:val="20"/>
        </w:rPr>
      </w:pPr>
      <w:bookmarkStart w:name="_Hlk132964875" w:id="144"/>
      <w:r w:rsidRPr="001912E8">
        <w:rPr>
          <w:rFonts w:eastAsia="Times New Roman" w:cs="Times New Roman"/>
          <w:szCs w:val="26"/>
        </w:rPr>
        <w:t xml:space="preserve">In addition to the annual reports requirement pursuant to General Order 104-A, Telephone Corporations must submit the following information electronically to the Commission’s Communications Division using the Annual Operational and Financial Information Report Form via email to </w:t>
      </w:r>
      <w:hyperlink w:history="1" r:id="rId56">
        <w:r w:rsidRPr="001912E8">
          <w:rPr>
            <w:rFonts w:eastAsia="Times New Roman" w:cs="Times New Roman"/>
            <w:color w:val="0000FF"/>
            <w:szCs w:val="26"/>
            <w:u w:val="single"/>
          </w:rPr>
          <w:t>cdcompliance@cpuc.ca.gov</w:t>
        </w:r>
      </w:hyperlink>
      <w:r w:rsidRPr="001912E8">
        <w:rPr>
          <w:rFonts w:ascii="Palatino" w:hAnsi="Palatino" w:eastAsia="Times New Roman" w:cs="Times New Roman"/>
          <w:szCs w:val="20"/>
        </w:rPr>
        <w:t>,</w:t>
      </w:r>
      <w:r w:rsidRPr="001912E8">
        <w:rPr>
          <w:rFonts w:eastAsia="Times New Roman" w:cs="Times New Roman"/>
          <w:szCs w:val="26"/>
        </w:rPr>
        <w:t xml:space="preserve"> no later than March 31st of the year following the calendar year for which the annual report is submitted.</w:t>
      </w:r>
      <w:r w:rsidRPr="001912E8">
        <w:rPr>
          <w:rFonts w:eastAsia="Times New Roman" w:cs="Times New Roman"/>
          <w:sz w:val="24"/>
          <w:szCs w:val="26"/>
          <w:vertAlign w:val="superscript"/>
        </w:rPr>
        <w:footnoteReference w:id="64"/>
      </w:r>
    </w:p>
    <w:p w:rsidRPr="001912E8" w:rsidR="001912E8" w:rsidP="001912E8" w:rsidRDefault="001912E8" w14:paraId="23A8C9B0" w14:textId="77777777">
      <w:pPr>
        <w:spacing w:line="240" w:lineRule="auto"/>
        <w:ind w:firstLine="0"/>
        <w:rPr>
          <w:rFonts w:eastAsia="Times New Roman" w:cs="Times New Roman"/>
          <w:szCs w:val="20"/>
        </w:rPr>
      </w:pPr>
      <w:r w:rsidRPr="001912E8">
        <w:rPr>
          <w:rFonts w:eastAsia="Times New Roman" w:cs="Times New Roman"/>
          <w:szCs w:val="20"/>
        </w:rPr>
        <w:t>Failure to submit this information on time may result in a penalty as provided for in Pub. Util. Code Sections 2107 and 2108.</w:t>
      </w:r>
    </w:p>
    <w:p w:rsidRPr="001912E8" w:rsidR="001912E8" w:rsidP="001912E8" w:rsidRDefault="001912E8" w14:paraId="1D4E3184" w14:textId="77777777">
      <w:pPr>
        <w:spacing w:line="240" w:lineRule="auto"/>
        <w:ind w:firstLine="0"/>
        <w:rPr>
          <w:rFonts w:eastAsia="Times New Roman" w:cs="Times New Roman"/>
          <w:szCs w:val="20"/>
        </w:rPr>
      </w:pPr>
    </w:p>
    <w:p w:rsidRPr="001912E8" w:rsidR="001912E8" w:rsidP="00C74779" w:rsidRDefault="001912E8" w14:paraId="17668B7A" w14:textId="73A077C4">
      <w:pPr>
        <w:spacing w:after="240" w:line="240" w:lineRule="auto"/>
        <w:ind w:firstLine="0"/>
        <w:rPr>
          <w:rFonts w:eastAsia="Times New Roman" w:cs="Times New Roman"/>
          <w:szCs w:val="20"/>
        </w:rPr>
      </w:pPr>
      <w:r w:rsidRPr="001912E8">
        <w:rPr>
          <w:rFonts w:eastAsia="Times New Roman" w:cs="Times New Roman"/>
          <w:szCs w:val="20"/>
        </w:rPr>
        <w:t>Required information:</w:t>
      </w:r>
    </w:p>
    <w:p w:rsidRPr="001912E8" w:rsidR="001912E8" w:rsidRDefault="001912E8" w14:paraId="54017999" w14:textId="511A73EE">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Exact legal name and Utility ID number of the reporting utility</w:t>
      </w:r>
      <w:r w:rsidR="00C74779">
        <w:rPr>
          <w:rFonts w:eastAsia="Times New Roman" w:cs="Times New Roman"/>
          <w:szCs w:val="20"/>
        </w:rPr>
        <w:t>;</w:t>
      </w:r>
    </w:p>
    <w:p w:rsidRPr="001912E8" w:rsidR="001912E8" w:rsidRDefault="001912E8" w14:paraId="57A2B7D9" w14:textId="2FD667D6">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Address of the reporting utility</w:t>
      </w:r>
      <w:r w:rsidR="00C74779">
        <w:rPr>
          <w:rFonts w:eastAsia="Times New Roman" w:cs="Times New Roman"/>
          <w:szCs w:val="20"/>
        </w:rPr>
        <w:t>;</w:t>
      </w:r>
    </w:p>
    <w:p w:rsidRPr="001912E8" w:rsidR="001912E8" w:rsidRDefault="001912E8" w14:paraId="1873F4CC" w14:textId="5767E76C">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Name, title, address, and telephone number of the person to be contacted concerning the reported information</w:t>
      </w:r>
      <w:r w:rsidR="00C74779">
        <w:rPr>
          <w:rFonts w:eastAsia="Times New Roman" w:cs="Times New Roman"/>
          <w:szCs w:val="20"/>
        </w:rPr>
        <w:t>;</w:t>
      </w:r>
    </w:p>
    <w:p w:rsidRPr="001912E8" w:rsidR="001912E8" w:rsidRDefault="001912E8" w14:paraId="3382FE57" w14:textId="730B8ED4">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Name and title of the officer having custody of the general books of account and the address of the office where such books are kept</w:t>
      </w:r>
      <w:r w:rsidR="00C74779">
        <w:rPr>
          <w:rFonts w:eastAsia="Times New Roman" w:cs="Times New Roman"/>
          <w:szCs w:val="20"/>
        </w:rPr>
        <w:t>;</w:t>
      </w:r>
    </w:p>
    <w:p w:rsidRPr="001912E8" w:rsidR="001912E8" w:rsidRDefault="001912E8" w14:paraId="43642D57" w14:textId="13256858">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Type of organization (</w:t>
      </w:r>
      <w:r w:rsidRPr="001912E8">
        <w:rPr>
          <w:rFonts w:eastAsia="Times New Roman" w:cs="Times New Roman"/>
          <w:i/>
          <w:iCs/>
          <w:szCs w:val="20"/>
        </w:rPr>
        <w:t>e.g</w:t>
      </w:r>
      <w:r w:rsidRPr="001912E8">
        <w:rPr>
          <w:rFonts w:eastAsia="Times New Roman" w:cs="Times New Roman"/>
          <w:szCs w:val="20"/>
        </w:rPr>
        <w:t>., corporation, partnership, sole proprietorship, etc.)</w:t>
      </w:r>
    </w:p>
    <w:p w:rsidRPr="001912E8" w:rsidR="001912E8" w:rsidP="001E602B" w:rsidRDefault="001912E8" w14:paraId="752C455C" w14:textId="77777777">
      <w:pPr>
        <w:tabs>
          <w:tab w:val="left" w:pos="7920"/>
        </w:tabs>
        <w:suppressAutoHyphens/>
        <w:spacing w:line="240" w:lineRule="auto"/>
        <w:ind w:left="1800" w:right="1440" w:hanging="1080"/>
        <w:rPr>
          <w:rFonts w:eastAsia="Times New Roman" w:cs="Times New Roman"/>
          <w:szCs w:val="20"/>
        </w:rPr>
      </w:pPr>
      <w:r w:rsidRPr="001912E8">
        <w:rPr>
          <w:rFonts w:eastAsia="Times New Roman" w:cs="Times New Roman"/>
          <w:szCs w:val="20"/>
        </w:rPr>
        <w:t>If incorporated, specify:</w:t>
      </w:r>
    </w:p>
    <w:p w:rsidRPr="001912E8" w:rsidR="001912E8" w:rsidP="001E602B" w:rsidRDefault="001912E8" w14:paraId="3E6DC3B2" w14:textId="0CDEDDBD">
      <w:pPr>
        <w:tabs>
          <w:tab w:val="left" w:pos="7920"/>
        </w:tabs>
        <w:spacing w:line="240" w:lineRule="auto"/>
        <w:ind w:left="1080" w:right="1440" w:hanging="360"/>
        <w:rPr>
          <w:rFonts w:eastAsia="Times New Roman" w:cs="Times New Roman"/>
          <w:szCs w:val="20"/>
        </w:rPr>
      </w:pPr>
      <w:r w:rsidRPr="001912E8">
        <w:rPr>
          <w:rFonts w:eastAsia="Times New Roman" w:cs="Times New Roman"/>
          <w:szCs w:val="20"/>
        </w:rPr>
        <w:t>a.</w:t>
      </w:r>
      <w:r w:rsidRPr="001912E8">
        <w:rPr>
          <w:rFonts w:eastAsia="Times New Roman" w:cs="Times New Roman"/>
          <w:szCs w:val="20"/>
        </w:rPr>
        <w:tab/>
        <w:t>Date of filing articles of incorporation with the Secretary of State</w:t>
      </w:r>
      <w:r w:rsidR="00C74779">
        <w:rPr>
          <w:rFonts w:eastAsia="Times New Roman" w:cs="Times New Roman"/>
          <w:szCs w:val="20"/>
        </w:rPr>
        <w:t>;</w:t>
      </w:r>
    </w:p>
    <w:p w:rsidRPr="001912E8" w:rsidR="001912E8" w:rsidP="001E602B" w:rsidRDefault="001912E8" w14:paraId="13F96573" w14:textId="19B96418">
      <w:pPr>
        <w:tabs>
          <w:tab w:val="left" w:pos="7920"/>
        </w:tabs>
        <w:spacing w:line="240" w:lineRule="auto"/>
        <w:ind w:left="1080" w:right="1440" w:hanging="360"/>
        <w:rPr>
          <w:rFonts w:eastAsia="Times New Roman" w:cs="Times New Roman"/>
          <w:szCs w:val="20"/>
        </w:rPr>
      </w:pPr>
      <w:r w:rsidRPr="001912E8">
        <w:rPr>
          <w:rFonts w:eastAsia="Times New Roman" w:cs="Times New Roman"/>
          <w:szCs w:val="20"/>
        </w:rPr>
        <w:t>b.</w:t>
      </w:r>
      <w:r w:rsidRPr="001912E8">
        <w:rPr>
          <w:rFonts w:eastAsia="Times New Roman" w:cs="Times New Roman"/>
          <w:szCs w:val="20"/>
        </w:rPr>
        <w:tab/>
        <w:t>State in which incorporated</w:t>
      </w:r>
      <w:r w:rsidR="00C74779">
        <w:rPr>
          <w:rFonts w:eastAsia="Times New Roman" w:cs="Times New Roman"/>
          <w:szCs w:val="20"/>
        </w:rPr>
        <w:t>;</w:t>
      </w:r>
    </w:p>
    <w:p w:rsidRPr="001912E8" w:rsidR="001912E8" w:rsidRDefault="001912E8" w14:paraId="61B5A1D3" w14:textId="089FF05B">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Number and date of the Commission decision granting the Certificate of Public Convenience and Necessity</w:t>
      </w:r>
      <w:r w:rsidR="00C74779">
        <w:rPr>
          <w:rFonts w:eastAsia="Times New Roman" w:cs="Times New Roman"/>
          <w:szCs w:val="20"/>
        </w:rPr>
        <w:t>;</w:t>
      </w:r>
    </w:p>
    <w:p w:rsidRPr="001912E8" w:rsidR="001912E8" w:rsidRDefault="001912E8" w14:paraId="100E0C93" w14:textId="53334D18">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Date operations were begun</w:t>
      </w:r>
      <w:r w:rsidR="001E602B">
        <w:rPr>
          <w:rFonts w:eastAsia="Times New Roman" w:cs="Times New Roman"/>
          <w:szCs w:val="20"/>
        </w:rPr>
        <w:t>;</w:t>
      </w:r>
    </w:p>
    <w:p w:rsidRPr="001912E8" w:rsidR="001912E8" w:rsidRDefault="001912E8" w14:paraId="06050C9E" w14:textId="06536832">
      <w:pPr>
        <w:numPr>
          <w:ilvl w:val="0"/>
          <w:numId w:val="8"/>
        </w:numPr>
        <w:tabs>
          <w:tab w:val="left" w:pos="-720"/>
          <w:tab w:val="left" w:pos="7920"/>
        </w:tabs>
        <w:suppressAutoHyphens/>
        <w:spacing w:line="240" w:lineRule="auto"/>
        <w:ind w:right="1440"/>
        <w:rPr>
          <w:rFonts w:eastAsia="Times New Roman" w:cs="Times New Roman"/>
          <w:szCs w:val="20"/>
        </w:rPr>
      </w:pPr>
      <w:r w:rsidRPr="001912E8">
        <w:rPr>
          <w:rFonts w:eastAsia="Times New Roman" w:cs="Times New Roman"/>
          <w:szCs w:val="20"/>
        </w:rPr>
        <w:t>Description of other business activities in which the utility is engaged</w:t>
      </w:r>
      <w:r w:rsidR="001E602B">
        <w:rPr>
          <w:rFonts w:eastAsia="Times New Roman" w:cs="Times New Roman"/>
          <w:szCs w:val="20"/>
        </w:rPr>
        <w:t>;</w:t>
      </w:r>
    </w:p>
    <w:p w:rsidRPr="001912E8" w:rsidR="001912E8" w:rsidRDefault="001912E8" w14:paraId="0AC1B922" w14:textId="77777777">
      <w:pPr>
        <w:numPr>
          <w:ilvl w:val="0"/>
          <w:numId w:val="8"/>
        </w:numPr>
        <w:tabs>
          <w:tab w:val="left" w:pos="-720"/>
          <w:tab w:val="left" w:pos="7920"/>
        </w:tabs>
        <w:suppressAutoHyphens/>
        <w:spacing w:after="60" w:line="240" w:lineRule="auto"/>
        <w:ind w:right="1440"/>
        <w:rPr>
          <w:rFonts w:eastAsia="Times New Roman" w:cs="Times New Roman"/>
          <w:szCs w:val="20"/>
        </w:rPr>
      </w:pPr>
      <w:r w:rsidRPr="001912E8">
        <w:rPr>
          <w:rFonts w:eastAsia="Times New Roman" w:cs="Times New Roman"/>
          <w:szCs w:val="20"/>
        </w:rPr>
        <w:lastRenderedPageBreak/>
        <w:t>List of all affiliated companies and their relationship to the utility.  State if affiliate is a:</w:t>
      </w:r>
    </w:p>
    <w:p w:rsidRPr="001912E8" w:rsidR="001912E8" w:rsidP="001E602B" w:rsidRDefault="001912E8" w14:paraId="44E7F583" w14:textId="13A9DE64">
      <w:pPr>
        <w:tabs>
          <w:tab w:val="left" w:pos="7920"/>
        </w:tabs>
        <w:spacing w:line="240" w:lineRule="auto"/>
        <w:ind w:left="1080" w:hanging="360"/>
        <w:rPr>
          <w:rFonts w:eastAsia="Times New Roman" w:cs="Times New Roman"/>
          <w:szCs w:val="20"/>
        </w:rPr>
      </w:pPr>
      <w:r w:rsidRPr="001912E8">
        <w:rPr>
          <w:rFonts w:eastAsia="Times New Roman" w:cs="Times New Roman"/>
          <w:szCs w:val="20"/>
        </w:rPr>
        <w:t>a.</w:t>
      </w:r>
      <w:r w:rsidRPr="001912E8">
        <w:rPr>
          <w:rFonts w:eastAsia="Times New Roman" w:cs="Times New Roman"/>
          <w:szCs w:val="20"/>
        </w:rPr>
        <w:tab/>
        <w:t>Regulated public utility</w:t>
      </w:r>
      <w:r w:rsidR="001E602B">
        <w:rPr>
          <w:rFonts w:eastAsia="Times New Roman" w:cs="Times New Roman"/>
          <w:szCs w:val="20"/>
        </w:rPr>
        <w:t>;</w:t>
      </w:r>
    </w:p>
    <w:p w:rsidRPr="001912E8" w:rsidR="001912E8" w:rsidP="001E602B" w:rsidRDefault="001912E8" w14:paraId="11C28A38" w14:textId="0DEC3551">
      <w:pPr>
        <w:tabs>
          <w:tab w:val="left" w:pos="7920"/>
        </w:tabs>
        <w:spacing w:after="120" w:line="240" w:lineRule="auto"/>
        <w:ind w:left="1080" w:hanging="360"/>
        <w:rPr>
          <w:rFonts w:eastAsia="Times New Roman" w:cs="Times New Roman"/>
          <w:szCs w:val="20"/>
        </w:rPr>
      </w:pPr>
      <w:r w:rsidRPr="001912E8">
        <w:rPr>
          <w:rFonts w:eastAsia="Times New Roman" w:cs="Times New Roman"/>
          <w:szCs w:val="20"/>
        </w:rPr>
        <w:t>b.</w:t>
      </w:r>
      <w:r w:rsidRPr="001912E8">
        <w:rPr>
          <w:rFonts w:eastAsia="Times New Roman" w:cs="Times New Roman"/>
          <w:szCs w:val="20"/>
        </w:rPr>
        <w:tab/>
        <w:t>Publicly held corporation</w:t>
      </w:r>
      <w:r w:rsidR="001E602B">
        <w:rPr>
          <w:rFonts w:eastAsia="Times New Roman" w:cs="Times New Roman"/>
          <w:szCs w:val="20"/>
        </w:rPr>
        <w:t>;</w:t>
      </w:r>
    </w:p>
    <w:p w:rsidRPr="001912E8" w:rsidR="001912E8" w:rsidRDefault="001912E8" w14:paraId="6F3D41D6" w14:textId="3A2F52DF">
      <w:pPr>
        <w:numPr>
          <w:ilvl w:val="0"/>
          <w:numId w:val="12"/>
        </w:numPr>
        <w:tabs>
          <w:tab w:val="left" w:pos="-720"/>
          <w:tab w:val="left" w:pos="7920"/>
        </w:tabs>
        <w:suppressAutoHyphens/>
        <w:spacing w:after="60" w:line="240" w:lineRule="auto"/>
        <w:ind w:left="734" w:hanging="547"/>
        <w:rPr>
          <w:rFonts w:eastAsia="Times New Roman" w:cs="Times New Roman"/>
          <w:szCs w:val="20"/>
        </w:rPr>
      </w:pPr>
      <w:r w:rsidRPr="001912E8">
        <w:rPr>
          <w:rFonts w:eastAsia="Times New Roman" w:cs="Times New Roman"/>
          <w:szCs w:val="20"/>
        </w:rPr>
        <w:t>Balance sheet as of December 31st of the year for which information is submitted</w:t>
      </w:r>
      <w:r w:rsidR="001E602B">
        <w:rPr>
          <w:rFonts w:eastAsia="Times New Roman" w:cs="Times New Roman"/>
          <w:szCs w:val="20"/>
        </w:rPr>
        <w:t>; and…</w:t>
      </w:r>
    </w:p>
    <w:p w:rsidRPr="001912E8" w:rsidR="001912E8" w:rsidRDefault="001912E8" w14:paraId="1C139120" w14:textId="77777777">
      <w:pPr>
        <w:numPr>
          <w:ilvl w:val="0"/>
          <w:numId w:val="12"/>
        </w:numPr>
        <w:tabs>
          <w:tab w:val="left" w:pos="-720"/>
          <w:tab w:val="left" w:pos="7920"/>
        </w:tabs>
        <w:suppressAutoHyphens/>
        <w:spacing w:after="60" w:line="240" w:lineRule="auto"/>
        <w:ind w:left="734" w:hanging="547"/>
        <w:rPr>
          <w:rFonts w:eastAsia="Times New Roman" w:cs="Times New Roman"/>
          <w:szCs w:val="20"/>
        </w:rPr>
      </w:pPr>
      <w:r w:rsidRPr="001912E8">
        <w:rPr>
          <w:rFonts w:eastAsia="Times New Roman" w:cs="Times New Roman"/>
          <w:szCs w:val="20"/>
        </w:rPr>
        <w:t>Income statement for California operations for the calendar year for which information is submitted.</w:t>
      </w:r>
    </w:p>
    <w:p w:rsidRPr="001912E8" w:rsidR="001912E8" w:rsidP="001912E8" w:rsidRDefault="001912E8" w14:paraId="35B33F22" w14:textId="77777777">
      <w:pPr>
        <w:spacing w:before="40" w:after="80" w:line="240" w:lineRule="auto"/>
        <w:ind w:firstLine="0"/>
        <w:rPr>
          <w:rFonts w:eastAsia="Times New Roman" w:cs="Times New Roman"/>
          <w:szCs w:val="20"/>
        </w:rPr>
      </w:pPr>
      <w:r w:rsidRPr="001912E8">
        <w:rPr>
          <w:rFonts w:eastAsia="Times New Roman" w:cs="Times New Roman"/>
          <w:szCs w:val="20"/>
        </w:rPr>
        <w:t xml:space="preserve">Additional information about the reporting requirements is available from the Commission’s website: </w:t>
      </w:r>
      <w:hyperlink w:history="1" r:id="rId57">
        <w:r w:rsidRPr="001912E8">
          <w:rPr>
            <w:rFonts w:eastAsia="Times New Roman" w:cs="Times New Roman"/>
            <w:color w:val="0000FF"/>
            <w:szCs w:val="20"/>
            <w:u w:val="single"/>
          </w:rPr>
          <w:t>https://www.cpuc.ca.gov/industries-and-topics/internet-and-phone/carrier-reporting-requirements/annual-report-forms</w:t>
        </w:r>
      </w:hyperlink>
      <w:r w:rsidRPr="001912E8">
        <w:rPr>
          <w:rFonts w:eastAsia="Times New Roman" w:cs="Times New Roman"/>
          <w:szCs w:val="20"/>
        </w:rPr>
        <w:t xml:space="preserve">. For any questions concerning this report, please send an email to </w:t>
      </w:r>
      <w:hyperlink w:history="1" r:id="rId58">
        <w:r w:rsidRPr="001912E8">
          <w:rPr>
            <w:rFonts w:eastAsia="Times New Roman" w:cs="Times New Roman"/>
            <w:color w:val="0000FF"/>
            <w:szCs w:val="20"/>
            <w:u w:val="single"/>
          </w:rPr>
          <w:t>cdcompliance@cpuc.ca.gov</w:t>
        </w:r>
      </w:hyperlink>
      <w:r w:rsidRPr="001912E8">
        <w:rPr>
          <w:rFonts w:eastAsia="Times New Roman" w:cs="Times New Roman"/>
          <w:szCs w:val="20"/>
        </w:rPr>
        <w:t xml:space="preserve"> with a subject line that includes: “CD Annual Reports.”</w:t>
      </w:r>
    </w:p>
    <w:bookmarkEnd w:id="144"/>
    <w:p w:rsidRPr="001912E8" w:rsidR="001912E8" w:rsidP="001912E8" w:rsidRDefault="001912E8" w14:paraId="1A546F85" w14:textId="77777777">
      <w:pPr>
        <w:spacing w:before="40" w:after="80" w:line="240" w:lineRule="auto"/>
        <w:ind w:firstLine="0"/>
        <w:rPr>
          <w:rFonts w:eastAsia="Times New Roman" w:cs="Times New Roman"/>
          <w:szCs w:val="20"/>
        </w:rPr>
      </w:pPr>
    </w:p>
    <w:p w:rsidRPr="001912E8" w:rsidR="001912E8" w:rsidP="001912E8" w:rsidRDefault="001912E8" w14:paraId="3446FB9D" w14:textId="77777777">
      <w:pPr>
        <w:spacing w:after="120" w:line="240" w:lineRule="auto"/>
        <w:ind w:firstLine="0"/>
        <w:jc w:val="center"/>
        <w:rPr>
          <w:rFonts w:eastAsia="Times New Roman" w:cs="Times New Roman"/>
          <w:szCs w:val="20"/>
        </w:rPr>
      </w:pPr>
      <w:r w:rsidRPr="001912E8">
        <w:rPr>
          <w:rFonts w:eastAsia="Times New Roman" w:cs="Times New Roman"/>
          <w:b/>
          <w:szCs w:val="20"/>
        </w:rPr>
        <w:t>(END OF ATTACHMENT C)</w:t>
      </w:r>
    </w:p>
    <w:p w:rsidRPr="001912E8" w:rsidR="001912E8" w:rsidP="001912E8" w:rsidRDefault="001912E8" w14:paraId="222F75A7" w14:textId="77777777">
      <w:pPr>
        <w:spacing w:line="240" w:lineRule="auto"/>
        <w:ind w:firstLine="0"/>
        <w:jc w:val="center"/>
        <w:rPr>
          <w:rFonts w:eastAsia="Times New Roman" w:cs="Times New Roman"/>
          <w:szCs w:val="20"/>
        </w:rPr>
      </w:pPr>
    </w:p>
    <w:p w:rsidRPr="001912E8" w:rsidR="001912E8" w:rsidP="001912E8" w:rsidRDefault="001912E8" w14:paraId="11C14350" w14:textId="77777777">
      <w:pPr>
        <w:spacing w:line="240" w:lineRule="auto"/>
        <w:ind w:firstLine="0"/>
        <w:jc w:val="center"/>
        <w:rPr>
          <w:rFonts w:eastAsia="Times New Roman" w:cs="Times New Roman"/>
          <w:szCs w:val="20"/>
        </w:rPr>
      </w:pPr>
    </w:p>
    <w:p w:rsidRPr="001912E8" w:rsidR="001912E8" w:rsidP="001912E8" w:rsidRDefault="001912E8" w14:paraId="3E401E04" w14:textId="77777777">
      <w:pPr>
        <w:spacing w:line="240" w:lineRule="auto"/>
        <w:ind w:firstLine="0"/>
        <w:jc w:val="center"/>
        <w:rPr>
          <w:rFonts w:eastAsia="Times New Roman" w:cs="Times New Roman"/>
          <w:szCs w:val="20"/>
        </w:rPr>
        <w:sectPr w:rsidRPr="001912E8" w:rsidR="001912E8" w:rsidSect="001912E8">
          <w:footerReference w:type="default" r:id="rId59"/>
          <w:pgSz w:w="12240" w:h="15840" w:code="1"/>
          <w:pgMar w:top="1152" w:right="1440" w:bottom="1440" w:left="1440" w:header="720" w:footer="720" w:gutter="0"/>
          <w:pgNumType w:start="1"/>
          <w:cols w:space="720"/>
        </w:sectPr>
      </w:pPr>
    </w:p>
    <w:p w:rsidRPr="001912E8" w:rsidR="001912E8" w:rsidP="00E732F2" w:rsidRDefault="001912E8" w14:paraId="205F5F10" w14:textId="77777777">
      <w:pPr>
        <w:spacing w:line="240" w:lineRule="auto"/>
        <w:ind w:firstLine="0"/>
        <w:rPr>
          <w:rFonts w:ascii="Palatino" w:hAnsi="Palatino" w:eastAsia="Times New Roman" w:cs="Times New Roman"/>
          <w:szCs w:val="20"/>
        </w:rPr>
      </w:pPr>
    </w:p>
    <w:p w:rsidRPr="001912E8" w:rsidR="001912E8" w:rsidP="001912E8" w:rsidRDefault="001912E8" w14:paraId="05CEAFB3"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6537130F"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0CE306A9"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7C833D8F"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51DD91AE"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3C2AAE6E"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4C729338"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62869C57"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61289D01"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6E1C22AD" w14:textId="77777777">
      <w:pPr>
        <w:spacing w:line="240" w:lineRule="auto"/>
        <w:ind w:firstLine="0"/>
        <w:jc w:val="center"/>
        <w:rPr>
          <w:rFonts w:ascii="Palatino" w:hAnsi="Palatino" w:eastAsia="Times New Roman" w:cs="Times New Roman"/>
          <w:szCs w:val="20"/>
        </w:rPr>
      </w:pPr>
    </w:p>
    <w:p w:rsidRPr="001912E8" w:rsidR="001912E8" w:rsidP="001912E8" w:rsidRDefault="001912E8" w14:paraId="486B3597" w14:textId="77777777">
      <w:pPr>
        <w:spacing w:line="240" w:lineRule="auto"/>
        <w:ind w:firstLine="0"/>
        <w:jc w:val="center"/>
        <w:rPr>
          <w:rFonts w:eastAsia="Times New Roman" w:cs="Times New Roman"/>
          <w:szCs w:val="20"/>
        </w:rPr>
      </w:pPr>
      <w:r w:rsidRPr="001912E8">
        <w:rPr>
          <w:rFonts w:eastAsia="Times New Roman" w:cs="Times New Roman"/>
          <w:b/>
          <w:sz w:val="40"/>
          <w:szCs w:val="40"/>
        </w:rPr>
        <w:t>ATTACHMENT D</w:t>
      </w:r>
    </w:p>
    <w:p w:rsidR="001912E8" w:rsidP="001912E8" w:rsidRDefault="001912E8" w14:paraId="68946B7C" w14:textId="77777777">
      <w:pPr>
        <w:spacing w:line="240" w:lineRule="auto"/>
        <w:ind w:firstLine="0"/>
        <w:jc w:val="center"/>
        <w:rPr>
          <w:rFonts w:eastAsia="Times New Roman" w:cs="Times New Roman"/>
          <w:b/>
          <w:sz w:val="40"/>
          <w:szCs w:val="40"/>
        </w:rPr>
      </w:pPr>
    </w:p>
    <w:p w:rsidR="00F826C4" w:rsidP="00F826C4" w:rsidRDefault="00F826C4" w14:paraId="24E4EA18" w14:textId="77777777">
      <w:pPr>
        <w:rPr>
          <w:rFonts w:eastAsia="Times New Roman" w:cs="Times New Roman"/>
          <w:b/>
          <w:sz w:val="40"/>
          <w:szCs w:val="40"/>
        </w:rPr>
      </w:pPr>
    </w:p>
    <w:p w:rsidRPr="00F826C4" w:rsidR="00F826C4" w:rsidP="001379FA" w:rsidRDefault="00F826C4" w14:paraId="53F3CDAD" w14:textId="77777777">
      <w:pPr>
        <w:rPr>
          <w:rFonts w:ascii="Palatino" w:hAnsi="Palatino" w:eastAsia="Times New Roman" w:cs="Times New Roman"/>
          <w:szCs w:val="20"/>
        </w:rPr>
        <w:sectPr w:rsidRPr="00F826C4" w:rsidR="00F826C4" w:rsidSect="001912E8">
          <w:footerReference w:type="default" r:id="rId60"/>
          <w:pgSz w:w="12240" w:h="15840" w:code="1"/>
          <w:pgMar w:top="1152" w:right="1440" w:bottom="1440" w:left="1440" w:header="720" w:footer="720" w:gutter="0"/>
          <w:pgNumType w:start="1"/>
          <w:cols w:space="720"/>
        </w:sectPr>
      </w:pPr>
    </w:p>
    <w:p w:rsidRPr="001912E8" w:rsidR="001912E8" w:rsidP="001912E8" w:rsidRDefault="001912E8" w14:paraId="4B264E4C"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lastRenderedPageBreak/>
        <w:t>ATTACHMENT D</w:t>
      </w:r>
    </w:p>
    <w:p w:rsidRPr="001912E8" w:rsidR="001912E8" w:rsidP="001912E8" w:rsidRDefault="001912E8" w14:paraId="17969B65" w14:textId="77777777">
      <w:pPr>
        <w:spacing w:after="120" w:line="240" w:lineRule="auto"/>
        <w:ind w:firstLine="0"/>
        <w:jc w:val="center"/>
        <w:rPr>
          <w:rFonts w:eastAsia="Times New Roman" w:cs="Times New Roman"/>
          <w:b/>
          <w:szCs w:val="20"/>
        </w:rPr>
      </w:pPr>
      <w:r w:rsidRPr="001912E8">
        <w:rPr>
          <w:rFonts w:eastAsia="Times New Roman" w:cs="Times New Roman"/>
          <w:b/>
          <w:szCs w:val="20"/>
        </w:rPr>
        <w:t>CALENDAR YEAR AFFILIATE TRANSACTION REPORT</w:t>
      </w:r>
    </w:p>
    <w:p w:rsidRPr="001912E8" w:rsidR="001912E8" w:rsidP="001912E8" w:rsidRDefault="001912E8" w14:paraId="07D426BF" w14:textId="77777777">
      <w:pPr>
        <w:spacing w:line="276" w:lineRule="auto"/>
        <w:ind w:firstLine="0"/>
        <w:rPr>
          <w:rFonts w:eastAsia="Times New Roman" w:cs="Times New Roman"/>
          <w:szCs w:val="26"/>
        </w:rPr>
      </w:pPr>
      <w:r w:rsidRPr="001912E8">
        <w:rPr>
          <w:rFonts w:eastAsia="Times New Roman" w:cs="Times New Roman"/>
          <w:szCs w:val="26"/>
        </w:rPr>
        <w:t>Telephone Corporations must submit the following information electronically to the Commission’s Communications Division using the Annual Affiliate Transaction Report Form</w:t>
      </w:r>
      <w:r w:rsidRPr="001912E8">
        <w:rPr>
          <w:rFonts w:eastAsia="Times New Roman" w:cs="Times New Roman"/>
          <w:sz w:val="24"/>
          <w:szCs w:val="26"/>
          <w:vertAlign w:val="superscript"/>
        </w:rPr>
        <w:footnoteReference w:id="65"/>
      </w:r>
      <w:r w:rsidRPr="001912E8">
        <w:rPr>
          <w:rFonts w:eastAsia="Times New Roman" w:cs="Times New Roman"/>
          <w:szCs w:val="26"/>
        </w:rPr>
        <w:t xml:space="preserve"> via email to </w:t>
      </w:r>
      <w:hyperlink w:history="1" r:id="rId61">
        <w:r w:rsidRPr="001912E8">
          <w:rPr>
            <w:rFonts w:eastAsia="Times New Roman" w:cs="Times New Roman"/>
            <w:color w:val="0000FF"/>
            <w:szCs w:val="26"/>
            <w:u w:val="single"/>
          </w:rPr>
          <w:t>cdcompliance@cpuc.ca.gov</w:t>
        </w:r>
      </w:hyperlink>
      <w:r w:rsidRPr="001912E8">
        <w:rPr>
          <w:rFonts w:ascii="Palatino" w:hAnsi="Palatino" w:eastAsia="Times New Roman" w:cs="Times New Roman"/>
          <w:szCs w:val="20"/>
        </w:rPr>
        <w:t>,</w:t>
      </w:r>
      <w:r w:rsidRPr="001912E8">
        <w:rPr>
          <w:rFonts w:eastAsia="Times New Roman" w:cs="Times New Roman"/>
          <w:szCs w:val="26"/>
        </w:rPr>
        <w:t xml:space="preserve"> no later than May 1st of the year following the calendar year for which the annual affiliate transaction report is submitted.</w:t>
      </w:r>
    </w:p>
    <w:p w:rsidRPr="001912E8" w:rsidR="001912E8" w:rsidP="001912E8" w:rsidRDefault="001912E8" w14:paraId="70DF1193" w14:textId="77777777">
      <w:pPr>
        <w:spacing w:line="276" w:lineRule="auto"/>
        <w:ind w:firstLine="0"/>
        <w:rPr>
          <w:rFonts w:eastAsia="Times New Roman" w:cs="Times New Roman"/>
          <w:szCs w:val="26"/>
        </w:rPr>
      </w:pPr>
    </w:p>
    <w:p w:rsidRPr="001912E8" w:rsidR="001912E8" w:rsidP="001912E8" w:rsidRDefault="001912E8" w14:paraId="38B22A57" w14:textId="77777777">
      <w:pPr>
        <w:spacing w:line="276" w:lineRule="auto"/>
        <w:ind w:firstLine="0"/>
        <w:rPr>
          <w:rFonts w:eastAsia="Times New Roman" w:cs="Times New Roman"/>
          <w:szCs w:val="26"/>
        </w:rPr>
      </w:pPr>
      <w:r w:rsidRPr="001912E8">
        <w:rPr>
          <w:rFonts w:eastAsia="Times New Roman" w:cs="Times New Roman"/>
          <w:szCs w:val="26"/>
        </w:rPr>
        <w:t>Failure to submit this information on time may result in a penalty as provided for in Pub. Util. Code Sections 2107 and 2108.</w:t>
      </w:r>
    </w:p>
    <w:p w:rsidRPr="001912E8" w:rsidR="001912E8" w:rsidP="001912E8" w:rsidRDefault="001912E8" w14:paraId="260F21DA" w14:textId="77777777">
      <w:pPr>
        <w:spacing w:line="240" w:lineRule="auto"/>
        <w:ind w:firstLine="0"/>
        <w:rPr>
          <w:rFonts w:eastAsia="Times New Roman" w:cs="Times New Roman"/>
          <w:szCs w:val="20"/>
        </w:rPr>
      </w:pPr>
    </w:p>
    <w:p w:rsidRPr="001912E8" w:rsidR="001912E8" w:rsidRDefault="001912E8" w14:paraId="2D925E4C" w14:textId="6084E0DF">
      <w:pPr>
        <w:numPr>
          <w:ilvl w:val="3"/>
          <w:numId w:val="13"/>
        </w:numPr>
        <w:tabs>
          <w:tab w:val="left" w:pos="-720"/>
        </w:tabs>
        <w:suppressAutoHyphens/>
        <w:spacing w:after="120" w:line="240" w:lineRule="auto"/>
        <w:ind w:left="360" w:right="1440"/>
        <w:rPr>
          <w:rFonts w:eastAsia="Times New Roman" w:cs="Times New Roman"/>
          <w:szCs w:val="26"/>
        </w:rPr>
      </w:pPr>
      <w:r w:rsidRPr="001912E8">
        <w:rPr>
          <w:rFonts w:eastAsia="Times New Roman" w:cs="Times New Roman"/>
          <w:szCs w:val="26"/>
        </w:rPr>
        <w:t xml:space="preserve">Each </w:t>
      </w:r>
      <w:r w:rsidRPr="001912E8">
        <w:rPr>
          <w:rFonts w:eastAsia="Times New Roman" w:cs="Times New Roman"/>
          <w:szCs w:val="20"/>
        </w:rPr>
        <w:t>utility</w:t>
      </w:r>
      <w:r w:rsidRPr="001912E8">
        <w:rPr>
          <w:rFonts w:eastAsia="Times New Roman" w:cs="Times New Roman"/>
          <w:szCs w:val="26"/>
        </w:rPr>
        <w:t xml:space="preserve"> must list and provide the following information for each affiliated entity and regulated subsidiary that the utility had during the period covered by the Annual Affiliate Transaction Report</w:t>
      </w:r>
      <w:r w:rsidR="002620F2">
        <w:rPr>
          <w:rFonts w:eastAsia="Times New Roman" w:cs="Times New Roman"/>
          <w:szCs w:val="26"/>
        </w:rPr>
        <w:t>:</w:t>
      </w:r>
    </w:p>
    <w:p w:rsidRPr="002620F2" w:rsidR="001912E8" w:rsidRDefault="001912E8" w14:paraId="633842A1" w14:textId="5203CCF7">
      <w:pPr>
        <w:pStyle w:val="ListParagraph"/>
        <w:numPr>
          <w:ilvl w:val="0"/>
          <w:numId w:val="16"/>
        </w:numPr>
        <w:spacing w:after="120"/>
        <w:ind w:right="1440"/>
        <w:rPr>
          <w:szCs w:val="26"/>
        </w:rPr>
      </w:pPr>
      <w:r w:rsidRPr="002620F2">
        <w:rPr>
          <w:szCs w:val="26"/>
        </w:rPr>
        <w:t>Form</w:t>
      </w:r>
      <w:r w:rsidR="003705AC">
        <w:rPr>
          <w:szCs w:val="26"/>
        </w:rPr>
        <w:t>/type</w:t>
      </w:r>
      <w:r w:rsidRPr="002620F2">
        <w:rPr>
          <w:szCs w:val="26"/>
        </w:rPr>
        <w:t xml:space="preserve"> of organization (</w:t>
      </w:r>
      <w:r w:rsidRPr="002620F2">
        <w:rPr>
          <w:i/>
          <w:iCs/>
          <w:szCs w:val="26"/>
        </w:rPr>
        <w:t>e.g.,</w:t>
      </w:r>
      <w:r w:rsidRPr="002620F2">
        <w:rPr>
          <w:szCs w:val="26"/>
        </w:rPr>
        <w:t xml:space="preserve"> corporation, partnership, joint venture, strategic alliance, etc.);</w:t>
      </w:r>
    </w:p>
    <w:p w:rsidRPr="002620F2" w:rsidR="001912E8" w:rsidRDefault="001912E8" w14:paraId="0060FD19" w14:textId="3E38B7C9">
      <w:pPr>
        <w:pStyle w:val="ListParagraph"/>
        <w:numPr>
          <w:ilvl w:val="0"/>
          <w:numId w:val="16"/>
        </w:numPr>
        <w:spacing w:after="120"/>
        <w:ind w:right="1440"/>
        <w:rPr>
          <w:szCs w:val="26"/>
        </w:rPr>
      </w:pPr>
      <w:r w:rsidRPr="002620F2">
        <w:rPr>
          <w:szCs w:val="26"/>
        </w:rPr>
        <w:t>Brief description of business activities engaged in;</w:t>
      </w:r>
    </w:p>
    <w:p w:rsidRPr="002620F2" w:rsidR="001912E8" w:rsidRDefault="001912E8" w14:paraId="23DA5D0F" w14:textId="213DA35F">
      <w:pPr>
        <w:pStyle w:val="ListParagraph"/>
        <w:numPr>
          <w:ilvl w:val="0"/>
          <w:numId w:val="16"/>
        </w:numPr>
        <w:spacing w:after="120"/>
        <w:ind w:right="1440"/>
        <w:rPr>
          <w:szCs w:val="26"/>
        </w:rPr>
      </w:pPr>
      <w:r w:rsidRPr="002620F2">
        <w:rPr>
          <w:szCs w:val="26"/>
        </w:rPr>
        <w:t>Relationship to the utility (e.g., controlling corporation, subsidiary, regulated subsidiary, affiliate);</w:t>
      </w:r>
    </w:p>
    <w:p w:rsidRPr="002620F2" w:rsidR="001912E8" w:rsidRDefault="001912E8" w14:paraId="0B30CC0A" w14:textId="348DC0F6">
      <w:pPr>
        <w:pStyle w:val="ListParagraph"/>
        <w:numPr>
          <w:ilvl w:val="0"/>
          <w:numId w:val="16"/>
        </w:numPr>
        <w:spacing w:after="120"/>
        <w:ind w:right="1440"/>
        <w:rPr>
          <w:szCs w:val="26"/>
        </w:rPr>
      </w:pPr>
      <w:r w:rsidRPr="002620F2">
        <w:rPr>
          <w:szCs w:val="26"/>
        </w:rPr>
        <w:t>Ownership of the utility (including type and percent ownership)</w:t>
      </w:r>
    </w:p>
    <w:p w:rsidRPr="002620F2" w:rsidR="001912E8" w:rsidRDefault="001912E8" w14:paraId="6A105759" w14:textId="5C6A0C12">
      <w:pPr>
        <w:pStyle w:val="ListParagraph"/>
        <w:numPr>
          <w:ilvl w:val="0"/>
          <w:numId w:val="16"/>
        </w:numPr>
        <w:spacing w:after="120"/>
        <w:ind w:right="1440"/>
        <w:rPr>
          <w:szCs w:val="26"/>
        </w:rPr>
      </w:pPr>
      <w:r w:rsidRPr="002620F2">
        <w:rPr>
          <w:szCs w:val="26"/>
        </w:rPr>
        <w:t>Voting rights held by the utility and percent; and</w:t>
      </w:r>
      <w:r w:rsidR="002620F2">
        <w:rPr>
          <w:szCs w:val="26"/>
        </w:rPr>
        <w:t>…</w:t>
      </w:r>
    </w:p>
    <w:p w:rsidRPr="0046126D" w:rsidR="001912E8" w:rsidRDefault="001912E8" w14:paraId="1B2FD5D5" w14:textId="1FD5C26D">
      <w:pPr>
        <w:pStyle w:val="ListParagraph"/>
        <w:numPr>
          <w:ilvl w:val="0"/>
          <w:numId w:val="16"/>
        </w:numPr>
        <w:spacing w:after="120"/>
        <w:ind w:right="1440"/>
        <w:rPr>
          <w:szCs w:val="26"/>
        </w:rPr>
      </w:pPr>
      <w:r w:rsidRPr="002620F2">
        <w:rPr>
          <w:szCs w:val="26"/>
        </w:rPr>
        <w:t>Corporate officers.</w:t>
      </w:r>
    </w:p>
    <w:p w:rsidRPr="0046126D" w:rsidR="001912E8" w:rsidRDefault="001912E8" w14:paraId="3215B326" w14:textId="213E97B3">
      <w:pPr>
        <w:numPr>
          <w:ilvl w:val="3"/>
          <w:numId w:val="13"/>
        </w:numPr>
        <w:tabs>
          <w:tab w:val="left" w:pos="-720"/>
        </w:tabs>
        <w:suppressAutoHyphens/>
        <w:spacing w:after="120" w:line="240" w:lineRule="auto"/>
        <w:ind w:left="360" w:right="1440"/>
        <w:rPr>
          <w:rFonts w:eastAsia="Times New Roman" w:cs="Times New Roman"/>
          <w:szCs w:val="26"/>
        </w:rPr>
      </w:pPr>
      <w:r w:rsidRPr="001912E8">
        <w:rPr>
          <w:rFonts w:eastAsia="Times New Roman" w:cs="Times New Roman"/>
          <w:szCs w:val="26"/>
        </w:rPr>
        <w:t xml:space="preserve">The utility must prepare and submit a corporate organization chart showing any and all corporate relationships between the utility and its affiliated entities and regulated subsidiaries in item 1 above.  The chart must have the controlling corporation (if any) at the top of the chart, the utility and any subsidiaries and/or affiliates of the controlling corporation in the middle levels of the </w:t>
      </w:r>
      <w:r w:rsidRPr="001912E8">
        <w:rPr>
          <w:rFonts w:eastAsia="Times New Roman" w:cs="Times New Roman"/>
          <w:szCs w:val="26"/>
        </w:rPr>
        <w:lastRenderedPageBreak/>
        <w:t>chart, and all secondary subsidiaries and affiliates (</w:t>
      </w:r>
      <w:r w:rsidRPr="001912E8">
        <w:rPr>
          <w:rFonts w:eastAsia="Times New Roman" w:cs="Times New Roman"/>
          <w:i/>
          <w:iCs/>
          <w:szCs w:val="26"/>
        </w:rPr>
        <w:t>e.g.,</w:t>
      </w:r>
      <w:r w:rsidRPr="001912E8">
        <w:rPr>
          <w:rFonts w:eastAsia="Times New Roman" w:cs="Times New Roman"/>
          <w:szCs w:val="26"/>
        </w:rPr>
        <w:t xml:space="preserve"> a subsidiary that in turn is owned by another subsidiary and/or affiliate) in the lower levels.  Any regulated subsidiary must be clearly noted.</w:t>
      </w:r>
    </w:p>
    <w:p w:rsidRPr="0046126D" w:rsidR="001912E8" w:rsidRDefault="001912E8" w14:paraId="142812F9" w14:textId="502641BB">
      <w:pPr>
        <w:numPr>
          <w:ilvl w:val="3"/>
          <w:numId w:val="13"/>
        </w:numPr>
        <w:tabs>
          <w:tab w:val="left" w:pos="-720"/>
        </w:tabs>
        <w:suppressAutoHyphens/>
        <w:spacing w:after="120" w:line="240" w:lineRule="auto"/>
        <w:ind w:left="360" w:right="1440"/>
        <w:rPr>
          <w:rFonts w:eastAsia="Times New Roman" w:cs="Times New Roman"/>
          <w:szCs w:val="26"/>
        </w:rPr>
      </w:pPr>
      <w:r w:rsidRPr="001912E8">
        <w:rPr>
          <w:rFonts w:eastAsia="Times New Roman" w:cs="Times New Roman"/>
          <w:szCs w:val="26"/>
        </w:rPr>
        <w:t xml:space="preserve"> For a utility that has individuals who are classified as “controlling corporations” of the competitive utility, the utility must only report under the requirements of items 1 and 2 above any affiliated entity that either (a) is a public utility or (b) transacts any business with the utility filing the annual report, excluding the provision of tariff services.</w:t>
      </w:r>
    </w:p>
    <w:p w:rsidRPr="0046126D" w:rsidR="001912E8" w:rsidRDefault="001912E8" w14:paraId="41B2E2CC" w14:textId="2F4B02B7">
      <w:pPr>
        <w:numPr>
          <w:ilvl w:val="3"/>
          <w:numId w:val="13"/>
        </w:numPr>
        <w:tabs>
          <w:tab w:val="left" w:pos="-720"/>
        </w:tabs>
        <w:suppressAutoHyphens/>
        <w:spacing w:after="120" w:line="240" w:lineRule="auto"/>
        <w:ind w:left="360" w:right="1440"/>
        <w:rPr>
          <w:rFonts w:eastAsia="Times New Roman" w:cs="Times New Roman"/>
          <w:szCs w:val="26"/>
        </w:rPr>
      </w:pPr>
      <w:r w:rsidRPr="001912E8">
        <w:rPr>
          <w:rFonts w:eastAsia="Times New Roman" w:cs="Times New Roman"/>
          <w:szCs w:val="26"/>
        </w:rPr>
        <w:t xml:space="preserve"> Each annual report must be signed by a corporate officer of the utility stating under penalty of perjury under the laws of the State of California (CCP § 2015.5) that the annual report is complete and accurate with no material omissions.</w:t>
      </w:r>
    </w:p>
    <w:p w:rsidRPr="0046126D" w:rsidR="001912E8" w:rsidRDefault="001912E8" w14:paraId="2D1B8FFF" w14:textId="6476F448">
      <w:pPr>
        <w:numPr>
          <w:ilvl w:val="3"/>
          <w:numId w:val="13"/>
        </w:numPr>
        <w:tabs>
          <w:tab w:val="left" w:pos="-720"/>
        </w:tabs>
        <w:suppressAutoHyphens/>
        <w:spacing w:after="120" w:line="240" w:lineRule="auto"/>
        <w:ind w:left="360" w:right="1440"/>
        <w:rPr>
          <w:rFonts w:eastAsia="Times New Roman" w:cs="Times New Roman"/>
          <w:szCs w:val="26"/>
        </w:rPr>
      </w:pPr>
      <w:r w:rsidRPr="001912E8">
        <w:rPr>
          <w:rFonts w:eastAsia="Times New Roman" w:cs="Times New Roman"/>
          <w:szCs w:val="26"/>
        </w:rPr>
        <w:t xml:space="preserve"> Any required information, documents, or other material that a utility is unable to provide must be reasonably described, and the reasons they cannot be obtained, as well as the efforts expended to obtain them, must be set forth in the utility’s Annual Affiliate Transaction Report and verified, in accordance with Section I</w:t>
      </w:r>
      <w:r w:rsidRPr="001912E8">
        <w:rPr>
          <w:rFonts w:eastAsia="Times New Roman" w:cs="Times New Roman"/>
          <w:szCs w:val="26"/>
        </w:rPr>
        <w:noBreakHyphen/>
        <w:t>F of D.93</w:t>
      </w:r>
      <w:r w:rsidRPr="001912E8">
        <w:rPr>
          <w:rFonts w:eastAsia="Times New Roman" w:cs="Times New Roman"/>
          <w:szCs w:val="26"/>
        </w:rPr>
        <w:noBreakHyphen/>
        <w:t>02</w:t>
      </w:r>
      <w:r w:rsidRPr="001912E8">
        <w:rPr>
          <w:rFonts w:eastAsia="Times New Roman" w:cs="Times New Roman"/>
          <w:szCs w:val="26"/>
        </w:rPr>
        <w:noBreakHyphen/>
        <w:t>019.</w:t>
      </w:r>
    </w:p>
    <w:p w:rsidRPr="0046126D" w:rsidR="001912E8" w:rsidRDefault="001912E8" w14:paraId="05D4CA67" w14:textId="77C2CFE1">
      <w:pPr>
        <w:numPr>
          <w:ilvl w:val="3"/>
          <w:numId w:val="13"/>
        </w:numPr>
        <w:tabs>
          <w:tab w:val="left" w:pos="-720"/>
        </w:tabs>
        <w:suppressAutoHyphens/>
        <w:spacing w:after="120" w:line="240" w:lineRule="auto"/>
        <w:ind w:left="360" w:right="1440"/>
        <w:rPr>
          <w:rFonts w:eastAsia="Times New Roman" w:cs="Times New Roman"/>
          <w:szCs w:val="26"/>
        </w:rPr>
      </w:pPr>
      <w:r w:rsidRPr="001912E8">
        <w:rPr>
          <w:rFonts w:eastAsia="Times New Roman" w:cs="Times New Roman"/>
          <w:szCs w:val="26"/>
        </w:rPr>
        <w:t xml:space="preserve"> Utilities that do not have affiliated entities must submit, in lieu of the annual transaction report, an annual statement to the Commission stating that the utility had no affiliated entities during the report period.  This statement must be signed by a corporate officer of the utility, stating under penalty of perjury under the laws of the State of California (CCP § 2015.5) that the annual report is complete and accurate with no material omissions.</w:t>
      </w:r>
    </w:p>
    <w:p w:rsidRPr="001912E8" w:rsidR="001912E8" w:rsidP="003705AC" w:rsidRDefault="001912E8" w14:paraId="01D69754" w14:textId="1B30E5B2">
      <w:pPr>
        <w:spacing w:line="240" w:lineRule="auto"/>
        <w:ind w:firstLine="0"/>
        <w:rPr>
          <w:rFonts w:eastAsia="Times New Roman" w:cs="Times New Roman"/>
          <w:szCs w:val="26"/>
        </w:rPr>
      </w:pPr>
      <w:r w:rsidRPr="001912E8">
        <w:rPr>
          <w:rFonts w:eastAsia="Times New Roman" w:cs="Times New Roman"/>
          <w:szCs w:val="26"/>
        </w:rPr>
        <w:t xml:space="preserve">Additional information about the reporting requirements is available from the Commission’s website: </w:t>
      </w:r>
      <w:hyperlink w:history="1" r:id="rId62">
        <w:r w:rsidRPr="001912E8">
          <w:rPr>
            <w:rFonts w:eastAsia="Times New Roman" w:cs="Times New Roman"/>
            <w:color w:val="0000FF"/>
            <w:szCs w:val="26"/>
            <w:u w:val="single"/>
          </w:rPr>
          <w:t>https://www.cpuc.ca.gov/industries-and-topics/internet-and-phone/carrier-reporting-requirements/annual-report-forms</w:t>
        </w:r>
      </w:hyperlink>
      <w:r w:rsidRPr="001912E8">
        <w:rPr>
          <w:rFonts w:eastAsia="Times New Roman" w:cs="Times New Roman"/>
          <w:szCs w:val="26"/>
        </w:rPr>
        <w:t xml:space="preserve">. For any questions concerning this report, please send an e-mail to </w:t>
      </w:r>
      <w:r w:rsidR="003F4C7E">
        <w:rPr>
          <w:rFonts w:eastAsia="Times New Roman" w:cs="Times New Roman"/>
          <w:color w:val="0000FF"/>
          <w:szCs w:val="26"/>
          <w:u w:val="single"/>
        </w:rPr>
        <w:t>cdcompliance@cpuc.ca.gov</w:t>
      </w:r>
      <w:r w:rsidRPr="001912E8">
        <w:rPr>
          <w:rFonts w:eastAsia="Times New Roman" w:cs="Times New Roman"/>
          <w:szCs w:val="26"/>
        </w:rPr>
        <w:t xml:space="preserve">  with a subject line that includes</w:t>
      </w:r>
      <w:r w:rsidR="003705AC">
        <w:rPr>
          <w:rFonts w:eastAsia="Times New Roman" w:cs="Times New Roman"/>
          <w:szCs w:val="26"/>
        </w:rPr>
        <w:t xml:space="preserve">, </w:t>
      </w:r>
      <w:r w:rsidRPr="001912E8">
        <w:rPr>
          <w:rFonts w:eastAsia="Times New Roman" w:cs="Times New Roman"/>
          <w:szCs w:val="26"/>
        </w:rPr>
        <w:t>“CD Annual Reports.”</w:t>
      </w:r>
    </w:p>
    <w:p w:rsidR="00E452FF" w:rsidP="003459F8" w:rsidRDefault="001912E8" w14:paraId="0D73959A" w14:textId="77777777">
      <w:pPr>
        <w:spacing w:line="240" w:lineRule="auto"/>
        <w:ind w:firstLine="0"/>
        <w:jc w:val="center"/>
        <w:rPr>
          <w:rFonts w:eastAsia="Times New Roman" w:cs="Times New Roman"/>
          <w:b/>
          <w:szCs w:val="20"/>
        </w:rPr>
        <w:sectPr w:rsidR="00E452FF" w:rsidSect="003459F8">
          <w:footerReference w:type="default" r:id="rId63"/>
          <w:pgSz w:w="12240" w:h="15840" w:code="1"/>
          <w:pgMar w:top="1152" w:right="1440" w:bottom="1440" w:left="1440" w:header="720" w:footer="720" w:gutter="0"/>
          <w:pgNumType w:start="1"/>
          <w:cols w:space="720"/>
        </w:sectPr>
      </w:pPr>
      <w:r w:rsidRPr="001912E8">
        <w:rPr>
          <w:rFonts w:eastAsia="Times New Roman" w:cs="Times New Roman"/>
          <w:b/>
          <w:szCs w:val="20"/>
        </w:rPr>
        <w:t>(END OF ATTACHMENT D)</w:t>
      </w:r>
    </w:p>
    <w:p w:rsidR="00400E74" w:rsidP="00CF4F9A" w:rsidRDefault="00400E74" w14:paraId="11361416" w14:textId="77777777">
      <w:pPr>
        <w:spacing w:line="240" w:lineRule="auto"/>
        <w:ind w:firstLine="0"/>
        <w:jc w:val="center"/>
        <w:rPr>
          <w:rFonts w:eastAsia="Times New Roman" w:cs="Times New Roman"/>
          <w:b/>
          <w:sz w:val="40"/>
          <w:szCs w:val="40"/>
        </w:rPr>
      </w:pPr>
    </w:p>
    <w:p w:rsidR="006B3733" w:rsidP="00CF4F9A" w:rsidRDefault="006B3733" w14:paraId="4223C4A3" w14:textId="77777777">
      <w:pPr>
        <w:spacing w:line="240" w:lineRule="auto"/>
        <w:ind w:firstLine="0"/>
        <w:jc w:val="center"/>
        <w:rPr>
          <w:rFonts w:eastAsia="Times New Roman" w:cs="Times New Roman"/>
          <w:b/>
          <w:sz w:val="40"/>
          <w:szCs w:val="40"/>
        </w:rPr>
      </w:pPr>
    </w:p>
    <w:p w:rsidR="00400E74" w:rsidP="00CF4F9A" w:rsidRDefault="00400E74" w14:paraId="54B5AB5A" w14:textId="77777777">
      <w:pPr>
        <w:spacing w:line="240" w:lineRule="auto"/>
        <w:ind w:firstLine="0"/>
        <w:jc w:val="center"/>
        <w:rPr>
          <w:rFonts w:eastAsia="Times New Roman" w:cs="Times New Roman"/>
          <w:b/>
          <w:sz w:val="40"/>
          <w:szCs w:val="40"/>
        </w:rPr>
      </w:pPr>
    </w:p>
    <w:p w:rsidR="00400E74" w:rsidP="00CF4F9A" w:rsidRDefault="00400E74" w14:paraId="5B2F91BB" w14:textId="77777777">
      <w:pPr>
        <w:spacing w:line="240" w:lineRule="auto"/>
        <w:ind w:firstLine="0"/>
        <w:jc w:val="center"/>
        <w:rPr>
          <w:rFonts w:eastAsia="Times New Roman" w:cs="Times New Roman"/>
          <w:b/>
          <w:sz w:val="40"/>
          <w:szCs w:val="40"/>
        </w:rPr>
      </w:pPr>
    </w:p>
    <w:p w:rsidR="00400E74" w:rsidP="00CF4F9A" w:rsidRDefault="00400E74" w14:paraId="678C13E4" w14:textId="77777777">
      <w:pPr>
        <w:spacing w:line="240" w:lineRule="auto"/>
        <w:ind w:firstLine="0"/>
        <w:jc w:val="center"/>
        <w:rPr>
          <w:rFonts w:eastAsia="Times New Roman" w:cs="Times New Roman"/>
          <w:b/>
          <w:sz w:val="40"/>
          <w:szCs w:val="40"/>
        </w:rPr>
      </w:pPr>
    </w:p>
    <w:p w:rsidR="00400E74" w:rsidP="00CF4F9A" w:rsidRDefault="00400E74" w14:paraId="47E22B6C" w14:textId="77777777">
      <w:pPr>
        <w:spacing w:line="240" w:lineRule="auto"/>
        <w:ind w:firstLine="0"/>
        <w:jc w:val="center"/>
        <w:rPr>
          <w:rFonts w:eastAsia="Times New Roman" w:cs="Times New Roman"/>
          <w:b/>
          <w:sz w:val="40"/>
          <w:szCs w:val="40"/>
        </w:rPr>
      </w:pPr>
    </w:p>
    <w:p w:rsidR="00400E74" w:rsidP="00CF4F9A" w:rsidRDefault="00400E74" w14:paraId="1CB88982" w14:textId="77777777">
      <w:pPr>
        <w:spacing w:line="240" w:lineRule="auto"/>
        <w:ind w:firstLine="0"/>
        <w:jc w:val="center"/>
        <w:rPr>
          <w:rFonts w:eastAsia="Times New Roman" w:cs="Times New Roman"/>
          <w:b/>
          <w:sz w:val="40"/>
          <w:szCs w:val="40"/>
        </w:rPr>
      </w:pPr>
    </w:p>
    <w:p w:rsidR="00400E74" w:rsidP="00CF4F9A" w:rsidRDefault="00400E74" w14:paraId="7EF0090C" w14:textId="77777777">
      <w:pPr>
        <w:spacing w:line="240" w:lineRule="auto"/>
        <w:ind w:firstLine="0"/>
        <w:jc w:val="center"/>
        <w:rPr>
          <w:rFonts w:eastAsia="Times New Roman" w:cs="Times New Roman"/>
          <w:b/>
          <w:sz w:val="40"/>
          <w:szCs w:val="40"/>
        </w:rPr>
      </w:pPr>
    </w:p>
    <w:p w:rsidR="00400E74" w:rsidP="00CF4F9A" w:rsidRDefault="00400E74" w14:paraId="340F5722" w14:textId="77777777">
      <w:pPr>
        <w:spacing w:line="240" w:lineRule="auto"/>
        <w:ind w:firstLine="0"/>
        <w:jc w:val="center"/>
        <w:rPr>
          <w:rFonts w:eastAsia="Times New Roman" w:cs="Times New Roman"/>
          <w:b/>
          <w:sz w:val="40"/>
          <w:szCs w:val="40"/>
        </w:rPr>
      </w:pPr>
    </w:p>
    <w:p w:rsidR="00400E74" w:rsidP="00CF4F9A" w:rsidRDefault="00400E74" w14:paraId="02ADE441" w14:textId="77777777">
      <w:pPr>
        <w:spacing w:line="240" w:lineRule="auto"/>
        <w:ind w:firstLine="0"/>
        <w:jc w:val="center"/>
        <w:rPr>
          <w:rFonts w:eastAsia="Times New Roman" w:cs="Times New Roman"/>
          <w:b/>
          <w:sz w:val="40"/>
          <w:szCs w:val="40"/>
        </w:rPr>
      </w:pPr>
    </w:p>
    <w:p w:rsidR="00400E74" w:rsidP="00CF4F9A" w:rsidRDefault="00400E74" w14:paraId="5238FCF4" w14:textId="77777777">
      <w:pPr>
        <w:spacing w:line="240" w:lineRule="auto"/>
        <w:ind w:firstLine="0"/>
        <w:jc w:val="center"/>
        <w:rPr>
          <w:rFonts w:eastAsia="Times New Roman" w:cs="Times New Roman"/>
          <w:b/>
          <w:sz w:val="40"/>
          <w:szCs w:val="40"/>
        </w:rPr>
      </w:pPr>
    </w:p>
    <w:p w:rsidRPr="001912E8" w:rsidR="00CF4F9A" w:rsidP="00CF4F9A" w:rsidRDefault="00CF4F9A" w14:paraId="75BF50F0" w14:textId="12E765CC">
      <w:pPr>
        <w:spacing w:line="240" w:lineRule="auto"/>
        <w:ind w:firstLine="0"/>
        <w:jc w:val="center"/>
        <w:rPr>
          <w:rFonts w:eastAsia="Times New Roman" w:cs="Times New Roman"/>
          <w:szCs w:val="20"/>
        </w:rPr>
      </w:pPr>
      <w:r w:rsidRPr="001912E8">
        <w:rPr>
          <w:rFonts w:eastAsia="Times New Roman" w:cs="Times New Roman"/>
          <w:b/>
          <w:sz w:val="40"/>
          <w:szCs w:val="40"/>
        </w:rPr>
        <w:t xml:space="preserve">ATTACHMENT </w:t>
      </w:r>
      <w:r>
        <w:rPr>
          <w:rFonts w:eastAsia="Times New Roman" w:cs="Times New Roman"/>
          <w:b/>
          <w:sz w:val="40"/>
          <w:szCs w:val="40"/>
        </w:rPr>
        <w:t>E</w:t>
      </w:r>
    </w:p>
    <w:p w:rsidRPr="001912E8" w:rsidR="003459F8" w:rsidP="003459F8" w:rsidRDefault="003459F8" w14:paraId="338704F6" w14:textId="0567F3E5">
      <w:pPr>
        <w:spacing w:line="240" w:lineRule="auto"/>
        <w:ind w:firstLine="0"/>
        <w:jc w:val="center"/>
        <w:rPr>
          <w:rFonts w:ascii="Palatino" w:hAnsi="Palatino" w:eastAsia="Times New Roman" w:cs="Times New Roman"/>
          <w:szCs w:val="20"/>
        </w:rPr>
        <w:sectPr w:rsidRPr="001912E8" w:rsidR="003459F8" w:rsidSect="003459F8">
          <w:footerReference w:type="default" r:id="rId64"/>
          <w:pgSz w:w="12240" w:h="15840" w:code="1"/>
          <w:pgMar w:top="1152" w:right="1440" w:bottom="1440" w:left="1440" w:header="720" w:footer="720" w:gutter="0"/>
          <w:pgNumType w:start="1"/>
          <w:cols w:space="720"/>
        </w:sectPr>
      </w:pPr>
    </w:p>
    <w:p w:rsidR="0056750C" w:rsidP="006A69F2" w:rsidRDefault="0056750C" w14:paraId="0A53C1D6" w14:textId="701FF5D1">
      <w:pPr>
        <w:spacing w:after="240"/>
        <w:ind w:firstLine="0"/>
        <w:jc w:val="center"/>
        <w:rPr>
          <w:b/>
          <w:bCs/>
          <w:szCs w:val="26"/>
        </w:rPr>
      </w:pPr>
      <w:r>
        <w:rPr>
          <w:b/>
          <w:bCs/>
          <w:szCs w:val="26"/>
        </w:rPr>
        <w:lastRenderedPageBreak/>
        <w:t>ATTACHMENT E</w:t>
      </w:r>
    </w:p>
    <w:p w:rsidRPr="00FC37FD" w:rsidR="00990D65" w:rsidP="006A69F2" w:rsidRDefault="00990D65" w14:paraId="4FDDB529" w14:textId="0E52675B">
      <w:pPr>
        <w:spacing w:after="240"/>
        <w:ind w:firstLine="0"/>
        <w:jc w:val="center"/>
        <w:rPr>
          <w:b/>
          <w:bCs/>
          <w:szCs w:val="26"/>
        </w:rPr>
      </w:pPr>
      <w:r w:rsidRPr="00FC37FD">
        <w:rPr>
          <w:b/>
          <w:bCs/>
          <w:szCs w:val="26"/>
        </w:rPr>
        <w:t>SURCHARGE AND USER FEE REPORT</w:t>
      </w:r>
      <w:r>
        <w:rPr>
          <w:b/>
          <w:bCs/>
          <w:szCs w:val="26"/>
        </w:rPr>
        <w:t xml:space="preserve"> WORKSHEET</w:t>
      </w:r>
    </w:p>
    <w:p w:rsidRPr="00FC37FD" w:rsidR="00990D65" w:rsidP="00990D65" w:rsidRDefault="00990D65" w14:paraId="077BD8EA" w14:textId="77777777">
      <w:pPr>
        <w:pStyle w:val="NoSpacing"/>
        <w:rPr>
          <w:szCs w:val="26"/>
        </w:rPr>
      </w:pPr>
      <w:r w:rsidRPr="00FC37FD">
        <w:rPr>
          <w:szCs w:val="26"/>
        </w:rPr>
        <w:t xml:space="preserve">Email the following information to </w:t>
      </w:r>
      <w:hyperlink w:history="1" r:id="rId65">
        <w:r w:rsidRPr="00FC37FD">
          <w:rPr>
            <w:rStyle w:val="Hyperlink"/>
            <w:szCs w:val="26"/>
          </w:rPr>
          <w:t>telcosurcharge@cpuc.ca.gov</w:t>
        </w:r>
      </w:hyperlink>
      <w:r w:rsidRPr="00FC37FD">
        <w:rPr>
          <w:szCs w:val="26"/>
        </w:rPr>
        <w:t xml:space="preserve"> and </w:t>
      </w:r>
      <w:hyperlink w:history="1" r:id="rId66">
        <w:r w:rsidRPr="00FC37FD">
          <w:rPr>
            <w:rStyle w:val="Hyperlink"/>
            <w:szCs w:val="26"/>
          </w:rPr>
          <w:t>cdcompliance@cpuc.ca.gov</w:t>
        </w:r>
      </w:hyperlink>
      <w:r w:rsidRPr="00FC37FD">
        <w:rPr>
          <w:szCs w:val="26"/>
        </w:rPr>
        <w:t>.</w:t>
      </w:r>
    </w:p>
    <w:p w:rsidRPr="00FC37FD" w:rsidR="00990D65" w:rsidP="00990D65" w:rsidRDefault="00990D65" w14:paraId="353D3584" w14:textId="77777777">
      <w:pPr>
        <w:pStyle w:val="NoSpacing"/>
        <w:rPr>
          <w:b/>
          <w:bCs/>
          <w:szCs w:val="26"/>
        </w:rPr>
      </w:pPr>
    </w:p>
    <w:p w:rsidRPr="00FC37FD" w:rsidR="00990D65" w:rsidP="00990D65" w:rsidRDefault="00990D65" w14:paraId="083ADEC0" w14:textId="77777777">
      <w:pPr>
        <w:pStyle w:val="NoSpacing"/>
        <w:rPr>
          <w:szCs w:val="26"/>
        </w:rPr>
      </w:pPr>
      <w:r w:rsidRPr="00FC37FD">
        <w:rPr>
          <w:b/>
          <w:bCs/>
          <w:szCs w:val="26"/>
        </w:rPr>
        <w:t>Email Subject Line</w:t>
      </w:r>
      <w:r w:rsidRPr="00FC37FD">
        <w:rPr>
          <w:szCs w:val="26"/>
        </w:rPr>
        <w:t xml:space="preserve"> should include: “Surcharges and User Fees Prior to CPCN Approval Per D.[Enter Decision number XX-XX-XXX granting approval of application], </w:t>
      </w:r>
      <w:r w:rsidRPr="00AB4670">
        <w:rPr>
          <w:szCs w:val="26"/>
        </w:rPr>
        <w:t>A.2</w:t>
      </w:r>
      <w:r>
        <w:rPr>
          <w:szCs w:val="26"/>
        </w:rPr>
        <w:t>5-09-002”</w:t>
      </w:r>
    </w:p>
    <w:p w:rsidRPr="00FC37FD" w:rsidR="00990D65" w:rsidP="00990D65" w:rsidRDefault="00990D65" w14:paraId="55801E67" w14:textId="77777777">
      <w:pPr>
        <w:pStyle w:val="NoSpacing"/>
        <w:rPr>
          <w:b/>
          <w:bCs/>
          <w:szCs w:val="26"/>
        </w:rPr>
      </w:pPr>
    </w:p>
    <w:p w:rsidRPr="00FC37FD" w:rsidR="00990D65" w:rsidP="00990D65" w:rsidRDefault="00990D65" w14:paraId="2F1B272B" w14:textId="77777777">
      <w:pPr>
        <w:pStyle w:val="NoSpacing"/>
        <w:rPr>
          <w:b/>
          <w:bCs/>
          <w:szCs w:val="26"/>
        </w:rPr>
      </w:pPr>
      <w:r w:rsidRPr="00FC37FD">
        <w:rPr>
          <w:b/>
          <w:bCs/>
          <w:szCs w:val="26"/>
        </w:rPr>
        <w:t>The body of email should include:</w:t>
      </w:r>
    </w:p>
    <w:p w:rsidR="00990D65" w:rsidP="00990D65" w:rsidRDefault="00990D65" w14:paraId="3FBA569E" w14:textId="17555324">
      <w:pPr>
        <w:pStyle w:val="NoSpacing"/>
        <w:rPr>
          <w:szCs w:val="26"/>
        </w:rPr>
      </w:pPr>
      <w:r w:rsidRPr="00FC37FD">
        <w:rPr>
          <w:szCs w:val="26"/>
        </w:rPr>
        <w:t xml:space="preserve">Pursuant to the Decision </w:t>
      </w:r>
      <w:r w:rsidRPr="00345A7D">
        <w:rPr>
          <w:i/>
          <w:szCs w:val="26"/>
        </w:rPr>
        <w:t xml:space="preserve">[Enter Decision number granting </w:t>
      </w:r>
      <w:r w:rsidRPr="00374D8B">
        <w:rPr>
          <w:i/>
          <w:iCs/>
          <w:szCs w:val="26"/>
        </w:rPr>
        <w:t>IPC Systems, Inc</w:t>
      </w:r>
      <w:r>
        <w:rPr>
          <w:i/>
          <w:iCs/>
          <w:szCs w:val="26"/>
        </w:rPr>
        <w:t>. a</w:t>
      </w:r>
      <w:r w:rsidRPr="00345A7D">
        <w:rPr>
          <w:i/>
          <w:szCs w:val="26"/>
        </w:rPr>
        <w:t xml:space="preserve"> CPCN</w:t>
      </w:r>
      <w:r w:rsidRPr="0BE74057">
        <w:rPr>
          <w:szCs w:val="26"/>
        </w:rPr>
        <w:t>]</w:t>
      </w:r>
      <w:r w:rsidRPr="00FC37FD">
        <w:rPr>
          <w:szCs w:val="26"/>
        </w:rPr>
        <w:t xml:space="preserve"> and Decision 22-10-021, </w:t>
      </w:r>
      <w:r w:rsidRPr="00374D8B">
        <w:rPr>
          <w:szCs w:val="26"/>
        </w:rPr>
        <w:t>IPC Systems, Inc.</w:t>
      </w:r>
      <w:r>
        <w:rPr>
          <w:szCs w:val="26"/>
        </w:rPr>
        <w:t xml:space="preserve"> is </w:t>
      </w:r>
      <w:r w:rsidRPr="00FC37FD">
        <w:rPr>
          <w:szCs w:val="26"/>
        </w:rPr>
        <w:t>required to provide</w:t>
      </w:r>
      <w:r w:rsidRPr="0BE74057">
        <w:rPr>
          <w:szCs w:val="26"/>
        </w:rPr>
        <w:t xml:space="preserve"> the</w:t>
      </w:r>
      <w:r w:rsidRPr="00FC37FD" w:rsidDel="00DD4F22">
        <w:rPr>
          <w:szCs w:val="26"/>
        </w:rPr>
        <w:t xml:space="preserve"> </w:t>
      </w:r>
      <w:r w:rsidRPr="00FC37FD">
        <w:rPr>
          <w:szCs w:val="26"/>
        </w:rPr>
        <w:t>information</w:t>
      </w:r>
      <w:r>
        <w:rPr>
          <w:szCs w:val="26"/>
        </w:rPr>
        <w:t xml:space="preserve"> itemized in the tables </w:t>
      </w:r>
      <w:r w:rsidRPr="0BE74057">
        <w:rPr>
          <w:szCs w:val="26"/>
        </w:rPr>
        <w:t>below</w:t>
      </w:r>
      <w:r w:rsidRPr="00FC37FD">
        <w:rPr>
          <w:szCs w:val="26"/>
        </w:rPr>
        <w:t xml:space="preserve"> to the Communications Division</w:t>
      </w:r>
      <w:r>
        <w:rPr>
          <w:szCs w:val="26"/>
        </w:rPr>
        <w:t xml:space="preserve"> (CD) </w:t>
      </w:r>
      <w:r w:rsidRPr="00FC37FD">
        <w:rPr>
          <w:szCs w:val="26"/>
        </w:rPr>
        <w:t xml:space="preserve">for the calculation of surcharges and user fees, </w:t>
      </w:r>
      <w:r>
        <w:rPr>
          <w:szCs w:val="26"/>
        </w:rPr>
        <w:t>including</w:t>
      </w:r>
      <w:r w:rsidRPr="00FC37FD">
        <w:rPr>
          <w:szCs w:val="26"/>
        </w:rPr>
        <w:t xml:space="preserve"> interest </w:t>
      </w:r>
      <w:r w:rsidR="00C614C6">
        <w:rPr>
          <w:szCs w:val="26"/>
        </w:rPr>
        <w:t>on past due surcharges</w:t>
      </w:r>
      <w:r w:rsidR="009E2E91">
        <w:rPr>
          <w:szCs w:val="26"/>
        </w:rPr>
        <w:t xml:space="preserve"> and penalties</w:t>
      </w:r>
      <w:r w:rsidRPr="00FC37FD">
        <w:rPr>
          <w:szCs w:val="26"/>
        </w:rPr>
        <w:t xml:space="preserve">, for its unlicensed provision of regulated voice services provided in California without an operating authority. </w:t>
      </w:r>
    </w:p>
    <w:p w:rsidR="00990D65" w:rsidP="00990D65" w:rsidRDefault="00990D65" w14:paraId="6A99B580" w14:textId="77777777">
      <w:pPr>
        <w:pStyle w:val="NoSpacing"/>
        <w:rPr>
          <w:rFonts w:cs="Calibri"/>
          <w:szCs w:val="26"/>
        </w:rPr>
      </w:pPr>
    </w:p>
    <w:p w:rsidR="00990D65" w:rsidP="00990D65" w:rsidRDefault="00990D65" w14:paraId="25D4E1FE" w14:textId="415E5CE8">
      <w:pPr>
        <w:pStyle w:val="NoSpacing"/>
        <w:rPr>
          <w:szCs w:val="26"/>
        </w:rPr>
      </w:pPr>
      <w:r w:rsidRPr="0BE74057">
        <w:rPr>
          <w:rFonts w:cs="Calibri"/>
          <w:szCs w:val="26"/>
        </w:rPr>
        <w:t>This information covers</w:t>
      </w:r>
      <w:r w:rsidRPr="00FC37FD">
        <w:rPr>
          <w:rFonts w:cs="Calibri"/>
          <w:szCs w:val="26"/>
        </w:rPr>
        <w:t xml:space="preserve"> the period that </w:t>
      </w:r>
      <w:r w:rsidRPr="00374D8B">
        <w:rPr>
          <w:szCs w:val="26"/>
        </w:rPr>
        <w:t>IPC Systems, Inc.</w:t>
      </w:r>
      <w:r>
        <w:rPr>
          <w:szCs w:val="26"/>
        </w:rPr>
        <w:t xml:space="preserve"> </w:t>
      </w:r>
      <w:r w:rsidRPr="00FC37FD">
        <w:rPr>
          <w:rFonts w:cs="Calibri"/>
          <w:szCs w:val="26"/>
        </w:rPr>
        <w:t xml:space="preserve">began operating </w:t>
      </w:r>
      <w:r w:rsidRPr="00FC37FD">
        <w:rPr>
          <w:szCs w:val="26"/>
        </w:rPr>
        <w:t xml:space="preserve">in California without the requisite authority </w:t>
      </w:r>
      <w:r w:rsidRPr="00AB4670">
        <w:rPr>
          <w:szCs w:val="26"/>
        </w:rPr>
        <w:t xml:space="preserve">to provide </w:t>
      </w:r>
      <w:bookmarkStart w:name="_bookmark4" w:id="145"/>
      <w:bookmarkStart w:name="_bookmark3" w:id="146"/>
      <w:bookmarkStart w:name="_bookmark2" w:id="147"/>
      <w:bookmarkStart w:name="_bookmark1" w:id="148"/>
      <w:bookmarkStart w:name="_bookmark0" w:id="149"/>
      <w:bookmarkEnd w:id="145"/>
      <w:bookmarkEnd w:id="146"/>
      <w:bookmarkEnd w:id="147"/>
      <w:bookmarkEnd w:id="148"/>
      <w:bookmarkEnd w:id="149"/>
      <w:r w:rsidRPr="00374D8B">
        <w:rPr>
          <w:szCs w:val="26"/>
        </w:rPr>
        <w:t xml:space="preserve">intra-Local Access Transport Area high-speed digital private line services as an interexchange </w:t>
      </w:r>
      <w:r>
        <w:rPr>
          <w:szCs w:val="26"/>
        </w:rPr>
        <w:t xml:space="preserve">provider, from July 1, 2025 </w:t>
      </w:r>
      <w:r w:rsidR="00182771">
        <w:rPr>
          <w:szCs w:val="26"/>
        </w:rPr>
        <w:t xml:space="preserve">through the end of the month </w:t>
      </w:r>
      <w:r w:rsidR="00CF7494">
        <w:rPr>
          <w:szCs w:val="26"/>
        </w:rPr>
        <w:t xml:space="preserve">prior to the month </w:t>
      </w:r>
      <w:r>
        <w:rPr>
          <w:szCs w:val="26"/>
        </w:rPr>
        <w:t>the CPCN application</w:t>
      </w:r>
      <w:r w:rsidR="004D26D3">
        <w:rPr>
          <w:szCs w:val="26"/>
        </w:rPr>
        <w:t xml:space="preserve"> is approved</w:t>
      </w:r>
      <w:r w:rsidRPr="0BE74057">
        <w:rPr>
          <w:szCs w:val="26"/>
        </w:rPr>
        <w:t>.</w:t>
      </w:r>
      <w:r>
        <w:rPr>
          <w:szCs w:val="26"/>
        </w:rPr>
        <w:t xml:space="preserve"> </w:t>
      </w:r>
      <w:r w:rsidRPr="00374D8B">
        <w:rPr>
          <w:szCs w:val="26"/>
        </w:rPr>
        <w:t>IPC Systems, Inc.</w:t>
      </w:r>
      <w:r>
        <w:rPr>
          <w:szCs w:val="26"/>
        </w:rPr>
        <w:t xml:space="preserve"> understands that a</w:t>
      </w:r>
      <w:r w:rsidRPr="00FC37FD">
        <w:rPr>
          <w:rFonts w:cs="Calibri"/>
          <w:szCs w:val="26"/>
        </w:rPr>
        <w:t xml:space="preserve">ccrued interest of 10 percent </w:t>
      </w:r>
      <w:r w:rsidRPr="0BE74057">
        <w:rPr>
          <w:rFonts w:cs="Calibri"/>
          <w:szCs w:val="26"/>
        </w:rPr>
        <w:t>will be</w:t>
      </w:r>
      <w:r w:rsidRPr="00FC37FD">
        <w:rPr>
          <w:rFonts w:cs="Calibri"/>
          <w:szCs w:val="26"/>
        </w:rPr>
        <w:t xml:space="preserve"> assessed on remittance of past</w:t>
      </w:r>
      <w:r w:rsidRPr="0BE74057">
        <w:rPr>
          <w:rFonts w:cs="Calibri"/>
          <w:szCs w:val="26"/>
        </w:rPr>
        <w:t xml:space="preserve"> </w:t>
      </w:r>
      <w:r w:rsidRPr="00FC37FD">
        <w:rPr>
          <w:rFonts w:cs="Calibri"/>
          <w:szCs w:val="26"/>
        </w:rPr>
        <w:t>due surcharges</w:t>
      </w:r>
      <w:r w:rsidR="00B533C3">
        <w:rPr>
          <w:rFonts w:cs="Calibri"/>
          <w:szCs w:val="26"/>
        </w:rPr>
        <w:t xml:space="preserve"> and a late payment penalty </w:t>
      </w:r>
      <w:r w:rsidR="00B95FC1">
        <w:rPr>
          <w:rFonts w:cs="Calibri"/>
          <w:szCs w:val="26"/>
        </w:rPr>
        <w:t>of 25</w:t>
      </w:r>
      <w:r w:rsidR="00D75017">
        <w:rPr>
          <w:rFonts w:cs="Calibri"/>
          <w:szCs w:val="26"/>
        </w:rPr>
        <w:t xml:space="preserve"> percent</w:t>
      </w:r>
      <w:r w:rsidR="00B95FC1">
        <w:rPr>
          <w:rFonts w:cs="Calibri"/>
          <w:szCs w:val="26"/>
        </w:rPr>
        <w:t xml:space="preserve"> assessed on </w:t>
      </w:r>
      <w:r w:rsidR="006700EE">
        <w:rPr>
          <w:rFonts w:cs="Calibri"/>
          <w:szCs w:val="26"/>
        </w:rPr>
        <w:t>user fees</w:t>
      </w:r>
      <w:r w:rsidR="002A0543">
        <w:rPr>
          <w:rFonts w:cs="Calibri"/>
          <w:szCs w:val="26"/>
        </w:rPr>
        <w:t xml:space="preserve"> </w:t>
      </w:r>
      <w:r w:rsidR="00325975">
        <w:rPr>
          <w:rFonts w:cs="Calibri"/>
          <w:szCs w:val="26"/>
        </w:rPr>
        <w:t xml:space="preserve">that are </w:t>
      </w:r>
      <w:r w:rsidR="002A0543">
        <w:rPr>
          <w:rFonts w:cs="Calibri"/>
          <w:szCs w:val="26"/>
        </w:rPr>
        <w:t>more than 30 days late</w:t>
      </w:r>
      <w:r w:rsidR="00A17A5C">
        <w:rPr>
          <w:rFonts w:cs="Calibri"/>
          <w:szCs w:val="26"/>
        </w:rPr>
        <w:t>.</w:t>
      </w:r>
      <w:r w:rsidDel="00030690">
        <w:rPr>
          <w:szCs w:val="26"/>
        </w:rPr>
        <w:t xml:space="preserve"> </w:t>
      </w:r>
      <w:r>
        <w:rPr>
          <w:szCs w:val="26"/>
        </w:rPr>
        <w:t xml:space="preserve"> </w:t>
      </w:r>
    </w:p>
    <w:p w:rsidR="00990D65" w:rsidP="00990D65" w:rsidRDefault="00990D65" w14:paraId="72EE95BA" w14:textId="77777777">
      <w:pPr>
        <w:pStyle w:val="NoSpacing"/>
        <w:rPr>
          <w:szCs w:val="26"/>
        </w:rPr>
      </w:pPr>
    </w:p>
    <w:p w:rsidRPr="00D01316" w:rsidR="00990D65" w:rsidP="00990D65" w:rsidRDefault="00990D65" w14:paraId="45F2F336" w14:textId="77777777">
      <w:pPr>
        <w:pStyle w:val="NoSpacing"/>
        <w:rPr>
          <w:szCs w:val="26"/>
        </w:rPr>
      </w:pPr>
      <w:r w:rsidRPr="00374D8B">
        <w:rPr>
          <w:szCs w:val="26"/>
        </w:rPr>
        <w:t>IPC Systems, Inc.</w:t>
      </w:r>
      <w:r>
        <w:rPr>
          <w:szCs w:val="26"/>
        </w:rPr>
        <w:t xml:space="preserve"> also understands that m</w:t>
      </w:r>
      <w:r w:rsidRPr="00D01316">
        <w:rPr>
          <w:szCs w:val="26"/>
        </w:rPr>
        <w:t xml:space="preserve">oving forward, </w:t>
      </w:r>
      <w:r>
        <w:rPr>
          <w:szCs w:val="26"/>
        </w:rPr>
        <w:t xml:space="preserve">they will be </w:t>
      </w:r>
      <w:r w:rsidRPr="00D01316">
        <w:rPr>
          <w:szCs w:val="26"/>
        </w:rPr>
        <w:t>required to report and remit Surcharges and User Fees via the Commission’s proprietary Telecommunications &amp; User Fee Filing System (TUFFS) beginning with the month that the application is approved</w:t>
      </w:r>
      <w:r>
        <w:rPr>
          <w:szCs w:val="26"/>
        </w:rPr>
        <w:t xml:space="preserve"> and the CPCN decision is effective</w:t>
      </w:r>
      <w:r w:rsidRPr="00D01316">
        <w:rPr>
          <w:szCs w:val="26"/>
        </w:rPr>
        <w:t xml:space="preserve">. </w:t>
      </w:r>
    </w:p>
    <w:p w:rsidRPr="00A353AE" w:rsidR="00990D65" w:rsidP="00990D65" w:rsidRDefault="00990D65" w14:paraId="1469352A" w14:textId="77777777">
      <w:pPr>
        <w:pStyle w:val="NoSpacing"/>
      </w:pPr>
    </w:p>
    <w:p w:rsidRPr="00FC37FD" w:rsidR="00990D65" w:rsidP="00990D65" w:rsidRDefault="00990D65" w14:paraId="232937DE" w14:textId="77777777">
      <w:pPr>
        <w:pStyle w:val="ListParagraph"/>
        <w:numPr>
          <w:ilvl w:val="0"/>
          <w:numId w:val="21"/>
        </w:numPr>
        <w:spacing w:after="240"/>
        <w:rPr>
          <w:rFonts w:ascii="Book Antiqua" w:hAnsi="Book Antiqua"/>
          <w:szCs w:val="26"/>
        </w:rPr>
      </w:pPr>
      <w:r w:rsidRPr="00FC37FD">
        <w:rPr>
          <w:rFonts w:ascii="Book Antiqua" w:hAnsi="Book Antiqua"/>
          <w:szCs w:val="26"/>
        </w:rPr>
        <w:t xml:space="preserve">Carrier Name: </w:t>
      </w:r>
      <w:r>
        <w:rPr>
          <w:rFonts w:ascii="Book Antiqua" w:hAnsi="Book Antiqua"/>
          <w:szCs w:val="26"/>
          <w:u w:val="single"/>
        </w:rPr>
        <w:t>IPC Systems</w:t>
      </w:r>
      <w:r w:rsidRPr="007B077B">
        <w:rPr>
          <w:rFonts w:ascii="Book Antiqua" w:hAnsi="Book Antiqua"/>
          <w:szCs w:val="26"/>
          <w:u w:val="single"/>
        </w:rPr>
        <w:t>, Inc</w:t>
      </w:r>
      <w:r>
        <w:rPr>
          <w:rFonts w:ascii="Book Antiqua" w:hAnsi="Book Antiqua"/>
          <w:szCs w:val="26"/>
          <w:u w:val="single"/>
        </w:rPr>
        <w:t>.</w:t>
      </w:r>
      <w:r w:rsidRPr="00FC37FD">
        <w:rPr>
          <w:rFonts w:ascii="Book Antiqua" w:hAnsi="Book Antiqua"/>
          <w:szCs w:val="26"/>
        </w:rPr>
        <w:t xml:space="preserve"> </w:t>
      </w:r>
    </w:p>
    <w:p w:rsidRPr="00FC37FD" w:rsidR="00990D65" w:rsidP="00990D65" w:rsidRDefault="00990D65" w14:paraId="7F510E8B" w14:textId="77777777">
      <w:pPr>
        <w:pStyle w:val="ListParagraph"/>
        <w:spacing w:after="240"/>
        <w:rPr>
          <w:rFonts w:ascii="Book Antiqua" w:hAnsi="Book Antiqua"/>
          <w:szCs w:val="26"/>
        </w:rPr>
      </w:pPr>
    </w:p>
    <w:p w:rsidR="00990D65" w:rsidP="00990D65" w:rsidRDefault="00990D65" w14:paraId="63A7F4F6" w14:textId="77777777">
      <w:pPr>
        <w:pStyle w:val="ListParagraph"/>
        <w:numPr>
          <w:ilvl w:val="0"/>
          <w:numId w:val="21"/>
        </w:numPr>
        <w:spacing w:after="240"/>
        <w:rPr>
          <w:rFonts w:ascii="Book Antiqua" w:hAnsi="Book Antiqua"/>
          <w:szCs w:val="26"/>
        </w:rPr>
      </w:pPr>
      <w:r w:rsidRPr="00FC37FD">
        <w:rPr>
          <w:rFonts w:ascii="Book Antiqua" w:hAnsi="Book Antiqua"/>
          <w:szCs w:val="26"/>
        </w:rPr>
        <w:t xml:space="preserve">Starting Date of Operation in California without an Operating Authority: </w:t>
      </w:r>
      <w:r>
        <w:rPr>
          <w:rFonts w:ascii="Book Antiqua" w:hAnsi="Book Antiqua"/>
          <w:szCs w:val="26"/>
          <w:u w:val="single"/>
        </w:rPr>
        <w:t>July 1, 2025</w:t>
      </w:r>
    </w:p>
    <w:p w:rsidRPr="00A353AE" w:rsidR="00990D65" w:rsidP="00990D65" w:rsidRDefault="00990D65" w14:paraId="3D6D74FB" w14:textId="77777777">
      <w:pPr>
        <w:pStyle w:val="ListParagraph"/>
        <w:rPr>
          <w:rFonts w:ascii="Book Antiqua" w:hAnsi="Book Antiqua"/>
          <w:szCs w:val="26"/>
        </w:rPr>
      </w:pPr>
    </w:p>
    <w:p w:rsidRPr="00A353AE" w:rsidR="00990D65" w:rsidP="00990D65" w:rsidRDefault="00990D65" w14:paraId="2B2DA570" w14:textId="77777777">
      <w:pPr>
        <w:pStyle w:val="ListParagraph"/>
        <w:numPr>
          <w:ilvl w:val="0"/>
          <w:numId w:val="21"/>
        </w:numPr>
        <w:spacing w:after="240"/>
        <w:rPr>
          <w:rFonts w:ascii="Book Antiqua" w:hAnsi="Book Antiqua"/>
          <w:szCs w:val="26"/>
        </w:rPr>
      </w:pPr>
      <w:r w:rsidRPr="00A353AE">
        <w:rPr>
          <w:rFonts w:ascii="Book Antiqua" w:hAnsi="Book Antiqua"/>
          <w:szCs w:val="26"/>
        </w:rPr>
        <w:lastRenderedPageBreak/>
        <w:t>Effective Date of Decision: ____________________</w:t>
      </w:r>
    </w:p>
    <w:p w:rsidRPr="00FC37FD" w:rsidR="00990D65" w:rsidP="00990D65" w:rsidRDefault="00990D65" w14:paraId="113094E1" w14:textId="77777777">
      <w:pPr>
        <w:pStyle w:val="ListParagraph"/>
        <w:rPr>
          <w:rFonts w:ascii="Book Antiqua" w:hAnsi="Book Antiqua"/>
          <w:szCs w:val="26"/>
        </w:rPr>
      </w:pPr>
    </w:p>
    <w:p w:rsidR="00990D65" w:rsidP="00990D65" w:rsidRDefault="00990D65" w14:paraId="0FCC3164" w14:textId="77777777">
      <w:pPr>
        <w:pStyle w:val="ListParagraph"/>
        <w:numPr>
          <w:ilvl w:val="0"/>
          <w:numId w:val="21"/>
        </w:numPr>
        <w:spacing w:after="240"/>
        <w:rPr>
          <w:rFonts w:ascii="Book Antiqua" w:hAnsi="Book Antiqua"/>
          <w:szCs w:val="26"/>
        </w:rPr>
      </w:pPr>
      <w:r w:rsidRPr="27B334F2">
        <w:rPr>
          <w:rFonts w:ascii="Book Antiqua" w:hAnsi="Book Antiqua"/>
          <w:szCs w:val="26"/>
        </w:rPr>
        <w:t xml:space="preserve">Provide the following data:  </w:t>
      </w:r>
    </w:p>
    <w:p w:rsidRPr="00DE36F4" w:rsidR="00990D65" w:rsidP="00990D65" w:rsidRDefault="00990D65" w14:paraId="278F7EE7" w14:textId="77777777">
      <w:pPr>
        <w:pStyle w:val="ListParagraph"/>
        <w:rPr>
          <w:rFonts w:ascii="Book Antiqua" w:hAnsi="Book Antiqua"/>
          <w:szCs w:val="26"/>
        </w:rPr>
      </w:pPr>
    </w:p>
    <w:p w:rsidRPr="005F5018" w:rsidR="00990D65" w:rsidP="00990D65" w:rsidRDefault="00990D65" w14:paraId="470438E3" w14:textId="1DC8B99D">
      <w:pPr>
        <w:pStyle w:val="ListParagraph"/>
        <w:numPr>
          <w:ilvl w:val="1"/>
          <w:numId w:val="21"/>
        </w:numPr>
        <w:spacing w:after="240"/>
        <w:rPr>
          <w:rFonts w:ascii="Book Antiqua" w:hAnsi="Book Antiqua"/>
          <w:szCs w:val="26"/>
        </w:rPr>
      </w:pPr>
      <w:r w:rsidRPr="27B334F2">
        <w:rPr>
          <w:rFonts w:ascii="Book Antiqua" w:hAnsi="Book Antiqua"/>
          <w:szCs w:val="26"/>
        </w:rPr>
        <w:t>First table:</w:t>
      </w:r>
      <w:r>
        <w:rPr>
          <w:rFonts w:ascii="Book Antiqua" w:hAnsi="Book Antiqua"/>
          <w:szCs w:val="26"/>
        </w:rPr>
        <w:t xml:space="preserve"> </w:t>
      </w:r>
      <w:r w:rsidRPr="27B334F2" w:rsidR="00C96581">
        <w:rPr>
          <w:rFonts w:ascii="Book Antiqua" w:hAnsi="Book Antiqua"/>
          <w:szCs w:val="26"/>
        </w:rPr>
        <w:t xml:space="preserve">The </w:t>
      </w:r>
      <w:r w:rsidR="00C96581">
        <w:rPr>
          <w:rFonts w:ascii="Book Antiqua" w:hAnsi="Book Antiqua"/>
          <w:szCs w:val="26"/>
        </w:rPr>
        <w:t xml:space="preserve">total </w:t>
      </w:r>
      <w:r w:rsidRPr="27B334F2" w:rsidR="00C96581">
        <w:rPr>
          <w:rFonts w:ascii="Book Antiqua" w:hAnsi="Book Antiqua"/>
          <w:szCs w:val="26"/>
        </w:rPr>
        <w:t>number of monthly Active Access Lines served</w:t>
      </w:r>
      <w:r w:rsidR="00C96581">
        <w:rPr>
          <w:rFonts w:ascii="Book Antiqua" w:hAnsi="Book Antiqua"/>
          <w:szCs w:val="26"/>
        </w:rPr>
        <w:t xml:space="preserve"> in California</w:t>
      </w:r>
      <w:r w:rsidRPr="27B334F2" w:rsidR="00C96581">
        <w:rPr>
          <w:rFonts w:ascii="Book Antiqua" w:hAnsi="Book Antiqua"/>
          <w:szCs w:val="26"/>
        </w:rPr>
        <w:t xml:space="preserve"> from </w:t>
      </w:r>
      <w:r w:rsidR="00C96581">
        <w:rPr>
          <w:rFonts w:ascii="Book Antiqua" w:hAnsi="Book Antiqua"/>
          <w:szCs w:val="26"/>
        </w:rPr>
        <w:t>July 1, 2025</w:t>
      </w:r>
      <w:r w:rsidRPr="27B334F2" w:rsidR="00C96581">
        <w:rPr>
          <w:rFonts w:ascii="Book Antiqua" w:hAnsi="Book Antiqua"/>
          <w:szCs w:val="26"/>
        </w:rPr>
        <w:t xml:space="preserve"> </w:t>
      </w:r>
      <w:r w:rsidRPr="005F5018" w:rsidR="00C96581">
        <w:rPr>
          <w:rFonts w:ascii="Book Antiqua" w:hAnsi="Book Antiqua"/>
          <w:szCs w:val="26"/>
        </w:rPr>
        <w:t xml:space="preserve">through the </w:t>
      </w:r>
      <w:r w:rsidR="00C96581">
        <w:rPr>
          <w:rFonts w:ascii="Book Antiqua" w:hAnsi="Book Antiqua"/>
          <w:szCs w:val="26"/>
        </w:rPr>
        <w:t>end of the month prior to the month the CPCN decision is effective</w:t>
      </w:r>
      <w:r w:rsidRPr="00374D8B" w:rsidR="00C96581">
        <w:rPr>
          <w:rFonts w:ascii="Book Antiqua" w:hAnsi="Book Antiqua"/>
          <w:szCs w:val="26"/>
        </w:rPr>
        <w:t>.</w:t>
      </w:r>
      <w:r w:rsidR="00C96581">
        <w:rPr>
          <w:rFonts w:ascii="Book Antiqua" w:hAnsi="Book Antiqua"/>
          <w:szCs w:val="26"/>
        </w:rPr>
        <w:t xml:space="preserve"> </w:t>
      </w:r>
      <w:r w:rsidRPr="27B334F2" w:rsidR="00C96581">
        <w:rPr>
          <w:rFonts w:ascii="Book Antiqua" w:hAnsi="Book Antiqua"/>
          <w:i/>
          <w:iCs/>
          <w:szCs w:val="26"/>
        </w:rPr>
        <w:t>See</w:t>
      </w:r>
      <w:r w:rsidRPr="27B334F2" w:rsidR="00C96581">
        <w:rPr>
          <w:rFonts w:ascii="Book Antiqua" w:hAnsi="Book Antiqua"/>
          <w:szCs w:val="26"/>
        </w:rPr>
        <w:t xml:space="preserve"> Section 5.2.2 of Decision 22</w:t>
      </w:r>
      <w:r w:rsidR="00C96581">
        <w:rPr>
          <w:rFonts w:ascii="Book Antiqua" w:hAnsi="Book Antiqua"/>
          <w:szCs w:val="26"/>
        </w:rPr>
        <w:t>-</w:t>
      </w:r>
      <w:r w:rsidRPr="27B334F2" w:rsidR="00C96581">
        <w:rPr>
          <w:rFonts w:ascii="Book Antiqua" w:hAnsi="Book Antiqua"/>
          <w:szCs w:val="26"/>
        </w:rPr>
        <w:t>10</w:t>
      </w:r>
      <w:r w:rsidR="00C96581">
        <w:rPr>
          <w:rFonts w:ascii="Book Antiqua" w:hAnsi="Book Antiqua"/>
          <w:szCs w:val="26"/>
        </w:rPr>
        <w:t>-</w:t>
      </w:r>
      <w:r w:rsidRPr="27B334F2" w:rsidR="00C96581">
        <w:rPr>
          <w:rFonts w:ascii="Book Antiqua" w:hAnsi="Book Antiqua"/>
          <w:szCs w:val="26"/>
        </w:rPr>
        <w:t>021 for definition of access line</w:t>
      </w:r>
      <w:r w:rsidR="00C96581">
        <w:rPr>
          <w:rFonts w:ascii="Book Antiqua" w:hAnsi="Book Antiqua"/>
          <w:szCs w:val="26"/>
        </w:rPr>
        <w:t xml:space="preserve">; </w:t>
      </w:r>
      <w:r w:rsidRPr="005F5018">
        <w:rPr>
          <w:rFonts w:ascii="Book Antiqua" w:hAnsi="Book Antiqua"/>
          <w:szCs w:val="26"/>
        </w:rPr>
        <w:t>and</w:t>
      </w:r>
    </w:p>
    <w:p w:rsidR="00990D65" w:rsidP="00990D65" w:rsidRDefault="00990D65" w14:paraId="0807358F" w14:textId="19277621">
      <w:pPr>
        <w:pStyle w:val="ListParagraph"/>
        <w:numPr>
          <w:ilvl w:val="1"/>
          <w:numId w:val="21"/>
        </w:numPr>
        <w:rPr>
          <w:rFonts w:ascii="Book Antiqua" w:hAnsi="Book Antiqua"/>
        </w:rPr>
      </w:pPr>
      <w:r w:rsidRPr="27B334F2">
        <w:rPr>
          <w:rFonts w:ascii="Book Antiqua" w:hAnsi="Book Antiqua"/>
          <w:szCs w:val="26"/>
        </w:rPr>
        <w:t xml:space="preserve">Second table: </w:t>
      </w:r>
      <w:r w:rsidRPr="27B334F2" w:rsidR="00C96581">
        <w:rPr>
          <w:rFonts w:ascii="Book Antiqua" w:hAnsi="Book Antiqua"/>
          <w:szCs w:val="26"/>
        </w:rPr>
        <w:t xml:space="preserve">Total monthly Intrastate Revenue for regulated voice services provided in California from </w:t>
      </w:r>
      <w:r w:rsidR="00C96581">
        <w:rPr>
          <w:rFonts w:ascii="Book Antiqua" w:hAnsi="Book Antiqua"/>
          <w:szCs w:val="26"/>
        </w:rPr>
        <w:t xml:space="preserve">July 1, 2025 </w:t>
      </w:r>
      <w:r w:rsidRPr="005F5018" w:rsidR="00C96581">
        <w:rPr>
          <w:rFonts w:ascii="Book Antiqua" w:hAnsi="Book Antiqua"/>
          <w:szCs w:val="26"/>
        </w:rPr>
        <w:t xml:space="preserve">through the </w:t>
      </w:r>
      <w:r w:rsidR="00C96581">
        <w:rPr>
          <w:rFonts w:ascii="Book Antiqua" w:hAnsi="Book Antiqua"/>
          <w:szCs w:val="26"/>
        </w:rPr>
        <w:t>end of the month prior to the month the CPCN decision is effective.</w:t>
      </w:r>
    </w:p>
    <w:p w:rsidR="00990D65" w:rsidP="00990D65" w:rsidRDefault="00990D65" w14:paraId="179E614E" w14:textId="77777777">
      <w:pPr>
        <w:spacing w:line="240" w:lineRule="auto"/>
        <w:rPr>
          <w:szCs w:val="26"/>
        </w:rPr>
      </w:pPr>
    </w:p>
    <w:p w:rsidRPr="00E26B1A" w:rsidR="008462A4" w:rsidP="008462A4" w:rsidRDefault="008462A4" w14:paraId="4DC75D78" w14:textId="4C3EFE89">
      <w:pPr>
        <w:spacing w:line="240" w:lineRule="auto"/>
        <w:jc w:val="center"/>
        <w:rPr>
          <w:szCs w:val="26"/>
        </w:rPr>
      </w:pPr>
      <w:r w:rsidRPr="00E26B1A">
        <w:rPr>
          <w:b/>
          <w:bCs/>
          <w:szCs w:val="26"/>
        </w:rPr>
        <w:t xml:space="preserve">Table </w:t>
      </w:r>
      <w:r>
        <w:rPr>
          <w:b/>
          <w:bCs/>
          <w:szCs w:val="26"/>
        </w:rPr>
        <w:t>1</w:t>
      </w:r>
      <w:r w:rsidRPr="00E26B1A">
        <w:rPr>
          <w:b/>
          <w:bCs/>
          <w:szCs w:val="26"/>
        </w:rPr>
        <w:t>: For Access Line Reporting</w:t>
      </w:r>
    </w:p>
    <w:p w:rsidRPr="00E26B1A" w:rsidR="008462A4" w:rsidP="008462A4" w:rsidRDefault="008462A4" w14:paraId="7459A3C0" w14:textId="77777777">
      <w:pPr>
        <w:spacing w:line="240" w:lineRule="auto"/>
        <w:jc w:val="center"/>
        <w:rPr>
          <w:szCs w:val="26"/>
        </w:rPr>
      </w:pPr>
      <w:r w:rsidRPr="00E26B1A">
        <w:rPr>
          <w:szCs w:val="26"/>
        </w:rPr>
        <w:t>(No information is required in fields marked with N/A)</w:t>
      </w:r>
    </w:p>
    <w:tbl>
      <w:tblPr>
        <w:tblStyle w:val="TableGrid"/>
        <w:tblW w:w="5117" w:type="pct"/>
        <w:jc w:val="center"/>
        <w:tblLook w:val="04A0" w:firstRow="1" w:lastRow="0" w:firstColumn="1" w:lastColumn="0" w:noHBand="0" w:noVBand="1"/>
      </w:tblPr>
      <w:tblGrid>
        <w:gridCol w:w="2335"/>
        <w:gridCol w:w="3690"/>
        <w:gridCol w:w="3544"/>
      </w:tblGrid>
      <w:tr w:rsidRPr="00E26B1A" w:rsidR="008462A4" w:rsidTr="000D05CB" w14:paraId="5E7F7568" w14:textId="77777777">
        <w:trPr>
          <w:trHeight w:val="342"/>
          <w:jc w:val="center"/>
        </w:trPr>
        <w:tc>
          <w:tcPr>
            <w:tcW w:w="1220" w:type="pct"/>
          </w:tcPr>
          <w:p w:rsidRPr="00E26B1A" w:rsidR="008462A4" w:rsidP="00134CEB" w:rsidRDefault="008462A4" w14:paraId="2DEBF0D1" w14:textId="77777777">
            <w:pPr>
              <w:pStyle w:val="NoSpacing"/>
              <w:jc w:val="center"/>
              <w:rPr>
                <w:b/>
                <w:bCs/>
                <w:szCs w:val="26"/>
              </w:rPr>
            </w:pPr>
            <w:r w:rsidRPr="00E26B1A">
              <w:rPr>
                <w:b/>
                <w:bCs/>
                <w:szCs w:val="26"/>
              </w:rPr>
              <w:t>Report Period</w:t>
            </w:r>
          </w:p>
        </w:tc>
        <w:tc>
          <w:tcPr>
            <w:tcW w:w="1928" w:type="pct"/>
          </w:tcPr>
          <w:p w:rsidRPr="00E26B1A" w:rsidR="008462A4" w:rsidP="00134CEB" w:rsidRDefault="008462A4" w14:paraId="4F824356" w14:textId="77777777">
            <w:pPr>
              <w:pStyle w:val="NoSpacing"/>
              <w:jc w:val="center"/>
              <w:rPr>
                <w:b/>
                <w:bCs/>
                <w:szCs w:val="26"/>
              </w:rPr>
            </w:pPr>
            <w:r w:rsidRPr="00E26B1A">
              <w:rPr>
                <w:b/>
                <w:bCs/>
                <w:szCs w:val="26"/>
              </w:rPr>
              <w:t>Number of Access Lines served in 2025</w:t>
            </w:r>
          </w:p>
        </w:tc>
        <w:tc>
          <w:tcPr>
            <w:tcW w:w="1852" w:type="pct"/>
          </w:tcPr>
          <w:p w:rsidRPr="00E26B1A" w:rsidR="008462A4" w:rsidP="00134CEB" w:rsidRDefault="008462A4" w14:paraId="535E2A09" w14:textId="77777777">
            <w:pPr>
              <w:pStyle w:val="NoSpacing"/>
              <w:jc w:val="center"/>
              <w:rPr>
                <w:b/>
                <w:bCs/>
                <w:szCs w:val="26"/>
              </w:rPr>
            </w:pPr>
            <w:r w:rsidRPr="00E26B1A">
              <w:rPr>
                <w:b/>
                <w:bCs/>
                <w:szCs w:val="26"/>
              </w:rPr>
              <w:t>Number of Access Lines served in 2026</w:t>
            </w:r>
          </w:p>
        </w:tc>
      </w:tr>
      <w:tr w:rsidRPr="00E26B1A" w:rsidR="008462A4" w:rsidTr="000D05CB" w14:paraId="7A848C08" w14:textId="77777777">
        <w:trPr>
          <w:trHeight w:val="342"/>
          <w:jc w:val="center"/>
        </w:trPr>
        <w:tc>
          <w:tcPr>
            <w:tcW w:w="1220" w:type="pct"/>
          </w:tcPr>
          <w:p w:rsidRPr="00E26B1A" w:rsidR="008462A4" w:rsidP="00134CEB" w:rsidRDefault="008462A4" w14:paraId="5AC80453" w14:textId="77777777">
            <w:pPr>
              <w:pStyle w:val="NoSpacing"/>
              <w:rPr>
                <w:szCs w:val="26"/>
              </w:rPr>
            </w:pPr>
            <w:r w:rsidRPr="00E26B1A">
              <w:rPr>
                <w:szCs w:val="26"/>
              </w:rPr>
              <w:t xml:space="preserve">January </w:t>
            </w:r>
          </w:p>
        </w:tc>
        <w:tc>
          <w:tcPr>
            <w:tcW w:w="1928" w:type="pct"/>
          </w:tcPr>
          <w:p w:rsidRPr="00E26B1A" w:rsidR="008462A4" w:rsidP="00134CEB" w:rsidRDefault="008462A4" w14:paraId="465AD36C" w14:textId="77777777">
            <w:pPr>
              <w:pStyle w:val="NoSpacing"/>
              <w:rPr>
                <w:szCs w:val="26"/>
              </w:rPr>
            </w:pPr>
            <w:r w:rsidRPr="00E26B1A">
              <w:rPr>
                <w:szCs w:val="26"/>
              </w:rPr>
              <w:t>N/A</w:t>
            </w:r>
          </w:p>
        </w:tc>
        <w:tc>
          <w:tcPr>
            <w:tcW w:w="1852" w:type="pct"/>
          </w:tcPr>
          <w:p w:rsidRPr="00E26B1A" w:rsidR="008462A4" w:rsidP="00134CEB" w:rsidRDefault="008462A4" w14:paraId="256DA5F6" w14:textId="77777777">
            <w:pPr>
              <w:pStyle w:val="NoSpacing"/>
              <w:rPr>
                <w:szCs w:val="26"/>
              </w:rPr>
            </w:pPr>
          </w:p>
        </w:tc>
      </w:tr>
      <w:tr w:rsidRPr="00E26B1A" w:rsidR="008462A4" w:rsidTr="000D05CB" w14:paraId="3FBF7602" w14:textId="77777777">
        <w:trPr>
          <w:trHeight w:val="59"/>
          <w:jc w:val="center"/>
        </w:trPr>
        <w:tc>
          <w:tcPr>
            <w:tcW w:w="1220" w:type="pct"/>
          </w:tcPr>
          <w:p w:rsidRPr="00E26B1A" w:rsidR="008462A4" w:rsidP="00134CEB" w:rsidRDefault="008462A4" w14:paraId="49FCFB8D" w14:textId="77777777">
            <w:pPr>
              <w:pStyle w:val="NoSpacing"/>
              <w:rPr>
                <w:szCs w:val="26"/>
              </w:rPr>
            </w:pPr>
            <w:r w:rsidRPr="00E26B1A">
              <w:rPr>
                <w:szCs w:val="26"/>
              </w:rPr>
              <w:t xml:space="preserve">February </w:t>
            </w:r>
          </w:p>
        </w:tc>
        <w:tc>
          <w:tcPr>
            <w:tcW w:w="1928" w:type="pct"/>
          </w:tcPr>
          <w:p w:rsidRPr="00E26B1A" w:rsidR="008462A4" w:rsidP="00134CEB" w:rsidRDefault="008462A4" w14:paraId="094B38C0" w14:textId="77777777">
            <w:pPr>
              <w:pStyle w:val="NoSpacing"/>
              <w:rPr>
                <w:szCs w:val="26"/>
              </w:rPr>
            </w:pPr>
            <w:r w:rsidRPr="00E26B1A">
              <w:rPr>
                <w:szCs w:val="26"/>
              </w:rPr>
              <w:t>N/A</w:t>
            </w:r>
          </w:p>
        </w:tc>
        <w:tc>
          <w:tcPr>
            <w:tcW w:w="1852" w:type="pct"/>
          </w:tcPr>
          <w:p w:rsidRPr="00E26B1A" w:rsidR="008462A4" w:rsidP="00134CEB" w:rsidRDefault="008462A4" w14:paraId="25CCE023" w14:textId="77777777">
            <w:pPr>
              <w:pStyle w:val="NoSpacing"/>
              <w:rPr>
                <w:szCs w:val="26"/>
              </w:rPr>
            </w:pPr>
          </w:p>
        </w:tc>
      </w:tr>
      <w:tr w:rsidRPr="00E26B1A" w:rsidR="008462A4" w:rsidTr="000D05CB" w14:paraId="7C8A4214" w14:textId="77777777">
        <w:trPr>
          <w:trHeight w:val="59"/>
          <w:jc w:val="center"/>
        </w:trPr>
        <w:tc>
          <w:tcPr>
            <w:tcW w:w="1220" w:type="pct"/>
          </w:tcPr>
          <w:p w:rsidRPr="00E26B1A" w:rsidR="008462A4" w:rsidP="00134CEB" w:rsidRDefault="008462A4" w14:paraId="2F1EF5A8" w14:textId="77777777">
            <w:pPr>
              <w:pStyle w:val="NoSpacing"/>
              <w:rPr>
                <w:szCs w:val="26"/>
              </w:rPr>
            </w:pPr>
            <w:r w:rsidRPr="00E26B1A">
              <w:rPr>
                <w:szCs w:val="26"/>
              </w:rPr>
              <w:t>March</w:t>
            </w:r>
          </w:p>
        </w:tc>
        <w:tc>
          <w:tcPr>
            <w:tcW w:w="1928" w:type="pct"/>
          </w:tcPr>
          <w:p w:rsidRPr="00E26B1A" w:rsidR="008462A4" w:rsidP="00134CEB" w:rsidRDefault="008462A4" w14:paraId="51C2FA15" w14:textId="77777777">
            <w:pPr>
              <w:pStyle w:val="NoSpacing"/>
              <w:rPr>
                <w:szCs w:val="26"/>
              </w:rPr>
            </w:pPr>
            <w:r w:rsidRPr="00E26B1A">
              <w:rPr>
                <w:szCs w:val="26"/>
              </w:rPr>
              <w:t>N/A</w:t>
            </w:r>
          </w:p>
        </w:tc>
        <w:tc>
          <w:tcPr>
            <w:tcW w:w="1852" w:type="pct"/>
          </w:tcPr>
          <w:p w:rsidRPr="00E26B1A" w:rsidR="008462A4" w:rsidP="00134CEB" w:rsidRDefault="008462A4" w14:paraId="4000DF7B" w14:textId="77777777">
            <w:pPr>
              <w:pStyle w:val="NoSpacing"/>
              <w:rPr>
                <w:szCs w:val="26"/>
              </w:rPr>
            </w:pPr>
          </w:p>
        </w:tc>
      </w:tr>
      <w:tr w:rsidRPr="00E26B1A" w:rsidR="008462A4" w:rsidTr="000D05CB" w14:paraId="7234E09A" w14:textId="77777777">
        <w:trPr>
          <w:trHeight w:val="20"/>
          <w:jc w:val="center"/>
        </w:trPr>
        <w:tc>
          <w:tcPr>
            <w:tcW w:w="1220" w:type="pct"/>
          </w:tcPr>
          <w:p w:rsidRPr="00E26B1A" w:rsidR="008462A4" w:rsidP="00134CEB" w:rsidRDefault="008462A4" w14:paraId="5F15F5A5" w14:textId="77777777">
            <w:pPr>
              <w:pStyle w:val="NoSpacing"/>
              <w:rPr>
                <w:szCs w:val="26"/>
              </w:rPr>
            </w:pPr>
            <w:r w:rsidRPr="00E26B1A">
              <w:rPr>
                <w:szCs w:val="26"/>
              </w:rPr>
              <w:t>April</w:t>
            </w:r>
          </w:p>
        </w:tc>
        <w:tc>
          <w:tcPr>
            <w:tcW w:w="1928" w:type="pct"/>
          </w:tcPr>
          <w:p w:rsidRPr="00E26B1A" w:rsidR="008462A4" w:rsidP="00134CEB" w:rsidRDefault="008462A4" w14:paraId="687DA8DC" w14:textId="77777777">
            <w:pPr>
              <w:pStyle w:val="NoSpacing"/>
              <w:rPr>
                <w:szCs w:val="26"/>
              </w:rPr>
            </w:pPr>
            <w:r w:rsidRPr="00E26B1A">
              <w:rPr>
                <w:szCs w:val="26"/>
              </w:rPr>
              <w:t>N/A</w:t>
            </w:r>
          </w:p>
        </w:tc>
        <w:tc>
          <w:tcPr>
            <w:tcW w:w="1852" w:type="pct"/>
          </w:tcPr>
          <w:p w:rsidRPr="00E26B1A" w:rsidR="008462A4" w:rsidP="00134CEB" w:rsidRDefault="008462A4" w14:paraId="37C3EBAB" w14:textId="77777777">
            <w:pPr>
              <w:pStyle w:val="NoSpacing"/>
              <w:rPr>
                <w:szCs w:val="26"/>
              </w:rPr>
            </w:pPr>
          </w:p>
        </w:tc>
      </w:tr>
      <w:tr w:rsidRPr="00E26B1A" w:rsidR="008462A4" w:rsidTr="000D05CB" w14:paraId="6E9D190A" w14:textId="77777777">
        <w:trPr>
          <w:trHeight w:val="20"/>
          <w:jc w:val="center"/>
        </w:trPr>
        <w:tc>
          <w:tcPr>
            <w:tcW w:w="1220" w:type="pct"/>
          </w:tcPr>
          <w:p w:rsidRPr="00E26B1A" w:rsidR="008462A4" w:rsidP="00134CEB" w:rsidRDefault="008462A4" w14:paraId="719959D8" w14:textId="77777777">
            <w:pPr>
              <w:pStyle w:val="NoSpacing"/>
              <w:rPr>
                <w:szCs w:val="26"/>
              </w:rPr>
            </w:pPr>
            <w:r w:rsidRPr="00E26B1A">
              <w:rPr>
                <w:szCs w:val="26"/>
              </w:rPr>
              <w:t>May</w:t>
            </w:r>
          </w:p>
        </w:tc>
        <w:tc>
          <w:tcPr>
            <w:tcW w:w="1928" w:type="pct"/>
          </w:tcPr>
          <w:p w:rsidRPr="00E26B1A" w:rsidR="008462A4" w:rsidP="00134CEB" w:rsidRDefault="008462A4" w14:paraId="2318B4DF" w14:textId="77777777">
            <w:pPr>
              <w:pStyle w:val="NoSpacing"/>
              <w:rPr>
                <w:szCs w:val="26"/>
              </w:rPr>
            </w:pPr>
            <w:r w:rsidRPr="00E26B1A">
              <w:rPr>
                <w:szCs w:val="26"/>
              </w:rPr>
              <w:t>N/A</w:t>
            </w:r>
          </w:p>
        </w:tc>
        <w:tc>
          <w:tcPr>
            <w:tcW w:w="1852" w:type="pct"/>
          </w:tcPr>
          <w:p w:rsidRPr="00E26B1A" w:rsidR="008462A4" w:rsidP="00134CEB" w:rsidRDefault="008462A4" w14:paraId="05DF9D2A" w14:textId="77777777">
            <w:pPr>
              <w:pStyle w:val="NoSpacing"/>
              <w:rPr>
                <w:szCs w:val="26"/>
              </w:rPr>
            </w:pPr>
          </w:p>
        </w:tc>
      </w:tr>
      <w:tr w:rsidRPr="00E26B1A" w:rsidR="008462A4" w:rsidTr="000D05CB" w14:paraId="7B8D034F" w14:textId="77777777">
        <w:trPr>
          <w:trHeight w:val="20"/>
          <w:jc w:val="center"/>
        </w:trPr>
        <w:tc>
          <w:tcPr>
            <w:tcW w:w="1220" w:type="pct"/>
          </w:tcPr>
          <w:p w:rsidRPr="00E26B1A" w:rsidR="008462A4" w:rsidP="00134CEB" w:rsidRDefault="008462A4" w14:paraId="1BD68B19" w14:textId="77777777">
            <w:pPr>
              <w:pStyle w:val="NoSpacing"/>
              <w:rPr>
                <w:szCs w:val="26"/>
              </w:rPr>
            </w:pPr>
            <w:r w:rsidRPr="00E26B1A">
              <w:rPr>
                <w:szCs w:val="26"/>
              </w:rPr>
              <w:t>June</w:t>
            </w:r>
          </w:p>
        </w:tc>
        <w:tc>
          <w:tcPr>
            <w:tcW w:w="1928" w:type="pct"/>
          </w:tcPr>
          <w:p w:rsidRPr="00E26B1A" w:rsidR="008462A4" w:rsidP="00134CEB" w:rsidRDefault="008462A4" w14:paraId="10A2F84E" w14:textId="77777777">
            <w:pPr>
              <w:pStyle w:val="NoSpacing"/>
              <w:rPr>
                <w:szCs w:val="26"/>
              </w:rPr>
            </w:pPr>
            <w:r w:rsidRPr="00E26B1A">
              <w:rPr>
                <w:szCs w:val="26"/>
              </w:rPr>
              <w:t>N/A</w:t>
            </w:r>
          </w:p>
        </w:tc>
        <w:tc>
          <w:tcPr>
            <w:tcW w:w="1852" w:type="pct"/>
          </w:tcPr>
          <w:p w:rsidRPr="00E26B1A" w:rsidR="008462A4" w:rsidP="00134CEB" w:rsidRDefault="008462A4" w14:paraId="571C80FB" w14:textId="77777777">
            <w:pPr>
              <w:pStyle w:val="NoSpacing"/>
              <w:rPr>
                <w:szCs w:val="26"/>
              </w:rPr>
            </w:pPr>
          </w:p>
        </w:tc>
      </w:tr>
      <w:tr w:rsidRPr="00E26B1A" w:rsidR="008462A4" w:rsidTr="000D05CB" w14:paraId="452710D7" w14:textId="77777777">
        <w:trPr>
          <w:trHeight w:val="20"/>
          <w:jc w:val="center"/>
        </w:trPr>
        <w:tc>
          <w:tcPr>
            <w:tcW w:w="1220" w:type="pct"/>
          </w:tcPr>
          <w:p w:rsidRPr="00E26B1A" w:rsidR="008462A4" w:rsidP="00134CEB" w:rsidRDefault="008462A4" w14:paraId="6BC4DDA4" w14:textId="77777777">
            <w:pPr>
              <w:pStyle w:val="NoSpacing"/>
              <w:rPr>
                <w:szCs w:val="26"/>
              </w:rPr>
            </w:pPr>
            <w:r w:rsidRPr="00E26B1A">
              <w:rPr>
                <w:szCs w:val="26"/>
              </w:rPr>
              <w:t>July</w:t>
            </w:r>
          </w:p>
        </w:tc>
        <w:tc>
          <w:tcPr>
            <w:tcW w:w="1928" w:type="pct"/>
          </w:tcPr>
          <w:p w:rsidRPr="00E26B1A" w:rsidR="008462A4" w:rsidP="00134CEB" w:rsidRDefault="008462A4" w14:paraId="7A77C4CD" w14:textId="77777777">
            <w:pPr>
              <w:pStyle w:val="NoSpacing"/>
              <w:rPr>
                <w:szCs w:val="26"/>
              </w:rPr>
            </w:pPr>
          </w:p>
        </w:tc>
        <w:tc>
          <w:tcPr>
            <w:tcW w:w="1852" w:type="pct"/>
          </w:tcPr>
          <w:p w:rsidRPr="00E26B1A" w:rsidR="008462A4" w:rsidP="00134CEB" w:rsidRDefault="008462A4" w14:paraId="5FC5DFC9" w14:textId="77777777">
            <w:pPr>
              <w:pStyle w:val="NoSpacing"/>
              <w:rPr>
                <w:szCs w:val="26"/>
              </w:rPr>
            </w:pPr>
          </w:p>
        </w:tc>
      </w:tr>
      <w:tr w:rsidRPr="00E26B1A" w:rsidR="008462A4" w:rsidTr="000D05CB" w14:paraId="0DE900A1" w14:textId="77777777">
        <w:trPr>
          <w:trHeight w:val="20"/>
          <w:jc w:val="center"/>
        </w:trPr>
        <w:tc>
          <w:tcPr>
            <w:tcW w:w="1220" w:type="pct"/>
          </w:tcPr>
          <w:p w:rsidRPr="00E26B1A" w:rsidR="008462A4" w:rsidP="00134CEB" w:rsidRDefault="008462A4" w14:paraId="06BDD463" w14:textId="77777777">
            <w:pPr>
              <w:pStyle w:val="NoSpacing"/>
              <w:rPr>
                <w:szCs w:val="26"/>
              </w:rPr>
            </w:pPr>
            <w:r w:rsidRPr="00E26B1A">
              <w:rPr>
                <w:szCs w:val="26"/>
              </w:rPr>
              <w:t>August</w:t>
            </w:r>
          </w:p>
        </w:tc>
        <w:tc>
          <w:tcPr>
            <w:tcW w:w="1928" w:type="pct"/>
          </w:tcPr>
          <w:p w:rsidRPr="00E26B1A" w:rsidR="008462A4" w:rsidP="00134CEB" w:rsidRDefault="008462A4" w14:paraId="3B8989FF" w14:textId="77777777">
            <w:pPr>
              <w:pStyle w:val="NoSpacing"/>
              <w:rPr>
                <w:szCs w:val="26"/>
              </w:rPr>
            </w:pPr>
          </w:p>
        </w:tc>
        <w:tc>
          <w:tcPr>
            <w:tcW w:w="1852" w:type="pct"/>
          </w:tcPr>
          <w:p w:rsidRPr="00E26B1A" w:rsidR="008462A4" w:rsidP="00134CEB" w:rsidRDefault="008462A4" w14:paraId="267FBFAC" w14:textId="77777777">
            <w:pPr>
              <w:pStyle w:val="NoSpacing"/>
              <w:rPr>
                <w:szCs w:val="26"/>
              </w:rPr>
            </w:pPr>
          </w:p>
        </w:tc>
      </w:tr>
      <w:tr w:rsidRPr="00E26B1A" w:rsidR="008462A4" w:rsidTr="000D05CB" w14:paraId="2928212D" w14:textId="77777777">
        <w:trPr>
          <w:trHeight w:val="20"/>
          <w:jc w:val="center"/>
        </w:trPr>
        <w:tc>
          <w:tcPr>
            <w:tcW w:w="1220" w:type="pct"/>
          </w:tcPr>
          <w:p w:rsidRPr="00E26B1A" w:rsidR="008462A4" w:rsidP="00134CEB" w:rsidRDefault="008462A4" w14:paraId="3EC9DD7B" w14:textId="77777777">
            <w:pPr>
              <w:pStyle w:val="NoSpacing"/>
              <w:rPr>
                <w:szCs w:val="26"/>
              </w:rPr>
            </w:pPr>
            <w:r w:rsidRPr="00E26B1A">
              <w:rPr>
                <w:szCs w:val="26"/>
              </w:rPr>
              <w:t>September</w:t>
            </w:r>
          </w:p>
        </w:tc>
        <w:tc>
          <w:tcPr>
            <w:tcW w:w="1928" w:type="pct"/>
          </w:tcPr>
          <w:p w:rsidRPr="00E26B1A" w:rsidR="008462A4" w:rsidP="00134CEB" w:rsidRDefault="008462A4" w14:paraId="61428BFA" w14:textId="77777777">
            <w:pPr>
              <w:pStyle w:val="NoSpacing"/>
              <w:rPr>
                <w:szCs w:val="26"/>
              </w:rPr>
            </w:pPr>
          </w:p>
        </w:tc>
        <w:tc>
          <w:tcPr>
            <w:tcW w:w="1852" w:type="pct"/>
          </w:tcPr>
          <w:p w:rsidRPr="00E26B1A" w:rsidR="008462A4" w:rsidP="00134CEB" w:rsidRDefault="008462A4" w14:paraId="5100DCEC" w14:textId="77777777">
            <w:pPr>
              <w:pStyle w:val="NoSpacing"/>
              <w:rPr>
                <w:szCs w:val="26"/>
              </w:rPr>
            </w:pPr>
          </w:p>
        </w:tc>
      </w:tr>
      <w:tr w:rsidRPr="00E26B1A" w:rsidR="0025401F" w:rsidTr="000D05CB" w14:paraId="102E92E8" w14:textId="77777777">
        <w:trPr>
          <w:trHeight w:val="20"/>
          <w:jc w:val="center"/>
        </w:trPr>
        <w:tc>
          <w:tcPr>
            <w:tcW w:w="1220" w:type="pct"/>
          </w:tcPr>
          <w:p w:rsidRPr="00E26B1A" w:rsidR="0025401F" w:rsidP="0025401F" w:rsidRDefault="0025401F" w14:paraId="038D9437" w14:textId="77777777">
            <w:pPr>
              <w:pStyle w:val="NoSpacing"/>
              <w:rPr>
                <w:szCs w:val="26"/>
              </w:rPr>
            </w:pPr>
            <w:r w:rsidRPr="00E26B1A">
              <w:rPr>
                <w:szCs w:val="26"/>
              </w:rPr>
              <w:t>October</w:t>
            </w:r>
          </w:p>
        </w:tc>
        <w:tc>
          <w:tcPr>
            <w:tcW w:w="1928" w:type="pct"/>
          </w:tcPr>
          <w:p w:rsidRPr="00E26B1A" w:rsidR="0025401F" w:rsidP="0025401F" w:rsidRDefault="0025401F" w14:paraId="697BC5CA" w14:textId="77777777">
            <w:pPr>
              <w:pStyle w:val="NoSpacing"/>
              <w:rPr>
                <w:szCs w:val="26"/>
              </w:rPr>
            </w:pPr>
          </w:p>
        </w:tc>
        <w:tc>
          <w:tcPr>
            <w:tcW w:w="1852" w:type="pct"/>
          </w:tcPr>
          <w:p w:rsidRPr="00E26B1A" w:rsidR="0025401F" w:rsidP="0025401F" w:rsidRDefault="0025401F" w14:paraId="4C5FBEFB" w14:textId="11A86569">
            <w:pPr>
              <w:pStyle w:val="NoSpacing"/>
              <w:rPr>
                <w:szCs w:val="26"/>
              </w:rPr>
            </w:pPr>
            <w:r>
              <w:rPr>
                <w:szCs w:val="26"/>
              </w:rPr>
              <w:t>To be reported in TUFFS</w:t>
            </w:r>
          </w:p>
        </w:tc>
      </w:tr>
      <w:tr w:rsidRPr="00E26B1A" w:rsidR="0025401F" w:rsidTr="000D05CB" w14:paraId="4DCB7258" w14:textId="77777777">
        <w:trPr>
          <w:trHeight w:val="20"/>
          <w:jc w:val="center"/>
        </w:trPr>
        <w:tc>
          <w:tcPr>
            <w:tcW w:w="1220" w:type="pct"/>
          </w:tcPr>
          <w:p w:rsidRPr="00E26B1A" w:rsidR="0025401F" w:rsidP="0025401F" w:rsidRDefault="0025401F" w14:paraId="65C67B16" w14:textId="77777777">
            <w:pPr>
              <w:pStyle w:val="NoSpacing"/>
              <w:rPr>
                <w:szCs w:val="26"/>
              </w:rPr>
            </w:pPr>
            <w:r w:rsidRPr="00E26B1A">
              <w:rPr>
                <w:szCs w:val="26"/>
              </w:rPr>
              <w:t>November</w:t>
            </w:r>
          </w:p>
        </w:tc>
        <w:tc>
          <w:tcPr>
            <w:tcW w:w="1928" w:type="pct"/>
          </w:tcPr>
          <w:p w:rsidRPr="00E26B1A" w:rsidR="0025401F" w:rsidP="0025401F" w:rsidRDefault="0025401F" w14:paraId="0A6CECA9" w14:textId="77777777">
            <w:pPr>
              <w:pStyle w:val="NoSpacing"/>
              <w:rPr>
                <w:szCs w:val="26"/>
              </w:rPr>
            </w:pPr>
          </w:p>
        </w:tc>
        <w:tc>
          <w:tcPr>
            <w:tcW w:w="1852" w:type="pct"/>
          </w:tcPr>
          <w:p w:rsidRPr="00E26B1A" w:rsidR="0025401F" w:rsidP="0025401F" w:rsidRDefault="0025401F" w14:paraId="0FBFD7EE" w14:textId="4899F3FA">
            <w:pPr>
              <w:pStyle w:val="NoSpacing"/>
              <w:rPr>
                <w:szCs w:val="26"/>
              </w:rPr>
            </w:pPr>
            <w:r>
              <w:rPr>
                <w:szCs w:val="26"/>
              </w:rPr>
              <w:t>To be reported in TUFFS</w:t>
            </w:r>
          </w:p>
        </w:tc>
      </w:tr>
      <w:tr w:rsidRPr="00E26B1A" w:rsidR="0025401F" w:rsidTr="000D05CB" w14:paraId="4FD0922A" w14:textId="77777777">
        <w:trPr>
          <w:trHeight w:val="20"/>
          <w:jc w:val="center"/>
        </w:trPr>
        <w:tc>
          <w:tcPr>
            <w:tcW w:w="1220" w:type="pct"/>
          </w:tcPr>
          <w:p w:rsidRPr="00E26B1A" w:rsidR="0025401F" w:rsidP="0025401F" w:rsidRDefault="0025401F" w14:paraId="10EE6C3E" w14:textId="77777777">
            <w:pPr>
              <w:pStyle w:val="NoSpacing"/>
              <w:rPr>
                <w:szCs w:val="26"/>
              </w:rPr>
            </w:pPr>
            <w:r w:rsidRPr="00E26B1A">
              <w:rPr>
                <w:szCs w:val="26"/>
              </w:rPr>
              <w:t>December</w:t>
            </w:r>
          </w:p>
        </w:tc>
        <w:tc>
          <w:tcPr>
            <w:tcW w:w="1928" w:type="pct"/>
          </w:tcPr>
          <w:p w:rsidRPr="00E26B1A" w:rsidR="0025401F" w:rsidP="0025401F" w:rsidRDefault="0025401F" w14:paraId="25BB4AEF" w14:textId="77777777">
            <w:pPr>
              <w:pStyle w:val="NoSpacing"/>
              <w:rPr>
                <w:szCs w:val="26"/>
              </w:rPr>
            </w:pPr>
          </w:p>
        </w:tc>
        <w:tc>
          <w:tcPr>
            <w:tcW w:w="1852" w:type="pct"/>
          </w:tcPr>
          <w:p w:rsidRPr="00E26B1A" w:rsidR="0025401F" w:rsidP="0025401F" w:rsidRDefault="0025401F" w14:paraId="1D368672" w14:textId="0ABD97FE">
            <w:pPr>
              <w:pStyle w:val="NoSpacing"/>
              <w:rPr>
                <w:szCs w:val="26"/>
              </w:rPr>
            </w:pPr>
            <w:r>
              <w:rPr>
                <w:szCs w:val="26"/>
              </w:rPr>
              <w:t>To be reported in TUFFS</w:t>
            </w:r>
          </w:p>
        </w:tc>
      </w:tr>
    </w:tbl>
    <w:p w:rsidRPr="005F5018" w:rsidR="008462A4" w:rsidP="00990D65" w:rsidRDefault="008462A4" w14:paraId="3F2F9695" w14:textId="77777777">
      <w:pPr>
        <w:spacing w:line="240" w:lineRule="auto"/>
        <w:rPr>
          <w:szCs w:val="26"/>
        </w:rPr>
      </w:pPr>
    </w:p>
    <w:p w:rsidR="008462A4" w:rsidP="00990D65" w:rsidRDefault="008462A4" w14:paraId="6F154EC7" w14:textId="77777777">
      <w:pPr>
        <w:spacing w:line="240" w:lineRule="auto"/>
        <w:jc w:val="center"/>
        <w:rPr>
          <w:b/>
          <w:bCs/>
          <w:szCs w:val="26"/>
        </w:rPr>
      </w:pPr>
    </w:p>
    <w:p w:rsidR="008462A4" w:rsidP="00990D65" w:rsidRDefault="008462A4" w14:paraId="7C92DA10" w14:textId="77777777">
      <w:pPr>
        <w:spacing w:line="240" w:lineRule="auto"/>
        <w:jc w:val="center"/>
        <w:rPr>
          <w:b/>
          <w:bCs/>
          <w:szCs w:val="26"/>
        </w:rPr>
      </w:pPr>
    </w:p>
    <w:p w:rsidR="008462A4" w:rsidP="00990D65" w:rsidRDefault="008462A4" w14:paraId="7C81A16D" w14:textId="77777777">
      <w:pPr>
        <w:spacing w:line="240" w:lineRule="auto"/>
        <w:jc w:val="center"/>
        <w:rPr>
          <w:b/>
          <w:bCs/>
          <w:szCs w:val="26"/>
        </w:rPr>
      </w:pPr>
    </w:p>
    <w:p w:rsidR="008462A4" w:rsidP="00990D65" w:rsidRDefault="008462A4" w14:paraId="1528B5CC" w14:textId="77777777">
      <w:pPr>
        <w:spacing w:line="240" w:lineRule="auto"/>
        <w:jc w:val="center"/>
        <w:rPr>
          <w:b/>
          <w:bCs/>
          <w:szCs w:val="26"/>
        </w:rPr>
      </w:pPr>
    </w:p>
    <w:p w:rsidR="008462A4" w:rsidP="00990D65" w:rsidRDefault="008462A4" w14:paraId="3D7F251A" w14:textId="77777777">
      <w:pPr>
        <w:spacing w:line="240" w:lineRule="auto"/>
        <w:jc w:val="center"/>
        <w:rPr>
          <w:b/>
          <w:bCs/>
          <w:szCs w:val="26"/>
        </w:rPr>
      </w:pPr>
    </w:p>
    <w:p w:rsidR="008462A4" w:rsidP="0025245B" w:rsidRDefault="008462A4" w14:paraId="7B70675F" w14:textId="77777777">
      <w:pPr>
        <w:spacing w:line="240" w:lineRule="auto"/>
        <w:ind w:firstLine="0"/>
        <w:rPr>
          <w:b/>
          <w:bCs/>
          <w:szCs w:val="26"/>
        </w:rPr>
      </w:pPr>
    </w:p>
    <w:p w:rsidRPr="00E26B1A" w:rsidR="00990D65" w:rsidP="00990D65" w:rsidRDefault="00990D65" w14:paraId="3207A336" w14:textId="5AA15CC2">
      <w:pPr>
        <w:spacing w:line="240" w:lineRule="auto"/>
        <w:jc w:val="center"/>
        <w:rPr>
          <w:b/>
          <w:bCs/>
          <w:szCs w:val="26"/>
        </w:rPr>
      </w:pPr>
      <w:r w:rsidRPr="00E26B1A">
        <w:rPr>
          <w:b/>
          <w:bCs/>
          <w:szCs w:val="26"/>
        </w:rPr>
        <w:t xml:space="preserve">Table </w:t>
      </w:r>
      <w:r w:rsidR="008462A4">
        <w:rPr>
          <w:b/>
          <w:bCs/>
          <w:szCs w:val="26"/>
        </w:rPr>
        <w:t>2</w:t>
      </w:r>
      <w:r w:rsidRPr="00E26B1A">
        <w:rPr>
          <w:b/>
          <w:bCs/>
          <w:szCs w:val="26"/>
        </w:rPr>
        <w:t>: Total monthly Intrastate Revenue</w:t>
      </w:r>
      <w:r w:rsidRPr="00E26B1A">
        <w:rPr>
          <w:szCs w:val="26"/>
        </w:rPr>
        <w:t xml:space="preserve"> </w:t>
      </w:r>
      <w:r w:rsidRPr="00E26B1A">
        <w:rPr>
          <w:b/>
          <w:bCs/>
          <w:szCs w:val="26"/>
        </w:rPr>
        <w:t>for User Fee Reporting</w:t>
      </w:r>
    </w:p>
    <w:p w:rsidRPr="00E26B1A" w:rsidR="00990D65" w:rsidP="00990D65" w:rsidRDefault="00990D65" w14:paraId="6A0D1918" w14:textId="77777777">
      <w:pPr>
        <w:spacing w:line="240" w:lineRule="auto"/>
        <w:jc w:val="center"/>
        <w:rPr>
          <w:szCs w:val="26"/>
        </w:rPr>
      </w:pPr>
      <w:r w:rsidRPr="00E26B1A">
        <w:rPr>
          <w:szCs w:val="26"/>
        </w:rPr>
        <w:t>(No information is required in fields marked with N/A)</w:t>
      </w:r>
    </w:p>
    <w:tbl>
      <w:tblPr>
        <w:tblStyle w:val="TableGrid"/>
        <w:tblW w:w="5104" w:type="pct"/>
        <w:tblInd w:w="-5" w:type="dxa"/>
        <w:tblLook w:val="04A0" w:firstRow="1" w:lastRow="0" w:firstColumn="1" w:lastColumn="0" w:noHBand="0" w:noVBand="1"/>
      </w:tblPr>
      <w:tblGrid>
        <w:gridCol w:w="2290"/>
        <w:gridCol w:w="3627"/>
        <w:gridCol w:w="3627"/>
      </w:tblGrid>
      <w:tr w:rsidRPr="00E26B1A" w:rsidR="00990D65" w:rsidTr="002A1E2B" w14:paraId="72ACF2A5" w14:textId="77777777">
        <w:trPr>
          <w:trHeight w:val="26"/>
        </w:trPr>
        <w:tc>
          <w:tcPr>
            <w:tcW w:w="1200" w:type="pct"/>
          </w:tcPr>
          <w:p w:rsidRPr="00E26B1A" w:rsidR="00990D65" w:rsidP="002A1E2B" w:rsidRDefault="00990D65" w14:paraId="13889CB1" w14:textId="77777777">
            <w:pPr>
              <w:pStyle w:val="NoSpacing"/>
              <w:jc w:val="center"/>
              <w:rPr>
                <w:b/>
                <w:bCs/>
                <w:szCs w:val="26"/>
              </w:rPr>
            </w:pPr>
            <w:r w:rsidRPr="00E26B1A">
              <w:rPr>
                <w:b/>
                <w:bCs/>
                <w:szCs w:val="26"/>
              </w:rPr>
              <w:t>Report Period</w:t>
            </w:r>
          </w:p>
        </w:tc>
        <w:tc>
          <w:tcPr>
            <w:tcW w:w="1900" w:type="pct"/>
          </w:tcPr>
          <w:p w:rsidRPr="00E26B1A" w:rsidR="00990D65" w:rsidP="002A1E2B" w:rsidRDefault="00990D65" w14:paraId="7AEFE626" w14:textId="77777777">
            <w:pPr>
              <w:pStyle w:val="NoSpacing"/>
              <w:jc w:val="center"/>
              <w:rPr>
                <w:b/>
                <w:bCs/>
                <w:szCs w:val="26"/>
              </w:rPr>
            </w:pPr>
            <w:r w:rsidRPr="00E26B1A">
              <w:rPr>
                <w:b/>
                <w:bCs/>
                <w:szCs w:val="26"/>
              </w:rPr>
              <w:t>Total California Intrastate Revenue ($) 2025</w:t>
            </w:r>
          </w:p>
        </w:tc>
        <w:tc>
          <w:tcPr>
            <w:tcW w:w="1900" w:type="pct"/>
          </w:tcPr>
          <w:p w:rsidRPr="00E26B1A" w:rsidR="00990D65" w:rsidP="002A1E2B" w:rsidRDefault="00990D65" w14:paraId="605D3451" w14:textId="77777777">
            <w:pPr>
              <w:pStyle w:val="NoSpacing"/>
              <w:jc w:val="center"/>
              <w:rPr>
                <w:b/>
                <w:bCs/>
                <w:szCs w:val="26"/>
              </w:rPr>
            </w:pPr>
            <w:r w:rsidRPr="00E26B1A">
              <w:rPr>
                <w:b/>
                <w:bCs/>
                <w:szCs w:val="26"/>
              </w:rPr>
              <w:t>Total California Intrastate Revenue ($) 2026</w:t>
            </w:r>
          </w:p>
        </w:tc>
      </w:tr>
      <w:tr w:rsidRPr="00E26B1A" w:rsidR="00990D65" w:rsidTr="002A1E2B" w14:paraId="56ED7479" w14:textId="77777777">
        <w:trPr>
          <w:trHeight w:val="26"/>
        </w:trPr>
        <w:tc>
          <w:tcPr>
            <w:tcW w:w="1200" w:type="pct"/>
          </w:tcPr>
          <w:p w:rsidRPr="00E26B1A" w:rsidR="00990D65" w:rsidP="002A1E2B" w:rsidRDefault="00990D65" w14:paraId="6FE5A15E" w14:textId="77777777">
            <w:pPr>
              <w:pStyle w:val="NoSpacing"/>
              <w:rPr>
                <w:szCs w:val="26"/>
              </w:rPr>
            </w:pPr>
            <w:r w:rsidRPr="00E26B1A">
              <w:rPr>
                <w:szCs w:val="26"/>
              </w:rPr>
              <w:t xml:space="preserve">January </w:t>
            </w:r>
          </w:p>
        </w:tc>
        <w:tc>
          <w:tcPr>
            <w:tcW w:w="1900" w:type="pct"/>
          </w:tcPr>
          <w:p w:rsidRPr="00E26B1A" w:rsidR="00990D65" w:rsidP="002A1E2B" w:rsidRDefault="00990D65" w14:paraId="576C960C" w14:textId="77777777">
            <w:pPr>
              <w:pStyle w:val="NoSpacing"/>
              <w:rPr>
                <w:szCs w:val="26"/>
              </w:rPr>
            </w:pPr>
            <w:r w:rsidRPr="00E26B1A">
              <w:rPr>
                <w:szCs w:val="26"/>
              </w:rPr>
              <w:t>N/A</w:t>
            </w:r>
          </w:p>
        </w:tc>
        <w:tc>
          <w:tcPr>
            <w:tcW w:w="1900" w:type="pct"/>
          </w:tcPr>
          <w:p w:rsidRPr="00E26B1A" w:rsidR="00990D65" w:rsidP="002A1E2B" w:rsidRDefault="00990D65" w14:paraId="7BC530C8" w14:textId="77777777">
            <w:pPr>
              <w:pStyle w:val="NoSpacing"/>
              <w:rPr>
                <w:szCs w:val="26"/>
              </w:rPr>
            </w:pPr>
          </w:p>
        </w:tc>
      </w:tr>
      <w:tr w:rsidRPr="00E26B1A" w:rsidR="00990D65" w:rsidTr="002A1E2B" w14:paraId="50D834A6" w14:textId="77777777">
        <w:trPr>
          <w:trHeight w:val="26"/>
        </w:trPr>
        <w:tc>
          <w:tcPr>
            <w:tcW w:w="1200" w:type="pct"/>
          </w:tcPr>
          <w:p w:rsidRPr="00E26B1A" w:rsidR="00990D65" w:rsidP="002A1E2B" w:rsidRDefault="00990D65" w14:paraId="6E9A1DB2" w14:textId="77777777">
            <w:pPr>
              <w:pStyle w:val="NoSpacing"/>
              <w:rPr>
                <w:szCs w:val="26"/>
              </w:rPr>
            </w:pPr>
            <w:r w:rsidRPr="00E26B1A">
              <w:rPr>
                <w:szCs w:val="26"/>
              </w:rPr>
              <w:t xml:space="preserve">February </w:t>
            </w:r>
          </w:p>
        </w:tc>
        <w:tc>
          <w:tcPr>
            <w:tcW w:w="1900" w:type="pct"/>
          </w:tcPr>
          <w:p w:rsidRPr="00E26B1A" w:rsidR="00990D65" w:rsidP="002A1E2B" w:rsidRDefault="00990D65" w14:paraId="29722A67" w14:textId="77777777">
            <w:pPr>
              <w:pStyle w:val="NoSpacing"/>
              <w:rPr>
                <w:szCs w:val="26"/>
              </w:rPr>
            </w:pPr>
            <w:r w:rsidRPr="00E26B1A">
              <w:rPr>
                <w:szCs w:val="26"/>
              </w:rPr>
              <w:t>N/A</w:t>
            </w:r>
          </w:p>
        </w:tc>
        <w:tc>
          <w:tcPr>
            <w:tcW w:w="1900" w:type="pct"/>
          </w:tcPr>
          <w:p w:rsidRPr="00E26B1A" w:rsidR="00990D65" w:rsidP="002A1E2B" w:rsidRDefault="00990D65" w14:paraId="1BD18B42" w14:textId="77777777">
            <w:pPr>
              <w:pStyle w:val="NoSpacing"/>
              <w:rPr>
                <w:szCs w:val="26"/>
              </w:rPr>
            </w:pPr>
          </w:p>
        </w:tc>
      </w:tr>
      <w:tr w:rsidRPr="00E26B1A" w:rsidR="00990D65" w:rsidTr="002A1E2B" w14:paraId="697A592E" w14:textId="77777777">
        <w:trPr>
          <w:trHeight w:val="26"/>
        </w:trPr>
        <w:tc>
          <w:tcPr>
            <w:tcW w:w="1200" w:type="pct"/>
          </w:tcPr>
          <w:p w:rsidRPr="00E26B1A" w:rsidR="00990D65" w:rsidP="002A1E2B" w:rsidRDefault="00990D65" w14:paraId="11689DB3" w14:textId="77777777">
            <w:pPr>
              <w:pStyle w:val="NoSpacing"/>
              <w:rPr>
                <w:szCs w:val="26"/>
              </w:rPr>
            </w:pPr>
            <w:r w:rsidRPr="00E26B1A">
              <w:rPr>
                <w:szCs w:val="26"/>
              </w:rPr>
              <w:t>March</w:t>
            </w:r>
          </w:p>
        </w:tc>
        <w:tc>
          <w:tcPr>
            <w:tcW w:w="1900" w:type="pct"/>
          </w:tcPr>
          <w:p w:rsidRPr="00E26B1A" w:rsidR="00990D65" w:rsidP="002A1E2B" w:rsidRDefault="00990D65" w14:paraId="757683E3" w14:textId="77777777">
            <w:pPr>
              <w:pStyle w:val="NoSpacing"/>
              <w:rPr>
                <w:szCs w:val="26"/>
              </w:rPr>
            </w:pPr>
            <w:r w:rsidRPr="00E26B1A">
              <w:rPr>
                <w:szCs w:val="26"/>
              </w:rPr>
              <w:t>N/A</w:t>
            </w:r>
          </w:p>
        </w:tc>
        <w:tc>
          <w:tcPr>
            <w:tcW w:w="1900" w:type="pct"/>
          </w:tcPr>
          <w:p w:rsidRPr="00E26B1A" w:rsidR="00990D65" w:rsidP="002A1E2B" w:rsidRDefault="00990D65" w14:paraId="5EAE8D94" w14:textId="77777777">
            <w:pPr>
              <w:pStyle w:val="NoSpacing"/>
              <w:rPr>
                <w:szCs w:val="26"/>
              </w:rPr>
            </w:pPr>
          </w:p>
        </w:tc>
      </w:tr>
      <w:tr w:rsidRPr="00E26B1A" w:rsidR="00990D65" w:rsidTr="002A1E2B" w14:paraId="54155B45" w14:textId="77777777">
        <w:trPr>
          <w:trHeight w:val="26"/>
        </w:trPr>
        <w:tc>
          <w:tcPr>
            <w:tcW w:w="1200" w:type="pct"/>
          </w:tcPr>
          <w:p w:rsidRPr="00E26B1A" w:rsidR="00990D65" w:rsidP="002A1E2B" w:rsidRDefault="00990D65" w14:paraId="15BC2191" w14:textId="77777777">
            <w:pPr>
              <w:pStyle w:val="NoSpacing"/>
              <w:rPr>
                <w:szCs w:val="26"/>
              </w:rPr>
            </w:pPr>
            <w:r w:rsidRPr="00E26B1A">
              <w:rPr>
                <w:szCs w:val="26"/>
              </w:rPr>
              <w:t>April</w:t>
            </w:r>
          </w:p>
        </w:tc>
        <w:tc>
          <w:tcPr>
            <w:tcW w:w="1900" w:type="pct"/>
          </w:tcPr>
          <w:p w:rsidRPr="00E26B1A" w:rsidR="00990D65" w:rsidP="002A1E2B" w:rsidRDefault="00990D65" w14:paraId="6D6061B5" w14:textId="77777777">
            <w:pPr>
              <w:pStyle w:val="NoSpacing"/>
              <w:rPr>
                <w:szCs w:val="26"/>
              </w:rPr>
            </w:pPr>
            <w:r w:rsidRPr="00E26B1A">
              <w:rPr>
                <w:szCs w:val="26"/>
              </w:rPr>
              <w:t>N/A</w:t>
            </w:r>
          </w:p>
        </w:tc>
        <w:tc>
          <w:tcPr>
            <w:tcW w:w="1900" w:type="pct"/>
          </w:tcPr>
          <w:p w:rsidRPr="00E26B1A" w:rsidR="00990D65" w:rsidP="002A1E2B" w:rsidRDefault="00990D65" w14:paraId="25915923" w14:textId="77777777">
            <w:pPr>
              <w:pStyle w:val="NoSpacing"/>
              <w:rPr>
                <w:szCs w:val="26"/>
              </w:rPr>
            </w:pPr>
          </w:p>
        </w:tc>
      </w:tr>
      <w:tr w:rsidRPr="00E26B1A" w:rsidR="00990D65" w:rsidTr="002A1E2B" w14:paraId="5C599B97" w14:textId="77777777">
        <w:trPr>
          <w:trHeight w:val="26"/>
        </w:trPr>
        <w:tc>
          <w:tcPr>
            <w:tcW w:w="1200" w:type="pct"/>
          </w:tcPr>
          <w:p w:rsidRPr="00E26B1A" w:rsidR="00990D65" w:rsidP="002A1E2B" w:rsidRDefault="00990D65" w14:paraId="525B51D0" w14:textId="77777777">
            <w:pPr>
              <w:pStyle w:val="NoSpacing"/>
              <w:rPr>
                <w:szCs w:val="26"/>
              </w:rPr>
            </w:pPr>
            <w:r w:rsidRPr="00E26B1A">
              <w:rPr>
                <w:szCs w:val="26"/>
              </w:rPr>
              <w:t>May</w:t>
            </w:r>
          </w:p>
        </w:tc>
        <w:tc>
          <w:tcPr>
            <w:tcW w:w="1900" w:type="pct"/>
          </w:tcPr>
          <w:p w:rsidRPr="00E26B1A" w:rsidR="00990D65" w:rsidP="002A1E2B" w:rsidRDefault="00990D65" w14:paraId="145E7A0C" w14:textId="77777777">
            <w:pPr>
              <w:pStyle w:val="NoSpacing"/>
              <w:rPr>
                <w:szCs w:val="26"/>
              </w:rPr>
            </w:pPr>
            <w:r w:rsidRPr="00E26B1A">
              <w:rPr>
                <w:szCs w:val="26"/>
              </w:rPr>
              <w:t>N/A</w:t>
            </w:r>
          </w:p>
        </w:tc>
        <w:tc>
          <w:tcPr>
            <w:tcW w:w="1900" w:type="pct"/>
          </w:tcPr>
          <w:p w:rsidRPr="00E26B1A" w:rsidR="00990D65" w:rsidP="002A1E2B" w:rsidRDefault="00990D65" w14:paraId="077CDDE7" w14:textId="77777777">
            <w:pPr>
              <w:pStyle w:val="NoSpacing"/>
              <w:rPr>
                <w:szCs w:val="26"/>
              </w:rPr>
            </w:pPr>
          </w:p>
        </w:tc>
      </w:tr>
      <w:tr w:rsidRPr="00E26B1A" w:rsidR="00990D65" w:rsidTr="002A1E2B" w14:paraId="73CA53ED" w14:textId="77777777">
        <w:trPr>
          <w:trHeight w:val="26"/>
        </w:trPr>
        <w:tc>
          <w:tcPr>
            <w:tcW w:w="1200" w:type="pct"/>
          </w:tcPr>
          <w:p w:rsidRPr="00E26B1A" w:rsidR="00990D65" w:rsidP="002A1E2B" w:rsidRDefault="00990D65" w14:paraId="74B2E44B" w14:textId="77777777">
            <w:pPr>
              <w:pStyle w:val="NoSpacing"/>
              <w:rPr>
                <w:szCs w:val="26"/>
              </w:rPr>
            </w:pPr>
            <w:r w:rsidRPr="00E26B1A">
              <w:rPr>
                <w:szCs w:val="26"/>
              </w:rPr>
              <w:t>June</w:t>
            </w:r>
          </w:p>
        </w:tc>
        <w:tc>
          <w:tcPr>
            <w:tcW w:w="1900" w:type="pct"/>
          </w:tcPr>
          <w:p w:rsidRPr="00E26B1A" w:rsidR="00990D65" w:rsidP="002A1E2B" w:rsidRDefault="00990D65" w14:paraId="0DECF56E" w14:textId="77777777">
            <w:pPr>
              <w:pStyle w:val="NoSpacing"/>
              <w:rPr>
                <w:szCs w:val="26"/>
              </w:rPr>
            </w:pPr>
            <w:r w:rsidRPr="00E26B1A">
              <w:rPr>
                <w:szCs w:val="26"/>
              </w:rPr>
              <w:t>N/A</w:t>
            </w:r>
          </w:p>
        </w:tc>
        <w:tc>
          <w:tcPr>
            <w:tcW w:w="1900" w:type="pct"/>
          </w:tcPr>
          <w:p w:rsidRPr="00E26B1A" w:rsidR="00990D65" w:rsidP="002A1E2B" w:rsidRDefault="00990D65" w14:paraId="56902AE4" w14:textId="77777777">
            <w:pPr>
              <w:pStyle w:val="NoSpacing"/>
              <w:rPr>
                <w:szCs w:val="26"/>
              </w:rPr>
            </w:pPr>
          </w:p>
        </w:tc>
      </w:tr>
      <w:tr w:rsidRPr="00E26B1A" w:rsidR="00990D65" w:rsidTr="002A1E2B" w14:paraId="41421F82" w14:textId="77777777">
        <w:trPr>
          <w:trHeight w:val="26"/>
        </w:trPr>
        <w:tc>
          <w:tcPr>
            <w:tcW w:w="1200" w:type="pct"/>
          </w:tcPr>
          <w:p w:rsidRPr="00E26B1A" w:rsidR="00990D65" w:rsidP="002A1E2B" w:rsidRDefault="00990D65" w14:paraId="3402A8E7" w14:textId="77777777">
            <w:pPr>
              <w:pStyle w:val="NoSpacing"/>
              <w:rPr>
                <w:szCs w:val="26"/>
              </w:rPr>
            </w:pPr>
            <w:r w:rsidRPr="00E26B1A">
              <w:rPr>
                <w:szCs w:val="26"/>
              </w:rPr>
              <w:t>July</w:t>
            </w:r>
          </w:p>
        </w:tc>
        <w:tc>
          <w:tcPr>
            <w:tcW w:w="1900" w:type="pct"/>
          </w:tcPr>
          <w:p w:rsidRPr="00E26B1A" w:rsidR="00990D65" w:rsidP="002A1E2B" w:rsidRDefault="00990D65" w14:paraId="65167EDB" w14:textId="77777777">
            <w:pPr>
              <w:pStyle w:val="NoSpacing"/>
              <w:rPr>
                <w:szCs w:val="26"/>
              </w:rPr>
            </w:pPr>
          </w:p>
        </w:tc>
        <w:tc>
          <w:tcPr>
            <w:tcW w:w="1900" w:type="pct"/>
          </w:tcPr>
          <w:p w:rsidRPr="00E26B1A" w:rsidR="00990D65" w:rsidP="002A1E2B" w:rsidRDefault="00990D65" w14:paraId="2B0D88B4" w14:textId="77777777">
            <w:pPr>
              <w:pStyle w:val="NoSpacing"/>
              <w:rPr>
                <w:szCs w:val="26"/>
              </w:rPr>
            </w:pPr>
          </w:p>
        </w:tc>
      </w:tr>
      <w:tr w:rsidRPr="00E26B1A" w:rsidR="00990D65" w:rsidTr="002A1E2B" w14:paraId="05A4207E" w14:textId="77777777">
        <w:trPr>
          <w:trHeight w:val="26"/>
        </w:trPr>
        <w:tc>
          <w:tcPr>
            <w:tcW w:w="1200" w:type="pct"/>
          </w:tcPr>
          <w:p w:rsidRPr="00E26B1A" w:rsidR="00990D65" w:rsidP="002A1E2B" w:rsidRDefault="00990D65" w14:paraId="20BF87F5" w14:textId="77777777">
            <w:pPr>
              <w:pStyle w:val="NoSpacing"/>
              <w:rPr>
                <w:szCs w:val="26"/>
              </w:rPr>
            </w:pPr>
            <w:r w:rsidRPr="00E26B1A">
              <w:rPr>
                <w:szCs w:val="26"/>
              </w:rPr>
              <w:t>August</w:t>
            </w:r>
          </w:p>
        </w:tc>
        <w:tc>
          <w:tcPr>
            <w:tcW w:w="1900" w:type="pct"/>
          </w:tcPr>
          <w:p w:rsidRPr="00E26B1A" w:rsidR="00990D65" w:rsidP="002A1E2B" w:rsidRDefault="00990D65" w14:paraId="6ECF91A6" w14:textId="77777777">
            <w:pPr>
              <w:pStyle w:val="NoSpacing"/>
              <w:rPr>
                <w:szCs w:val="26"/>
              </w:rPr>
            </w:pPr>
          </w:p>
        </w:tc>
        <w:tc>
          <w:tcPr>
            <w:tcW w:w="1900" w:type="pct"/>
          </w:tcPr>
          <w:p w:rsidRPr="00E26B1A" w:rsidR="00990D65" w:rsidP="002A1E2B" w:rsidRDefault="00990D65" w14:paraId="2C1390BB" w14:textId="77777777">
            <w:pPr>
              <w:pStyle w:val="NoSpacing"/>
              <w:rPr>
                <w:szCs w:val="26"/>
              </w:rPr>
            </w:pPr>
          </w:p>
        </w:tc>
      </w:tr>
      <w:tr w:rsidRPr="00E26B1A" w:rsidR="00990D65" w:rsidTr="002A1E2B" w14:paraId="6E2C5A12" w14:textId="77777777">
        <w:trPr>
          <w:trHeight w:val="26"/>
        </w:trPr>
        <w:tc>
          <w:tcPr>
            <w:tcW w:w="1200" w:type="pct"/>
          </w:tcPr>
          <w:p w:rsidRPr="00E26B1A" w:rsidR="00990D65" w:rsidP="002A1E2B" w:rsidRDefault="00990D65" w14:paraId="047F2AFD" w14:textId="77777777">
            <w:pPr>
              <w:pStyle w:val="NoSpacing"/>
              <w:rPr>
                <w:szCs w:val="26"/>
              </w:rPr>
            </w:pPr>
            <w:r w:rsidRPr="00E26B1A">
              <w:rPr>
                <w:szCs w:val="26"/>
              </w:rPr>
              <w:t>September</w:t>
            </w:r>
          </w:p>
        </w:tc>
        <w:tc>
          <w:tcPr>
            <w:tcW w:w="1900" w:type="pct"/>
          </w:tcPr>
          <w:p w:rsidRPr="00E26B1A" w:rsidR="00990D65" w:rsidP="002A1E2B" w:rsidRDefault="00990D65" w14:paraId="1DA0DBA4" w14:textId="77777777">
            <w:pPr>
              <w:pStyle w:val="NoSpacing"/>
              <w:rPr>
                <w:szCs w:val="26"/>
              </w:rPr>
            </w:pPr>
          </w:p>
        </w:tc>
        <w:tc>
          <w:tcPr>
            <w:tcW w:w="1900" w:type="pct"/>
          </w:tcPr>
          <w:p w:rsidRPr="00E26B1A" w:rsidR="00990D65" w:rsidP="002A1E2B" w:rsidRDefault="00990D65" w14:paraId="3F16F11A" w14:textId="77777777">
            <w:pPr>
              <w:pStyle w:val="NoSpacing"/>
              <w:rPr>
                <w:szCs w:val="26"/>
              </w:rPr>
            </w:pPr>
          </w:p>
        </w:tc>
      </w:tr>
      <w:tr w:rsidRPr="00E26B1A" w:rsidR="0025401F" w:rsidTr="002A1E2B" w14:paraId="0AF794FA" w14:textId="77777777">
        <w:trPr>
          <w:trHeight w:val="26"/>
        </w:trPr>
        <w:tc>
          <w:tcPr>
            <w:tcW w:w="1200" w:type="pct"/>
          </w:tcPr>
          <w:p w:rsidRPr="00E26B1A" w:rsidR="0025401F" w:rsidP="0025401F" w:rsidRDefault="0025401F" w14:paraId="36884665" w14:textId="77777777">
            <w:pPr>
              <w:pStyle w:val="NoSpacing"/>
              <w:rPr>
                <w:szCs w:val="26"/>
              </w:rPr>
            </w:pPr>
            <w:r w:rsidRPr="00E26B1A">
              <w:rPr>
                <w:szCs w:val="26"/>
              </w:rPr>
              <w:t>October</w:t>
            </w:r>
          </w:p>
        </w:tc>
        <w:tc>
          <w:tcPr>
            <w:tcW w:w="1900" w:type="pct"/>
          </w:tcPr>
          <w:p w:rsidRPr="00E26B1A" w:rsidR="0025401F" w:rsidP="0025401F" w:rsidRDefault="0025401F" w14:paraId="25017339" w14:textId="77777777">
            <w:pPr>
              <w:pStyle w:val="NoSpacing"/>
              <w:rPr>
                <w:szCs w:val="26"/>
              </w:rPr>
            </w:pPr>
          </w:p>
        </w:tc>
        <w:tc>
          <w:tcPr>
            <w:tcW w:w="1900" w:type="pct"/>
          </w:tcPr>
          <w:p w:rsidRPr="00E26B1A" w:rsidR="0025401F" w:rsidP="0025401F" w:rsidRDefault="0025401F" w14:paraId="43AE2614" w14:textId="1C6935C3">
            <w:pPr>
              <w:pStyle w:val="NoSpacing"/>
              <w:rPr>
                <w:szCs w:val="26"/>
              </w:rPr>
            </w:pPr>
            <w:r>
              <w:rPr>
                <w:szCs w:val="26"/>
              </w:rPr>
              <w:t>To be reported in TUFFS</w:t>
            </w:r>
          </w:p>
        </w:tc>
      </w:tr>
      <w:tr w:rsidRPr="00E26B1A" w:rsidR="0025401F" w:rsidTr="002A1E2B" w14:paraId="6D940171" w14:textId="77777777">
        <w:trPr>
          <w:trHeight w:val="26"/>
        </w:trPr>
        <w:tc>
          <w:tcPr>
            <w:tcW w:w="1200" w:type="pct"/>
          </w:tcPr>
          <w:p w:rsidRPr="00E26B1A" w:rsidR="0025401F" w:rsidP="0025401F" w:rsidRDefault="0025401F" w14:paraId="571AE7C7" w14:textId="77777777">
            <w:pPr>
              <w:pStyle w:val="NoSpacing"/>
              <w:rPr>
                <w:szCs w:val="26"/>
              </w:rPr>
            </w:pPr>
            <w:r w:rsidRPr="00E26B1A">
              <w:rPr>
                <w:szCs w:val="26"/>
              </w:rPr>
              <w:t>November</w:t>
            </w:r>
          </w:p>
        </w:tc>
        <w:tc>
          <w:tcPr>
            <w:tcW w:w="1900" w:type="pct"/>
          </w:tcPr>
          <w:p w:rsidRPr="00E26B1A" w:rsidR="0025401F" w:rsidP="0025401F" w:rsidRDefault="0025401F" w14:paraId="3E3A9688" w14:textId="77777777">
            <w:pPr>
              <w:pStyle w:val="NoSpacing"/>
              <w:rPr>
                <w:szCs w:val="26"/>
              </w:rPr>
            </w:pPr>
          </w:p>
        </w:tc>
        <w:tc>
          <w:tcPr>
            <w:tcW w:w="1900" w:type="pct"/>
          </w:tcPr>
          <w:p w:rsidRPr="00E26B1A" w:rsidR="0025401F" w:rsidP="0025401F" w:rsidRDefault="0025401F" w14:paraId="68ADC60E" w14:textId="6178DAEE">
            <w:pPr>
              <w:pStyle w:val="NoSpacing"/>
              <w:rPr>
                <w:szCs w:val="26"/>
              </w:rPr>
            </w:pPr>
            <w:r>
              <w:rPr>
                <w:szCs w:val="26"/>
              </w:rPr>
              <w:t>To be reported in TUFFS</w:t>
            </w:r>
          </w:p>
        </w:tc>
      </w:tr>
      <w:tr w:rsidRPr="00E26B1A" w:rsidR="0025401F" w:rsidTr="002A1E2B" w14:paraId="1E5B697C" w14:textId="77777777">
        <w:trPr>
          <w:trHeight w:val="26"/>
        </w:trPr>
        <w:tc>
          <w:tcPr>
            <w:tcW w:w="1200" w:type="pct"/>
          </w:tcPr>
          <w:p w:rsidRPr="00E26B1A" w:rsidR="0025401F" w:rsidP="0025401F" w:rsidRDefault="0025401F" w14:paraId="62083DA4" w14:textId="77777777">
            <w:pPr>
              <w:pStyle w:val="NoSpacing"/>
              <w:rPr>
                <w:szCs w:val="26"/>
              </w:rPr>
            </w:pPr>
            <w:r w:rsidRPr="00E26B1A">
              <w:rPr>
                <w:szCs w:val="26"/>
              </w:rPr>
              <w:t>December</w:t>
            </w:r>
          </w:p>
        </w:tc>
        <w:tc>
          <w:tcPr>
            <w:tcW w:w="1900" w:type="pct"/>
          </w:tcPr>
          <w:p w:rsidRPr="00E26B1A" w:rsidR="0025401F" w:rsidP="0025401F" w:rsidRDefault="0025401F" w14:paraId="7131A480" w14:textId="77777777">
            <w:pPr>
              <w:pStyle w:val="NoSpacing"/>
              <w:rPr>
                <w:szCs w:val="26"/>
              </w:rPr>
            </w:pPr>
          </w:p>
        </w:tc>
        <w:tc>
          <w:tcPr>
            <w:tcW w:w="1900" w:type="pct"/>
          </w:tcPr>
          <w:p w:rsidRPr="00E26B1A" w:rsidR="0025401F" w:rsidP="0025401F" w:rsidRDefault="0025401F" w14:paraId="1880C03B" w14:textId="3108ECA0">
            <w:pPr>
              <w:pStyle w:val="NoSpacing"/>
              <w:rPr>
                <w:szCs w:val="26"/>
              </w:rPr>
            </w:pPr>
            <w:r>
              <w:rPr>
                <w:szCs w:val="26"/>
              </w:rPr>
              <w:t>To be reported in TUFFS</w:t>
            </w:r>
          </w:p>
        </w:tc>
      </w:tr>
    </w:tbl>
    <w:p w:rsidRPr="00E26B1A" w:rsidR="00990D65" w:rsidP="00990D65" w:rsidRDefault="00990D65" w14:paraId="33EA698D" w14:textId="77777777">
      <w:pPr>
        <w:spacing w:line="240" w:lineRule="auto"/>
        <w:rPr>
          <w:b/>
          <w:bCs/>
          <w:szCs w:val="26"/>
        </w:rPr>
      </w:pPr>
    </w:p>
    <w:p w:rsidR="004D70DE" w:rsidP="00990D65" w:rsidRDefault="004D70DE" w14:paraId="7281849F" w14:textId="77777777">
      <w:pPr>
        <w:spacing w:line="240" w:lineRule="auto"/>
        <w:jc w:val="center"/>
        <w:rPr>
          <w:b/>
          <w:bCs/>
          <w:szCs w:val="26"/>
        </w:rPr>
      </w:pPr>
    </w:p>
    <w:p w:rsidR="004D70DE" w:rsidP="00990D65" w:rsidRDefault="004D70DE" w14:paraId="60A75300" w14:textId="77777777">
      <w:pPr>
        <w:spacing w:line="240" w:lineRule="auto"/>
        <w:jc w:val="center"/>
        <w:rPr>
          <w:b/>
          <w:bCs/>
          <w:szCs w:val="26"/>
        </w:rPr>
      </w:pPr>
    </w:p>
    <w:p w:rsidR="004D70DE" w:rsidP="00990D65" w:rsidRDefault="004D70DE" w14:paraId="75C22C6D" w14:textId="77777777">
      <w:pPr>
        <w:spacing w:line="240" w:lineRule="auto"/>
        <w:jc w:val="center"/>
        <w:rPr>
          <w:b/>
          <w:bCs/>
          <w:szCs w:val="26"/>
        </w:rPr>
      </w:pPr>
    </w:p>
    <w:p w:rsidR="00990D65" w:rsidP="000872FF" w:rsidRDefault="00990D65" w14:paraId="4FD9D9D5" w14:textId="77777777">
      <w:pPr>
        <w:keepNext/>
        <w:ind w:firstLine="0"/>
        <w:rPr>
          <w:b/>
          <w:bCs/>
          <w:szCs w:val="26"/>
        </w:rPr>
      </w:pPr>
    </w:p>
    <w:p w:rsidRPr="00A3272A" w:rsidR="00990D65" w:rsidP="00990D65" w:rsidRDefault="00990D65" w14:paraId="7386B21E" w14:textId="77777777">
      <w:pPr>
        <w:jc w:val="center"/>
        <w:rPr>
          <w:b/>
          <w:szCs w:val="26"/>
        </w:rPr>
      </w:pPr>
      <w:r w:rsidRPr="00A3272A">
        <w:rPr>
          <w:b/>
          <w:szCs w:val="26"/>
        </w:rPr>
        <w:t>(END OF ATTACHMENT E)</w:t>
      </w:r>
    </w:p>
    <w:p w:rsidRPr="003705AC" w:rsidR="00990D65" w:rsidP="003705AC" w:rsidRDefault="00990D65" w14:paraId="2D8FD4EB" w14:textId="77777777">
      <w:pPr>
        <w:spacing w:after="120" w:line="240" w:lineRule="auto"/>
        <w:ind w:firstLine="0"/>
        <w:jc w:val="center"/>
        <w:rPr>
          <w:rFonts w:eastAsia="Times New Roman" w:cs="Times New Roman"/>
          <w:b/>
          <w:szCs w:val="20"/>
        </w:rPr>
      </w:pPr>
    </w:p>
    <w:sectPr w:rsidRPr="003705AC" w:rsidR="00990D65" w:rsidSect="00C542DB">
      <w:headerReference w:type="default" r:id="rId67"/>
      <w:footerReference w:type="default" r:id="rId68"/>
      <w:pgSz w:w="12240" w:h="15840"/>
      <w:pgMar w:top="1728"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C9C4" w14:textId="77777777" w:rsidR="00B6020F" w:rsidRDefault="00B6020F" w:rsidP="0098138E">
      <w:pPr>
        <w:spacing w:line="240" w:lineRule="auto"/>
      </w:pPr>
      <w:r>
        <w:separator/>
      </w:r>
    </w:p>
  </w:endnote>
  <w:endnote w:type="continuationSeparator" w:id="0">
    <w:p w14:paraId="018706FC" w14:textId="77777777" w:rsidR="00B6020F" w:rsidRDefault="00B6020F"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alatino">
    <w:altName w:val="Palatino Linotype"/>
    <w:charset w:val="4D"/>
    <w:family w:val="auto"/>
    <w:pitch w:val="variable"/>
    <w:sig w:usb0="A00002FF" w:usb1="7800205A" w:usb2="14600000" w:usb3="00000000" w:csb0="00000193" w:csb1="00000000"/>
  </w:font>
  <w:font w:name="Helvetica">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BookAntiqu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446A" w14:textId="77777777" w:rsidR="00183B3C" w:rsidRDefault="00183B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DCB3" w14:textId="77777777" w:rsidR="00F92385" w:rsidRDefault="00F92385" w:rsidP="007E0FEE">
    <w:pPr>
      <w:ind w:firstLine="0"/>
      <w:jc w:val="center"/>
    </w:pPr>
    <w:r>
      <w:t>-</w:t>
    </w:r>
    <w:sdt>
      <w:sdtPr>
        <w:id w:val="-147220890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25F90" w14:textId="66D93BD1" w:rsidR="00632207" w:rsidRPr="00BC2F89" w:rsidRDefault="00000000" w:rsidP="007E0FEE">
    <w:pPr>
      <w:tabs>
        <w:tab w:val="center" w:pos="4680"/>
      </w:tabs>
      <w:ind w:firstLine="0"/>
      <w:rPr>
        <w:noProof/>
      </w:rPr>
    </w:pPr>
    <w:sdt>
      <w:sdtPr>
        <w:id w:val="-1352874971"/>
        <w:docPartObj>
          <w:docPartGallery w:val="Page Numbers (Bottom of Page)"/>
          <w:docPartUnique/>
        </w:docPartObj>
      </w:sdtPr>
      <w:sdtEndPr>
        <w:rPr>
          <w:noProof/>
        </w:rPr>
      </w:sdtEndPr>
      <w:sdtContent>
        <w:r w:rsidR="00183B3C" w:rsidRPr="00183B3C">
          <w:rPr>
            <w:rFonts w:cs="Arial"/>
            <w:sz w:val="16"/>
            <w:szCs w:val="16"/>
          </w:rPr>
          <w:t>623410769</w:t>
        </w:r>
        <w:r w:rsidR="00632207" w:rsidRPr="00BC2F89">
          <w:rPr>
            <w:rFonts w:cs="Arial"/>
            <w:sz w:val="16"/>
            <w:szCs w:val="16"/>
          </w:rPr>
          <w:tab/>
        </w:r>
        <w:r w:rsidR="00F92385" w:rsidRPr="00BC2F89">
          <w:t>-</w:t>
        </w:r>
        <w:r w:rsidR="00EE4315" w:rsidRPr="00BC2F89">
          <w:t xml:space="preserve"> </w:t>
        </w:r>
        <w:r w:rsidR="00F92385" w:rsidRPr="00BC2F89">
          <w:fldChar w:fldCharType="begin"/>
        </w:r>
        <w:r w:rsidR="00F92385" w:rsidRPr="00BC2F89">
          <w:instrText xml:space="preserve"> PAGE   \* MERGEFORMAT </w:instrText>
        </w:r>
        <w:r w:rsidR="00F92385" w:rsidRPr="00BC2F89">
          <w:fldChar w:fldCharType="separate"/>
        </w:r>
        <w:r w:rsidR="00F92385" w:rsidRPr="00BC2F89">
          <w:rPr>
            <w:noProof/>
          </w:rPr>
          <w:t>2</w:t>
        </w:r>
        <w:r w:rsidR="00F92385" w:rsidRPr="00BC2F89">
          <w:rPr>
            <w:noProof/>
          </w:rPr>
          <w:fldChar w:fldCharType="end"/>
        </w:r>
      </w:sdtContent>
    </w:sdt>
    <w:r w:rsidR="00EE4315" w:rsidRPr="00BC2F89">
      <w:rPr>
        <w:noProof/>
      </w:rPr>
      <w:t xml:space="preserve"> </w:t>
    </w:r>
    <w:r w:rsidR="00F92385" w:rsidRPr="00BC2F89">
      <w:rPr>
        <w:noProof/>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CD7F"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490341475"/>
      <w:docPartObj>
        <w:docPartGallery w:val="Page Numbers (Bottom of Page)"/>
        <w:docPartUnique/>
      </w:docPartObj>
    </w:sdtPr>
    <w:sdtContent>
      <w:p w14:paraId="329994BC" w14:textId="517BB3D3" w:rsidR="00CF6D71" w:rsidRDefault="00B21C9A" w:rsidP="003459F8">
        <w:pPr>
          <w:pStyle w:val="Footer"/>
          <w:ind w:firstLine="0"/>
          <w:jc w:val="center"/>
        </w:pPr>
        <w:r>
          <w:t>-</w:t>
        </w:r>
        <w:sdt>
          <w:sdtPr>
            <w:id w:val="1605386520"/>
            <w:docPartObj>
              <w:docPartGallery w:val="Page Numbers (Bottom of Page)"/>
              <w:docPartUnique/>
            </w:docPartObj>
          </w:sdtPr>
          <w:sdtEndPr>
            <w:rPr>
              <w:noProof/>
            </w:rPr>
          </w:sdtEndPr>
          <w:sdtContent>
            <w:r>
              <w:t xml:space="preserve"> </w:t>
            </w:r>
            <w:r>
              <w:fldChar w:fldCharType="begin"/>
            </w:r>
            <w:r>
              <w:instrText xml:space="preserve"> PAGE   \* MERGEFORMAT </w:instrText>
            </w:r>
            <w:r>
              <w:fldChar w:fldCharType="separate"/>
            </w:r>
            <w:r>
              <w:t>2</w:t>
            </w:r>
            <w:r>
              <w:rPr>
                <w:noProof/>
              </w:rPr>
              <w:fldChar w:fldCharType="end"/>
            </w:r>
            <w:r>
              <w:rPr>
                <w:noProof/>
              </w:rPr>
              <w:t xml:space="preserve"> -</w:t>
            </w:r>
          </w:sdtContent>
        </w:sdt>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541006002"/>
      <w:docPartObj>
        <w:docPartGallery w:val="Page Numbers (Bottom of Page)"/>
        <w:docPartUnique/>
      </w:docPartObj>
    </w:sdtPr>
    <w:sdtContent>
      <w:p w14:paraId="1438CE71" w14:textId="1CC4892D" w:rsidR="001912E8" w:rsidRPr="00076DFB" w:rsidRDefault="00D34B67" w:rsidP="00076DFB">
        <w:pPr>
          <w:pStyle w:val="Footer"/>
          <w:jc w:val="center"/>
          <w:rPr>
            <w:rFonts w:eastAsiaTheme="majorEastAsia" w:cstheme="majorBidi"/>
            <w:sz w:val="28"/>
            <w:szCs w:val="28"/>
          </w:rPr>
        </w:pPr>
        <w:r w:rsidRPr="00076DFB">
          <w:t>-</w:t>
        </w:r>
        <w:sdt>
          <w:sdtPr>
            <w:id w:val="-1991399039"/>
            <w:docPartObj>
              <w:docPartGallery w:val="Page Numbers (Bottom of Page)"/>
              <w:docPartUnique/>
            </w:docPartObj>
          </w:sdtPr>
          <w:sdtEndPr>
            <w:rPr>
              <w:noProof/>
            </w:rPr>
          </w:sdtEndPr>
          <w:sdtContent>
            <w:r w:rsidRPr="00076DFB">
              <w:t xml:space="preserve"> </w:t>
            </w:r>
            <w:r w:rsidRPr="00076DFB">
              <w:fldChar w:fldCharType="begin"/>
            </w:r>
            <w:r w:rsidRPr="00076DFB">
              <w:instrText xml:space="preserve"> PAGE   \* MERGEFORMAT </w:instrText>
            </w:r>
            <w:r w:rsidRPr="00076DFB">
              <w:fldChar w:fldCharType="separate"/>
            </w:r>
            <w:r w:rsidRPr="00076DFB">
              <w:t>1</w:t>
            </w:r>
            <w:r w:rsidRPr="00076DFB">
              <w:rPr>
                <w:noProof/>
              </w:rPr>
              <w:fldChar w:fldCharType="end"/>
            </w:r>
            <w:r w:rsidRPr="00076DFB">
              <w:rPr>
                <w:noProof/>
              </w:rPr>
              <w:t xml:space="preserve"> -</w:t>
            </w:r>
          </w:sdtContent>
        </w:sdt>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061904622"/>
      <w:docPartObj>
        <w:docPartGallery w:val="Page Numbers (Bottom of Page)"/>
        <w:docPartUnique/>
      </w:docPartObj>
    </w:sdtPr>
    <w:sdtContent>
      <w:p w14:paraId="2241F6B9" w14:textId="01381CEE" w:rsidR="00EA2A3D" w:rsidRDefault="00000000" w:rsidP="005A5A6F">
        <w:pPr>
          <w:pStyle w:val="Footer"/>
          <w:jc w:val="center"/>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FF1E" w14:textId="6D3B8A17" w:rsidR="001912E8" w:rsidRDefault="00B17B38" w:rsidP="003459F8">
    <w:pPr>
      <w:pStyle w:val="Footer"/>
      <w:ind w:firstLine="0"/>
      <w:jc w:val="center"/>
    </w:pPr>
    <w:r>
      <w:t xml:space="preserve">- </w:t>
    </w:r>
    <w:r w:rsidR="001912E8">
      <w:t>A-</w:t>
    </w:r>
    <w:sdt>
      <w:sdtPr>
        <w:id w:val="2005780310"/>
        <w:docPartObj>
          <w:docPartGallery w:val="Page Numbers (Bottom of Page)"/>
          <w:docPartUnique/>
        </w:docPartObj>
      </w:sdtPr>
      <w:sdtEndPr>
        <w:rPr>
          <w:noProof/>
        </w:rPr>
      </w:sdtEndPr>
      <w:sdtContent>
        <w:r w:rsidR="001912E8">
          <w:fldChar w:fldCharType="begin"/>
        </w:r>
        <w:r w:rsidR="001912E8">
          <w:instrText xml:space="preserve"> PAGE   \* MERGEFORMAT </w:instrText>
        </w:r>
        <w:r w:rsidR="001912E8">
          <w:fldChar w:fldCharType="separate"/>
        </w:r>
        <w:r w:rsidR="001912E8">
          <w:rPr>
            <w:noProof/>
          </w:rPr>
          <w:t>2</w:t>
        </w:r>
        <w:r w:rsidR="001912E8">
          <w:rPr>
            <w:noProof/>
          </w:rPr>
          <w:fldChar w:fldCharType="end"/>
        </w:r>
        <w:r>
          <w:rPr>
            <w:noProof/>
          </w:rPr>
          <w:t xml:space="preserve"> -</w:t>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34" w14:textId="77777777" w:rsidR="001912E8" w:rsidRDefault="001912E8" w:rsidP="003459F8">
    <w:pPr>
      <w:pStyle w:val="Footer"/>
      <w:ind w:firstLine="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D2C" w14:textId="5203DCCA" w:rsidR="001912E8" w:rsidRDefault="00B17B38" w:rsidP="003459F8">
    <w:pPr>
      <w:pStyle w:val="Footer"/>
      <w:ind w:firstLine="0"/>
      <w:jc w:val="center"/>
    </w:pPr>
    <w:r>
      <w:t>-</w:t>
    </w:r>
    <w:r w:rsidR="00FA0C88">
      <w:t xml:space="preserve"> </w:t>
    </w:r>
    <w:r w:rsidR="001912E8">
      <w:t>B-</w:t>
    </w:r>
    <w:sdt>
      <w:sdtPr>
        <w:id w:val="-1898739853"/>
        <w:docPartObj>
          <w:docPartGallery w:val="Page Numbers (Bottom of Page)"/>
          <w:docPartUnique/>
        </w:docPartObj>
      </w:sdtPr>
      <w:sdtEndPr>
        <w:rPr>
          <w:noProof/>
        </w:rPr>
      </w:sdtEndPr>
      <w:sdtContent>
        <w:r w:rsidR="001912E8">
          <w:fldChar w:fldCharType="begin"/>
        </w:r>
        <w:r w:rsidR="001912E8">
          <w:instrText xml:space="preserve"> PAGE   \* MERGEFORMAT </w:instrText>
        </w:r>
        <w:r w:rsidR="001912E8">
          <w:fldChar w:fldCharType="separate"/>
        </w:r>
        <w:r w:rsidR="001912E8">
          <w:rPr>
            <w:noProof/>
          </w:rPr>
          <w:t>2</w:t>
        </w:r>
        <w:r w:rsidR="001912E8">
          <w:rPr>
            <w:noProof/>
          </w:rPr>
          <w:fldChar w:fldCharType="end"/>
        </w:r>
        <w:r w:rsidR="00FA0C88">
          <w:rPr>
            <w:noProof/>
          </w:rPr>
          <w:t xml:space="preserve"> </w:t>
        </w:r>
        <w:r>
          <w:rPr>
            <w:noProof/>
          </w:rPr>
          <w:t>-</w:t>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FFC6" w14:textId="77777777" w:rsidR="001912E8" w:rsidRDefault="001912E8" w:rsidP="00A0482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C94A2" w14:textId="2B0D0FAE" w:rsidR="001912E8" w:rsidRDefault="00C74779" w:rsidP="003459F8">
    <w:pPr>
      <w:pStyle w:val="Footer"/>
      <w:ind w:firstLine="0"/>
      <w:jc w:val="center"/>
    </w:pPr>
    <w:r>
      <w:t xml:space="preserve">- </w:t>
    </w:r>
    <w:r w:rsidR="001912E8">
      <w:t>C-</w:t>
    </w:r>
    <w:r w:rsidR="001912E8">
      <w:rPr>
        <w:rStyle w:val="PageNumber"/>
      </w:rPr>
      <w:fldChar w:fldCharType="begin"/>
    </w:r>
    <w:r w:rsidR="001912E8">
      <w:rPr>
        <w:rStyle w:val="PageNumber"/>
      </w:rPr>
      <w:instrText xml:space="preserve"> PAGE </w:instrText>
    </w:r>
    <w:r w:rsidR="001912E8">
      <w:rPr>
        <w:rStyle w:val="PageNumber"/>
      </w:rPr>
      <w:fldChar w:fldCharType="separate"/>
    </w:r>
    <w:r w:rsidR="001912E8">
      <w:rPr>
        <w:rStyle w:val="PageNumber"/>
        <w:noProof/>
      </w:rPr>
      <w:t>2</w:t>
    </w:r>
    <w:r w:rsidR="001912E8">
      <w:rPr>
        <w:rStyle w:val="PageNumber"/>
      </w:rPr>
      <w:fldChar w:fldCharType="end"/>
    </w:r>
    <w:r>
      <w:rPr>
        <w:rStyle w:val="PageNumber"/>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A014" w14:textId="77777777" w:rsidR="001912E8" w:rsidRDefault="001912E8" w:rsidP="00A0482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40B4" w14:textId="6404CADE" w:rsidR="003459F8" w:rsidRPr="003459F8" w:rsidRDefault="003459F8" w:rsidP="003459F8">
    <w:pPr>
      <w:ind w:firstLine="0"/>
      <w:jc w:val="center"/>
    </w:pPr>
    <w:r>
      <w:t>- D-</w:t>
    </w:r>
    <w:sdt>
      <w:sdtPr>
        <w:id w:val="66451469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r>
      <w:rPr>
        <w:noProof/>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4908E" w14:textId="72860D12" w:rsidR="00AE65CE" w:rsidRPr="003459F8" w:rsidRDefault="00AE65CE" w:rsidP="003459F8">
    <w:pPr>
      <w:ind w:firstLine="0"/>
      <w:jc w:val="cen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DB3DB" w14:textId="59B75114" w:rsidR="00E23CBB" w:rsidRDefault="003459F8" w:rsidP="003459F8">
    <w:pPr>
      <w:ind w:firstLine="0"/>
      <w:jc w:val="center"/>
    </w:pPr>
    <w:r>
      <w:t>- E</w:t>
    </w:r>
    <w:r w:rsidR="00E23CBB">
      <w:t>-</w:t>
    </w:r>
    <w:sdt>
      <w:sdtPr>
        <w:id w:val="-1034043401"/>
        <w:docPartObj>
          <w:docPartGallery w:val="Page Numbers (Bottom of Page)"/>
          <w:docPartUnique/>
        </w:docPartObj>
      </w:sdtPr>
      <w:sdtEndPr>
        <w:rPr>
          <w:noProof/>
        </w:rPr>
      </w:sdtEndPr>
      <w:sdtContent>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sdtContent>
    </w:sdt>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9672B" w14:textId="77777777" w:rsidR="00B6020F" w:rsidRDefault="00B6020F" w:rsidP="00DF58E7">
      <w:pPr>
        <w:spacing w:line="240" w:lineRule="auto"/>
        <w:ind w:firstLine="0"/>
      </w:pPr>
      <w:r>
        <w:separator/>
      </w:r>
    </w:p>
  </w:footnote>
  <w:footnote w:type="continuationSeparator" w:id="0">
    <w:p w14:paraId="0897A904" w14:textId="77777777" w:rsidR="00B6020F" w:rsidRDefault="00B6020F" w:rsidP="00DF58E7">
      <w:pPr>
        <w:spacing w:line="240" w:lineRule="auto"/>
        <w:ind w:firstLine="0"/>
      </w:pPr>
      <w:r>
        <w:continuationSeparator/>
      </w:r>
    </w:p>
  </w:footnote>
  <w:footnote w:type="continuationNotice" w:id="1">
    <w:p w14:paraId="390E47A3" w14:textId="77777777" w:rsidR="00B6020F" w:rsidRPr="00DF58E7" w:rsidRDefault="00B6020F" w:rsidP="00DF58E7">
      <w:pPr>
        <w:spacing w:line="240" w:lineRule="auto"/>
        <w:ind w:firstLine="0"/>
        <w:jc w:val="right"/>
        <w:rPr>
          <w:i/>
          <w:sz w:val="22"/>
        </w:rPr>
      </w:pPr>
      <w:r w:rsidRPr="00DF58E7">
        <w:rPr>
          <w:i/>
          <w:sz w:val="22"/>
        </w:rPr>
        <w:t>Footnote continued on next page.</w:t>
      </w:r>
    </w:p>
  </w:footnote>
  <w:footnote w:id="2">
    <w:p w14:paraId="03E479B3" w14:textId="282452C3" w:rsidR="005E6A59" w:rsidRDefault="005E6A59" w:rsidP="005E6A59">
      <w:pPr>
        <w:pStyle w:val="FootnoteText"/>
      </w:pPr>
      <w:r>
        <w:rPr>
          <w:rStyle w:val="FootnoteReference"/>
        </w:rPr>
        <w:footnoteRef/>
      </w:r>
      <w:r>
        <w:t xml:space="preserve"> IPC’s Application</w:t>
      </w:r>
      <w:r w:rsidR="00954CE8">
        <w:t xml:space="preserve"> at 3,</w:t>
      </w:r>
      <w:r>
        <w:t xml:space="preserve"> Section 6.</w:t>
      </w:r>
    </w:p>
  </w:footnote>
  <w:footnote w:id="3">
    <w:p w14:paraId="1264FB80" w14:textId="4788E1D0" w:rsidR="00A577C4" w:rsidRDefault="00A577C4">
      <w:pPr>
        <w:pStyle w:val="FootnoteText"/>
      </w:pPr>
      <w:r>
        <w:rPr>
          <w:rStyle w:val="FootnoteReference"/>
        </w:rPr>
        <w:footnoteRef/>
      </w:r>
      <w:r>
        <w:t xml:space="preserve"> </w:t>
      </w:r>
      <w:r w:rsidR="0050241F">
        <w:t xml:space="preserve">IPC’s Application </w:t>
      </w:r>
      <w:r>
        <w:t xml:space="preserve">at 4, Section </w:t>
      </w:r>
      <w:r w:rsidR="0051666C">
        <w:t>8</w:t>
      </w:r>
      <w:r>
        <w:t>.</w:t>
      </w:r>
    </w:p>
  </w:footnote>
  <w:footnote w:id="4">
    <w:p w14:paraId="02C39423" w14:textId="3023F114" w:rsidR="00223039" w:rsidRPr="00223039" w:rsidRDefault="00223039">
      <w:pPr>
        <w:pStyle w:val="FootnoteText"/>
      </w:pPr>
      <w:r>
        <w:rPr>
          <w:rStyle w:val="FootnoteReference"/>
        </w:rPr>
        <w:footnoteRef/>
      </w:r>
      <w:r>
        <w:t xml:space="preserve"> </w:t>
      </w:r>
      <w:r w:rsidR="0050241F">
        <w:t>IPC’s Application at 4, Section 8.</w:t>
      </w:r>
    </w:p>
  </w:footnote>
  <w:footnote w:id="5">
    <w:p w14:paraId="0E5D690A" w14:textId="4D965528" w:rsidR="00814CFE" w:rsidRDefault="00814CFE">
      <w:pPr>
        <w:pStyle w:val="FootnoteText"/>
      </w:pPr>
      <w:r>
        <w:rPr>
          <w:rStyle w:val="FootnoteReference"/>
        </w:rPr>
        <w:footnoteRef/>
      </w:r>
      <w:r>
        <w:t xml:space="preserve"> Response of IPC Systems, Inc. to Assigned Commissioner’s Ruling, at 1.</w:t>
      </w:r>
    </w:p>
  </w:footnote>
  <w:footnote w:id="6">
    <w:p w14:paraId="422B1971" w14:textId="61EF95D9" w:rsidR="00BC0E18" w:rsidRDefault="00BC0E18">
      <w:pPr>
        <w:pStyle w:val="FootnoteText"/>
      </w:pPr>
      <w:r>
        <w:rPr>
          <w:rStyle w:val="FootnoteReference"/>
        </w:rPr>
        <w:footnoteRef/>
      </w:r>
      <w:r>
        <w:t xml:space="preserve"> </w:t>
      </w:r>
      <w:r w:rsidR="00FC7824">
        <w:t xml:space="preserve">Response of IPC Systems, Inc. to Assigned Commissioner’s Ruling, at 1, referencing Cal. Pub. Util. Code </w:t>
      </w:r>
      <w:r w:rsidR="009432E7" w:rsidRPr="009432E7">
        <w:t>§ 405.</w:t>
      </w:r>
    </w:p>
  </w:footnote>
  <w:footnote w:id="7">
    <w:p w14:paraId="508CC5BF" w14:textId="6DF09912" w:rsidR="00FF2648" w:rsidRDefault="00FF2648">
      <w:pPr>
        <w:pStyle w:val="FootnoteText"/>
      </w:pPr>
      <w:r>
        <w:rPr>
          <w:rStyle w:val="FootnoteReference"/>
        </w:rPr>
        <w:footnoteRef/>
      </w:r>
      <w:r>
        <w:t xml:space="preserve"> </w:t>
      </w:r>
      <w:r w:rsidR="00393635">
        <w:t>Response of IPC Systems, Inc. to Administrative Law Judge Ruling Dated May 12, 2026, at 3.</w:t>
      </w:r>
    </w:p>
  </w:footnote>
  <w:footnote w:id="8">
    <w:p w14:paraId="3F7E605E" w14:textId="261AB4BC" w:rsidR="00197881" w:rsidRDefault="00197881">
      <w:pPr>
        <w:pStyle w:val="FootnoteText"/>
      </w:pPr>
      <w:r>
        <w:rPr>
          <w:rStyle w:val="FootnoteReference"/>
        </w:rPr>
        <w:footnoteRef/>
      </w:r>
      <w:r>
        <w:t xml:space="preserve"> D.88-08-059, 29 Cal. PUC 2d 11, 1988 Cal. PUC LEXIS 569 at n.5.</w:t>
      </w:r>
    </w:p>
  </w:footnote>
  <w:footnote w:id="9">
    <w:p w14:paraId="41796FD6" w14:textId="64B81F6D" w:rsidR="00197881" w:rsidRPr="00197881" w:rsidRDefault="00197881">
      <w:pPr>
        <w:pStyle w:val="FootnoteText"/>
      </w:pPr>
      <w:r>
        <w:rPr>
          <w:rStyle w:val="FootnoteReference"/>
        </w:rPr>
        <w:footnoteRef/>
      </w:r>
      <w:r>
        <w:t xml:space="preserve"> </w:t>
      </w:r>
      <w:r w:rsidR="00743DDE">
        <w:t>D.88-08-059, 29 Cal. PUC 2d 11, 1988 Cal. PUC LEXIS 569 at n.5.</w:t>
      </w:r>
    </w:p>
  </w:footnote>
  <w:footnote w:id="10">
    <w:p w14:paraId="69B394E9" w14:textId="684E9EED" w:rsidR="00197881" w:rsidRDefault="00197881">
      <w:pPr>
        <w:pStyle w:val="FootnoteText"/>
      </w:pPr>
      <w:r>
        <w:rPr>
          <w:rStyle w:val="FootnoteReference"/>
        </w:rPr>
        <w:footnoteRef/>
      </w:r>
      <w:r>
        <w:t xml:space="preserve"> D.88-08-059</w:t>
      </w:r>
      <w:r w:rsidR="00C516BE">
        <w:t>, 29 Cal. PUC 2d 11, 1988 Cal. PUC LEXIS 569</w:t>
      </w:r>
      <w:r>
        <w:t xml:space="preserve"> at Conclusions of Law 8, 10.</w:t>
      </w:r>
    </w:p>
  </w:footnote>
  <w:footnote w:id="11">
    <w:p w14:paraId="406D90D2" w14:textId="619C88C7" w:rsidR="00C0465C" w:rsidRDefault="00C0465C">
      <w:pPr>
        <w:pStyle w:val="FootnoteText"/>
      </w:pPr>
      <w:r>
        <w:rPr>
          <w:rStyle w:val="FootnoteReference"/>
        </w:rPr>
        <w:footnoteRef/>
      </w:r>
      <w:r>
        <w:t xml:space="preserve"> May 12 Ruling at 1.</w:t>
      </w:r>
    </w:p>
  </w:footnote>
  <w:footnote w:id="12">
    <w:p w14:paraId="3C446EA2" w14:textId="18831D83" w:rsidR="001B64BD" w:rsidRDefault="001B64BD">
      <w:pPr>
        <w:pStyle w:val="FootnoteText"/>
      </w:pPr>
      <w:r>
        <w:rPr>
          <w:rStyle w:val="FootnoteReference"/>
        </w:rPr>
        <w:footnoteRef/>
      </w:r>
      <w:r>
        <w:t xml:space="preserve"> May 12 Ruling at 2.</w:t>
      </w:r>
    </w:p>
  </w:footnote>
  <w:footnote w:id="13">
    <w:p w14:paraId="5C844E4D" w14:textId="42F677F2" w:rsidR="00C0465C" w:rsidRDefault="00C0465C">
      <w:pPr>
        <w:pStyle w:val="FootnoteText"/>
      </w:pPr>
      <w:r>
        <w:rPr>
          <w:rStyle w:val="FootnoteReference"/>
        </w:rPr>
        <w:footnoteRef/>
      </w:r>
      <w:r>
        <w:t xml:space="preserve"> May 12 Ruling at 4.</w:t>
      </w:r>
    </w:p>
  </w:footnote>
  <w:footnote w:id="14">
    <w:p w14:paraId="7804122B" w14:textId="6DCAEC5A" w:rsidR="00A73D04" w:rsidRDefault="00A73D04">
      <w:pPr>
        <w:pStyle w:val="FootnoteText"/>
      </w:pPr>
      <w:r>
        <w:rPr>
          <w:rStyle w:val="FootnoteReference"/>
        </w:rPr>
        <w:footnoteRef/>
      </w:r>
      <w:r>
        <w:t xml:space="preserve"> May 26 Response at 4.</w:t>
      </w:r>
    </w:p>
  </w:footnote>
  <w:footnote w:id="15">
    <w:p w14:paraId="661D07B6" w14:textId="1324F477" w:rsidR="00A73D04" w:rsidRPr="00A73D04" w:rsidRDefault="00A73D04">
      <w:pPr>
        <w:pStyle w:val="FootnoteText"/>
      </w:pPr>
      <w:r>
        <w:rPr>
          <w:rStyle w:val="FootnoteReference"/>
        </w:rPr>
        <w:footnoteRef/>
      </w:r>
      <w:r>
        <w:t xml:space="preserve"> </w:t>
      </w:r>
      <w:r w:rsidR="00743DDE">
        <w:t>May 26 Response at 4.</w:t>
      </w:r>
    </w:p>
  </w:footnote>
  <w:footnote w:id="16">
    <w:p w14:paraId="6EF7DB65" w14:textId="77777777" w:rsidR="00293246" w:rsidRDefault="00293246" w:rsidP="00293246">
      <w:pPr>
        <w:pStyle w:val="FootnoteText"/>
      </w:pPr>
      <w:r>
        <w:rPr>
          <w:rStyle w:val="FootnoteReference"/>
        </w:rPr>
        <w:footnoteRef/>
      </w:r>
      <w:r>
        <w:t xml:space="preserve"> IPC’s Application Section 6 at 3.</w:t>
      </w:r>
    </w:p>
  </w:footnote>
  <w:footnote w:id="17">
    <w:p w14:paraId="5B570FCA" w14:textId="4487D53F" w:rsidR="00A73D04" w:rsidRPr="00A73D04" w:rsidRDefault="00A73D04">
      <w:pPr>
        <w:pStyle w:val="FootnoteText"/>
      </w:pPr>
      <w:r>
        <w:rPr>
          <w:rStyle w:val="FootnoteReference"/>
        </w:rPr>
        <w:footnoteRef/>
      </w:r>
      <w:r>
        <w:t xml:space="preserve"> </w:t>
      </w:r>
      <w:r w:rsidR="00361519" w:rsidRPr="00361519">
        <w:t>May 26 Response at</w:t>
      </w:r>
      <w:r>
        <w:t xml:space="preserve"> 5.</w:t>
      </w:r>
    </w:p>
  </w:footnote>
  <w:footnote w:id="18">
    <w:p w14:paraId="5A822D1F" w14:textId="77777777" w:rsidR="00092A69" w:rsidRPr="00297C20" w:rsidRDefault="00092A69" w:rsidP="00092A69">
      <w:pPr>
        <w:pStyle w:val="ALJFootnote"/>
        <w:rPr>
          <w:szCs w:val="22"/>
        </w:rPr>
      </w:pPr>
      <w:r w:rsidRPr="00297C20">
        <w:rPr>
          <w:rStyle w:val="FootnoteReference"/>
          <w:szCs w:val="22"/>
        </w:rPr>
        <w:footnoteRef/>
      </w:r>
      <w:r w:rsidRPr="00297C20">
        <w:rPr>
          <w:szCs w:val="22"/>
        </w:rPr>
        <w:t xml:space="preserve"> Pub. Util. Code §§ 216, 234. </w:t>
      </w:r>
    </w:p>
  </w:footnote>
  <w:footnote w:id="19">
    <w:p w14:paraId="4F09DB19" w14:textId="77777777" w:rsidR="00092A69" w:rsidRPr="00297C20" w:rsidRDefault="00092A69" w:rsidP="00092A69">
      <w:pPr>
        <w:pStyle w:val="FootnoteText"/>
        <w:rPr>
          <w:szCs w:val="22"/>
          <w:lang w:val="en-ZW"/>
        </w:rPr>
      </w:pPr>
      <w:r w:rsidRPr="00297C20">
        <w:rPr>
          <w:rStyle w:val="FootnoteReference"/>
          <w:szCs w:val="22"/>
        </w:rPr>
        <w:footnoteRef/>
      </w:r>
      <w:r w:rsidRPr="00297C20">
        <w:rPr>
          <w:szCs w:val="22"/>
        </w:rPr>
        <w:t xml:space="preserve"> </w:t>
      </w:r>
      <w:r w:rsidRPr="00297C20">
        <w:rPr>
          <w:i/>
          <w:iCs/>
          <w:szCs w:val="22"/>
        </w:rPr>
        <w:t>See</w:t>
      </w:r>
      <w:r w:rsidRPr="00297C20">
        <w:rPr>
          <w:szCs w:val="22"/>
        </w:rPr>
        <w:t xml:space="preserve"> Decision (D.) 20-07-011, at 14-15; Cal. Const., art. XII, §§ 1-6; Pub. Util. Code § 701.</w:t>
      </w:r>
    </w:p>
  </w:footnote>
  <w:footnote w:id="20">
    <w:p w14:paraId="482729F2" w14:textId="77777777" w:rsidR="00092A69" w:rsidRPr="00297C20" w:rsidRDefault="00092A69" w:rsidP="00092A69">
      <w:pPr>
        <w:pStyle w:val="FootnoteText"/>
        <w:rPr>
          <w:szCs w:val="22"/>
          <w:lang w:val="en-ZW"/>
        </w:rPr>
      </w:pPr>
      <w:r w:rsidRPr="00297C20">
        <w:rPr>
          <w:rStyle w:val="FootnoteReference"/>
          <w:szCs w:val="22"/>
        </w:rPr>
        <w:footnoteRef/>
      </w:r>
      <w:r w:rsidRPr="00297C20">
        <w:rPr>
          <w:szCs w:val="22"/>
        </w:rPr>
        <w:t xml:space="preserve"> </w:t>
      </w:r>
      <w:r w:rsidRPr="00297C20">
        <w:rPr>
          <w:szCs w:val="22"/>
          <w:lang w:val="en-ZW"/>
        </w:rPr>
        <w:t>Pub. Util. Code §§ 216, 233, 234; D.22-10-021 at 68.</w:t>
      </w:r>
    </w:p>
  </w:footnote>
  <w:footnote w:id="21">
    <w:p w14:paraId="2180F6EB" w14:textId="77777777" w:rsidR="00092A69" w:rsidRPr="00297C20" w:rsidRDefault="00092A69" w:rsidP="00092A69">
      <w:pPr>
        <w:pStyle w:val="FootnoteText"/>
        <w:rPr>
          <w:szCs w:val="22"/>
          <w:lang w:val="en-ZW"/>
        </w:rPr>
      </w:pPr>
      <w:r w:rsidRPr="00297C20">
        <w:rPr>
          <w:rStyle w:val="FootnoteReference"/>
          <w:szCs w:val="22"/>
        </w:rPr>
        <w:footnoteRef/>
      </w:r>
      <w:r w:rsidRPr="00297C20">
        <w:rPr>
          <w:szCs w:val="22"/>
        </w:rPr>
        <w:t xml:space="preserve"> Pub. Util. Code </w:t>
      </w:r>
      <w:r w:rsidRPr="00297C20">
        <w:rPr>
          <w:szCs w:val="22"/>
          <w:lang w:val="en-ZW"/>
        </w:rPr>
        <w:t>§</w:t>
      </w:r>
      <w:r w:rsidRPr="00297C20">
        <w:rPr>
          <w:szCs w:val="22"/>
        </w:rPr>
        <w:t> 216(a).</w:t>
      </w:r>
      <w:r>
        <w:rPr>
          <w:szCs w:val="22"/>
        </w:rPr>
        <w:t xml:space="preserve">  </w:t>
      </w:r>
      <w:r w:rsidRPr="00297C20">
        <w:rPr>
          <w:szCs w:val="22"/>
          <w:lang w:val="en-ZW"/>
        </w:rPr>
        <w:t xml:space="preserve">Telephone corporations are required </w:t>
      </w:r>
      <w:r w:rsidRPr="00297C20">
        <w:rPr>
          <w:szCs w:val="22"/>
        </w:rPr>
        <w:t>to file annual affiliate transaction reports and pay surcharges and user fees.</w:t>
      </w:r>
    </w:p>
  </w:footnote>
  <w:footnote w:id="22">
    <w:p w14:paraId="6B8D4C37" w14:textId="77777777" w:rsidR="00092A69" w:rsidRPr="00297C20" w:rsidRDefault="00092A69" w:rsidP="00092A69">
      <w:pPr>
        <w:pStyle w:val="FootnoteText"/>
        <w:rPr>
          <w:szCs w:val="22"/>
          <w:lang w:val="en-ZW"/>
        </w:rPr>
      </w:pPr>
      <w:r w:rsidRPr="00297C20">
        <w:rPr>
          <w:rStyle w:val="FootnoteReference"/>
          <w:szCs w:val="22"/>
        </w:rPr>
        <w:footnoteRef/>
      </w:r>
      <w:r w:rsidRPr="00297C20">
        <w:rPr>
          <w:szCs w:val="22"/>
        </w:rPr>
        <w:t xml:space="preserve"> Pub. Util. Code </w:t>
      </w:r>
      <w:r w:rsidRPr="00297C20">
        <w:rPr>
          <w:szCs w:val="22"/>
          <w:lang w:val="en-ZW"/>
        </w:rPr>
        <w:t>§</w:t>
      </w:r>
      <w:r w:rsidRPr="00297C20">
        <w:rPr>
          <w:szCs w:val="22"/>
        </w:rPr>
        <w:t xml:space="preserve"> 1001.</w:t>
      </w:r>
    </w:p>
  </w:footnote>
  <w:footnote w:id="23">
    <w:p w14:paraId="26B1D8B0" w14:textId="5F96F88E" w:rsidR="00362C67" w:rsidRPr="00297C20" w:rsidRDefault="00362C67" w:rsidP="00362C67">
      <w:pPr>
        <w:pStyle w:val="FootnoteText"/>
        <w:rPr>
          <w:szCs w:val="22"/>
          <w:lang w:val="en-ZW"/>
        </w:rPr>
      </w:pPr>
      <w:r w:rsidRPr="00297C20">
        <w:rPr>
          <w:rStyle w:val="FootnoteReference"/>
          <w:szCs w:val="22"/>
        </w:rPr>
        <w:footnoteRef/>
      </w:r>
      <w:r w:rsidRPr="00297C20">
        <w:rPr>
          <w:szCs w:val="22"/>
        </w:rPr>
        <w:t xml:space="preserve"> </w:t>
      </w:r>
      <w:r w:rsidRPr="00297C20">
        <w:rPr>
          <w:szCs w:val="22"/>
          <w:lang w:val="en-ZW"/>
        </w:rPr>
        <w:t>Pub. Util. Code §§ 216, 233, 234</w:t>
      </w:r>
      <w:r w:rsidR="00297D16">
        <w:rPr>
          <w:szCs w:val="22"/>
          <w:lang w:val="en-ZW"/>
        </w:rPr>
        <w:t>, 239</w:t>
      </w:r>
      <w:r w:rsidRPr="00297C20">
        <w:rPr>
          <w:szCs w:val="22"/>
          <w:lang w:val="en-ZW"/>
        </w:rPr>
        <w:t xml:space="preserve">; D.22-10-021 at 68; D.24-11-003 at </w:t>
      </w:r>
      <w:r>
        <w:rPr>
          <w:szCs w:val="22"/>
          <w:lang w:val="en-ZW"/>
        </w:rPr>
        <w:t>18-19</w:t>
      </w:r>
      <w:r w:rsidRPr="00297C20">
        <w:rPr>
          <w:szCs w:val="22"/>
          <w:lang w:val="en-ZW"/>
        </w:rPr>
        <w:t>.</w:t>
      </w:r>
    </w:p>
  </w:footnote>
  <w:footnote w:id="24">
    <w:p w14:paraId="4D91A77F" w14:textId="7E7584CE" w:rsidR="006A45BB" w:rsidRPr="006A45BB" w:rsidRDefault="006A45BB">
      <w:pPr>
        <w:pStyle w:val="FootnoteText"/>
      </w:pPr>
      <w:r>
        <w:rPr>
          <w:rStyle w:val="FootnoteReference"/>
        </w:rPr>
        <w:footnoteRef/>
      </w:r>
      <w:r>
        <w:t xml:space="preserve"> Pub. Resources Code §§ 21000, </w:t>
      </w:r>
      <w:r>
        <w:rPr>
          <w:i/>
          <w:iCs/>
        </w:rPr>
        <w:t>et seq</w:t>
      </w:r>
      <w:r>
        <w:t>.</w:t>
      </w:r>
    </w:p>
  </w:footnote>
  <w:footnote w:id="25">
    <w:p w14:paraId="3F285C5B" w14:textId="77777777" w:rsidR="00362C67" w:rsidRPr="00297C20" w:rsidRDefault="00362C67" w:rsidP="00362C67">
      <w:pPr>
        <w:pStyle w:val="FootnoteText"/>
        <w:rPr>
          <w:szCs w:val="22"/>
          <w:lang w:val="en-ZW"/>
        </w:rPr>
      </w:pPr>
      <w:r w:rsidRPr="00297C20">
        <w:rPr>
          <w:rStyle w:val="FootnoteReference"/>
          <w:szCs w:val="22"/>
        </w:rPr>
        <w:footnoteRef/>
      </w:r>
      <w:r w:rsidRPr="00297C20">
        <w:rPr>
          <w:szCs w:val="22"/>
        </w:rPr>
        <w:t xml:space="preserve"> </w:t>
      </w:r>
      <w:r>
        <w:rPr>
          <w:i/>
          <w:iCs/>
          <w:szCs w:val="22"/>
          <w:lang w:val="en-ZW"/>
        </w:rPr>
        <w:t xml:space="preserve">See </w:t>
      </w:r>
      <w:r w:rsidRPr="00297C20">
        <w:rPr>
          <w:szCs w:val="22"/>
          <w:lang w:val="en-ZW"/>
        </w:rPr>
        <w:t>D.24-11-003 at 56</w:t>
      </w:r>
      <w:r>
        <w:rPr>
          <w:szCs w:val="22"/>
          <w:lang w:val="en-ZW"/>
        </w:rPr>
        <w:t>-58</w:t>
      </w:r>
      <w:r w:rsidRPr="00297C20">
        <w:rPr>
          <w:szCs w:val="22"/>
          <w:lang w:val="en-ZW"/>
        </w:rPr>
        <w:t>.</w:t>
      </w:r>
    </w:p>
  </w:footnote>
  <w:footnote w:id="26">
    <w:p w14:paraId="6DA9C6A6" w14:textId="3D892D5D" w:rsidR="00362C67" w:rsidRPr="00297C20" w:rsidRDefault="00362C67" w:rsidP="00362C67">
      <w:pPr>
        <w:pStyle w:val="FootnoteText"/>
        <w:rPr>
          <w:szCs w:val="22"/>
        </w:rPr>
      </w:pPr>
      <w:r w:rsidRPr="00297C20">
        <w:rPr>
          <w:rStyle w:val="FootnoteReference"/>
          <w:szCs w:val="22"/>
        </w:rPr>
        <w:footnoteRef/>
      </w:r>
      <w:r w:rsidRPr="00297C20">
        <w:rPr>
          <w:szCs w:val="22"/>
        </w:rPr>
        <w:t xml:space="preserve">  The financial requirement for CLECs, NDIECs, and fixed interconnected VoIP providers is contained in D.24-11-003 at Appendix F.</w:t>
      </w:r>
    </w:p>
  </w:footnote>
  <w:footnote w:id="27">
    <w:p w14:paraId="2536D1F5" w14:textId="49DC192E" w:rsidR="00362C67" w:rsidRPr="00297C20" w:rsidRDefault="00362C67" w:rsidP="00362C67">
      <w:pPr>
        <w:pStyle w:val="FootnoteText"/>
        <w:rPr>
          <w:szCs w:val="22"/>
          <w:lang w:val="en-ZW"/>
        </w:rPr>
      </w:pPr>
      <w:r w:rsidRPr="00297C20">
        <w:rPr>
          <w:rStyle w:val="FootnoteReference"/>
          <w:szCs w:val="22"/>
        </w:rPr>
        <w:footnoteRef/>
      </w:r>
      <w:r w:rsidRPr="00297C20">
        <w:rPr>
          <w:szCs w:val="22"/>
        </w:rPr>
        <w:t xml:space="preserve"> The financial requirement for CLECs, NDIECs, and fixed interconnected VoIP providers is contained in D.24-11-003 at Appendix F.</w:t>
      </w:r>
    </w:p>
  </w:footnote>
  <w:footnote w:id="28">
    <w:p w14:paraId="43215D06" w14:textId="77777777" w:rsidR="008845EF" w:rsidRPr="00297C20" w:rsidRDefault="008845EF" w:rsidP="008845EF">
      <w:pPr>
        <w:pStyle w:val="FootnoteText"/>
        <w:rPr>
          <w:szCs w:val="22"/>
        </w:rPr>
      </w:pPr>
      <w:r w:rsidRPr="00297C20">
        <w:rPr>
          <w:rStyle w:val="FootnoteReference"/>
          <w:szCs w:val="22"/>
        </w:rPr>
        <w:footnoteRef/>
      </w:r>
      <w:r w:rsidRPr="00297C20">
        <w:rPr>
          <w:szCs w:val="22"/>
        </w:rPr>
        <w:t xml:space="preserve">  D.95-12</w:t>
      </w:r>
      <w:r w:rsidRPr="00297C20">
        <w:rPr>
          <w:szCs w:val="22"/>
        </w:rPr>
        <w:noBreakHyphen/>
        <w:t xml:space="preserve">056 at Appendix C, Rule 4.A, </w:t>
      </w:r>
      <w:r w:rsidRPr="00297C20">
        <w:rPr>
          <w:i/>
          <w:iCs/>
          <w:szCs w:val="22"/>
        </w:rPr>
        <w:t>as modified by</w:t>
      </w:r>
      <w:r w:rsidRPr="00297C20">
        <w:rPr>
          <w:szCs w:val="22"/>
        </w:rPr>
        <w:t xml:space="preserve"> D.13-05-035 and D.24-11-003.</w:t>
      </w:r>
    </w:p>
  </w:footnote>
  <w:footnote w:id="29">
    <w:p w14:paraId="768D7124" w14:textId="07BFB30E" w:rsidR="00A01D85" w:rsidRPr="00297C20" w:rsidRDefault="00A01D85" w:rsidP="00A01D85">
      <w:pPr>
        <w:pStyle w:val="FootnoteText"/>
        <w:rPr>
          <w:szCs w:val="22"/>
        </w:rPr>
      </w:pPr>
      <w:r w:rsidRPr="00297C20">
        <w:rPr>
          <w:rStyle w:val="FootnoteReference"/>
          <w:szCs w:val="22"/>
        </w:rPr>
        <w:footnoteRef/>
      </w:r>
      <w:r w:rsidRPr="00297C20">
        <w:rPr>
          <w:szCs w:val="22"/>
        </w:rPr>
        <w:t xml:space="preserve">  </w:t>
      </w:r>
      <w:r w:rsidR="00281AFC">
        <w:rPr>
          <w:szCs w:val="22"/>
        </w:rPr>
        <w:t>IPC Application</w:t>
      </w:r>
      <w:r w:rsidR="003865D6">
        <w:rPr>
          <w:szCs w:val="22"/>
        </w:rPr>
        <w:t xml:space="preserve"> at 6 and</w:t>
      </w:r>
      <w:r w:rsidR="009406EE">
        <w:rPr>
          <w:szCs w:val="22"/>
        </w:rPr>
        <w:t xml:space="preserve"> Appendix H.</w:t>
      </w:r>
    </w:p>
  </w:footnote>
  <w:footnote w:id="30">
    <w:p w14:paraId="4AABEB78" w14:textId="77777777" w:rsidR="00750845" w:rsidRDefault="00750845" w:rsidP="00750845">
      <w:pPr>
        <w:pStyle w:val="FootnoteText"/>
      </w:pPr>
      <w:r>
        <w:rPr>
          <w:rStyle w:val="FootnoteReference"/>
        </w:rPr>
        <w:footnoteRef/>
      </w:r>
      <w:r>
        <w:t xml:space="preserve"> IPC’s Application at Appendix E.</w:t>
      </w:r>
    </w:p>
  </w:footnote>
  <w:footnote w:id="31">
    <w:p w14:paraId="7B8FA8AB" w14:textId="0B49513D" w:rsidR="00227BEA" w:rsidRDefault="00227BEA">
      <w:pPr>
        <w:pStyle w:val="FootnoteText"/>
      </w:pPr>
      <w:r>
        <w:rPr>
          <w:rStyle w:val="FootnoteReference"/>
        </w:rPr>
        <w:footnoteRef/>
      </w:r>
      <w:r>
        <w:t xml:space="preserve"> IPC’s Application at Appendix H.</w:t>
      </w:r>
    </w:p>
  </w:footnote>
  <w:footnote w:id="32">
    <w:p w14:paraId="049C3816" w14:textId="77777777" w:rsidR="008845EF" w:rsidRPr="00297C20" w:rsidRDefault="008845EF" w:rsidP="008845EF">
      <w:pPr>
        <w:pStyle w:val="FootnoteText"/>
        <w:rPr>
          <w:szCs w:val="22"/>
          <w:lang w:val="en-ZW"/>
        </w:rPr>
      </w:pPr>
      <w:r w:rsidRPr="00297C20">
        <w:rPr>
          <w:rStyle w:val="FootnoteReference"/>
          <w:szCs w:val="22"/>
        </w:rPr>
        <w:footnoteRef/>
      </w:r>
      <w:r w:rsidRPr="00297C20">
        <w:rPr>
          <w:szCs w:val="22"/>
        </w:rPr>
        <w:t xml:space="preserve"> </w:t>
      </w:r>
      <w:r w:rsidRPr="00297C20">
        <w:rPr>
          <w:szCs w:val="22"/>
          <w:lang w:val="en-ZW"/>
        </w:rPr>
        <w:t>D.12-12-038 at 10</w:t>
      </w:r>
      <w:r>
        <w:rPr>
          <w:szCs w:val="22"/>
          <w:lang w:val="en-ZW"/>
        </w:rPr>
        <w:t>-11</w:t>
      </w:r>
      <w:r w:rsidRPr="00297C20">
        <w:rPr>
          <w:szCs w:val="22"/>
          <w:lang w:val="en-ZW"/>
        </w:rPr>
        <w:t>.</w:t>
      </w:r>
    </w:p>
  </w:footnote>
  <w:footnote w:id="33">
    <w:p w14:paraId="4F57030B" w14:textId="77777777" w:rsidR="00FD5971" w:rsidRPr="00297C20" w:rsidRDefault="00FD5971" w:rsidP="00FD5971">
      <w:pPr>
        <w:pStyle w:val="FootnoteText"/>
        <w:rPr>
          <w:rFonts w:eastAsia="Book Antiqua" w:cs="Book Antiqua"/>
          <w:szCs w:val="22"/>
          <w:lang w:val="en-ZW"/>
        </w:rPr>
      </w:pPr>
      <w:r w:rsidRPr="00297C20">
        <w:rPr>
          <w:rStyle w:val="FootnoteReference"/>
          <w:rFonts w:eastAsia="Book Antiqua" w:cs="Book Antiqua"/>
          <w:szCs w:val="22"/>
        </w:rPr>
        <w:footnoteRef/>
      </w:r>
      <w:r w:rsidRPr="00297C20">
        <w:rPr>
          <w:rFonts w:eastAsia="Book Antiqua" w:cs="Book Antiqua"/>
          <w:szCs w:val="22"/>
        </w:rPr>
        <w:t xml:space="preserve"> </w:t>
      </w:r>
      <w:r w:rsidRPr="00297C20">
        <w:rPr>
          <w:rFonts w:eastAsia="Book Antiqua" w:cs="Book Antiqua"/>
          <w:szCs w:val="22"/>
          <w:lang w:val="en-ZW"/>
        </w:rPr>
        <w:t>D.24-11-003 at 58-82 (Section 8.2).</w:t>
      </w:r>
    </w:p>
  </w:footnote>
  <w:footnote w:id="34">
    <w:p w14:paraId="1A71E11C" w14:textId="77777777" w:rsidR="002067ED" w:rsidRDefault="002067ED" w:rsidP="002067ED">
      <w:pPr>
        <w:pStyle w:val="FootnoteText"/>
      </w:pPr>
      <w:r>
        <w:rPr>
          <w:rStyle w:val="FootnoteReference"/>
        </w:rPr>
        <w:footnoteRef/>
      </w:r>
      <w:r>
        <w:t xml:space="preserve"> IPC Application at Appendix D.</w:t>
      </w:r>
    </w:p>
  </w:footnote>
  <w:footnote w:id="35">
    <w:p w14:paraId="1DD5A9C5" w14:textId="387A4C31" w:rsidR="002067ED" w:rsidRDefault="002067ED" w:rsidP="002067ED">
      <w:pPr>
        <w:pStyle w:val="FootnoteText"/>
      </w:pPr>
      <w:r>
        <w:rPr>
          <w:rStyle w:val="FootnoteReference"/>
        </w:rPr>
        <w:footnoteRef/>
      </w:r>
      <w:r>
        <w:t xml:space="preserve"> </w:t>
      </w:r>
      <w:r w:rsidR="00D703D2">
        <w:t xml:space="preserve">IPC </w:t>
      </w:r>
      <w:r>
        <w:t xml:space="preserve">May 26 </w:t>
      </w:r>
      <w:r w:rsidR="00DF025A">
        <w:t>R</w:t>
      </w:r>
      <w:r>
        <w:t>esponse at 5.</w:t>
      </w:r>
    </w:p>
  </w:footnote>
  <w:footnote w:id="36">
    <w:p w14:paraId="6829A9A5" w14:textId="7D05AAF7" w:rsidR="009E4C93" w:rsidRPr="00481243" w:rsidRDefault="009E4C93" w:rsidP="009E4C93">
      <w:pPr>
        <w:pStyle w:val="FootnoteText"/>
      </w:pPr>
      <w:r>
        <w:rPr>
          <w:rStyle w:val="FootnoteReference"/>
        </w:rPr>
        <w:footnoteRef/>
      </w:r>
      <w:r>
        <w:t xml:space="preserve"> </w:t>
      </w:r>
      <w:r w:rsidRPr="00481243">
        <w:t>D.22-10-021 at OP 1; G.O. 153</w:t>
      </w:r>
      <w:r w:rsidR="00BA1B95">
        <w:t>-A</w:t>
      </w:r>
      <w:r w:rsidRPr="00481243">
        <w:t xml:space="preserve"> at Section 11.1.1</w:t>
      </w:r>
      <w:r>
        <w:t>.</w:t>
      </w:r>
    </w:p>
  </w:footnote>
  <w:footnote w:id="37">
    <w:p w14:paraId="702A403C" w14:textId="77777777" w:rsidR="003A2E80" w:rsidRDefault="003A2E80" w:rsidP="003A2E80">
      <w:pPr>
        <w:pStyle w:val="FootnoteText"/>
      </w:pPr>
      <w:r>
        <w:rPr>
          <w:rStyle w:val="FootnoteReference"/>
        </w:rPr>
        <w:footnoteRef/>
      </w:r>
      <w:r>
        <w:t xml:space="preserve"> </w:t>
      </w:r>
      <w:r w:rsidRPr="008B05FC">
        <w:rPr>
          <w:i/>
          <w:iCs/>
        </w:rPr>
        <w:t>See</w:t>
      </w:r>
      <w:r w:rsidRPr="008B05FC">
        <w:t xml:space="preserve"> D.22-10-021 at 75, OP 1; D.98-01-021 at OP 11, </w:t>
      </w:r>
      <w:r w:rsidRPr="008B05FC">
        <w:rPr>
          <w:i/>
          <w:iCs/>
        </w:rPr>
        <w:t xml:space="preserve">as modified by </w:t>
      </w:r>
      <w:r w:rsidRPr="008B05FC">
        <w:t>D.98-04-068; GO 153 at Section 11.</w:t>
      </w:r>
    </w:p>
  </w:footnote>
  <w:footnote w:id="38">
    <w:p w14:paraId="1FEF2786" w14:textId="77777777" w:rsidR="003A2E80" w:rsidRDefault="003A2E80" w:rsidP="003A2E80">
      <w:pPr>
        <w:pStyle w:val="FootnoteText"/>
      </w:pPr>
      <w:r>
        <w:rPr>
          <w:rStyle w:val="FootnoteReference"/>
        </w:rPr>
        <w:footnoteRef/>
      </w:r>
      <w:r>
        <w:t xml:space="preserve"> </w:t>
      </w:r>
      <w:r w:rsidRPr="00AE31A8">
        <w:t>P</w:t>
      </w:r>
      <w:r>
        <w:t>ub. Util. Code §</w:t>
      </w:r>
      <w:r w:rsidR="000F1B2A">
        <w:t xml:space="preserve">§ </w:t>
      </w:r>
      <w:r w:rsidRPr="00AE31A8">
        <w:t xml:space="preserve">401 </w:t>
      </w:r>
      <w:r w:rsidRPr="00A376E2">
        <w:rPr>
          <w:i/>
          <w:iCs/>
        </w:rPr>
        <w:t>et seq.</w:t>
      </w:r>
      <w:r w:rsidR="00D7391A">
        <w:rPr>
          <w:i/>
          <w:iCs/>
        </w:rPr>
        <w:t xml:space="preserve"> </w:t>
      </w:r>
      <w:r w:rsidR="00D7391A" w:rsidRPr="00D7391A">
        <w:rPr>
          <w:i/>
          <w:iCs/>
        </w:rPr>
        <w:t>and §§ 431 et seq.</w:t>
      </w:r>
      <w:r w:rsidR="006776AF">
        <w:rPr>
          <w:i/>
          <w:iCs/>
        </w:rPr>
        <w:t xml:space="preserve">; </w:t>
      </w:r>
      <w:r w:rsidR="008278E3">
        <w:rPr>
          <w:i/>
          <w:iCs/>
        </w:rPr>
        <w:t>D.10-09-017 at OP 15</w:t>
      </w:r>
      <w:r w:rsidR="00153A4F">
        <w:rPr>
          <w:i/>
          <w:iCs/>
        </w:rPr>
        <w:t xml:space="preserve">; </w:t>
      </w:r>
      <w:r w:rsidR="00A000DA">
        <w:rPr>
          <w:i/>
          <w:iCs/>
        </w:rPr>
        <w:t>D.13-05-035 at OP 21</w:t>
      </w:r>
      <w:r w:rsidR="00EA1012">
        <w:rPr>
          <w:i/>
          <w:iCs/>
        </w:rPr>
        <w:t>.</w:t>
      </w:r>
    </w:p>
  </w:footnote>
  <w:footnote w:id="39">
    <w:p w14:paraId="34CBFE8C" w14:textId="77777777" w:rsidR="00C21F16" w:rsidRDefault="00C21F16" w:rsidP="00C21F16">
      <w:pPr>
        <w:pStyle w:val="FootnoteText"/>
      </w:pPr>
      <w:r>
        <w:rPr>
          <w:rStyle w:val="FootnoteReference"/>
        </w:rPr>
        <w:footnoteRef/>
      </w:r>
      <w:r>
        <w:t xml:space="preserve"> Pub. Util. Code Section 405.</w:t>
      </w:r>
    </w:p>
  </w:footnote>
  <w:footnote w:id="40">
    <w:p w14:paraId="10F1038C" w14:textId="77777777" w:rsidR="00033CDB" w:rsidRDefault="00033CDB">
      <w:pPr>
        <w:pStyle w:val="FootnoteText"/>
      </w:pPr>
      <w:r>
        <w:rPr>
          <w:rStyle w:val="FootnoteReference"/>
        </w:rPr>
        <w:footnoteRef/>
      </w:r>
      <w:r>
        <w:t xml:space="preserve"> </w:t>
      </w:r>
      <w:r w:rsidR="00800D5E">
        <w:t>Response of IPC Systems, Inc. to Administrative Law Judge Ruling Dated September 8, 2026, at 1.</w:t>
      </w:r>
    </w:p>
  </w:footnote>
  <w:footnote w:id="41">
    <w:p w14:paraId="68C7325E" w14:textId="33C5FEAA" w:rsidR="00CD2E71" w:rsidRPr="00CD2E71" w:rsidRDefault="00CD2E71">
      <w:pPr>
        <w:pStyle w:val="FootnoteText"/>
      </w:pPr>
      <w:r>
        <w:rPr>
          <w:rStyle w:val="FootnoteReference"/>
        </w:rPr>
        <w:footnoteRef/>
      </w:r>
      <w:r>
        <w:t xml:space="preserve"> </w:t>
      </w:r>
      <w:r>
        <w:rPr>
          <w:i/>
          <w:iCs/>
        </w:rPr>
        <w:t>See</w:t>
      </w:r>
      <w:r>
        <w:t xml:space="preserve"> Pub. Util. Code §§ 1001 </w:t>
      </w:r>
      <w:r>
        <w:rPr>
          <w:i/>
          <w:iCs/>
        </w:rPr>
        <w:t>et seq</w:t>
      </w:r>
      <w:r>
        <w:t xml:space="preserve">.; </w:t>
      </w:r>
      <w:r>
        <w:rPr>
          <w:i/>
          <w:iCs/>
        </w:rPr>
        <w:t>see</w:t>
      </w:r>
      <w:r w:rsidR="002067ED">
        <w:rPr>
          <w:i/>
          <w:iCs/>
        </w:rPr>
        <w:t>, e.g.,</w:t>
      </w:r>
      <w:r>
        <w:rPr>
          <w:i/>
          <w:iCs/>
        </w:rPr>
        <w:t xml:space="preserve"> </w:t>
      </w:r>
      <w:r>
        <w:t>D.19-05-008 at 9 (finding provision of services without Commission authority violates Section 1001).</w:t>
      </w:r>
    </w:p>
  </w:footnote>
  <w:footnote w:id="42">
    <w:p w14:paraId="487FF7FA" w14:textId="62E932DC" w:rsidR="00D81681" w:rsidRDefault="00D81681" w:rsidP="00D81681">
      <w:pPr>
        <w:pStyle w:val="FootnoteText"/>
      </w:pPr>
      <w:r>
        <w:rPr>
          <w:rStyle w:val="FootnoteReference"/>
        </w:rPr>
        <w:footnoteRef/>
      </w:r>
      <w:r>
        <w:t xml:space="preserve"> </w:t>
      </w:r>
      <w:r w:rsidR="00E13FCF">
        <w:t xml:space="preserve">IPC </w:t>
      </w:r>
      <w:r>
        <w:t xml:space="preserve">May 26 Response at 5, </w:t>
      </w:r>
      <w:r w:rsidRPr="00E3653B">
        <w:rPr>
          <w:i/>
          <w:iCs/>
        </w:rPr>
        <w:t>citing e.g., Leonard v. City of Los Angeles</w:t>
      </w:r>
      <w:r w:rsidRPr="00E3653B">
        <w:t>, 31 Cal.App. 473, 476 (1973)</w:t>
      </w:r>
      <w:r w:rsidR="00473DD6">
        <w:t>.</w:t>
      </w:r>
    </w:p>
  </w:footnote>
  <w:footnote w:id="43">
    <w:p w14:paraId="4DAA7E36" w14:textId="4CCDA0CB" w:rsidR="00254952" w:rsidRPr="00254952" w:rsidRDefault="00254952">
      <w:pPr>
        <w:pStyle w:val="FootnoteText"/>
      </w:pPr>
      <w:r>
        <w:rPr>
          <w:rStyle w:val="FootnoteReference"/>
        </w:rPr>
        <w:footnoteRef/>
      </w:r>
      <w:r>
        <w:t xml:space="preserve"> </w:t>
      </w:r>
      <w:r w:rsidR="00087E29" w:rsidRPr="005862A1">
        <w:t xml:space="preserve">May 12, </w:t>
      </w:r>
      <w:r w:rsidR="00C12020" w:rsidRPr="005862A1">
        <w:t>2026,</w:t>
      </w:r>
      <w:r w:rsidR="006354A9" w:rsidRPr="005862A1">
        <w:t xml:space="preserve"> Ruling at </w:t>
      </w:r>
      <w:r w:rsidR="009700EB" w:rsidRPr="005862A1">
        <w:t>4.</w:t>
      </w:r>
      <w:r w:rsidR="009700EB" w:rsidRPr="00E22B4F">
        <w:t xml:space="preserve"> </w:t>
      </w:r>
      <w:r w:rsidRPr="00E22B4F">
        <w:t>IPC was asked whether it would stipulate by the ALJ, not another party.</w:t>
      </w:r>
      <w:r>
        <w:t xml:space="preserve"> </w:t>
      </w:r>
    </w:p>
  </w:footnote>
  <w:footnote w:id="44">
    <w:p w14:paraId="36A70395" w14:textId="2C627521" w:rsidR="00AA4A26" w:rsidRDefault="00AA4A26">
      <w:pPr>
        <w:pStyle w:val="FootnoteText"/>
      </w:pPr>
      <w:r w:rsidRPr="005862A1">
        <w:rPr>
          <w:rStyle w:val="FootnoteReference"/>
        </w:rPr>
        <w:footnoteRef/>
      </w:r>
      <w:r w:rsidRPr="005862A1">
        <w:t xml:space="preserve"> </w:t>
      </w:r>
      <w:r w:rsidR="002F58E5">
        <w:t xml:space="preserve">IPC </w:t>
      </w:r>
      <w:r w:rsidR="000D5DE0" w:rsidRPr="005862A1">
        <w:t>May 12</w:t>
      </w:r>
      <w:r w:rsidR="005862A1" w:rsidRPr="005862A1">
        <w:t xml:space="preserve"> Response</w:t>
      </w:r>
      <w:r w:rsidR="00B07EFE" w:rsidRPr="005862A1">
        <w:t xml:space="preserve"> at 5.  (“IPC System</w:t>
      </w:r>
      <w:r w:rsidR="000948B7" w:rsidRPr="005862A1">
        <w:t>s</w:t>
      </w:r>
      <w:r w:rsidR="00B07EFE" w:rsidRPr="005862A1">
        <w:t>, as a private party, appears to lack the ability to stipulate to a conclusion of law</w:t>
      </w:r>
      <w:r w:rsidR="00DF025A">
        <w:t>,</w:t>
      </w:r>
      <w:r w:rsidR="00B07EFE" w:rsidRPr="005862A1">
        <w:t>”</w:t>
      </w:r>
      <w:r w:rsidR="0099416D" w:rsidRPr="005862A1">
        <w:t xml:space="preserve"> </w:t>
      </w:r>
      <w:r w:rsidR="00EF3BF6" w:rsidRPr="005862A1">
        <w:t>citing</w:t>
      </w:r>
      <w:r w:rsidR="0099416D" w:rsidRPr="005862A1">
        <w:t xml:space="preserve"> </w:t>
      </w:r>
      <w:r w:rsidR="0099416D" w:rsidRPr="005862A1">
        <w:rPr>
          <w:i/>
          <w:iCs/>
        </w:rPr>
        <w:t>Leonard v. City of Los Angeles</w:t>
      </w:r>
      <w:r w:rsidR="0099416D" w:rsidRPr="005862A1">
        <w:t>, 31 Cal.App. 473, 376 (1973)</w:t>
      </w:r>
      <w:r w:rsidR="00DF025A">
        <w:t>.</w:t>
      </w:r>
      <w:r w:rsidR="00B07EFE" w:rsidRPr="005862A1">
        <w:t>)</w:t>
      </w:r>
      <w:r w:rsidR="000D5DE0" w:rsidRPr="005862A1">
        <w:t xml:space="preserve"> </w:t>
      </w:r>
      <w:r w:rsidR="00873DE8" w:rsidRPr="005862A1">
        <w:t xml:space="preserve">However, </w:t>
      </w:r>
      <w:r w:rsidR="00D45920" w:rsidRPr="005862A1">
        <w:t xml:space="preserve">in </w:t>
      </w:r>
      <w:r w:rsidR="00873DE8" w:rsidRPr="005862A1">
        <w:rPr>
          <w:i/>
          <w:iCs/>
        </w:rPr>
        <w:t>Leonard</w:t>
      </w:r>
      <w:r w:rsidR="00D45920" w:rsidRPr="005862A1">
        <w:t xml:space="preserve"> the court s</w:t>
      </w:r>
      <w:r w:rsidR="00873DE8" w:rsidRPr="005862A1">
        <w:t xml:space="preserve">tates, </w:t>
      </w:r>
      <w:r w:rsidRPr="005862A1">
        <w:t xml:space="preserve">“it is generally held that a stipulation between the parties may not bind a court on questions of law.” IPC appears to have recognized that this prohibition applies to stipulations between parties, not a stipulation to the ALJ, as shown by its quote from </w:t>
      </w:r>
      <w:r w:rsidRPr="005862A1">
        <w:rPr>
          <w:i/>
          <w:iCs/>
        </w:rPr>
        <w:t>Southern Pacific Transp. Co. v. United States</w:t>
      </w:r>
      <w:r w:rsidRPr="005862A1">
        <w:t>, 462 F.Supp. 1227, 1239 (E.D. Cal. 1978). (</w:t>
      </w:r>
      <w:r w:rsidRPr="005862A1">
        <w:rPr>
          <w:i/>
          <w:iCs/>
        </w:rPr>
        <w:t xml:space="preserve">See </w:t>
      </w:r>
      <w:r w:rsidRPr="005862A1">
        <w:t>May 26 Response at n. 10.)</w:t>
      </w:r>
    </w:p>
  </w:footnote>
  <w:footnote w:id="45">
    <w:p w14:paraId="21993D98" w14:textId="398105A9" w:rsidR="0036093C" w:rsidRDefault="0036093C">
      <w:pPr>
        <w:pStyle w:val="FootnoteText"/>
      </w:pPr>
      <w:r>
        <w:rPr>
          <w:rStyle w:val="FootnoteReference"/>
        </w:rPr>
        <w:footnoteRef/>
      </w:r>
      <w:r>
        <w:t xml:space="preserve"> </w:t>
      </w:r>
      <w:r w:rsidR="003E0773">
        <w:t xml:space="preserve">IPC </w:t>
      </w:r>
      <w:r w:rsidR="00F71F01">
        <w:t xml:space="preserve">May 26 </w:t>
      </w:r>
      <w:r w:rsidR="00DF025A">
        <w:t>R</w:t>
      </w:r>
      <w:r w:rsidR="00F71F01">
        <w:t>esponse at 5.</w:t>
      </w:r>
    </w:p>
  </w:footnote>
  <w:footnote w:id="46">
    <w:p w14:paraId="2F2C3690" w14:textId="77777777" w:rsidR="00C12F06" w:rsidRDefault="00C12F06" w:rsidP="00C12F06">
      <w:pPr>
        <w:pStyle w:val="FootnoteText"/>
      </w:pPr>
      <w:r>
        <w:rPr>
          <w:rStyle w:val="FootnoteReference"/>
        </w:rPr>
        <w:footnoteRef/>
      </w:r>
      <w:r>
        <w:t xml:space="preserve"> D.98-12-075, Appendix B, at 9-14.</w:t>
      </w:r>
    </w:p>
  </w:footnote>
  <w:footnote w:id="47">
    <w:p w14:paraId="2B2B1E37" w14:textId="2DCC1508" w:rsidR="00877AF5" w:rsidRDefault="00877AF5">
      <w:pPr>
        <w:pStyle w:val="FootnoteText"/>
      </w:pPr>
      <w:r>
        <w:rPr>
          <w:rStyle w:val="FootnoteReference"/>
        </w:rPr>
        <w:footnoteRef/>
      </w:r>
      <w:r>
        <w:t xml:space="preserve"> </w:t>
      </w:r>
      <w:r w:rsidR="005274CD">
        <w:t>D.98-12-075</w:t>
      </w:r>
      <w:r w:rsidR="001E54E0">
        <w:t>,</w:t>
      </w:r>
      <w:r w:rsidR="005274CD">
        <w:t xml:space="preserve"> Appendix B, at 9-14.</w:t>
      </w:r>
    </w:p>
  </w:footnote>
  <w:footnote w:id="48">
    <w:p w14:paraId="65343E52" w14:textId="0DC2E352" w:rsidR="0011591A" w:rsidRDefault="0011591A">
      <w:pPr>
        <w:pStyle w:val="FootnoteText"/>
      </w:pPr>
      <w:r>
        <w:rPr>
          <w:rStyle w:val="FootnoteReference"/>
        </w:rPr>
        <w:footnoteRef/>
      </w:r>
      <w:r>
        <w:t xml:space="preserve"> </w:t>
      </w:r>
      <w:r w:rsidR="00D53098">
        <w:t xml:space="preserve">IPC </w:t>
      </w:r>
      <w:r w:rsidR="002B239F">
        <w:t xml:space="preserve">May 26 </w:t>
      </w:r>
      <w:r w:rsidR="00DF025A">
        <w:t>R</w:t>
      </w:r>
      <w:r w:rsidR="002B239F">
        <w:t>esponse at 6.</w:t>
      </w:r>
    </w:p>
  </w:footnote>
  <w:footnote w:id="49">
    <w:p w14:paraId="5DAE1C84" w14:textId="7370AD4A" w:rsidR="003A5149" w:rsidRDefault="003A5149">
      <w:pPr>
        <w:pStyle w:val="FootnoteText"/>
      </w:pPr>
      <w:r>
        <w:rPr>
          <w:rStyle w:val="FootnoteReference"/>
        </w:rPr>
        <w:footnoteRef/>
      </w:r>
      <w:r>
        <w:t xml:space="preserve"> </w:t>
      </w:r>
      <w:r w:rsidR="0008209E">
        <w:t xml:space="preserve">IPC </w:t>
      </w:r>
      <w:r>
        <w:t xml:space="preserve">May 26 </w:t>
      </w:r>
      <w:r w:rsidR="00DF025A">
        <w:t>R</w:t>
      </w:r>
      <w:r>
        <w:t>esponse at 6.</w:t>
      </w:r>
    </w:p>
  </w:footnote>
  <w:footnote w:id="50">
    <w:p w14:paraId="3CB04A48" w14:textId="2CF6B827" w:rsidR="005F390A" w:rsidRDefault="005F390A">
      <w:pPr>
        <w:pStyle w:val="FootnoteText"/>
      </w:pPr>
      <w:r>
        <w:rPr>
          <w:rStyle w:val="FootnoteReference"/>
        </w:rPr>
        <w:footnoteRef/>
      </w:r>
      <w:r>
        <w:t xml:space="preserve"> </w:t>
      </w:r>
      <w:r w:rsidR="004A11F0">
        <w:t>IPC May 26 response at 6.</w:t>
      </w:r>
    </w:p>
  </w:footnote>
  <w:footnote w:id="51">
    <w:p w14:paraId="4475CABC" w14:textId="5AE5E0A4" w:rsidR="005979AC" w:rsidRDefault="005979AC">
      <w:pPr>
        <w:pStyle w:val="FootnoteText"/>
      </w:pPr>
      <w:r>
        <w:rPr>
          <w:rStyle w:val="FootnoteReference"/>
        </w:rPr>
        <w:footnoteRef/>
      </w:r>
      <w:r>
        <w:t xml:space="preserve"> D.98-12-075 at 39.</w:t>
      </w:r>
    </w:p>
  </w:footnote>
  <w:footnote w:id="52">
    <w:p w14:paraId="5F61A809" w14:textId="0CC395D0" w:rsidR="00D5081A" w:rsidRDefault="00D5081A">
      <w:pPr>
        <w:pStyle w:val="FootnoteText"/>
      </w:pPr>
      <w:r>
        <w:rPr>
          <w:rStyle w:val="FootnoteReference"/>
        </w:rPr>
        <w:footnoteRef/>
      </w:r>
      <w:r>
        <w:t xml:space="preserve"> </w:t>
      </w:r>
      <w:r w:rsidR="003338B4" w:rsidRPr="003338B4">
        <w:t xml:space="preserve">Commission Resolution T-17601 </w:t>
      </w:r>
      <w:r w:rsidR="00984620">
        <w:t xml:space="preserve">at Appendix A </w:t>
      </w:r>
      <w:r w:rsidR="003338B4" w:rsidRPr="003338B4">
        <w:t>(Approval of a Citation Program To Enforce Compliance by Telecommunication Carriers With The Commission’s Resolutions, Decisions, Orders, and The Public Utilities Code and Authorizes Staff to Issue Citations; Procedures for Appeal of Citations).</w:t>
      </w:r>
    </w:p>
  </w:footnote>
  <w:footnote w:id="53">
    <w:p w14:paraId="6551094B" w14:textId="0C9186DA" w:rsidR="000E5943" w:rsidRDefault="000E5943" w:rsidP="000E5943">
      <w:pPr>
        <w:pStyle w:val="FootnoteText"/>
      </w:pPr>
      <w:r>
        <w:rPr>
          <w:rStyle w:val="FootnoteReference"/>
        </w:rPr>
        <w:footnoteRef/>
      </w:r>
      <w:r>
        <w:t xml:space="preserve"> </w:t>
      </w:r>
      <w:r w:rsidR="006B5F5A">
        <w:t xml:space="preserve">IPC </w:t>
      </w:r>
      <w:r>
        <w:t xml:space="preserve">May 26 </w:t>
      </w:r>
      <w:r w:rsidR="00DF025A">
        <w:t>R</w:t>
      </w:r>
      <w:r>
        <w:t>esponse at 6, citing Resolution T-17601 at 3-4.</w:t>
      </w:r>
    </w:p>
  </w:footnote>
  <w:footnote w:id="54">
    <w:p w14:paraId="654F83D5" w14:textId="0D8ED8EE" w:rsidR="00187268" w:rsidRDefault="00187268">
      <w:pPr>
        <w:pStyle w:val="FootnoteText"/>
      </w:pPr>
      <w:r>
        <w:rPr>
          <w:rStyle w:val="FootnoteReference"/>
        </w:rPr>
        <w:footnoteRef/>
      </w:r>
      <w:r>
        <w:t xml:space="preserve"> </w:t>
      </w:r>
      <w:r w:rsidR="00D96503">
        <w:t>Resolution T-17601, Appendix A.</w:t>
      </w:r>
    </w:p>
  </w:footnote>
  <w:footnote w:id="55">
    <w:p w14:paraId="430F33DC" w14:textId="4C6EC9CB" w:rsidR="007B2778" w:rsidRDefault="007B2778">
      <w:pPr>
        <w:pStyle w:val="FootnoteText"/>
      </w:pPr>
      <w:r>
        <w:rPr>
          <w:rStyle w:val="FootnoteReference"/>
        </w:rPr>
        <w:footnoteRef/>
      </w:r>
      <w:r>
        <w:t xml:space="preserve"> D.25-10-011 at </w:t>
      </w:r>
      <w:r w:rsidR="006C5A06">
        <w:t>23-</w:t>
      </w:r>
      <w:r>
        <w:t>24.</w:t>
      </w:r>
    </w:p>
  </w:footnote>
  <w:footnote w:id="56">
    <w:p w14:paraId="713A401E" w14:textId="61596D86" w:rsidR="000B1FB5" w:rsidRDefault="000B1FB5">
      <w:pPr>
        <w:pStyle w:val="FootnoteText"/>
      </w:pPr>
      <w:r>
        <w:rPr>
          <w:rStyle w:val="FootnoteReference"/>
        </w:rPr>
        <w:footnoteRef/>
      </w:r>
      <w:r>
        <w:t xml:space="preserve"> D.</w:t>
      </w:r>
      <w:r w:rsidR="00302AF2">
        <w:t>25-10-011</w:t>
      </w:r>
      <w:r>
        <w:t xml:space="preserve"> at 37-38, Finding of Fact 12.</w:t>
      </w:r>
    </w:p>
  </w:footnote>
  <w:footnote w:id="57">
    <w:p w14:paraId="4A4F3663" w14:textId="6DF72111" w:rsidR="005C5E6B" w:rsidRDefault="005C5E6B">
      <w:pPr>
        <w:pStyle w:val="FootnoteText"/>
      </w:pPr>
      <w:r>
        <w:rPr>
          <w:rStyle w:val="FootnoteReference"/>
        </w:rPr>
        <w:footnoteRef/>
      </w:r>
      <w:r>
        <w:t xml:space="preserve"> D.25-10-011 at 41, Conclusion of Law 4.</w:t>
      </w:r>
    </w:p>
  </w:footnote>
  <w:footnote w:id="58">
    <w:p w14:paraId="41406684" w14:textId="589E9908" w:rsidR="00984620" w:rsidRDefault="00984620">
      <w:pPr>
        <w:pStyle w:val="FootnoteText"/>
      </w:pPr>
      <w:r>
        <w:rPr>
          <w:rStyle w:val="FootnoteReference"/>
        </w:rPr>
        <w:footnoteRef/>
      </w:r>
      <w:r>
        <w:t xml:space="preserve"> In Resolution T-17601 Appendix A, the Commission requires the penalty schedule to be $1,000 per month for each month that a carrier has been operating without authority. Here, the Commission can look at the totality of the circumstances to determine that the penalty is reasonable up to the date of the application, which we do.</w:t>
      </w:r>
    </w:p>
  </w:footnote>
  <w:footnote w:id="59">
    <w:p w14:paraId="009A9416" w14:textId="3CBC7586" w:rsidR="00A41551" w:rsidRDefault="00A41551">
      <w:pPr>
        <w:pStyle w:val="FootnoteText"/>
      </w:pPr>
      <w:r>
        <w:rPr>
          <w:rStyle w:val="FootnoteReference"/>
        </w:rPr>
        <w:footnoteRef/>
      </w:r>
      <w:r>
        <w:t xml:space="preserve"> </w:t>
      </w:r>
      <w:r w:rsidR="00582D98">
        <w:t>D.25-10-011 at 4-5.</w:t>
      </w:r>
    </w:p>
  </w:footnote>
  <w:footnote w:id="60">
    <w:p w14:paraId="304FDF67" w14:textId="7F3A2BAE" w:rsidR="00B66944" w:rsidRDefault="00B66944" w:rsidP="00B66944">
      <w:pPr>
        <w:pStyle w:val="FootnoteText"/>
      </w:pPr>
      <w:r>
        <w:rPr>
          <w:rStyle w:val="FootnoteReference"/>
        </w:rPr>
        <w:footnoteRef/>
      </w:r>
      <w:r>
        <w:t xml:space="preserve"> D.25-10-011 at 22.</w:t>
      </w:r>
    </w:p>
  </w:footnote>
  <w:footnote w:id="61">
    <w:p w14:paraId="6A2FD76E" w14:textId="5CF0B81B" w:rsidR="00402004" w:rsidRPr="006473C6" w:rsidRDefault="00402004">
      <w:pPr>
        <w:pStyle w:val="FootnoteText"/>
        <w:rPr>
          <w:lang w:val="en-ZW"/>
        </w:rPr>
      </w:pPr>
      <w:r>
        <w:rPr>
          <w:rStyle w:val="FootnoteReference"/>
        </w:rPr>
        <w:footnoteRef/>
      </w:r>
      <w:r>
        <w:t xml:space="preserve"> </w:t>
      </w:r>
      <w:r w:rsidR="00645A2F">
        <w:rPr>
          <w:lang w:val="en-ZW"/>
        </w:rPr>
        <w:t>The California Pub. Util. Code uses the term “telephone corporation.” Its counterpart in federal law is a “telecommunications carrier</w:t>
      </w:r>
      <w:r w:rsidR="00F57C64">
        <w:rPr>
          <w:lang w:val="en-ZW"/>
        </w:rPr>
        <w:t>.”</w:t>
      </w:r>
    </w:p>
  </w:footnote>
  <w:footnote w:id="62">
    <w:p w14:paraId="0FEA2C09" w14:textId="77777777" w:rsidR="00FD5971" w:rsidRPr="00297C20" w:rsidRDefault="00FD5971" w:rsidP="00FD5971">
      <w:pPr>
        <w:pStyle w:val="FootnoteText"/>
        <w:rPr>
          <w:lang w:val="en-ZW"/>
        </w:rPr>
      </w:pPr>
      <w:r w:rsidRPr="00297C20">
        <w:rPr>
          <w:rStyle w:val="FootnoteReference"/>
          <w:szCs w:val="22"/>
        </w:rPr>
        <w:footnoteRef/>
      </w:r>
      <w:r w:rsidRPr="00297C20">
        <w:rPr>
          <w:rFonts w:eastAsia="Book Antiqua" w:cs="Book Antiqua"/>
          <w:szCs w:val="22"/>
        </w:rPr>
        <w:t xml:space="preserve"> </w:t>
      </w:r>
      <w:r w:rsidRPr="00297C20">
        <w:rPr>
          <w:rFonts w:eastAsia="Book Antiqua" w:cs="Book Antiqua"/>
          <w:szCs w:val="22"/>
          <w:lang w:val="en-ZW"/>
        </w:rPr>
        <w:t>D.24-11-003 at 48-54; General Order (G.O.) 66-D.</w:t>
      </w:r>
    </w:p>
  </w:footnote>
  <w:footnote w:id="63">
    <w:p w14:paraId="3EBD0802" w14:textId="464FE7D7" w:rsidR="00AB41B8" w:rsidRDefault="00AB41B8">
      <w:pPr>
        <w:pStyle w:val="FootnoteText"/>
      </w:pPr>
      <w:r>
        <w:rPr>
          <w:rStyle w:val="FootnoteReference"/>
        </w:rPr>
        <w:footnoteRef/>
      </w:r>
      <w:r>
        <w:t xml:space="preserve"> Response of IPC Systems, Inc. to Administrative Law Judge Ruling Dated September 8, 2026, at 2.</w:t>
      </w:r>
    </w:p>
  </w:footnote>
  <w:footnote w:id="64">
    <w:p w14:paraId="25A81350" w14:textId="77777777" w:rsidR="001912E8" w:rsidRPr="00CB2B79" w:rsidRDefault="001912E8" w:rsidP="001912E8">
      <w:pPr>
        <w:pStyle w:val="FootnoteText"/>
        <w:rPr>
          <w:szCs w:val="22"/>
        </w:rPr>
      </w:pPr>
      <w:r w:rsidRPr="00CB2B79">
        <w:rPr>
          <w:rStyle w:val="FootnoteReference"/>
          <w:szCs w:val="22"/>
        </w:rPr>
        <w:footnoteRef/>
      </w:r>
      <w:r w:rsidRPr="00CB2B79">
        <w:rPr>
          <w:szCs w:val="22"/>
        </w:rPr>
        <w:t xml:space="preserve"> An Annual Operations and Financial Information Report form (in PDF format) has been developed to help facilitate the submission of this reporting obligation and available from the CPUC website: </w:t>
      </w:r>
      <w:hyperlink r:id="rId1" w:history="1">
        <w:r w:rsidRPr="00CB2B79">
          <w:rPr>
            <w:rStyle w:val="Hyperlink"/>
            <w:szCs w:val="22"/>
          </w:rPr>
          <w:t>https://www.cpuc.ca.gov/-/media/cpuc-website/divisions/communications-division/documents/licensing-compliance/annual-reporting-requirements/aropfi.pdf</w:t>
        </w:r>
      </w:hyperlink>
      <w:r>
        <w:rPr>
          <w:szCs w:val="22"/>
        </w:rPr>
        <w:t>.</w:t>
      </w:r>
    </w:p>
  </w:footnote>
  <w:footnote w:id="65">
    <w:p w14:paraId="3BF9A6D3" w14:textId="77777777" w:rsidR="001912E8" w:rsidRPr="00CB2B79" w:rsidRDefault="001912E8" w:rsidP="001912E8">
      <w:pPr>
        <w:pStyle w:val="FootnoteText"/>
        <w:rPr>
          <w:szCs w:val="22"/>
        </w:rPr>
      </w:pPr>
      <w:r w:rsidRPr="00CB2B79">
        <w:rPr>
          <w:rStyle w:val="FootnoteReference"/>
          <w:szCs w:val="22"/>
        </w:rPr>
        <w:footnoteRef/>
      </w:r>
      <w:r w:rsidRPr="00CB2B79">
        <w:rPr>
          <w:szCs w:val="22"/>
        </w:rPr>
        <w:t xml:space="preserve"> An Annual Affiliate Report form (in PDF format) has been developed to help facilitate the submission of this reporting obligation and available from the Commission’s website: </w:t>
      </w:r>
      <w:hyperlink r:id="rId2" w:history="1">
        <w:r w:rsidRPr="00CB2B79">
          <w:rPr>
            <w:rStyle w:val="Hyperlink"/>
            <w:szCs w:val="22"/>
          </w:rPr>
          <w:t>https://www.cpuc.ca.gov/-/media/cpuc-website/divisions/communications-division/documents/licensing-compliance/annual-reporting-requirements/annual-affiliate-transaction-report-form_.pdf</w:t>
        </w:r>
      </w:hyperlink>
      <w:r w:rsidRPr="00CB2B79">
        <w:rPr>
          <w:szCs w:val="22"/>
        </w:rPr>
        <w:t xml:space="preserve">.   </w:t>
      </w:r>
    </w:p>
    <w:p w14:paraId="7381C06B" w14:textId="77777777" w:rsidR="001912E8" w:rsidRPr="00CB2B79" w:rsidRDefault="001912E8" w:rsidP="001912E8">
      <w:pPr>
        <w:pStyle w:val="FootnoteText"/>
        <w:rPr>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5556" w14:textId="77777777" w:rsidR="00183B3C" w:rsidRDefault="00183B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D31D" w14:textId="77777777" w:rsidR="00F92385" w:rsidRDefault="00F92385" w:rsidP="007E0FEE">
    <w:pPr>
      <w:pStyle w:val="Header"/>
      <w:tabs>
        <w:tab w:val="clear" w:pos="4680"/>
      </w:tabs>
      <w:ind w:firstLine="0"/>
      <w:jc w:val="center"/>
      <w:rPr>
        <w:b/>
      </w:rPr>
    </w:pPr>
    <w:r w:rsidRPr="00F92385">
      <w:rPr>
        <w:i/>
        <w:color w:val="FF0000"/>
        <w:sz w:val="20"/>
        <w:szCs w:val="20"/>
      </w:rPr>
      <w:t xml:space="preserve">Internal Review Draft; Subject to </w:t>
    </w:r>
    <w:r w:rsidRPr="00F92385">
      <w:rPr>
        <w:b/>
        <w:i/>
        <w:color w:val="FF0000"/>
        <w:sz w:val="20"/>
        <w:szCs w:val="20"/>
      </w:rPr>
      <w:t>ALJ Division Review</w:t>
    </w:r>
    <w:r w:rsidRPr="00F92385">
      <w:rPr>
        <w:i/>
        <w:color w:val="FF0000"/>
        <w:sz w:val="20"/>
        <w:szCs w:val="20"/>
      </w:rPr>
      <w:t xml:space="preserve"> /</w:t>
    </w:r>
    <w:r w:rsidRPr="00585390">
      <w:rPr>
        <w:color w:val="FF0000"/>
        <w:sz w:val="20"/>
        <w:szCs w:val="20"/>
      </w:rPr>
      <w:t xml:space="preserve"> </w:t>
    </w:r>
    <w:r w:rsidRPr="00F92385">
      <w:rPr>
        <w:b/>
        <w:color w:val="FF0000"/>
        <w:sz w:val="20"/>
        <w:szCs w:val="20"/>
      </w:rPr>
      <w:t>CONFIDENTIA</w:t>
    </w:r>
    <w:r w:rsidRPr="008F0116">
      <w:rPr>
        <w:b/>
        <w:color w:val="FF0000"/>
        <w:sz w:val="20"/>
        <w:szCs w:val="20"/>
      </w:rPr>
      <w:t>L;</w:t>
    </w:r>
    <w:r w:rsidRPr="008F0116">
      <w:rPr>
        <w:color w:val="FF0000"/>
        <w:sz w:val="20"/>
        <w:szCs w:val="20"/>
      </w:rPr>
      <w:t xml:space="preserve"> </w:t>
    </w:r>
    <w:r w:rsidRPr="008F0116">
      <w:rPr>
        <w:i/>
        <w:color w:val="FF0000"/>
        <w:sz w:val="20"/>
        <w:szCs w:val="20"/>
      </w:rPr>
      <w:t>Deliberative Process Privilege</w:t>
    </w:r>
    <w:r w:rsidRPr="008F0116">
      <w:br/>
    </w:r>
    <w:r>
      <w:t>X.XX-XX-XXX  ^^^/^^^/^^^</w:t>
    </w:r>
    <w:r w:rsidR="007E0FEE">
      <w:tab/>
    </w:r>
    <w:r>
      <w:rPr>
        <w:b/>
      </w:rPr>
      <w:t>PROPOSED DECISION</w:t>
    </w:r>
  </w:p>
  <w:p w14:paraId="5247E776" w14:textId="77777777" w:rsidR="00F92385" w:rsidRPr="00585390" w:rsidRDefault="00F92385" w:rsidP="00F92385">
    <w:pPr>
      <w:pStyle w:val="Header"/>
      <w:ind w:firstLine="0"/>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BD54B" w14:textId="5E826830" w:rsidR="00F92385" w:rsidRPr="00BA734D" w:rsidRDefault="00F92385" w:rsidP="00F92385">
    <w:pPr>
      <w:pStyle w:val="Header"/>
      <w:ind w:firstLine="0"/>
      <w:rPr>
        <w: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4269" w14:textId="017D3CB2" w:rsidR="00E23CBB" w:rsidRDefault="008379C7" w:rsidP="00EE4315">
    <w:pPr>
      <w:pStyle w:val="Header"/>
      <w:tabs>
        <w:tab w:val="clear" w:pos="4680"/>
      </w:tabs>
      <w:ind w:firstLine="0"/>
      <w:rPr>
        <w:b/>
      </w:rPr>
    </w:pPr>
    <w:r w:rsidRPr="008379C7">
      <w:t>A</w:t>
    </w:r>
    <w:r>
      <w:t>.</w:t>
    </w:r>
    <w:r w:rsidRPr="008379C7">
      <w:t>25-09-002</w:t>
    </w:r>
    <w:r>
      <w:t xml:space="preserve">  ALJ</w:t>
    </w:r>
    <w:r w:rsidR="00E23CBB">
      <w:t>/</w:t>
    </w:r>
    <w:r>
      <w:t>DJG</w:t>
    </w:r>
    <w:r w:rsidR="00E23CBB">
      <w:t>/</w:t>
    </w:r>
    <w:r w:rsidR="00EA7BBD">
      <w:t>hma</w:t>
    </w:r>
    <w:r w:rsidR="00E23CBB">
      <w:tab/>
    </w:r>
  </w:p>
  <w:p w14:paraId="51F30593" w14:textId="7E83E99C" w:rsidR="00B3087D" w:rsidRPr="00BA734D" w:rsidRDefault="00B3087D" w:rsidP="00B3087D">
    <w:pPr>
      <w:pStyle w:val="Header"/>
      <w:tabs>
        <w:tab w:val="clear" w:pos="4680"/>
      </w:tabs>
      <w:ind w:firstLine="0"/>
      <w:rPr>
        <w:i/>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D940D" w14:textId="639890FA" w:rsidR="00C34F5E" w:rsidRDefault="00C34F5E" w:rsidP="00C34F5E">
    <w:pPr>
      <w:pStyle w:val="Header"/>
      <w:tabs>
        <w:tab w:val="clear" w:pos="4680"/>
      </w:tabs>
      <w:ind w:firstLine="0"/>
      <w:rPr>
        <w:b/>
      </w:rPr>
    </w:pPr>
    <w:r w:rsidRPr="008379C7">
      <w:t>A</w:t>
    </w:r>
    <w:r>
      <w:t>.</w:t>
    </w:r>
    <w:r w:rsidRPr="008379C7">
      <w:t>25-09-002</w:t>
    </w:r>
    <w:r>
      <w:t xml:space="preserve">  ALJ/DJG/</w:t>
    </w:r>
    <w:r w:rsidR="00943F92">
      <w:t>hma</w:t>
    </w:r>
    <w:r>
      <w:tab/>
    </w:r>
  </w:p>
  <w:p w14:paraId="19EB7F23" w14:textId="77777777" w:rsidR="005C34EB" w:rsidRPr="00C34F5E" w:rsidRDefault="005C34EB" w:rsidP="00372583">
    <w:pPr>
      <w:pStyle w:val="Header"/>
      <w:ind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9F27F" w14:textId="3C8E36DB" w:rsidR="00866B9C" w:rsidRDefault="00C34F5E" w:rsidP="00126269">
    <w:pPr>
      <w:pStyle w:val="Header"/>
      <w:tabs>
        <w:tab w:val="clear" w:pos="4680"/>
      </w:tabs>
      <w:ind w:firstLine="0"/>
    </w:pPr>
    <w:r w:rsidRPr="008379C7">
      <w:t>A</w:t>
    </w:r>
    <w:r>
      <w:t>.</w:t>
    </w:r>
    <w:r w:rsidRPr="008379C7">
      <w:t>25-09-002</w:t>
    </w:r>
    <w:r>
      <w:t xml:space="preserve">  ALJ/DJG/</w:t>
    </w:r>
    <w:r w:rsidR="00EA7BBD">
      <w:t>hma</w:t>
    </w:r>
    <w:r>
      <w:tab/>
    </w:r>
  </w:p>
  <w:p w14:paraId="346D2A8A" w14:textId="77777777" w:rsidR="00866B9C" w:rsidRPr="00C34F5E" w:rsidRDefault="00866B9C" w:rsidP="00866B9C">
    <w:pPr>
      <w:pStyle w:val="Heade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49FF" w14:textId="473767F1" w:rsidR="001E602B" w:rsidRDefault="001E602B" w:rsidP="001E602B">
    <w:pPr>
      <w:pStyle w:val="Header"/>
      <w:tabs>
        <w:tab w:val="clear" w:pos="4680"/>
      </w:tabs>
      <w:ind w:firstLine="0"/>
      <w:rPr>
        <w:b/>
      </w:rPr>
    </w:pPr>
    <w:r w:rsidRPr="008379C7">
      <w:t>A</w:t>
    </w:r>
    <w:r>
      <w:t>.</w:t>
    </w:r>
    <w:r w:rsidRPr="008379C7">
      <w:t>25-09-002</w:t>
    </w:r>
    <w:r>
      <w:t xml:space="preserve">  ALJ/DJG/</w:t>
    </w:r>
    <w:r w:rsidR="00126269">
      <w:t>hma</w:t>
    </w:r>
    <w:r>
      <w:tab/>
    </w:r>
  </w:p>
  <w:p w14:paraId="3BA68345" w14:textId="77777777" w:rsidR="001E602B" w:rsidRDefault="001E602B" w:rsidP="001E602B">
    <w:pPr>
      <w:pStyle w:val="Header"/>
      <w:ind w:firstLine="0"/>
    </w:pPr>
  </w:p>
  <w:p w14:paraId="10A5B444" w14:textId="56EBC131" w:rsidR="00FE2351" w:rsidRPr="001E602B" w:rsidRDefault="00FE2351" w:rsidP="001E602B">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2B7EDA"/>
    <w:multiLevelType w:val="hybridMultilevel"/>
    <w:tmpl w:val="AFC48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574DF"/>
    <w:multiLevelType w:val="hybridMultilevel"/>
    <w:tmpl w:val="B9BCCF24"/>
    <w:lvl w:ilvl="0" w:tplc="1FD0BBAA">
      <w:start w:val="1"/>
      <w:numFmt w:val="lowerLetter"/>
      <w:lvlText w:val="%1."/>
      <w:lvlJc w:val="left"/>
      <w:pPr>
        <w:ind w:left="1020" w:hanging="360"/>
      </w:pPr>
    </w:lvl>
    <w:lvl w:ilvl="1" w:tplc="023C04B2">
      <w:start w:val="1"/>
      <w:numFmt w:val="lowerLetter"/>
      <w:lvlText w:val="%2."/>
      <w:lvlJc w:val="left"/>
      <w:pPr>
        <w:ind w:left="1020" w:hanging="360"/>
      </w:pPr>
    </w:lvl>
    <w:lvl w:ilvl="2" w:tplc="6EE6D2E0">
      <w:start w:val="1"/>
      <w:numFmt w:val="lowerLetter"/>
      <w:lvlText w:val="%3."/>
      <w:lvlJc w:val="left"/>
      <w:pPr>
        <w:ind w:left="1020" w:hanging="360"/>
      </w:pPr>
    </w:lvl>
    <w:lvl w:ilvl="3" w:tplc="8DD4770E">
      <w:start w:val="1"/>
      <w:numFmt w:val="lowerLetter"/>
      <w:lvlText w:val="%4."/>
      <w:lvlJc w:val="left"/>
      <w:pPr>
        <w:ind w:left="1020" w:hanging="360"/>
      </w:pPr>
    </w:lvl>
    <w:lvl w:ilvl="4" w:tplc="BF162F82">
      <w:start w:val="1"/>
      <w:numFmt w:val="lowerLetter"/>
      <w:lvlText w:val="%5."/>
      <w:lvlJc w:val="left"/>
      <w:pPr>
        <w:ind w:left="1020" w:hanging="360"/>
      </w:pPr>
    </w:lvl>
    <w:lvl w:ilvl="5" w:tplc="D58C17D6">
      <w:start w:val="1"/>
      <w:numFmt w:val="lowerLetter"/>
      <w:lvlText w:val="%6."/>
      <w:lvlJc w:val="left"/>
      <w:pPr>
        <w:ind w:left="1020" w:hanging="360"/>
      </w:pPr>
    </w:lvl>
    <w:lvl w:ilvl="6" w:tplc="B69AAC22">
      <w:start w:val="1"/>
      <w:numFmt w:val="lowerLetter"/>
      <w:lvlText w:val="%7."/>
      <w:lvlJc w:val="left"/>
      <w:pPr>
        <w:ind w:left="1020" w:hanging="360"/>
      </w:pPr>
    </w:lvl>
    <w:lvl w:ilvl="7" w:tplc="40848D48">
      <w:start w:val="1"/>
      <w:numFmt w:val="lowerLetter"/>
      <w:lvlText w:val="%8."/>
      <w:lvlJc w:val="left"/>
      <w:pPr>
        <w:ind w:left="1020" w:hanging="360"/>
      </w:pPr>
    </w:lvl>
    <w:lvl w:ilvl="8" w:tplc="79A642B4">
      <w:start w:val="1"/>
      <w:numFmt w:val="lowerLetter"/>
      <w:lvlText w:val="%9."/>
      <w:lvlJc w:val="left"/>
      <w:pPr>
        <w:ind w:left="1020" w:hanging="360"/>
      </w:pPr>
    </w:lvl>
  </w:abstractNum>
  <w:abstractNum w:abstractNumId="3" w15:restartNumberingAfterBreak="0">
    <w:nsid w:val="125D3837"/>
    <w:multiLevelType w:val="multilevel"/>
    <w:tmpl w:val="E46EE110"/>
    <w:lvl w:ilvl="0">
      <w:start w:val="1"/>
      <w:numFmt w:val="decimal"/>
      <w:suff w:val="space"/>
      <w:lvlText w:val="%1."/>
      <w:lvlJc w:val="left"/>
      <w:pPr>
        <w:ind w:left="0" w:firstLine="0"/>
      </w:pPr>
      <w:rPr>
        <w:rFonts w:hint="default"/>
      </w:rPr>
    </w:lvl>
    <w:lvl w:ilvl="1">
      <w:start w:val="1"/>
      <w:numFmt w:val="lowerLetter"/>
      <w:suff w:val="space"/>
      <w:lvlText w:val="%2."/>
      <w:lvlJc w:val="left"/>
      <w:pPr>
        <w:ind w:left="720" w:firstLine="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5" w15:restartNumberingAfterBreak="0">
    <w:nsid w:val="15F056CB"/>
    <w:multiLevelType w:val="multilevel"/>
    <w:tmpl w:val="18F4A5AC"/>
    <w:numStyleLink w:val="FoFCoLOP"/>
  </w:abstractNum>
  <w:abstractNum w:abstractNumId="6" w15:restartNumberingAfterBreak="0">
    <w:nsid w:val="1E7A5D83"/>
    <w:multiLevelType w:val="hybridMultilevel"/>
    <w:tmpl w:val="056C7088"/>
    <w:lvl w:ilvl="0" w:tplc="562669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71624E"/>
    <w:multiLevelType w:val="hybridMultilevel"/>
    <w:tmpl w:val="2CD0A6E8"/>
    <w:lvl w:ilvl="0" w:tplc="AE06A838">
      <w:start w:val="1"/>
      <w:numFmt w:val="lowerLetter"/>
      <w:lvlText w:val="%1."/>
      <w:lvlJc w:val="left"/>
      <w:pPr>
        <w:ind w:left="1020" w:hanging="360"/>
      </w:pPr>
    </w:lvl>
    <w:lvl w:ilvl="1" w:tplc="F740FBEC">
      <w:start w:val="1"/>
      <w:numFmt w:val="lowerLetter"/>
      <w:lvlText w:val="%2."/>
      <w:lvlJc w:val="left"/>
      <w:pPr>
        <w:ind w:left="1020" w:hanging="360"/>
      </w:pPr>
    </w:lvl>
    <w:lvl w:ilvl="2" w:tplc="45EE191A">
      <w:start w:val="1"/>
      <w:numFmt w:val="lowerLetter"/>
      <w:lvlText w:val="%3."/>
      <w:lvlJc w:val="left"/>
      <w:pPr>
        <w:ind w:left="1020" w:hanging="360"/>
      </w:pPr>
    </w:lvl>
    <w:lvl w:ilvl="3" w:tplc="589CD798">
      <w:start w:val="1"/>
      <w:numFmt w:val="lowerLetter"/>
      <w:lvlText w:val="%4."/>
      <w:lvlJc w:val="left"/>
      <w:pPr>
        <w:ind w:left="1020" w:hanging="360"/>
      </w:pPr>
    </w:lvl>
    <w:lvl w:ilvl="4" w:tplc="740C639A">
      <w:start w:val="1"/>
      <w:numFmt w:val="lowerLetter"/>
      <w:lvlText w:val="%5."/>
      <w:lvlJc w:val="left"/>
      <w:pPr>
        <w:ind w:left="1020" w:hanging="360"/>
      </w:pPr>
    </w:lvl>
    <w:lvl w:ilvl="5" w:tplc="9D369BC6">
      <w:start w:val="1"/>
      <w:numFmt w:val="lowerLetter"/>
      <w:lvlText w:val="%6."/>
      <w:lvlJc w:val="left"/>
      <w:pPr>
        <w:ind w:left="1020" w:hanging="360"/>
      </w:pPr>
    </w:lvl>
    <w:lvl w:ilvl="6" w:tplc="86C4ABC0">
      <w:start w:val="1"/>
      <w:numFmt w:val="lowerLetter"/>
      <w:lvlText w:val="%7."/>
      <w:lvlJc w:val="left"/>
      <w:pPr>
        <w:ind w:left="1020" w:hanging="360"/>
      </w:pPr>
    </w:lvl>
    <w:lvl w:ilvl="7" w:tplc="92F649EC">
      <w:start w:val="1"/>
      <w:numFmt w:val="lowerLetter"/>
      <w:lvlText w:val="%8."/>
      <w:lvlJc w:val="left"/>
      <w:pPr>
        <w:ind w:left="1020" w:hanging="360"/>
      </w:pPr>
    </w:lvl>
    <w:lvl w:ilvl="8" w:tplc="7B7A6576">
      <w:start w:val="1"/>
      <w:numFmt w:val="lowerLetter"/>
      <w:lvlText w:val="%9."/>
      <w:lvlJc w:val="left"/>
      <w:pPr>
        <w:ind w:left="1020" w:hanging="360"/>
      </w:pPr>
    </w:lvl>
  </w:abstractNum>
  <w:abstractNum w:abstractNumId="8" w15:restartNumberingAfterBreak="0">
    <w:nsid w:val="257B1B8B"/>
    <w:multiLevelType w:val="hybridMultilevel"/>
    <w:tmpl w:val="D4C66D20"/>
    <w:lvl w:ilvl="0" w:tplc="D1EE0D9E">
      <w:start w:val="1"/>
      <w:numFmt w:val="decimal"/>
      <w:lvlText w:val="%1."/>
      <w:lvlJc w:val="left"/>
      <w:pPr>
        <w:ind w:left="720" w:hanging="360"/>
      </w:pPr>
      <w:rPr>
        <w:rFonts w:ascii="Garamond" w:eastAsiaTheme="minorHAnsi" w:hAnsi="Garamond"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2803F7"/>
    <w:multiLevelType w:val="hybridMultilevel"/>
    <w:tmpl w:val="B562F3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94618A8"/>
    <w:multiLevelType w:val="hybridMultilevel"/>
    <w:tmpl w:val="28DA9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2" w15:restartNumberingAfterBreak="0">
    <w:nsid w:val="3F950910"/>
    <w:multiLevelType w:val="hybridMultilevel"/>
    <w:tmpl w:val="8D36C752"/>
    <w:lvl w:ilvl="0" w:tplc="0409000F">
      <w:start w:val="1"/>
      <w:numFmt w:val="decimal"/>
      <w:lvlText w:val="%1."/>
      <w:lvlJc w:val="left"/>
      <w:pPr>
        <w:ind w:left="720" w:hanging="360"/>
      </w:pPr>
      <w:rPr>
        <w:rFonts w:hint="default"/>
      </w:rPr>
    </w:lvl>
    <w:lvl w:ilvl="1" w:tplc="267486AC">
      <w:start w:val="1"/>
      <w:numFmt w:val="lowerLetter"/>
      <w:lvlText w:val="(%2)"/>
      <w:lvlJc w:val="left"/>
      <w:pPr>
        <w:ind w:left="1455" w:hanging="37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417AC2"/>
    <w:multiLevelType w:val="hybridMultilevel"/>
    <w:tmpl w:val="9E128360"/>
    <w:lvl w:ilvl="0" w:tplc="85B03F9C">
      <w:start w:val="1"/>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35FE6"/>
    <w:multiLevelType w:val="hybridMultilevel"/>
    <w:tmpl w:val="8DDEFB9C"/>
    <w:lvl w:ilvl="0" w:tplc="FFFFFFFF">
      <w:start w:val="10"/>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AB83F26"/>
    <w:multiLevelType w:val="hybridMultilevel"/>
    <w:tmpl w:val="38FA2ECC"/>
    <w:lvl w:ilvl="0" w:tplc="86AE2958">
      <w:start w:val="1"/>
      <w:numFmt w:val="bullet"/>
      <w:pStyle w:val="bullets"/>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D5D2246"/>
    <w:multiLevelType w:val="singleLevel"/>
    <w:tmpl w:val="7C2ACC44"/>
    <w:lvl w:ilvl="0">
      <w:start w:val="1"/>
      <w:numFmt w:val="decimal"/>
      <w:pStyle w:val="Style1"/>
      <w:lvlText w:val="%1."/>
      <w:lvlJc w:val="left"/>
      <w:pPr>
        <w:tabs>
          <w:tab w:val="num" w:pos="72"/>
        </w:tabs>
        <w:ind w:left="288" w:hanging="288"/>
      </w:pPr>
      <w:rPr>
        <w:rFonts w:hint="default"/>
      </w:rPr>
    </w:lvl>
  </w:abstractNum>
  <w:abstractNum w:abstractNumId="17" w15:restartNumberingAfterBreak="0">
    <w:nsid w:val="50422EF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9D042D7"/>
    <w:multiLevelType w:val="multilevel"/>
    <w:tmpl w:val="18F4A5AC"/>
    <w:numStyleLink w:val="FoFCoLOP"/>
  </w:abstractNum>
  <w:abstractNum w:abstractNumId="19" w15:restartNumberingAfterBreak="0">
    <w:nsid w:val="5E3440EA"/>
    <w:multiLevelType w:val="hybridMultilevel"/>
    <w:tmpl w:val="D6BA1E1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1A25780"/>
    <w:multiLevelType w:val="multilevel"/>
    <w:tmpl w:val="3C526EDE"/>
    <w:numStyleLink w:val="Headings"/>
  </w:abstractNum>
  <w:abstractNum w:abstractNumId="21" w15:restartNumberingAfterBreak="0">
    <w:nsid w:val="63255E66"/>
    <w:multiLevelType w:val="multilevel"/>
    <w:tmpl w:val="D466EA0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4093EA4"/>
    <w:multiLevelType w:val="singleLevel"/>
    <w:tmpl w:val="E250AA46"/>
    <w:lvl w:ilvl="0">
      <w:start w:val="1"/>
      <w:numFmt w:val="decimal"/>
      <w:lvlText w:val="%1."/>
      <w:legacy w:legacy="1" w:legacySpace="0" w:legacyIndent="0"/>
      <w:lvlJc w:val="left"/>
    </w:lvl>
  </w:abstractNum>
  <w:abstractNum w:abstractNumId="23" w15:restartNumberingAfterBreak="0">
    <w:nsid w:val="789A0AFE"/>
    <w:multiLevelType w:val="multilevel"/>
    <w:tmpl w:val="18F4A5AC"/>
    <w:numStyleLink w:val="FoFCoLOP"/>
  </w:abstractNum>
  <w:abstractNum w:abstractNumId="24" w15:restartNumberingAfterBreak="0">
    <w:nsid w:val="78BE7108"/>
    <w:multiLevelType w:val="singleLevel"/>
    <w:tmpl w:val="BCB63E94"/>
    <w:lvl w:ilvl="0">
      <w:start w:val="1"/>
      <w:numFmt w:val="decimal"/>
      <w:lvlText w:val="%1."/>
      <w:lvlJc w:val="left"/>
      <w:pPr>
        <w:ind w:left="3780" w:hanging="360"/>
      </w:pPr>
      <w:rPr>
        <w:b w:val="0"/>
      </w:rPr>
    </w:lvl>
  </w:abstractNum>
  <w:num w:numId="1" w16cid:durableId="140774137">
    <w:abstractNumId w:val="4"/>
  </w:num>
  <w:num w:numId="2" w16cid:durableId="1898543446">
    <w:abstractNumId w:val="18"/>
    <w:lvlOverride w:ilvl="0">
      <w:lvl w:ilvl="0">
        <w:start w:val="1"/>
        <w:numFmt w:val="decimal"/>
        <w:pStyle w:val="FoF"/>
        <w:lvlText w:val="%1."/>
        <w:lvlJc w:val="right"/>
        <w:pPr>
          <w:ind w:left="0" w:firstLine="540"/>
        </w:pPr>
        <w:rPr>
          <w:rFonts w:hint="default"/>
        </w:rPr>
      </w:lvl>
    </w:lvlOverride>
  </w:num>
  <w:num w:numId="3" w16cid:durableId="701521005">
    <w:abstractNumId w:val="5"/>
    <w:lvlOverride w:ilvl="0">
      <w:lvl w:ilvl="0">
        <w:start w:val="1"/>
        <w:numFmt w:val="decimal"/>
        <w:pStyle w:val="CoL"/>
        <w:lvlText w:val="%1."/>
        <w:lvlJc w:val="right"/>
        <w:pPr>
          <w:ind w:left="0" w:firstLine="540"/>
        </w:pPr>
        <w:rPr>
          <w:rFonts w:hint="default"/>
        </w:rPr>
      </w:lvl>
    </w:lvlOverride>
    <w:lvlOverride w:ilvl="1">
      <w:lvl w:ilvl="1">
        <w:start w:val="1"/>
        <w:numFmt w:val="lowerLetter"/>
        <w:lvlText w:val="(%2)"/>
        <w:lvlJc w:val="right"/>
        <w:pPr>
          <w:ind w:left="1152" w:hanging="72"/>
        </w:pPr>
        <w:rPr>
          <w:rFonts w:hint="default"/>
        </w:rPr>
      </w:lvl>
    </w:lvlOverride>
    <w:lvlOverride w:ilvl="2">
      <w:lvl w:ilvl="2">
        <w:start w:val="1"/>
        <w:numFmt w:val="none"/>
        <w:lvlText w:val=""/>
        <w:lvlJc w:val="left"/>
        <w:pPr>
          <w:ind w:left="720" w:firstLine="0"/>
        </w:pPr>
        <w:rPr>
          <w:rFonts w:hint="default"/>
        </w:rPr>
      </w:lvl>
    </w:lvlOverride>
    <w:lvlOverride w:ilvl="3">
      <w:lvl w:ilvl="3">
        <w:start w:val="1"/>
        <w:numFmt w:val="none"/>
        <w:lvlText w:val=""/>
        <w:lvlJc w:val="left"/>
        <w:pPr>
          <w:ind w:left="720" w:firstLine="0"/>
        </w:pPr>
        <w:rPr>
          <w:rFonts w:hint="default"/>
        </w:rPr>
      </w:lvl>
    </w:lvlOverride>
    <w:lvlOverride w:ilvl="4">
      <w:lvl w:ilvl="4">
        <w:start w:val="1"/>
        <w:numFmt w:val="none"/>
        <w:lvlText w:val=""/>
        <w:lvlJc w:val="left"/>
        <w:pPr>
          <w:ind w:left="720" w:firstLine="0"/>
        </w:pPr>
        <w:rPr>
          <w:rFonts w:hint="default"/>
        </w:rPr>
      </w:lvl>
    </w:lvlOverride>
    <w:lvlOverride w:ilvl="5">
      <w:lvl w:ilvl="5">
        <w:start w:val="1"/>
        <w:numFmt w:val="none"/>
        <w:lvlText w:val=""/>
        <w:lvlJc w:val="left"/>
        <w:pPr>
          <w:ind w:left="720" w:firstLine="0"/>
        </w:pPr>
        <w:rPr>
          <w:rFonts w:hint="default"/>
        </w:rPr>
      </w:lvl>
    </w:lvlOverride>
    <w:lvlOverride w:ilvl="6">
      <w:lvl w:ilvl="6">
        <w:start w:val="1"/>
        <w:numFmt w:val="none"/>
        <w:lvlText w:val=""/>
        <w:lvlJc w:val="left"/>
        <w:pPr>
          <w:ind w:left="720" w:firstLine="0"/>
        </w:pPr>
        <w:rPr>
          <w:rFonts w:hint="default"/>
        </w:rPr>
      </w:lvl>
    </w:lvlOverride>
    <w:lvlOverride w:ilvl="7">
      <w:lvl w:ilvl="7">
        <w:start w:val="1"/>
        <w:numFmt w:val="none"/>
        <w:lvlText w:val=""/>
        <w:lvlJc w:val="left"/>
        <w:pPr>
          <w:ind w:left="720" w:firstLine="0"/>
        </w:pPr>
        <w:rPr>
          <w:rFonts w:hint="default"/>
        </w:rPr>
      </w:lvl>
    </w:lvlOverride>
    <w:lvlOverride w:ilvl="8">
      <w:lvl w:ilvl="8">
        <w:start w:val="1"/>
        <w:numFmt w:val="none"/>
        <w:lvlText w:val=""/>
        <w:lvlJc w:val="left"/>
        <w:pPr>
          <w:ind w:left="720" w:firstLine="0"/>
        </w:pPr>
        <w:rPr>
          <w:rFonts w:hint="default"/>
        </w:rPr>
      </w:lvl>
    </w:lvlOverride>
  </w:num>
  <w:num w:numId="4" w16cid:durableId="2017029027">
    <w:abstractNumId w:val="23"/>
    <w:lvlOverride w:ilvl="0">
      <w:lvl w:ilvl="0">
        <w:start w:val="1"/>
        <w:numFmt w:val="decimal"/>
        <w:pStyle w:val="OP"/>
        <w:lvlText w:val="%1."/>
        <w:lvlJc w:val="right"/>
        <w:pPr>
          <w:ind w:left="0" w:firstLine="540"/>
        </w:pPr>
        <w:rPr>
          <w:rFonts w:hint="default"/>
          <w:b w:val="0"/>
          <w:bCs w:val="0"/>
          <w:i w:val="0"/>
          <w:iCs/>
          <w:color w:val="auto"/>
        </w:rPr>
      </w:lvl>
    </w:lvlOverride>
  </w:num>
  <w:num w:numId="5" w16cid:durableId="973756952">
    <w:abstractNumId w:val="11"/>
  </w:num>
  <w:num w:numId="6" w16cid:durableId="816924040">
    <w:abstractNumId w:val="0"/>
  </w:num>
  <w:num w:numId="7" w16cid:durableId="1714382259">
    <w:abstractNumId w:val="20"/>
    <w:lvlOverride w:ilvl="0">
      <w:lvl w:ilvl="0">
        <w:start w:val="1"/>
        <w:numFmt w:val="decimal"/>
        <w:pStyle w:val="Heading1"/>
        <w:lvlText w:val="%1."/>
        <w:lvlJc w:val="left"/>
        <w:pPr>
          <w:ind w:left="720" w:hanging="720"/>
        </w:pPr>
      </w:lvl>
    </w:lvlOverride>
  </w:num>
  <w:num w:numId="8" w16cid:durableId="1824194659">
    <w:abstractNumId w:val="22"/>
  </w:num>
  <w:num w:numId="9" w16cid:durableId="796725293">
    <w:abstractNumId w:val="15"/>
  </w:num>
  <w:num w:numId="10" w16cid:durableId="838159591">
    <w:abstractNumId w:val="16"/>
  </w:num>
  <w:num w:numId="11" w16cid:durableId="2089961079">
    <w:abstractNumId w:val="24"/>
  </w:num>
  <w:num w:numId="12" w16cid:durableId="957570045">
    <w:abstractNumId w:val="14"/>
  </w:num>
  <w:num w:numId="13" w16cid:durableId="2016029428">
    <w:abstractNumId w:val="3"/>
  </w:num>
  <w:num w:numId="14" w16cid:durableId="1861508342">
    <w:abstractNumId w:val="19"/>
  </w:num>
  <w:num w:numId="15" w16cid:durableId="509486651">
    <w:abstractNumId w:val="12"/>
  </w:num>
  <w:num w:numId="16" w16cid:durableId="1811748462">
    <w:abstractNumId w:val="6"/>
  </w:num>
  <w:num w:numId="17" w16cid:durableId="1954434698">
    <w:abstractNumId w:val="17"/>
  </w:num>
  <w:num w:numId="18" w16cid:durableId="1779450408">
    <w:abstractNumId w:val="7"/>
  </w:num>
  <w:num w:numId="19" w16cid:durableId="808546945">
    <w:abstractNumId w:val="2"/>
  </w:num>
  <w:num w:numId="20" w16cid:durableId="1595818443">
    <w:abstractNumId w:val="23"/>
  </w:num>
  <w:num w:numId="21" w16cid:durableId="118376044">
    <w:abstractNumId w:val="8"/>
  </w:num>
  <w:num w:numId="22" w16cid:durableId="155920097">
    <w:abstractNumId w:val="20"/>
    <w:lvlOverride w:ilvl="0">
      <w:lvl w:ilvl="0">
        <w:start w:val="1"/>
        <w:numFmt w:val="decimal"/>
        <w:pStyle w:val="Heading1"/>
        <w:lvlText w:val="%1."/>
        <w:lvlJc w:val="left"/>
        <w:pPr>
          <w:ind w:left="720" w:hanging="720"/>
        </w:pPr>
      </w:lvl>
    </w:lvlOverride>
  </w:num>
  <w:num w:numId="23" w16cid:durableId="1586188386">
    <w:abstractNumId w:val="20"/>
    <w:lvlOverride w:ilvl="0">
      <w:lvl w:ilvl="0">
        <w:start w:val="1"/>
        <w:numFmt w:val="decimal"/>
        <w:pStyle w:val="Heading1"/>
        <w:lvlText w:val="%1."/>
        <w:lvlJc w:val="left"/>
        <w:pPr>
          <w:ind w:left="720" w:hanging="720"/>
        </w:pPr>
      </w:lvl>
    </w:lvlOverride>
  </w:num>
  <w:num w:numId="24" w16cid:durableId="1699620153">
    <w:abstractNumId w:val="9"/>
  </w:num>
  <w:num w:numId="25" w16cid:durableId="460927817">
    <w:abstractNumId w:val="10"/>
  </w:num>
  <w:num w:numId="26" w16cid:durableId="2071877518">
    <w:abstractNumId w:val="20"/>
    <w:lvlOverride w:ilvl="0">
      <w:lvl w:ilvl="0">
        <w:start w:val="1"/>
        <w:numFmt w:val="decimal"/>
        <w:pStyle w:val="Heading1"/>
        <w:lvlText w:val="%1."/>
        <w:lvlJc w:val="left"/>
        <w:pPr>
          <w:ind w:left="720" w:hanging="720"/>
        </w:pPr>
      </w:lvl>
    </w:lvlOverride>
  </w:num>
  <w:num w:numId="27" w16cid:durableId="1212615275">
    <w:abstractNumId w:val="21"/>
  </w:num>
  <w:num w:numId="28" w16cid:durableId="2127964462">
    <w:abstractNumId w:val="1"/>
  </w:num>
  <w:num w:numId="29" w16cid:durableId="1494562637">
    <w:abstractNumId w:val="13"/>
  </w:num>
  <w:num w:numId="30" w16cid:durableId="1285117847">
    <w:abstractNumId w:val="20"/>
    <w:lvlOverride w:ilvl="0">
      <w:lvl w:ilvl="0">
        <w:start w:val="1"/>
        <w:numFmt w:val="decimal"/>
        <w:pStyle w:val="Heading1"/>
        <w:lvlText w:val="%1."/>
        <w:lvlJc w:val="left"/>
        <w:pPr>
          <w:ind w:left="720" w:hanging="720"/>
        </w:p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00B"/>
    <w:rsid w:val="00000792"/>
    <w:rsid w:val="00000F6A"/>
    <w:rsid w:val="000010AE"/>
    <w:rsid w:val="000012F5"/>
    <w:rsid w:val="000023D4"/>
    <w:rsid w:val="00002AD1"/>
    <w:rsid w:val="00003042"/>
    <w:rsid w:val="000042BC"/>
    <w:rsid w:val="00006262"/>
    <w:rsid w:val="00007A18"/>
    <w:rsid w:val="00010499"/>
    <w:rsid w:val="00014863"/>
    <w:rsid w:val="00015569"/>
    <w:rsid w:val="000159AE"/>
    <w:rsid w:val="000160CC"/>
    <w:rsid w:val="000166B8"/>
    <w:rsid w:val="00016CA5"/>
    <w:rsid w:val="000170E4"/>
    <w:rsid w:val="000178DE"/>
    <w:rsid w:val="000202ED"/>
    <w:rsid w:val="0002066B"/>
    <w:rsid w:val="000211E8"/>
    <w:rsid w:val="00021A06"/>
    <w:rsid w:val="00023343"/>
    <w:rsid w:val="00023507"/>
    <w:rsid w:val="000256D4"/>
    <w:rsid w:val="00025BD8"/>
    <w:rsid w:val="00027E0D"/>
    <w:rsid w:val="000300CD"/>
    <w:rsid w:val="00030159"/>
    <w:rsid w:val="00030690"/>
    <w:rsid w:val="0003192E"/>
    <w:rsid w:val="00031A0C"/>
    <w:rsid w:val="00031CD0"/>
    <w:rsid w:val="000325A9"/>
    <w:rsid w:val="000327C9"/>
    <w:rsid w:val="00032FB2"/>
    <w:rsid w:val="00033CDB"/>
    <w:rsid w:val="00033EA1"/>
    <w:rsid w:val="00035C86"/>
    <w:rsid w:val="0003689B"/>
    <w:rsid w:val="0003727B"/>
    <w:rsid w:val="0004111C"/>
    <w:rsid w:val="000414F6"/>
    <w:rsid w:val="00041984"/>
    <w:rsid w:val="0004589F"/>
    <w:rsid w:val="00046AAC"/>
    <w:rsid w:val="00046D64"/>
    <w:rsid w:val="0004734D"/>
    <w:rsid w:val="00047940"/>
    <w:rsid w:val="000479F3"/>
    <w:rsid w:val="00050708"/>
    <w:rsid w:val="00051677"/>
    <w:rsid w:val="00051844"/>
    <w:rsid w:val="000518EE"/>
    <w:rsid w:val="00051E66"/>
    <w:rsid w:val="000548A5"/>
    <w:rsid w:val="0005515B"/>
    <w:rsid w:val="00055912"/>
    <w:rsid w:val="000607B8"/>
    <w:rsid w:val="0006142B"/>
    <w:rsid w:val="00062561"/>
    <w:rsid w:val="000625F1"/>
    <w:rsid w:val="00062C73"/>
    <w:rsid w:val="00063091"/>
    <w:rsid w:val="00063DE0"/>
    <w:rsid w:val="00064B22"/>
    <w:rsid w:val="00065CB9"/>
    <w:rsid w:val="00065CC1"/>
    <w:rsid w:val="00070900"/>
    <w:rsid w:val="00070B33"/>
    <w:rsid w:val="00070C23"/>
    <w:rsid w:val="0007115A"/>
    <w:rsid w:val="000712B1"/>
    <w:rsid w:val="000715DB"/>
    <w:rsid w:val="0007198C"/>
    <w:rsid w:val="00071AA7"/>
    <w:rsid w:val="000720BE"/>
    <w:rsid w:val="000723B4"/>
    <w:rsid w:val="0007291E"/>
    <w:rsid w:val="00072EEF"/>
    <w:rsid w:val="000745EA"/>
    <w:rsid w:val="0007583E"/>
    <w:rsid w:val="0007645F"/>
    <w:rsid w:val="00076C71"/>
    <w:rsid w:val="00076DFB"/>
    <w:rsid w:val="00077A58"/>
    <w:rsid w:val="00077C91"/>
    <w:rsid w:val="00077E6A"/>
    <w:rsid w:val="00080859"/>
    <w:rsid w:val="00080CC8"/>
    <w:rsid w:val="0008209E"/>
    <w:rsid w:val="0008224A"/>
    <w:rsid w:val="000836C5"/>
    <w:rsid w:val="0008424A"/>
    <w:rsid w:val="00084319"/>
    <w:rsid w:val="00084EE6"/>
    <w:rsid w:val="00084F77"/>
    <w:rsid w:val="00086047"/>
    <w:rsid w:val="000862E2"/>
    <w:rsid w:val="000872AD"/>
    <w:rsid w:val="000872FF"/>
    <w:rsid w:val="00087E29"/>
    <w:rsid w:val="00091437"/>
    <w:rsid w:val="000922A6"/>
    <w:rsid w:val="00092A69"/>
    <w:rsid w:val="00092C6F"/>
    <w:rsid w:val="00093AAC"/>
    <w:rsid w:val="000948B7"/>
    <w:rsid w:val="00094E42"/>
    <w:rsid w:val="00095376"/>
    <w:rsid w:val="00096798"/>
    <w:rsid w:val="000969D6"/>
    <w:rsid w:val="000973C8"/>
    <w:rsid w:val="00097DE6"/>
    <w:rsid w:val="00097FA1"/>
    <w:rsid w:val="000A00EE"/>
    <w:rsid w:val="000A0CF6"/>
    <w:rsid w:val="000A0EE9"/>
    <w:rsid w:val="000A232E"/>
    <w:rsid w:val="000A25D5"/>
    <w:rsid w:val="000A265D"/>
    <w:rsid w:val="000A2AA9"/>
    <w:rsid w:val="000A3325"/>
    <w:rsid w:val="000A400A"/>
    <w:rsid w:val="000A56F2"/>
    <w:rsid w:val="000A6135"/>
    <w:rsid w:val="000A619C"/>
    <w:rsid w:val="000A68A3"/>
    <w:rsid w:val="000A6E05"/>
    <w:rsid w:val="000A77C5"/>
    <w:rsid w:val="000A7BFB"/>
    <w:rsid w:val="000A7E10"/>
    <w:rsid w:val="000B0A5F"/>
    <w:rsid w:val="000B0D09"/>
    <w:rsid w:val="000B12FA"/>
    <w:rsid w:val="000B1FB5"/>
    <w:rsid w:val="000B259B"/>
    <w:rsid w:val="000B31A8"/>
    <w:rsid w:val="000B38DE"/>
    <w:rsid w:val="000B42F4"/>
    <w:rsid w:val="000B443C"/>
    <w:rsid w:val="000B6B42"/>
    <w:rsid w:val="000B6B8F"/>
    <w:rsid w:val="000B7590"/>
    <w:rsid w:val="000B765F"/>
    <w:rsid w:val="000C08BF"/>
    <w:rsid w:val="000C23E2"/>
    <w:rsid w:val="000C3533"/>
    <w:rsid w:val="000C3B9A"/>
    <w:rsid w:val="000C5BB1"/>
    <w:rsid w:val="000C5DCF"/>
    <w:rsid w:val="000C5FD6"/>
    <w:rsid w:val="000C66D0"/>
    <w:rsid w:val="000C778A"/>
    <w:rsid w:val="000D05CB"/>
    <w:rsid w:val="000D0B7F"/>
    <w:rsid w:val="000D25A8"/>
    <w:rsid w:val="000D2989"/>
    <w:rsid w:val="000D4786"/>
    <w:rsid w:val="000D5DE0"/>
    <w:rsid w:val="000D7B4B"/>
    <w:rsid w:val="000E0455"/>
    <w:rsid w:val="000E0D1C"/>
    <w:rsid w:val="000E1181"/>
    <w:rsid w:val="000E1B50"/>
    <w:rsid w:val="000E270A"/>
    <w:rsid w:val="000E2971"/>
    <w:rsid w:val="000E2FB2"/>
    <w:rsid w:val="000E3493"/>
    <w:rsid w:val="000E3AA5"/>
    <w:rsid w:val="000E49C0"/>
    <w:rsid w:val="000E4C53"/>
    <w:rsid w:val="000E5943"/>
    <w:rsid w:val="000E62DD"/>
    <w:rsid w:val="000F1B2A"/>
    <w:rsid w:val="000F25BA"/>
    <w:rsid w:val="000F2BEE"/>
    <w:rsid w:val="000F3E9D"/>
    <w:rsid w:val="000F48C6"/>
    <w:rsid w:val="000F5A1B"/>
    <w:rsid w:val="000F65FE"/>
    <w:rsid w:val="000F6E4A"/>
    <w:rsid w:val="000F7275"/>
    <w:rsid w:val="000F7EEB"/>
    <w:rsid w:val="00100131"/>
    <w:rsid w:val="001006B6"/>
    <w:rsid w:val="001006C3"/>
    <w:rsid w:val="001008EF"/>
    <w:rsid w:val="00101DE2"/>
    <w:rsid w:val="0010230E"/>
    <w:rsid w:val="0010233B"/>
    <w:rsid w:val="001026AB"/>
    <w:rsid w:val="00102A97"/>
    <w:rsid w:val="00102AA8"/>
    <w:rsid w:val="001030A5"/>
    <w:rsid w:val="0010336A"/>
    <w:rsid w:val="001035F0"/>
    <w:rsid w:val="0010449E"/>
    <w:rsid w:val="001049EA"/>
    <w:rsid w:val="00106B70"/>
    <w:rsid w:val="001075E9"/>
    <w:rsid w:val="00107AAE"/>
    <w:rsid w:val="001101BE"/>
    <w:rsid w:val="001116F6"/>
    <w:rsid w:val="00111AD1"/>
    <w:rsid w:val="0011208B"/>
    <w:rsid w:val="001148DC"/>
    <w:rsid w:val="0011591A"/>
    <w:rsid w:val="00116E46"/>
    <w:rsid w:val="0011717D"/>
    <w:rsid w:val="0011769B"/>
    <w:rsid w:val="001209E3"/>
    <w:rsid w:val="00121089"/>
    <w:rsid w:val="00121AC0"/>
    <w:rsid w:val="00121C97"/>
    <w:rsid w:val="00122989"/>
    <w:rsid w:val="00123622"/>
    <w:rsid w:val="001243CD"/>
    <w:rsid w:val="00125437"/>
    <w:rsid w:val="00125915"/>
    <w:rsid w:val="00126269"/>
    <w:rsid w:val="0012632F"/>
    <w:rsid w:val="00126B79"/>
    <w:rsid w:val="00126F27"/>
    <w:rsid w:val="00126FF6"/>
    <w:rsid w:val="00127FCA"/>
    <w:rsid w:val="001302BC"/>
    <w:rsid w:val="00130D2B"/>
    <w:rsid w:val="00131678"/>
    <w:rsid w:val="00131DE5"/>
    <w:rsid w:val="0013244E"/>
    <w:rsid w:val="001329A2"/>
    <w:rsid w:val="001332F4"/>
    <w:rsid w:val="00133408"/>
    <w:rsid w:val="0013384A"/>
    <w:rsid w:val="00134339"/>
    <w:rsid w:val="00134CEB"/>
    <w:rsid w:val="00134DC2"/>
    <w:rsid w:val="00135533"/>
    <w:rsid w:val="00135A27"/>
    <w:rsid w:val="00135B37"/>
    <w:rsid w:val="001360E5"/>
    <w:rsid w:val="00136A36"/>
    <w:rsid w:val="001379FA"/>
    <w:rsid w:val="001408DE"/>
    <w:rsid w:val="0014095E"/>
    <w:rsid w:val="00141070"/>
    <w:rsid w:val="00141643"/>
    <w:rsid w:val="00141AA4"/>
    <w:rsid w:val="00143272"/>
    <w:rsid w:val="001447DC"/>
    <w:rsid w:val="00144938"/>
    <w:rsid w:val="00146CED"/>
    <w:rsid w:val="001472EA"/>
    <w:rsid w:val="001475BB"/>
    <w:rsid w:val="00150B23"/>
    <w:rsid w:val="001510B9"/>
    <w:rsid w:val="0015120F"/>
    <w:rsid w:val="00151633"/>
    <w:rsid w:val="0015188D"/>
    <w:rsid w:val="00151F56"/>
    <w:rsid w:val="001523A5"/>
    <w:rsid w:val="001535C3"/>
    <w:rsid w:val="00153A4F"/>
    <w:rsid w:val="00153BBD"/>
    <w:rsid w:val="001542C1"/>
    <w:rsid w:val="001543BE"/>
    <w:rsid w:val="00155AE8"/>
    <w:rsid w:val="0016015E"/>
    <w:rsid w:val="00163FAC"/>
    <w:rsid w:val="00163FD3"/>
    <w:rsid w:val="001644E5"/>
    <w:rsid w:val="00164556"/>
    <w:rsid w:val="00164E7D"/>
    <w:rsid w:val="001650DE"/>
    <w:rsid w:val="00165954"/>
    <w:rsid w:val="00165A0D"/>
    <w:rsid w:val="00165E63"/>
    <w:rsid w:val="00165F43"/>
    <w:rsid w:val="0016769A"/>
    <w:rsid w:val="00171B94"/>
    <w:rsid w:val="00172321"/>
    <w:rsid w:val="0017288A"/>
    <w:rsid w:val="00173340"/>
    <w:rsid w:val="0017377A"/>
    <w:rsid w:val="00174542"/>
    <w:rsid w:val="00175378"/>
    <w:rsid w:val="00175568"/>
    <w:rsid w:val="00175D08"/>
    <w:rsid w:val="00176CA7"/>
    <w:rsid w:val="00176E67"/>
    <w:rsid w:val="00180224"/>
    <w:rsid w:val="001804EB"/>
    <w:rsid w:val="00182771"/>
    <w:rsid w:val="00182A30"/>
    <w:rsid w:val="00182FCA"/>
    <w:rsid w:val="00183AD4"/>
    <w:rsid w:val="00183B3C"/>
    <w:rsid w:val="00183EC2"/>
    <w:rsid w:val="00184A8F"/>
    <w:rsid w:val="0018554D"/>
    <w:rsid w:val="00185934"/>
    <w:rsid w:val="00186488"/>
    <w:rsid w:val="00186F4A"/>
    <w:rsid w:val="00187267"/>
    <w:rsid w:val="00187268"/>
    <w:rsid w:val="00187295"/>
    <w:rsid w:val="00187AAB"/>
    <w:rsid w:val="00190125"/>
    <w:rsid w:val="001902B8"/>
    <w:rsid w:val="00190A71"/>
    <w:rsid w:val="001912E8"/>
    <w:rsid w:val="00191688"/>
    <w:rsid w:val="00191DD9"/>
    <w:rsid w:val="00192EA8"/>
    <w:rsid w:val="001936E0"/>
    <w:rsid w:val="001944C9"/>
    <w:rsid w:val="00194E1F"/>
    <w:rsid w:val="00195406"/>
    <w:rsid w:val="0019542E"/>
    <w:rsid w:val="001954DC"/>
    <w:rsid w:val="00195C6A"/>
    <w:rsid w:val="00197881"/>
    <w:rsid w:val="001A0B79"/>
    <w:rsid w:val="001A0F30"/>
    <w:rsid w:val="001A1610"/>
    <w:rsid w:val="001A1D99"/>
    <w:rsid w:val="001A2F7A"/>
    <w:rsid w:val="001A2FF3"/>
    <w:rsid w:val="001A431C"/>
    <w:rsid w:val="001A5799"/>
    <w:rsid w:val="001A5A1A"/>
    <w:rsid w:val="001A5F93"/>
    <w:rsid w:val="001A654D"/>
    <w:rsid w:val="001A6849"/>
    <w:rsid w:val="001A748D"/>
    <w:rsid w:val="001B029F"/>
    <w:rsid w:val="001B12BF"/>
    <w:rsid w:val="001B2932"/>
    <w:rsid w:val="001B2FAD"/>
    <w:rsid w:val="001B3648"/>
    <w:rsid w:val="001B39B6"/>
    <w:rsid w:val="001B55CF"/>
    <w:rsid w:val="001B6151"/>
    <w:rsid w:val="001B6429"/>
    <w:rsid w:val="001B64BD"/>
    <w:rsid w:val="001B713C"/>
    <w:rsid w:val="001B7B7E"/>
    <w:rsid w:val="001C0411"/>
    <w:rsid w:val="001C068C"/>
    <w:rsid w:val="001C07BA"/>
    <w:rsid w:val="001C0ADC"/>
    <w:rsid w:val="001C2ACF"/>
    <w:rsid w:val="001C363F"/>
    <w:rsid w:val="001C3919"/>
    <w:rsid w:val="001C3F9E"/>
    <w:rsid w:val="001C3FCB"/>
    <w:rsid w:val="001C416B"/>
    <w:rsid w:val="001C549E"/>
    <w:rsid w:val="001C5678"/>
    <w:rsid w:val="001C6C29"/>
    <w:rsid w:val="001C77EC"/>
    <w:rsid w:val="001C7AAC"/>
    <w:rsid w:val="001D1314"/>
    <w:rsid w:val="001D1581"/>
    <w:rsid w:val="001D2521"/>
    <w:rsid w:val="001D28C0"/>
    <w:rsid w:val="001D40EB"/>
    <w:rsid w:val="001D426E"/>
    <w:rsid w:val="001D5E2A"/>
    <w:rsid w:val="001D62C1"/>
    <w:rsid w:val="001D6499"/>
    <w:rsid w:val="001D6535"/>
    <w:rsid w:val="001E0A1E"/>
    <w:rsid w:val="001E2A62"/>
    <w:rsid w:val="001E3AD2"/>
    <w:rsid w:val="001E3F15"/>
    <w:rsid w:val="001E408B"/>
    <w:rsid w:val="001E456D"/>
    <w:rsid w:val="001E46ED"/>
    <w:rsid w:val="001E4E84"/>
    <w:rsid w:val="001E4EBE"/>
    <w:rsid w:val="001E54E0"/>
    <w:rsid w:val="001E602B"/>
    <w:rsid w:val="001E677D"/>
    <w:rsid w:val="001E67B7"/>
    <w:rsid w:val="001F005B"/>
    <w:rsid w:val="001F02DE"/>
    <w:rsid w:val="001F046F"/>
    <w:rsid w:val="001F20AA"/>
    <w:rsid w:val="001F2819"/>
    <w:rsid w:val="001F2DB5"/>
    <w:rsid w:val="001F5657"/>
    <w:rsid w:val="001F61F9"/>
    <w:rsid w:val="002018B0"/>
    <w:rsid w:val="00201C26"/>
    <w:rsid w:val="00203668"/>
    <w:rsid w:val="002043EC"/>
    <w:rsid w:val="00204459"/>
    <w:rsid w:val="00205AEE"/>
    <w:rsid w:val="002060C5"/>
    <w:rsid w:val="002067ED"/>
    <w:rsid w:val="00207673"/>
    <w:rsid w:val="002078D5"/>
    <w:rsid w:val="00211721"/>
    <w:rsid w:val="002117A4"/>
    <w:rsid w:val="00211C7A"/>
    <w:rsid w:val="0021267D"/>
    <w:rsid w:val="00212750"/>
    <w:rsid w:val="0021275D"/>
    <w:rsid w:val="00212787"/>
    <w:rsid w:val="00213ECB"/>
    <w:rsid w:val="002146B5"/>
    <w:rsid w:val="00214B8E"/>
    <w:rsid w:val="00214D9C"/>
    <w:rsid w:val="002170EC"/>
    <w:rsid w:val="00220C07"/>
    <w:rsid w:val="00220DA0"/>
    <w:rsid w:val="00221009"/>
    <w:rsid w:val="00221A5B"/>
    <w:rsid w:val="00221F97"/>
    <w:rsid w:val="00222871"/>
    <w:rsid w:val="00222F10"/>
    <w:rsid w:val="00223039"/>
    <w:rsid w:val="00224058"/>
    <w:rsid w:val="00224D58"/>
    <w:rsid w:val="002259EC"/>
    <w:rsid w:val="00225BB0"/>
    <w:rsid w:val="002264A7"/>
    <w:rsid w:val="00227BEA"/>
    <w:rsid w:val="00230E6D"/>
    <w:rsid w:val="00232FFB"/>
    <w:rsid w:val="00233766"/>
    <w:rsid w:val="00233AA0"/>
    <w:rsid w:val="00233F16"/>
    <w:rsid w:val="00234EAA"/>
    <w:rsid w:val="00236323"/>
    <w:rsid w:val="0023674E"/>
    <w:rsid w:val="00236D1D"/>
    <w:rsid w:val="00236DE7"/>
    <w:rsid w:val="00237AC1"/>
    <w:rsid w:val="00237C88"/>
    <w:rsid w:val="00240D58"/>
    <w:rsid w:val="002419D5"/>
    <w:rsid w:val="00241AA8"/>
    <w:rsid w:val="002421BA"/>
    <w:rsid w:val="00242DED"/>
    <w:rsid w:val="00243C20"/>
    <w:rsid w:val="00243DC0"/>
    <w:rsid w:val="00243DDD"/>
    <w:rsid w:val="002446B8"/>
    <w:rsid w:val="00245175"/>
    <w:rsid w:val="00245240"/>
    <w:rsid w:val="00245461"/>
    <w:rsid w:val="0024571F"/>
    <w:rsid w:val="00247477"/>
    <w:rsid w:val="00250046"/>
    <w:rsid w:val="00250A39"/>
    <w:rsid w:val="0025196C"/>
    <w:rsid w:val="00252265"/>
    <w:rsid w:val="0025245B"/>
    <w:rsid w:val="00252C19"/>
    <w:rsid w:val="00253CC3"/>
    <w:rsid w:val="0025401F"/>
    <w:rsid w:val="00254952"/>
    <w:rsid w:val="00255BD7"/>
    <w:rsid w:val="002563D6"/>
    <w:rsid w:val="002579F6"/>
    <w:rsid w:val="00257D69"/>
    <w:rsid w:val="002601F8"/>
    <w:rsid w:val="0026101F"/>
    <w:rsid w:val="0026138C"/>
    <w:rsid w:val="00261683"/>
    <w:rsid w:val="0026187F"/>
    <w:rsid w:val="002620F2"/>
    <w:rsid w:val="0026266D"/>
    <w:rsid w:val="00262B36"/>
    <w:rsid w:val="00263185"/>
    <w:rsid w:val="002646CD"/>
    <w:rsid w:val="0026510D"/>
    <w:rsid w:val="00265F47"/>
    <w:rsid w:val="002670A9"/>
    <w:rsid w:val="00267232"/>
    <w:rsid w:val="00270440"/>
    <w:rsid w:val="00274960"/>
    <w:rsid w:val="00274EC1"/>
    <w:rsid w:val="0027547C"/>
    <w:rsid w:val="002754A8"/>
    <w:rsid w:val="002758FB"/>
    <w:rsid w:val="0027664D"/>
    <w:rsid w:val="00277C9B"/>
    <w:rsid w:val="00281547"/>
    <w:rsid w:val="00281AFC"/>
    <w:rsid w:val="0028349B"/>
    <w:rsid w:val="002835F4"/>
    <w:rsid w:val="002836EA"/>
    <w:rsid w:val="00283BC9"/>
    <w:rsid w:val="002845F9"/>
    <w:rsid w:val="00284D8D"/>
    <w:rsid w:val="00284E24"/>
    <w:rsid w:val="00284E67"/>
    <w:rsid w:val="00285444"/>
    <w:rsid w:val="00285686"/>
    <w:rsid w:val="00285B10"/>
    <w:rsid w:val="00286053"/>
    <w:rsid w:val="00286324"/>
    <w:rsid w:val="00287B7C"/>
    <w:rsid w:val="00287BC5"/>
    <w:rsid w:val="00287BCA"/>
    <w:rsid w:val="00287CDF"/>
    <w:rsid w:val="00290F4C"/>
    <w:rsid w:val="00291E36"/>
    <w:rsid w:val="00293246"/>
    <w:rsid w:val="00293DEE"/>
    <w:rsid w:val="002947BB"/>
    <w:rsid w:val="002963B1"/>
    <w:rsid w:val="00296B92"/>
    <w:rsid w:val="00296F05"/>
    <w:rsid w:val="00297256"/>
    <w:rsid w:val="00297359"/>
    <w:rsid w:val="00297D16"/>
    <w:rsid w:val="00297DCC"/>
    <w:rsid w:val="002A01A9"/>
    <w:rsid w:val="002A01EA"/>
    <w:rsid w:val="002A0543"/>
    <w:rsid w:val="002A0B5D"/>
    <w:rsid w:val="002A171D"/>
    <w:rsid w:val="002A19FA"/>
    <w:rsid w:val="002A1E2B"/>
    <w:rsid w:val="002A22A6"/>
    <w:rsid w:val="002A24E3"/>
    <w:rsid w:val="002A335D"/>
    <w:rsid w:val="002A4665"/>
    <w:rsid w:val="002A4874"/>
    <w:rsid w:val="002A48EA"/>
    <w:rsid w:val="002A682A"/>
    <w:rsid w:val="002A708C"/>
    <w:rsid w:val="002B07B7"/>
    <w:rsid w:val="002B138B"/>
    <w:rsid w:val="002B17DF"/>
    <w:rsid w:val="002B239F"/>
    <w:rsid w:val="002B29B6"/>
    <w:rsid w:val="002B2D71"/>
    <w:rsid w:val="002B3FFA"/>
    <w:rsid w:val="002B4CD3"/>
    <w:rsid w:val="002B5F9F"/>
    <w:rsid w:val="002B6F6A"/>
    <w:rsid w:val="002B72E0"/>
    <w:rsid w:val="002B7351"/>
    <w:rsid w:val="002B7FBC"/>
    <w:rsid w:val="002C00E2"/>
    <w:rsid w:val="002C2CC0"/>
    <w:rsid w:val="002C2CF2"/>
    <w:rsid w:val="002C36D5"/>
    <w:rsid w:val="002C3DFA"/>
    <w:rsid w:val="002C4A85"/>
    <w:rsid w:val="002C7552"/>
    <w:rsid w:val="002C7730"/>
    <w:rsid w:val="002C7B79"/>
    <w:rsid w:val="002C7FE9"/>
    <w:rsid w:val="002D0526"/>
    <w:rsid w:val="002D0DC5"/>
    <w:rsid w:val="002D1438"/>
    <w:rsid w:val="002D21F4"/>
    <w:rsid w:val="002D27CE"/>
    <w:rsid w:val="002D3290"/>
    <w:rsid w:val="002D3538"/>
    <w:rsid w:val="002D3696"/>
    <w:rsid w:val="002D3E5D"/>
    <w:rsid w:val="002D3F6E"/>
    <w:rsid w:val="002D4EFD"/>
    <w:rsid w:val="002D525E"/>
    <w:rsid w:val="002D555B"/>
    <w:rsid w:val="002D5E45"/>
    <w:rsid w:val="002D6B8B"/>
    <w:rsid w:val="002D6CD6"/>
    <w:rsid w:val="002D7301"/>
    <w:rsid w:val="002D73C8"/>
    <w:rsid w:val="002D7915"/>
    <w:rsid w:val="002D7952"/>
    <w:rsid w:val="002D7DD0"/>
    <w:rsid w:val="002E05FD"/>
    <w:rsid w:val="002E0FAF"/>
    <w:rsid w:val="002E1026"/>
    <w:rsid w:val="002E2961"/>
    <w:rsid w:val="002E2BB2"/>
    <w:rsid w:val="002E3118"/>
    <w:rsid w:val="002E35C5"/>
    <w:rsid w:val="002E374A"/>
    <w:rsid w:val="002E3A19"/>
    <w:rsid w:val="002E4DFE"/>
    <w:rsid w:val="002E516D"/>
    <w:rsid w:val="002E5325"/>
    <w:rsid w:val="002E5A99"/>
    <w:rsid w:val="002E6CB3"/>
    <w:rsid w:val="002E73F6"/>
    <w:rsid w:val="002E76FA"/>
    <w:rsid w:val="002F06E5"/>
    <w:rsid w:val="002F0B42"/>
    <w:rsid w:val="002F2516"/>
    <w:rsid w:val="002F2A00"/>
    <w:rsid w:val="002F332A"/>
    <w:rsid w:val="002F33A2"/>
    <w:rsid w:val="002F3AE1"/>
    <w:rsid w:val="002F4A2E"/>
    <w:rsid w:val="002F58BC"/>
    <w:rsid w:val="002F58E5"/>
    <w:rsid w:val="002F5F59"/>
    <w:rsid w:val="002F608B"/>
    <w:rsid w:val="002F6AF6"/>
    <w:rsid w:val="002F6D3A"/>
    <w:rsid w:val="002F6E69"/>
    <w:rsid w:val="002F770F"/>
    <w:rsid w:val="00301B7F"/>
    <w:rsid w:val="00301C1E"/>
    <w:rsid w:val="00302326"/>
    <w:rsid w:val="00302AF2"/>
    <w:rsid w:val="00304096"/>
    <w:rsid w:val="00304104"/>
    <w:rsid w:val="0030482B"/>
    <w:rsid w:val="003068D5"/>
    <w:rsid w:val="00307000"/>
    <w:rsid w:val="00310C55"/>
    <w:rsid w:val="00310E66"/>
    <w:rsid w:val="0031132C"/>
    <w:rsid w:val="003126E2"/>
    <w:rsid w:val="00312FF2"/>
    <w:rsid w:val="00313503"/>
    <w:rsid w:val="00313D71"/>
    <w:rsid w:val="0031438E"/>
    <w:rsid w:val="00315A97"/>
    <w:rsid w:val="00316071"/>
    <w:rsid w:val="003166C1"/>
    <w:rsid w:val="00317129"/>
    <w:rsid w:val="0031758D"/>
    <w:rsid w:val="00320386"/>
    <w:rsid w:val="00320C6F"/>
    <w:rsid w:val="00321782"/>
    <w:rsid w:val="003224F0"/>
    <w:rsid w:val="003245E8"/>
    <w:rsid w:val="00324F19"/>
    <w:rsid w:val="00325975"/>
    <w:rsid w:val="00325A46"/>
    <w:rsid w:val="00326710"/>
    <w:rsid w:val="00326A26"/>
    <w:rsid w:val="00326ADE"/>
    <w:rsid w:val="00327936"/>
    <w:rsid w:val="003305B8"/>
    <w:rsid w:val="00331F57"/>
    <w:rsid w:val="0033246E"/>
    <w:rsid w:val="003338B4"/>
    <w:rsid w:val="00334616"/>
    <w:rsid w:val="0033464F"/>
    <w:rsid w:val="00334B40"/>
    <w:rsid w:val="0033557B"/>
    <w:rsid w:val="00335BBE"/>
    <w:rsid w:val="00336457"/>
    <w:rsid w:val="0033707F"/>
    <w:rsid w:val="0033733F"/>
    <w:rsid w:val="00340684"/>
    <w:rsid w:val="003409CE"/>
    <w:rsid w:val="00341C90"/>
    <w:rsid w:val="00341D7D"/>
    <w:rsid w:val="003429F5"/>
    <w:rsid w:val="0034347E"/>
    <w:rsid w:val="00343A6E"/>
    <w:rsid w:val="00343B1C"/>
    <w:rsid w:val="00343E5C"/>
    <w:rsid w:val="00344FB8"/>
    <w:rsid w:val="003458DF"/>
    <w:rsid w:val="003459F8"/>
    <w:rsid w:val="003467D2"/>
    <w:rsid w:val="00351B8E"/>
    <w:rsid w:val="00351BAD"/>
    <w:rsid w:val="00351F18"/>
    <w:rsid w:val="0035225E"/>
    <w:rsid w:val="00353A7B"/>
    <w:rsid w:val="00354875"/>
    <w:rsid w:val="0035487B"/>
    <w:rsid w:val="00354D4F"/>
    <w:rsid w:val="00355F3E"/>
    <w:rsid w:val="0035756F"/>
    <w:rsid w:val="0036010F"/>
    <w:rsid w:val="0036017B"/>
    <w:rsid w:val="0036045F"/>
    <w:rsid w:val="0036090C"/>
    <w:rsid w:val="0036093C"/>
    <w:rsid w:val="003613C5"/>
    <w:rsid w:val="00361519"/>
    <w:rsid w:val="003622B2"/>
    <w:rsid w:val="00362755"/>
    <w:rsid w:val="00362C67"/>
    <w:rsid w:val="00363FFE"/>
    <w:rsid w:val="003643A4"/>
    <w:rsid w:val="003643C1"/>
    <w:rsid w:val="00365384"/>
    <w:rsid w:val="00366768"/>
    <w:rsid w:val="00366B7C"/>
    <w:rsid w:val="00367C27"/>
    <w:rsid w:val="00367CFD"/>
    <w:rsid w:val="003705AC"/>
    <w:rsid w:val="003707A2"/>
    <w:rsid w:val="00370A3F"/>
    <w:rsid w:val="0037150A"/>
    <w:rsid w:val="00372583"/>
    <w:rsid w:val="0037264B"/>
    <w:rsid w:val="00373363"/>
    <w:rsid w:val="00373AFD"/>
    <w:rsid w:val="00373B93"/>
    <w:rsid w:val="00373F3F"/>
    <w:rsid w:val="0037486E"/>
    <w:rsid w:val="00374D7F"/>
    <w:rsid w:val="003759F8"/>
    <w:rsid w:val="00375B10"/>
    <w:rsid w:val="00375E6A"/>
    <w:rsid w:val="00376A59"/>
    <w:rsid w:val="00380CD1"/>
    <w:rsid w:val="00381096"/>
    <w:rsid w:val="00381143"/>
    <w:rsid w:val="0038114B"/>
    <w:rsid w:val="003815FC"/>
    <w:rsid w:val="0038296E"/>
    <w:rsid w:val="00382994"/>
    <w:rsid w:val="003836A9"/>
    <w:rsid w:val="00383957"/>
    <w:rsid w:val="00384D58"/>
    <w:rsid w:val="003855DC"/>
    <w:rsid w:val="003865D6"/>
    <w:rsid w:val="0038770B"/>
    <w:rsid w:val="00390934"/>
    <w:rsid w:val="0039131E"/>
    <w:rsid w:val="003917E6"/>
    <w:rsid w:val="00391837"/>
    <w:rsid w:val="0039278C"/>
    <w:rsid w:val="00392F82"/>
    <w:rsid w:val="00393635"/>
    <w:rsid w:val="003938A2"/>
    <w:rsid w:val="003956BC"/>
    <w:rsid w:val="00395B4D"/>
    <w:rsid w:val="00397456"/>
    <w:rsid w:val="0039752E"/>
    <w:rsid w:val="00397BB8"/>
    <w:rsid w:val="00397F60"/>
    <w:rsid w:val="003A02CA"/>
    <w:rsid w:val="003A2E80"/>
    <w:rsid w:val="003A38F0"/>
    <w:rsid w:val="003A5149"/>
    <w:rsid w:val="003A5539"/>
    <w:rsid w:val="003A7092"/>
    <w:rsid w:val="003A722B"/>
    <w:rsid w:val="003A7E67"/>
    <w:rsid w:val="003B0326"/>
    <w:rsid w:val="003B0683"/>
    <w:rsid w:val="003B0CF6"/>
    <w:rsid w:val="003B1B1B"/>
    <w:rsid w:val="003B2549"/>
    <w:rsid w:val="003B26B4"/>
    <w:rsid w:val="003B382E"/>
    <w:rsid w:val="003B435F"/>
    <w:rsid w:val="003B4809"/>
    <w:rsid w:val="003B5EC7"/>
    <w:rsid w:val="003B6281"/>
    <w:rsid w:val="003B662C"/>
    <w:rsid w:val="003B69FF"/>
    <w:rsid w:val="003B7361"/>
    <w:rsid w:val="003B7696"/>
    <w:rsid w:val="003B7CC4"/>
    <w:rsid w:val="003C1FA7"/>
    <w:rsid w:val="003C26BA"/>
    <w:rsid w:val="003C2A9F"/>
    <w:rsid w:val="003C2C2E"/>
    <w:rsid w:val="003C2D64"/>
    <w:rsid w:val="003C3049"/>
    <w:rsid w:val="003C330A"/>
    <w:rsid w:val="003C47D8"/>
    <w:rsid w:val="003C4F03"/>
    <w:rsid w:val="003C5397"/>
    <w:rsid w:val="003C5B37"/>
    <w:rsid w:val="003C6120"/>
    <w:rsid w:val="003C646F"/>
    <w:rsid w:val="003C702D"/>
    <w:rsid w:val="003D08E0"/>
    <w:rsid w:val="003D1015"/>
    <w:rsid w:val="003D109A"/>
    <w:rsid w:val="003D13B5"/>
    <w:rsid w:val="003D1910"/>
    <w:rsid w:val="003D2BC7"/>
    <w:rsid w:val="003D361D"/>
    <w:rsid w:val="003D36B2"/>
    <w:rsid w:val="003D3D27"/>
    <w:rsid w:val="003D4A91"/>
    <w:rsid w:val="003D4C2E"/>
    <w:rsid w:val="003D5785"/>
    <w:rsid w:val="003D5D51"/>
    <w:rsid w:val="003D6BD9"/>
    <w:rsid w:val="003E0773"/>
    <w:rsid w:val="003E11D6"/>
    <w:rsid w:val="003E1844"/>
    <w:rsid w:val="003E1ABE"/>
    <w:rsid w:val="003E1AD9"/>
    <w:rsid w:val="003E2306"/>
    <w:rsid w:val="003E3167"/>
    <w:rsid w:val="003E440B"/>
    <w:rsid w:val="003F069A"/>
    <w:rsid w:val="003F154B"/>
    <w:rsid w:val="003F17AC"/>
    <w:rsid w:val="003F2116"/>
    <w:rsid w:val="003F225F"/>
    <w:rsid w:val="003F2820"/>
    <w:rsid w:val="003F2B3F"/>
    <w:rsid w:val="003F377D"/>
    <w:rsid w:val="003F384E"/>
    <w:rsid w:val="003F4329"/>
    <w:rsid w:val="003F4457"/>
    <w:rsid w:val="003F48E0"/>
    <w:rsid w:val="003F4C3C"/>
    <w:rsid w:val="003F4C7E"/>
    <w:rsid w:val="003F4F65"/>
    <w:rsid w:val="003F592E"/>
    <w:rsid w:val="003F690B"/>
    <w:rsid w:val="003F7C0D"/>
    <w:rsid w:val="00400E74"/>
    <w:rsid w:val="00402004"/>
    <w:rsid w:val="0040249F"/>
    <w:rsid w:val="0040395A"/>
    <w:rsid w:val="00403CAF"/>
    <w:rsid w:val="0040460B"/>
    <w:rsid w:val="00406423"/>
    <w:rsid w:val="004078BB"/>
    <w:rsid w:val="00410428"/>
    <w:rsid w:val="00410529"/>
    <w:rsid w:val="00411730"/>
    <w:rsid w:val="00412261"/>
    <w:rsid w:val="00412534"/>
    <w:rsid w:val="00412C83"/>
    <w:rsid w:val="0041398F"/>
    <w:rsid w:val="00414313"/>
    <w:rsid w:val="00416057"/>
    <w:rsid w:val="004178A0"/>
    <w:rsid w:val="00417DFD"/>
    <w:rsid w:val="004207EC"/>
    <w:rsid w:val="004217A4"/>
    <w:rsid w:val="00421E03"/>
    <w:rsid w:val="00422410"/>
    <w:rsid w:val="004225AE"/>
    <w:rsid w:val="00423406"/>
    <w:rsid w:val="0042561C"/>
    <w:rsid w:val="0042569C"/>
    <w:rsid w:val="00426014"/>
    <w:rsid w:val="0042634B"/>
    <w:rsid w:val="00427DBE"/>
    <w:rsid w:val="00430707"/>
    <w:rsid w:val="00432BDA"/>
    <w:rsid w:val="004348BB"/>
    <w:rsid w:val="00434BD8"/>
    <w:rsid w:val="00434DC6"/>
    <w:rsid w:val="00436772"/>
    <w:rsid w:val="0043773C"/>
    <w:rsid w:val="00437EB6"/>
    <w:rsid w:val="00437F7A"/>
    <w:rsid w:val="00440EAC"/>
    <w:rsid w:val="00441096"/>
    <w:rsid w:val="00442311"/>
    <w:rsid w:val="00444B40"/>
    <w:rsid w:val="00444F08"/>
    <w:rsid w:val="004452A1"/>
    <w:rsid w:val="004458F9"/>
    <w:rsid w:val="00445966"/>
    <w:rsid w:val="00445980"/>
    <w:rsid w:val="00445DCE"/>
    <w:rsid w:val="0044617E"/>
    <w:rsid w:val="004464E6"/>
    <w:rsid w:val="004469C7"/>
    <w:rsid w:val="00447427"/>
    <w:rsid w:val="0044750C"/>
    <w:rsid w:val="0045250D"/>
    <w:rsid w:val="00452747"/>
    <w:rsid w:val="00452F07"/>
    <w:rsid w:val="00453366"/>
    <w:rsid w:val="00454701"/>
    <w:rsid w:val="00454A21"/>
    <w:rsid w:val="00454D60"/>
    <w:rsid w:val="00455CBC"/>
    <w:rsid w:val="00456532"/>
    <w:rsid w:val="00456B61"/>
    <w:rsid w:val="00456C04"/>
    <w:rsid w:val="00457247"/>
    <w:rsid w:val="004601D0"/>
    <w:rsid w:val="0046078B"/>
    <w:rsid w:val="00460B7D"/>
    <w:rsid w:val="0046126D"/>
    <w:rsid w:val="0046218A"/>
    <w:rsid w:val="00463AA1"/>
    <w:rsid w:val="00464138"/>
    <w:rsid w:val="00464A8C"/>
    <w:rsid w:val="00464DB6"/>
    <w:rsid w:val="00465B96"/>
    <w:rsid w:val="00466B13"/>
    <w:rsid w:val="00466E15"/>
    <w:rsid w:val="00467F5A"/>
    <w:rsid w:val="00467FC2"/>
    <w:rsid w:val="00470004"/>
    <w:rsid w:val="00470741"/>
    <w:rsid w:val="00470D55"/>
    <w:rsid w:val="00471AD8"/>
    <w:rsid w:val="00471BDF"/>
    <w:rsid w:val="00471EFB"/>
    <w:rsid w:val="0047226B"/>
    <w:rsid w:val="00472DE1"/>
    <w:rsid w:val="00473172"/>
    <w:rsid w:val="00473CDF"/>
    <w:rsid w:val="00473DD6"/>
    <w:rsid w:val="004751B6"/>
    <w:rsid w:val="00475EEF"/>
    <w:rsid w:val="004764AC"/>
    <w:rsid w:val="004764C4"/>
    <w:rsid w:val="004768D2"/>
    <w:rsid w:val="00477689"/>
    <w:rsid w:val="00477903"/>
    <w:rsid w:val="00477F5F"/>
    <w:rsid w:val="00480CB0"/>
    <w:rsid w:val="00481243"/>
    <w:rsid w:val="00483603"/>
    <w:rsid w:val="00483D90"/>
    <w:rsid w:val="00486725"/>
    <w:rsid w:val="004870F7"/>
    <w:rsid w:val="0048713C"/>
    <w:rsid w:val="00487B9E"/>
    <w:rsid w:val="00487F64"/>
    <w:rsid w:val="00490101"/>
    <w:rsid w:val="004908C4"/>
    <w:rsid w:val="00491ABF"/>
    <w:rsid w:val="00495B01"/>
    <w:rsid w:val="0049625F"/>
    <w:rsid w:val="004974E5"/>
    <w:rsid w:val="004977F5"/>
    <w:rsid w:val="00497D89"/>
    <w:rsid w:val="004A0C45"/>
    <w:rsid w:val="004A0FA3"/>
    <w:rsid w:val="004A11F0"/>
    <w:rsid w:val="004A1440"/>
    <w:rsid w:val="004A1EAD"/>
    <w:rsid w:val="004A2E9B"/>
    <w:rsid w:val="004A2F80"/>
    <w:rsid w:val="004A3076"/>
    <w:rsid w:val="004A4371"/>
    <w:rsid w:val="004A47BE"/>
    <w:rsid w:val="004A54F4"/>
    <w:rsid w:val="004A562D"/>
    <w:rsid w:val="004A5B9C"/>
    <w:rsid w:val="004A6546"/>
    <w:rsid w:val="004A73CA"/>
    <w:rsid w:val="004B1BC4"/>
    <w:rsid w:val="004B1D2F"/>
    <w:rsid w:val="004B342F"/>
    <w:rsid w:val="004B34EA"/>
    <w:rsid w:val="004B39A7"/>
    <w:rsid w:val="004B40D8"/>
    <w:rsid w:val="004B4BB3"/>
    <w:rsid w:val="004B5494"/>
    <w:rsid w:val="004B670F"/>
    <w:rsid w:val="004B6C3E"/>
    <w:rsid w:val="004B6FE2"/>
    <w:rsid w:val="004B7127"/>
    <w:rsid w:val="004B795A"/>
    <w:rsid w:val="004C05E3"/>
    <w:rsid w:val="004C0B5E"/>
    <w:rsid w:val="004C18DC"/>
    <w:rsid w:val="004C2034"/>
    <w:rsid w:val="004C2733"/>
    <w:rsid w:val="004C2BB1"/>
    <w:rsid w:val="004C2E0C"/>
    <w:rsid w:val="004C5365"/>
    <w:rsid w:val="004C61A9"/>
    <w:rsid w:val="004C67D0"/>
    <w:rsid w:val="004C6B01"/>
    <w:rsid w:val="004C6F4B"/>
    <w:rsid w:val="004C7824"/>
    <w:rsid w:val="004C7A2B"/>
    <w:rsid w:val="004C7D3A"/>
    <w:rsid w:val="004D0007"/>
    <w:rsid w:val="004D08BE"/>
    <w:rsid w:val="004D0907"/>
    <w:rsid w:val="004D0F38"/>
    <w:rsid w:val="004D1FC5"/>
    <w:rsid w:val="004D26D3"/>
    <w:rsid w:val="004D2A85"/>
    <w:rsid w:val="004D2CCA"/>
    <w:rsid w:val="004D38A2"/>
    <w:rsid w:val="004D3A3E"/>
    <w:rsid w:val="004D6F3A"/>
    <w:rsid w:val="004D70DE"/>
    <w:rsid w:val="004D7226"/>
    <w:rsid w:val="004E0CB0"/>
    <w:rsid w:val="004E11EA"/>
    <w:rsid w:val="004E1519"/>
    <w:rsid w:val="004E174A"/>
    <w:rsid w:val="004E2AA3"/>
    <w:rsid w:val="004E50C3"/>
    <w:rsid w:val="004E5F80"/>
    <w:rsid w:val="004E6099"/>
    <w:rsid w:val="004E716D"/>
    <w:rsid w:val="004F024F"/>
    <w:rsid w:val="004F0ECE"/>
    <w:rsid w:val="004F18DB"/>
    <w:rsid w:val="004F1953"/>
    <w:rsid w:val="004F2998"/>
    <w:rsid w:val="004F2A59"/>
    <w:rsid w:val="004F3F9E"/>
    <w:rsid w:val="004F604C"/>
    <w:rsid w:val="004F6BEE"/>
    <w:rsid w:val="005006AE"/>
    <w:rsid w:val="005018A8"/>
    <w:rsid w:val="0050241F"/>
    <w:rsid w:val="0050389E"/>
    <w:rsid w:val="005043E7"/>
    <w:rsid w:val="00505A39"/>
    <w:rsid w:val="00505CE5"/>
    <w:rsid w:val="005060AE"/>
    <w:rsid w:val="00506FE5"/>
    <w:rsid w:val="00507455"/>
    <w:rsid w:val="005107EE"/>
    <w:rsid w:val="005115FB"/>
    <w:rsid w:val="00511E12"/>
    <w:rsid w:val="00512EC5"/>
    <w:rsid w:val="00515919"/>
    <w:rsid w:val="00516063"/>
    <w:rsid w:val="0051666C"/>
    <w:rsid w:val="005167CC"/>
    <w:rsid w:val="00517644"/>
    <w:rsid w:val="0052081D"/>
    <w:rsid w:val="005228E9"/>
    <w:rsid w:val="00522983"/>
    <w:rsid w:val="00523734"/>
    <w:rsid w:val="00523AEC"/>
    <w:rsid w:val="00523C8D"/>
    <w:rsid w:val="005240BF"/>
    <w:rsid w:val="00524400"/>
    <w:rsid w:val="00524444"/>
    <w:rsid w:val="005245A0"/>
    <w:rsid w:val="00524767"/>
    <w:rsid w:val="00525C6F"/>
    <w:rsid w:val="00526009"/>
    <w:rsid w:val="005274CD"/>
    <w:rsid w:val="00527679"/>
    <w:rsid w:val="005279EE"/>
    <w:rsid w:val="00527EDA"/>
    <w:rsid w:val="00531AB8"/>
    <w:rsid w:val="0053313E"/>
    <w:rsid w:val="005355E3"/>
    <w:rsid w:val="00535635"/>
    <w:rsid w:val="00535D8C"/>
    <w:rsid w:val="0053625D"/>
    <w:rsid w:val="00540CD7"/>
    <w:rsid w:val="005414F1"/>
    <w:rsid w:val="0054152A"/>
    <w:rsid w:val="00541BBA"/>
    <w:rsid w:val="00541D79"/>
    <w:rsid w:val="00541E3A"/>
    <w:rsid w:val="0054217C"/>
    <w:rsid w:val="00542E47"/>
    <w:rsid w:val="0054472D"/>
    <w:rsid w:val="00544C81"/>
    <w:rsid w:val="00544EC1"/>
    <w:rsid w:val="00544F9F"/>
    <w:rsid w:val="00544FE8"/>
    <w:rsid w:val="00545288"/>
    <w:rsid w:val="00545503"/>
    <w:rsid w:val="00545E9F"/>
    <w:rsid w:val="0054639D"/>
    <w:rsid w:val="005468EA"/>
    <w:rsid w:val="00546F65"/>
    <w:rsid w:val="00550C70"/>
    <w:rsid w:val="00552578"/>
    <w:rsid w:val="005527B9"/>
    <w:rsid w:val="00552A31"/>
    <w:rsid w:val="00553370"/>
    <w:rsid w:val="00553C17"/>
    <w:rsid w:val="005541B8"/>
    <w:rsid w:val="00555924"/>
    <w:rsid w:val="00555D6B"/>
    <w:rsid w:val="005560FB"/>
    <w:rsid w:val="0056032B"/>
    <w:rsid w:val="00560466"/>
    <w:rsid w:val="00561A1C"/>
    <w:rsid w:val="00561CBB"/>
    <w:rsid w:val="00561DF0"/>
    <w:rsid w:val="00562297"/>
    <w:rsid w:val="00562B2B"/>
    <w:rsid w:val="00563022"/>
    <w:rsid w:val="00563CE3"/>
    <w:rsid w:val="00563F2C"/>
    <w:rsid w:val="005640F9"/>
    <w:rsid w:val="00564582"/>
    <w:rsid w:val="00564AF5"/>
    <w:rsid w:val="00565C2C"/>
    <w:rsid w:val="00566F47"/>
    <w:rsid w:val="00567422"/>
    <w:rsid w:val="0056750C"/>
    <w:rsid w:val="005678B3"/>
    <w:rsid w:val="00571039"/>
    <w:rsid w:val="00571112"/>
    <w:rsid w:val="005716E5"/>
    <w:rsid w:val="00571F29"/>
    <w:rsid w:val="00572110"/>
    <w:rsid w:val="00572DD3"/>
    <w:rsid w:val="00573081"/>
    <w:rsid w:val="00573F65"/>
    <w:rsid w:val="00574841"/>
    <w:rsid w:val="00574862"/>
    <w:rsid w:val="0057660A"/>
    <w:rsid w:val="0057793A"/>
    <w:rsid w:val="0058016B"/>
    <w:rsid w:val="005806BF"/>
    <w:rsid w:val="00580D33"/>
    <w:rsid w:val="00581339"/>
    <w:rsid w:val="005822DC"/>
    <w:rsid w:val="005823CC"/>
    <w:rsid w:val="00582B5F"/>
    <w:rsid w:val="00582D98"/>
    <w:rsid w:val="00583384"/>
    <w:rsid w:val="005841A5"/>
    <w:rsid w:val="0058467E"/>
    <w:rsid w:val="00585390"/>
    <w:rsid w:val="005855F8"/>
    <w:rsid w:val="00585748"/>
    <w:rsid w:val="005862A1"/>
    <w:rsid w:val="00587B3B"/>
    <w:rsid w:val="005902E2"/>
    <w:rsid w:val="005902F7"/>
    <w:rsid w:val="00590545"/>
    <w:rsid w:val="005907E1"/>
    <w:rsid w:val="00592769"/>
    <w:rsid w:val="00592873"/>
    <w:rsid w:val="005939A5"/>
    <w:rsid w:val="00595210"/>
    <w:rsid w:val="00595D3A"/>
    <w:rsid w:val="00596615"/>
    <w:rsid w:val="0059692F"/>
    <w:rsid w:val="00597301"/>
    <w:rsid w:val="00597343"/>
    <w:rsid w:val="005979AC"/>
    <w:rsid w:val="00597AC2"/>
    <w:rsid w:val="00597DCE"/>
    <w:rsid w:val="005A0999"/>
    <w:rsid w:val="005A148C"/>
    <w:rsid w:val="005A17B9"/>
    <w:rsid w:val="005A1B1F"/>
    <w:rsid w:val="005A2074"/>
    <w:rsid w:val="005A2C9A"/>
    <w:rsid w:val="005A41B7"/>
    <w:rsid w:val="005A59A9"/>
    <w:rsid w:val="005A5A6F"/>
    <w:rsid w:val="005A60F8"/>
    <w:rsid w:val="005A6DD0"/>
    <w:rsid w:val="005A7A56"/>
    <w:rsid w:val="005B0B8B"/>
    <w:rsid w:val="005B0DF5"/>
    <w:rsid w:val="005B1908"/>
    <w:rsid w:val="005B267A"/>
    <w:rsid w:val="005B277E"/>
    <w:rsid w:val="005B4106"/>
    <w:rsid w:val="005B4CD0"/>
    <w:rsid w:val="005B51F5"/>
    <w:rsid w:val="005B53B8"/>
    <w:rsid w:val="005C09D2"/>
    <w:rsid w:val="005C34EB"/>
    <w:rsid w:val="005C40CA"/>
    <w:rsid w:val="005C5796"/>
    <w:rsid w:val="005C58FA"/>
    <w:rsid w:val="005C5CB6"/>
    <w:rsid w:val="005C5E6B"/>
    <w:rsid w:val="005C6C3C"/>
    <w:rsid w:val="005D0653"/>
    <w:rsid w:val="005D0CD4"/>
    <w:rsid w:val="005D197E"/>
    <w:rsid w:val="005D335C"/>
    <w:rsid w:val="005D3705"/>
    <w:rsid w:val="005D3937"/>
    <w:rsid w:val="005D3C8B"/>
    <w:rsid w:val="005D3FCB"/>
    <w:rsid w:val="005D4FF9"/>
    <w:rsid w:val="005D55BF"/>
    <w:rsid w:val="005D600D"/>
    <w:rsid w:val="005D6CDC"/>
    <w:rsid w:val="005E0010"/>
    <w:rsid w:val="005E03A0"/>
    <w:rsid w:val="005E0EDF"/>
    <w:rsid w:val="005E3B9B"/>
    <w:rsid w:val="005E3EC2"/>
    <w:rsid w:val="005E5E6E"/>
    <w:rsid w:val="005E5F3B"/>
    <w:rsid w:val="005E6313"/>
    <w:rsid w:val="005E6A59"/>
    <w:rsid w:val="005E7998"/>
    <w:rsid w:val="005F1A6F"/>
    <w:rsid w:val="005F2496"/>
    <w:rsid w:val="005F2CF0"/>
    <w:rsid w:val="005F3294"/>
    <w:rsid w:val="005F390A"/>
    <w:rsid w:val="005F42AB"/>
    <w:rsid w:val="005F49A7"/>
    <w:rsid w:val="005F4B82"/>
    <w:rsid w:val="005F4F01"/>
    <w:rsid w:val="005F60C3"/>
    <w:rsid w:val="005F61CE"/>
    <w:rsid w:val="005F6944"/>
    <w:rsid w:val="005F6D6D"/>
    <w:rsid w:val="005F722C"/>
    <w:rsid w:val="005F749D"/>
    <w:rsid w:val="005F7E06"/>
    <w:rsid w:val="006000BB"/>
    <w:rsid w:val="00600A87"/>
    <w:rsid w:val="00600D1C"/>
    <w:rsid w:val="00603238"/>
    <w:rsid w:val="00603FDC"/>
    <w:rsid w:val="00604001"/>
    <w:rsid w:val="00604848"/>
    <w:rsid w:val="006048AB"/>
    <w:rsid w:val="006069A2"/>
    <w:rsid w:val="00606AD9"/>
    <w:rsid w:val="0060703B"/>
    <w:rsid w:val="006070A7"/>
    <w:rsid w:val="006072DE"/>
    <w:rsid w:val="00607500"/>
    <w:rsid w:val="00610397"/>
    <w:rsid w:val="006103FE"/>
    <w:rsid w:val="006110EC"/>
    <w:rsid w:val="0061125A"/>
    <w:rsid w:val="0061289D"/>
    <w:rsid w:val="00612F26"/>
    <w:rsid w:val="00614CBD"/>
    <w:rsid w:val="00615305"/>
    <w:rsid w:val="00615A5D"/>
    <w:rsid w:val="006162D7"/>
    <w:rsid w:val="006217A2"/>
    <w:rsid w:val="00621BCC"/>
    <w:rsid w:val="00623B30"/>
    <w:rsid w:val="0062447A"/>
    <w:rsid w:val="00625283"/>
    <w:rsid w:val="00625BAB"/>
    <w:rsid w:val="00626441"/>
    <w:rsid w:val="00626761"/>
    <w:rsid w:val="006270AB"/>
    <w:rsid w:val="0062739F"/>
    <w:rsid w:val="00632207"/>
    <w:rsid w:val="00632321"/>
    <w:rsid w:val="006324CD"/>
    <w:rsid w:val="00632A45"/>
    <w:rsid w:val="00632B0F"/>
    <w:rsid w:val="00632B89"/>
    <w:rsid w:val="006345F9"/>
    <w:rsid w:val="0063491C"/>
    <w:rsid w:val="006354A9"/>
    <w:rsid w:val="00636038"/>
    <w:rsid w:val="0063673A"/>
    <w:rsid w:val="006373C8"/>
    <w:rsid w:val="00637D38"/>
    <w:rsid w:val="00641A5C"/>
    <w:rsid w:val="00642B51"/>
    <w:rsid w:val="00643844"/>
    <w:rsid w:val="00643CF1"/>
    <w:rsid w:val="0064415E"/>
    <w:rsid w:val="0064417B"/>
    <w:rsid w:val="00644329"/>
    <w:rsid w:val="00644B74"/>
    <w:rsid w:val="00645A2F"/>
    <w:rsid w:val="00645D2F"/>
    <w:rsid w:val="0064660D"/>
    <w:rsid w:val="00646C03"/>
    <w:rsid w:val="006473C6"/>
    <w:rsid w:val="006475B9"/>
    <w:rsid w:val="00647D2B"/>
    <w:rsid w:val="006515C6"/>
    <w:rsid w:val="00651C46"/>
    <w:rsid w:val="00652287"/>
    <w:rsid w:val="006527AD"/>
    <w:rsid w:val="006535F2"/>
    <w:rsid w:val="006537F9"/>
    <w:rsid w:val="00653F17"/>
    <w:rsid w:val="006545FB"/>
    <w:rsid w:val="006559F0"/>
    <w:rsid w:val="00655BF4"/>
    <w:rsid w:val="00657352"/>
    <w:rsid w:val="006601EA"/>
    <w:rsid w:val="00660390"/>
    <w:rsid w:val="006610EE"/>
    <w:rsid w:val="00661A17"/>
    <w:rsid w:val="00661AFE"/>
    <w:rsid w:val="0066319B"/>
    <w:rsid w:val="0066319F"/>
    <w:rsid w:val="00663AF6"/>
    <w:rsid w:val="00664ECA"/>
    <w:rsid w:val="00665861"/>
    <w:rsid w:val="00665AF9"/>
    <w:rsid w:val="006668A0"/>
    <w:rsid w:val="00667891"/>
    <w:rsid w:val="00667AF1"/>
    <w:rsid w:val="00667E57"/>
    <w:rsid w:val="006700EE"/>
    <w:rsid w:val="00670652"/>
    <w:rsid w:val="00670D94"/>
    <w:rsid w:val="00672CC9"/>
    <w:rsid w:val="006735CA"/>
    <w:rsid w:val="00673977"/>
    <w:rsid w:val="00675EA0"/>
    <w:rsid w:val="0067742E"/>
    <w:rsid w:val="006776AF"/>
    <w:rsid w:val="00677FF5"/>
    <w:rsid w:val="00680008"/>
    <w:rsid w:val="006800CE"/>
    <w:rsid w:val="00680347"/>
    <w:rsid w:val="00680707"/>
    <w:rsid w:val="00680F19"/>
    <w:rsid w:val="00682254"/>
    <w:rsid w:val="006829B5"/>
    <w:rsid w:val="006833CA"/>
    <w:rsid w:val="006834D7"/>
    <w:rsid w:val="00683B2C"/>
    <w:rsid w:val="00684C9F"/>
    <w:rsid w:val="0068544E"/>
    <w:rsid w:val="006856AD"/>
    <w:rsid w:val="00685B6A"/>
    <w:rsid w:val="00685B8D"/>
    <w:rsid w:val="0068670C"/>
    <w:rsid w:val="00686981"/>
    <w:rsid w:val="00687608"/>
    <w:rsid w:val="0069024B"/>
    <w:rsid w:val="00690CD2"/>
    <w:rsid w:val="0069185F"/>
    <w:rsid w:val="00691C57"/>
    <w:rsid w:val="006928CA"/>
    <w:rsid w:val="00693214"/>
    <w:rsid w:val="006936DE"/>
    <w:rsid w:val="00694822"/>
    <w:rsid w:val="006949B7"/>
    <w:rsid w:val="0069515B"/>
    <w:rsid w:val="00695A12"/>
    <w:rsid w:val="0069601E"/>
    <w:rsid w:val="00696049"/>
    <w:rsid w:val="0069715C"/>
    <w:rsid w:val="00697434"/>
    <w:rsid w:val="00697560"/>
    <w:rsid w:val="00697BC2"/>
    <w:rsid w:val="006A05E1"/>
    <w:rsid w:val="006A1C99"/>
    <w:rsid w:val="006A2DEB"/>
    <w:rsid w:val="006A3DD7"/>
    <w:rsid w:val="006A44AF"/>
    <w:rsid w:val="006A4589"/>
    <w:rsid w:val="006A45BB"/>
    <w:rsid w:val="006A59D4"/>
    <w:rsid w:val="006A69F2"/>
    <w:rsid w:val="006A6BF6"/>
    <w:rsid w:val="006A6C26"/>
    <w:rsid w:val="006A7205"/>
    <w:rsid w:val="006B1414"/>
    <w:rsid w:val="006B3733"/>
    <w:rsid w:val="006B47F5"/>
    <w:rsid w:val="006B4A0F"/>
    <w:rsid w:val="006B577F"/>
    <w:rsid w:val="006B5F5A"/>
    <w:rsid w:val="006B695B"/>
    <w:rsid w:val="006B73BF"/>
    <w:rsid w:val="006B77C8"/>
    <w:rsid w:val="006B7D73"/>
    <w:rsid w:val="006C07FF"/>
    <w:rsid w:val="006C1385"/>
    <w:rsid w:val="006C1F10"/>
    <w:rsid w:val="006C3D57"/>
    <w:rsid w:val="006C50D2"/>
    <w:rsid w:val="006C52B8"/>
    <w:rsid w:val="006C5537"/>
    <w:rsid w:val="006C57FD"/>
    <w:rsid w:val="006C5A06"/>
    <w:rsid w:val="006C756B"/>
    <w:rsid w:val="006C781E"/>
    <w:rsid w:val="006C7874"/>
    <w:rsid w:val="006D0E5A"/>
    <w:rsid w:val="006D1420"/>
    <w:rsid w:val="006D27CD"/>
    <w:rsid w:val="006D2AE7"/>
    <w:rsid w:val="006D3229"/>
    <w:rsid w:val="006D32C2"/>
    <w:rsid w:val="006D3D30"/>
    <w:rsid w:val="006D4F42"/>
    <w:rsid w:val="006D62B5"/>
    <w:rsid w:val="006D62B7"/>
    <w:rsid w:val="006D7383"/>
    <w:rsid w:val="006D73E4"/>
    <w:rsid w:val="006D7B5B"/>
    <w:rsid w:val="006E029B"/>
    <w:rsid w:val="006E2105"/>
    <w:rsid w:val="006E2315"/>
    <w:rsid w:val="006E2B93"/>
    <w:rsid w:val="006E5159"/>
    <w:rsid w:val="006E5E28"/>
    <w:rsid w:val="006E5EE2"/>
    <w:rsid w:val="006E6574"/>
    <w:rsid w:val="006E6645"/>
    <w:rsid w:val="006E7C14"/>
    <w:rsid w:val="006E7CC7"/>
    <w:rsid w:val="006E7E99"/>
    <w:rsid w:val="006E7FA1"/>
    <w:rsid w:val="006F04F4"/>
    <w:rsid w:val="006F0680"/>
    <w:rsid w:val="006F135C"/>
    <w:rsid w:val="006F1707"/>
    <w:rsid w:val="006F2145"/>
    <w:rsid w:val="006F29E5"/>
    <w:rsid w:val="006F2E9A"/>
    <w:rsid w:val="006F3C1C"/>
    <w:rsid w:val="006F3F25"/>
    <w:rsid w:val="006F4B10"/>
    <w:rsid w:val="006F5627"/>
    <w:rsid w:val="006F5F23"/>
    <w:rsid w:val="006F62A0"/>
    <w:rsid w:val="006F6910"/>
    <w:rsid w:val="006F7A2B"/>
    <w:rsid w:val="006F7C15"/>
    <w:rsid w:val="0070022C"/>
    <w:rsid w:val="00700400"/>
    <w:rsid w:val="007014F6"/>
    <w:rsid w:val="007020EE"/>
    <w:rsid w:val="007023B9"/>
    <w:rsid w:val="00703607"/>
    <w:rsid w:val="007047AC"/>
    <w:rsid w:val="00704B5F"/>
    <w:rsid w:val="00705605"/>
    <w:rsid w:val="0070562C"/>
    <w:rsid w:val="00706760"/>
    <w:rsid w:val="00706C0D"/>
    <w:rsid w:val="00706E9A"/>
    <w:rsid w:val="00710824"/>
    <w:rsid w:val="00710ABE"/>
    <w:rsid w:val="00710B7F"/>
    <w:rsid w:val="00710EBA"/>
    <w:rsid w:val="0071144F"/>
    <w:rsid w:val="007117C2"/>
    <w:rsid w:val="00711928"/>
    <w:rsid w:val="00711DB2"/>
    <w:rsid w:val="007129F4"/>
    <w:rsid w:val="007130D4"/>
    <w:rsid w:val="00713C6C"/>
    <w:rsid w:val="00714455"/>
    <w:rsid w:val="00714CF2"/>
    <w:rsid w:val="007156B9"/>
    <w:rsid w:val="007161B3"/>
    <w:rsid w:val="0071772A"/>
    <w:rsid w:val="0072021F"/>
    <w:rsid w:val="00720817"/>
    <w:rsid w:val="00721556"/>
    <w:rsid w:val="00721DC9"/>
    <w:rsid w:val="00722850"/>
    <w:rsid w:val="00723175"/>
    <w:rsid w:val="00723F38"/>
    <w:rsid w:val="00724867"/>
    <w:rsid w:val="00727AC8"/>
    <w:rsid w:val="00730461"/>
    <w:rsid w:val="007316AA"/>
    <w:rsid w:val="00731848"/>
    <w:rsid w:val="0073187D"/>
    <w:rsid w:val="00731FC8"/>
    <w:rsid w:val="007327BE"/>
    <w:rsid w:val="00732B59"/>
    <w:rsid w:val="0073353F"/>
    <w:rsid w:val="00733BD4"/>
    <w:rsid w:val="0073477D"/>
    <w:rsid w:val="00735748"/>
    <w:rsid w:val="00735A91"/>
    <w:rsid w:val="00736299"/>
    <w:rsid w:val="00737FBE"/>
    <w:rsid w:val="00741E1E"/>
    <w:rsid w:val="00742683"/>
    <w:rsid w:val="00742E45"/>
    <w:rsid w:val="00743DDE"/>
    <w:rsid w:val="007443AA"/>
    <w:rsid w:val="007447AF"/>
    <w:rsid w:val="00744B6F"/>
    <w:rsid w:val="007457D3"/>
    <w:rsid w:val="00745982"/>
    <w:rsid w:val="00745C09"/>
    <w:rsid w:val="0074663E"/>
    <w:rsid w:val="00746C70"/>
    <w:rsid w:val="007472B5"/>
    <w:rsid w:val="00747DE6"/>
    <w:rsid w:val="00750816"/>
    <w:rsid w:val="00750845"/>
    <w:rsid w:val="007513A7"/>
    <w:rsid w:val="0075210B"/>
    <w:rsid w:val="007524F4"/>
    <w:rsid w:val="00752833"/>
    <w:rsid w:val="007529E6"/>
    <w:rsid w:val="00753C13"/>
    <w:rsid w:val="0075467B"/>
    <w:rsid w:val="0075513D"/>
    <w:rsid w:val="00755492"/>
    <w:rsid w:val="00756267"/>
    <w:rsid w:val="0075644A"/>
    <w:rsid w:val="007571EA"/>
    <w:rsid w:val="007601FD"/>
    <w:rsid w:val="007606D7"/>
    <w:rsid w:val="0076147A"/>
    <w:rsid w:val="0076176C"/>
    <w:rsid w:val="0076256A"/>
    <w:rsid w:val="00764369"/>
    <w:rsid w:val="007657C1"/>
    <w:rsid w:val="00765D0F"/>
    <w:rsid w:val="0076616E"/>
    <w:rsid w:val="007666FD"/>
    <w:rsid w:val="007669FB"/>
    <w:rsid w:val="00766E27"/>
    <w:rsid w:val="00767098"/>
    <w:rsid w:val="00767655"/>
    <w:rsid w:val="00767FAE"/>
    <w:rsid w:val="007720C0"/>
    <w:rsid w:val="007723E3"/>
    <w:rsid w:val="00773111"/>
    <w:rsid w:val="0077389E"/>
    <w:rsid w:val="00773EC5"/>
    <w:rsid w:val="00774D63"/>
    <w:rsid w:val="0077539F"/>
    <w:rsid w:val="00775660"/>
    <w:rsid w:val="00775AE6"/>
    <w:rsid w:val="00776799"/>
    <w:rsid w:val="0077755F"/>
    <w:rsid w:val="00777B70"/>
    <w:rsid w:val="0078129C"/>
    <w:rsid w:val="00782847"/>
    <w:rsid w:val="00782899"/>
    <w:rsid w:val="00783CEA"/>
    <w:rsid w:val="007844F4"/>
    <w:rsid w:val="007852DC"/>
    <w:rsid w:val="00785307"/>
    <w:rsid w:val="00785E5C"/>
    <w:rsid w:val="00786D68"/>
    <w:rsid w:val="00787DC3"/>
    <w:rsid w:val="00790D77"/>
    <w:rsid w:val="00791260"/>
    <w:rsid w:val="007926CC"/>
    <w:rsid w:val="007931ED"/>
    <w:rsid w:val="007934F9"/>
    <w:rsid w:val="0079391C"/>
    <w:rsid w:val="00793931"/>
    <w:rsid w:val="007939D8"/>
    <w:rsid w:val="0079428A"/>
    <w:rsid w:val="00794BC5"/>
    <w:rsid w:val="00794E4E"/>
    <w:rsid w:val="007962A0"/>
    <w:rsid w:val="007975B4"/>
    <w:rsid w:val="0079764F"/>
    <w:rsid w:val="007A036D"/>
    <w:rsid w:val="007A0429"/>
    <w:rsid w:val="007A053C"/>
    <w:rsid w:val="007A0BDD"/>
    <w:rsid w:val="007A15AF"/>
    <w:rsid w:val="007A1FF2"/>
    <w:rsid w:val="007A3D85"/>
    <w:rsid w:val="007A406D"/>
    <w:rsid w:val="007A41DA"/>
    <w:rsid w:val="007A4787"/>
    <w:rsid w:val="007A4B7B"/>
    <w:rsid w:val="007A59E9"/>
    <w:rsid w:val="007A5A09"/>
    <w:rsid w:val="007A62B0"/>
    <w:rsid w:val="007A6449"/>
    <w:rsid w:val="007A76D3"/>
    <w:rsid w:val="007B2778"/>
    <w:rsid w:val="007B2965"/>
    <w:rsid w:val="007B2E9E"/>
    <w:rsid w:val="007B35CB"/>
    <w:rsid w:val="007B5292"/>
    <w:rsid w:val="007B5756"/>
    <w:rsid w:val="007C0337"/>
    <w:rsid w:val="007C04AB"/>
    <w:rsid w:val="007C168C"/>
    <w:rsid w:val="007C1860"/>
    <w:rsid w:val="007C201B"/>
    <w:rsid w:val="007C2632"/>
    <w:rsid w:val="007C2842"/>
    <w:rsid w:val="007C2CB5"/>
    <w:rsid w:val="007C2F06"/>
    <w:rsid w:val="007C3009"/>
    <w:rsid w:val="007C5150"/>
    <w:rsid w:val="007C5A0C"/>
    <w:rsid w:val="007C658E"/>
    <w:rsid w:val="007C7872"/>
    <w:rsid w:val="007D0754"/>
    <w:rsid w:val="007D0993"/>
    <w:rsid w:val="007D0F97"/>
    <w:rsid w:val="007D12A7"/>
    <w:rsid w:val="007D2AC9"/>
    <w:rsid w:val="007D2CC1"/>
    <w:rsid w:val="007D2DD7"/>
    <w:rsid w:val="007D341B"/>
    <w:rsid w:val="007D34B7"/>
    <w:rsid w:val="007D3528"/>
    <w:rsid w:val="007D3A80"/>
    <w:rsid w:val="007D4297"/>
    <w:rsid w:val="007D4687"/>
    <w:rsid w:val="007D4A4C"/>
    <w:rsid w:val="007D5704"/>
    <w:rsid w:val="007D59E1"/>
    <w:rsid w:val="007D5F24"/>
    <w:rsid w:val="007D6BA7"/>
    <w:rsid w:val="007D6C27"/>
    <w:rsid w:val="007D78FA"/>
    <w:rsid w:val="007D79CC"/>
    <w:rsid w:val="007D7BB8"/>
    <w:rsid w:val="007E070F"/>
    <w:rsid w:val="007E087C"/>
    <w:rsid w:val="007E0FEE"/>
    <w:rsid w:val="007E1C43"/>
    <w:rsid w:val="007E2516"/>
    <w:rsid w:val="007E25D2"/>
    <w:rsid w:val="007E284B"/>
    <w:rsid w:val="007E48BD"/>
    <w:rsid w:val="007E4D7E"/>
    <w:rsid w:val="007E5537"/>
    <w:rsid w:val="007E5654"/>
    <w:rsid w:val="007E7B7C"/>
    <w:rsid w:val="007E7E93"/>
    <w:rsid w:val="007F10CE"/>
    <w:rsid w:val="007F1765"/>
    <w:rsid w:val="007F19B1"/>
    <w:rsid w:val="007F2017"/>
    <w:rsid w:val="007F2561"/>
    <w:rsid w:val="007F2FF0"/>
    <w:rsid w:val="007F51D3"/>
    <w:rsid w:val="0080070F"/>
    <w:rsid w:val="00800C43"/>
    <w:rsid w:val="00800D5E"/>
    <w:rsid w:val="00801B38"/>
    <w:rsid w:val="008024F9"/>
    <w:rsid w:val="00802ED3"/>
    <w:rsid w:val="0080390E"/>
    <w:rsid w:val="00803AA3"/>
    <w:rsid w:val="00803BF2"/>
    <w:rsid w:val="00803DBA"/>
    <w:rsid w:val="0080485E"/>
    <w:rsid w:val="00804ADB"/>
    <w:rsid w:val="0080710A"/>
    <w:rsid w:val="00807E43"/>
    <w:rsid w:val="0080F1AE"/>
    <w:rsid w:val="008114A2"/>
    <w:rsid w:val="00812EA8"/>
    <w:rsid w:val="00814B75"/>
    <w:rsid w:val="00814CFE"/>
    <w:rsid w:val="00814D6A"/>
    <w:rsid w:val="00815857"/>
    <w:rsid w:val="008159CF"/>
    <w:rsid w:val="00815CF1"/>
    <w:rsid w:val="0081629B"/>
    <w:rsid w:val="00816B04"/>
    <w:rsid w:val="00816CA4"/>
    <w:rsid w:val="00816E05"/>
    <w:rsid w:val="00817164"/>
    <w:rsid w:val="00817A06"/>
    <w:rsid w:val="00822108"/>
    <w:rsid w:val="00822639"/>
    <w:rsid w:val="00822656"/>
    <w:rsid w:val="00823401"/>
    <w:rsid w:val="00825EF5"/>
    <w:rsid w:val="00826066"/>
    <w:rsid w:val="008270FF"/>
    <w:rsid w:val="008278E3"/>
    <w:rsid w:val="00830232"/>
    <w:rsid w:val="0083234B"/>
    <w:rsid w:val="0083377E"/>
    <w:rsid w:val="008339BB"/>
    <w:rsid w:val="0083448E"/>
    <w:rsid w:val="008359DF"/>
    <w:rsid w:val="00836EAA"/>
    <w:rsid w:val="008379C7"/>
    <w:rsid w:val="00837CDF"/>
    <w:rsid w:val="00840288"/>
    <w:rsid w:val="00840A62"/>
    <w:rsid w:val="00840B0F"/>
    <w:rsid w:val="008413BB"/>
    <w:rsid w:val="00841E23"/>
    <w:rsid w:val="0084286A"/>
    <w:rsid w:val="00842A84"/>
    <w:rsid w:val="00842C04"/>
    <w:rsid w:val="008432FD"/>
    <w:rsid w:val="00843678"/>
    <w:rsid w:val="008438B8"/>
    <w:rsid w:val="00843C32"/>
    <w:rsid w:val="00843E3B"/>
    <w:rsid w:val="00843F7D"/>
    <w:rsid w:val="00844167"/>
    <w:rsid w:val="00844806"/>
    <w:rsid w:val="00846059"/>
    <w:rsid w:val="008462A4"/>
    <w:rsid w:val="00846B3D"/>
    <w:rsid w:val="00846F6C"/>
    <w:rsid w:val="008503F6"/>
    <w:rsid w:val="00851AD6"/>
    <w:rsid w:val="00851EE0"/>
    <w:rsid w:val="008521E9"/>
    <w:rsid w:val="00852570"/>
    <w:rsid w:val="00854060"/>
    <w:rsid w:val="00854C16"/>
    <w:rsid w:val="008603BD"/>
    <w:rsid w:val="00861DA1"/>
    <w:rsid w:val="0086419A"/>
    <w:rsid w:val="00864BDB"/>
    <w:rsid w:val="008655B3"/>
    <w:rsid w:val="00865E4E"/>
    <w:rsid w:val="00865E7D"/>
    <w:rsid w:val="008662E9"/>
    <w:rsid w:val="008663A9"/>
    <w:rsid w:val="008666B4"/>
    <w:rsid w:val="00866B9C"/>
    <w:rsid w:val="00866FFD"/>
    <w:rsid w:val="0086706C"/>
    <w:rsid w:val="0086709F"/>
    <w:rsid w:val="0086758E"/>
    <w:rsid w:val="008678F0"/>
    <w:rsid w:val="0087023B"/>
    <w:rsid w:val="008704E1"/>
    <w:rsid w:val="0087283C"/>
    <w:rsid w:val="00872F35"/>
    <w:rsid w:val="008735FA"/>
    <w:rsid w:val="00873DE8"/>
    <w:rsid w:val="00874F04"/>
    <w:rsid w:val="00877845"/>
    <w:rsid w:val="00877AF5"/>
    <w:rsid w:val="00880345"/>
    <w:rsid w:val="008809BF"/>
    <w:rsid w:val="0088104B"/>
    <w:rsid w:val="008817B1"/>
    <w:rsid w:val="00882288"/>
    <w:rsid w:val="00883D7A"/>
    <w:rsid w:val="008841F7"/>
    <w:rsid w:val="008845EF"/>
    <w:rsid w:val="008849A9"/>
    <w:rsid w:val="00885F38"/>
    <w:rsid w:val="0088684B"/>
    <w:rsid w:val="00886AEE"/>
    <w:rsid w:val="008901F5"/>
    <w:rsid w:val="008907FA"/>
    <w:rsid w:val="00890992"/>
    <w:rsid w:val="008920C6"/>
    <w:rsid w:val="00892FA5"/>
    <w:rsid w:val="008930F6"/>
    <w:rsid w:val="008937DD"/>
    <w:rsid w:val="008940BF"/>
    <w:rsid w:val="008947ED"/>
    <w:rsid w:val="008949D2"/>
    <w:rsid w:val="00894DCB"/>
    <w:rsid w:val="00895E49"/>
    <w:rsid w:val="00895F92"/>
    <w:rsid w:val="008963EF"/>
    <w:rsid w:val="00896603"/>
    <w:rsid w:val="00897825"/>
    <w:rsid w:val="008979D1"/>
    <w:rsid w:val="008A042A"/>
    <w:rsid w:val="008A08BF"/>
    <w:rsid w:val="008A0C1B"/>
    <w:rsid w:val="008A179F"/>
    <w:rsid w:val="008A32E1"/>
    <w:rsid w:val="008A3B67"/>
    <w:rsid w:val="008A3F31"/>
    <w:rsid w:val="008A45A7"/>
    <w:rsid w:val="008A5D1A"/>
    <w:rsid w:val="008A6488"/>
    <w:rsid w:val="008A6BF2"/>
    <w:rsid w:val="008A6E05"/>
    <w:rsid w:val="008A71E1"/>
    <w:rsid w:val="008A78FC"/>
    <w:rsid w:val="008B05FC"/>
    <w:rsid w:val="008B0864"/>
    <w:rsid w:val="008B096A"/>
    <w:rsid w:val="008B0D35"/>
    <w:rsid w:val="008B1624"/>
    <w:rsid w:val="008B175A"/>
    <w:rsid w:val="008B1D56"/>
    <w:rsid w:val="008B2141"/>
    <w:rsid w:val="008B2468"/>
    <w:rsid w:val="008B289C"/>
    <w:rsid w:val="008B6AF7"/>
    <w:rsid w:val="008B6E6A"/>
    <w:rsid w:val="008B6EA6"/>
    <w:rsid w:val="008B7270"/>
    <w:rsid w:val="008C1DB4"/>
    <w:rsid w:val="008C21C4"/>
    <w:rsid w:val="008C229A"/>
    <w:rsid w:val="008C28C2"/>
    <w:rsid w:val="008C28DA"/>
    <w:rsid w:val="008C2C86"/>
    <w:rsid w:val="008C3CB7"/>
    <w:rsid w:val="008C4610"/>
    <w:rsid w:val="008C4958"/>
    <w:rsid w:val="008C6537"/>
    <w:rsid w:val="008C67B9"/>
    <w:rsid w:val="008C7413"/>
    <w:rsid w:val="008C7750"/>
    <w:rsid w:val="008D0D47"/>
    <w:rsid w:val="008D10EC"/>
    <w:rsid w:val="008D1507"/>
    <w:rsid w:val="008D16B7"/>
    <w:rsid w:val="008D2ABD"/>
    <w:rsid w:val="008D3223"/>
    <w:rsid w:val="008D347A"/>
    <w:rsid w:val="008D4BB3"/>
    <w:rsid w:val="008D554E"/>
    <w:rsid w:val="008D779C"/>
    <w:rsid w:val="008E0012"/>
    <w:rsid w:val="008E11AF"/>
    <w:rsid w:val="008E20CB"/>
    <w:rsid w:val="008E223A"/>
    <w:rsid w:val="008E4376"/>
    <w:rsid w:val="008E4907"/>
    <w:rsid w:val="008E5DED"/>
    <w:rsid w:val="008E65F5"/>
    <w:rsid w:val="008E6AE6"/>
    <w:rsid w:val="008E6C63"/>
    <w:rsid w:val="008E7153"/>
    <w:rsid w:val="008E7479"/>
    <w:rsid w:val="008F0116"/>
    <w:rsid w:val="008F0A0A"/>
    <w:rsid w:val="008F143D"/>
    <w:rsid w:val="008F1721"/>
    <w:rsid w:val="008F1E3F"/>
    <w:rsid w:val="008F27A4"/>
    <w:rsid w:val="008F39AF"/>
    <w:rsid w:val="008F3E86"/>
    <w:rsid w:val="008F40C3"/>
    <w:rsid w:val="008F5352"/>
    <w:rsid w:val="008F53FD"/>
    <w:rsid w:val="008F5D64"/>
    <w:rsid w:val="008F6EF9"/>
    <w:rsid w:val="008F7CC6"/>
    <w:rsid w:val="00901FAF"/>
    <w:rsid w:val="00902C3D"/>
    <w:rsid w:val="0090319B"/>
    <w:rsid w:val="00903B1B"/>
    <w:rsid w:val="0090457A"/>
    <w:rsid w:val="00905DB1"/>
    <w:rsid w:val="00906731"/>
    <w:rsid w:val="009068CA"/>
    <w:rsid w:val="00906B1D"/>
    <w:rsid w:val="0090710E"/>
    <w:rsid w:val="0091000B"/>
    <w:rsid w:val="00912424"/>
    <w:rsid w:val="00913047"/>
    <w:rsid w:val="00913909"/>
    <w:rsid w:val="00913BD6"/>
    <w:rsid w:val="009145AA"/>
    <w:rsid w:val="0091466E"/>
    <w:rsid w:val="00914F3B"/>
    <w:rsid w:val="00915496"/>
    <w:rsid w:val="00915BB8"/>
    <w:rsid w:val="0091650F"/>
    <w:rsid w:val="0091692E"/>
    <w:rsid w:val="009169C3"/>
    <w:rsid w:val="009173E5"/>
    <w:rsid w:val="00921216"/>
    <w:rsid w:val="00921499"/>
    <w:rsid w:val="009254B4"/>
    <w:rsid w:val="009263D6"/>
    <w:rsid w:val="0092662D"/>
    <w:rsid w:val="00926DF7"/>
    <w:rsid w:val="00927ED2"/>
    <w:rsid w:val="00930755"/>
    <w:rsid w:val="00930AD1"/>
    <w:rsid w:val="00931DB9"/>
    <w:rsid w:val="009326C7"/>
    <w:rsid w:val="00932865"/>
    <w:rsid w:val="00933307"/>
    <w:rsid w:val="00933939"/>
    <w:rsid w:val="0093479F"/>
    <w:rsid w:val="00934F8C"/>
    <w:rsid w:val="009406EE"/>
    <w:rsid w:val="00940764"/>
    <w:rsid w:val="00941357"/>
    <w:rsid w:val="00942A12"/>
    <w:rsid w:val="009432E7"/>
    <w:rsid w:val="00943AFE"/>
    <w:rsid w:val="00943F92"/>
    <w:rsid w:val="009449F4"/>
    <w:rsid w:val="009455D9"/>
    <w:rsid w:val="009467A8"/>
    <w:rsid w:val="00947290"/>
    <w:rsid w:val="00950348"/>
    <w:rsid w:val="00950A75"/>
    <w:rsid w:val="00951514"/>
    <w:rsid w:val="00951FD5"/>
    <w:rsid w:val="00954CE8"/>
    <w:rsid w:val="00956477"/>
    <w:rsid w:val="0095739A"/>
    <w:rsid w:val="00957E7B"/>
    <w:rsid w:val="009602E2"/>
    <w:rsid w:val="009607AB"/>
    <w:rsid w:val="009609AE"/>
    <w:rsid w:val="00960B77"/>
    <w:rsid w:val="00962A90"/>
    <w:rsid w:val="00962AD7"/>
    <w:rsid w:val="009631E8"/>
    <w:rsid w:val="0096436A"/>
    <w:rsid w:val="00964F65"/>
    <w:rsid w:val="00965449"/>
    <w:rsid w:val="00965F2A"/>
    <w:rsid w:val="009674B9"/>
    <w:rsid w:val="00967618"/>
    <w:rsid w:val="009700EB"/>
    <w:rsid w:val="009711E7"/>
    <w:rsid w:val="009717B9"/>
    <w:rsid w:val="00971CD9"/>
    <w:rsid w:val="0097226C"/>
    <w:rsid w:val="009724EB"/>
    <w:rsid w:val="00972DF6"/>
    <w:rsid w:val="00974F1F"/>
    <w:rsid w:val="00975960"/>
    <w:rsid w:val="00976DD5"/>
    <w:rsid w:val="00977463"/>
    <w:rsid w:val="00977CB5"/>
    <w:rsid w:val="0098056E"/>
    <w:rsid w:val="0098138E"/>
    <w:rsid w:val="00981DDF"/>
    <w:rsid w:val="00982DEF"/>
    <w:rsid w:val="009836A2"/>
    <w:rsid w:val="009837E1"/>
    <w:rsid w:val="00984620"/>
    <w:rsid w:val="0098637D"/>
    <w:rsid w:val="0098655A"/>
    <w:rsid w:val="009873C6"/>
    <w:rsid w:val="00990B45"/>
    <w:rsid w:val="00990D65"/>
    <w:rsid w:val="00992481"/>
    <w:rsid w:val="00993CD9"/>
    <w:rsid w:val="00994164"/>
    <w:rsid w:val="0099416D"/>
    <w:rsid w:val="00994E8E"/>
    <w:rsid w:val="00994E90"/>
    <w:rsid w:val="009959EF"/>
    <w:rsid w:val="00996999"/>
    <w:rsid w:val="00997525"/>
    <w:rsid w:val="009A0371"/>
    <w:rsid w:val="009A08E3"/>
    <w:rsid w:val="009A193E"/>
    <w:rsid w:val="009A367F"/>
    <w:rsid w:val="009A3722"/>
    <w:rsid w:val="009A3831"/>
    <w:rsid w:val="009A471F"/>
    <w:rsid w:val="009A4A6E"/>
    <w:rsid w:val="009A4EBF"/>
    <w:rsid w:val="009A588B"/>
    <w:rsid w:val="009A6368"/>
    <w:rsid w:val="009A6E36"/>
    <w:rsid w:val="009A74CB"/>
    <w:rsid w:val="009A7942"/>
    <w:rsid w:val="009A7BEB"/>
    <w:rsid w:val="009B098A"/>
    <w:rsid w:val="009B16A9"/>
    <w:rsid w:val="009B29B8"/>
    <w:rsid w:val="009B29D9"/>
    <w:rsid w:val="009B37DF"/>
    <w:rsid w:val="009B4A1F"/>
    <w:rsid w:val="009B60EC"/>
    <w:rsid w:val="009B73DC"/>
    <w:rsid w:val="009B7BDA"/>
    <w:rsid w:val="009C0530"/>
    <w:rsid w:val="009C0566"/>
    <w:rsid w:val="009C2C25"/>
    <w:rsid w:val="009C328D"/>
    <w:rsid w:val="009C45D3"/>
    <w:rsid w:val="009C468B"/>
    <w:rsid w:val="009C48DA"/>
    <w:rsid w:val="009C4983"/>
    <w:rsid w:val="009C4E65"/>
    <w:rsid w:val="009C54EF"/>
    <w:rsid w:val="009C559A"/>
    <w:rsid w:val="009C5A98"/>
    <w:rsid w:val="009C5B08"/>
    <w:rsid w:val="009C5C91"/>
    <w:rsid w:val="009C5DBC"/>
    <w:rsid w:val="009C655D"/>
    <w:rsid w:val="009C6809"/>
    <w:rsid w:val="009C6F64"/>
    <w:rsid w:val="009C7621"/>
    <w:rsid w:val="009C7B65"/>
    <w:rsid w:val="009C7BBD"/>
    <w:rsid w:val="009D03D1"/>
    <w:rsid w:val="009D0519"/>
    <w:rsid w:val="009D2BF6"/>
    <w:rsid w:val="009D3249"/>
    <w:rsid w:val="009D3CC2"/>
    <w:rsid w:val="009D56DE"/>
    <w:rsid w:val="009D7284"/>
    <w:rsid w:val="009D7513"/>
    <w:rsid w:val="009D7615"/>
    <w:rsid w:val="009D7D3C"/>
    <w:rsid w:val="009E2902"/>
    <w:rsid w:val="009E2E91"/>
    <w:rsid w:val="009E4C93"/>
    <w:rsid w:val="009E5529"/>
    <w:rsid w:val="009E565D"/>
    <w:rsid w:val="009E5C4C"/>
    <w:rsid w:val="009E6052"/>
    <w:rsid w:val="009E7C7F"/>
    <w:rsid w:val="009F00B9"/>
    <w:rsid w:val="009F1245"/>
    <w:rsid w:val="009F390A"/>
    <w:rsid w:val="009F3CA3"/>
    <w:rsid w:val="009F418B"/>
    <w:rsid w:val="009F4279"/>
    <w:rsid w:val="009F42EA"/>
    <w:rsid w:val="009F4532"/>
    <w:rsid w:val="009F54C6"/>
    <w:rsid w:val="009F5836"/>
    <w:rsid w:val="009F5CA6"/>
    <w:rsid w:val="009F5D00"/>
    <w:rsid w:val="009F650E"/>
    <w:rsid w:val="00A000DA"/>
    <w:rsid w:val="00A018CA"/>
    <w:rsid w:val="00A01D85"/>
    <w:rsid w:val="00A031CC"/>
    <w:rsid w:val="00A035CD"/>
    <w:rsid w:val="00A03D09"/>
    <w:rsid w:val="00A04010"/>
    <w:rsid w:val="00A044DD"/>
    <w:rsid w:val="00A04764"/>
    <w:rsid w:val="00A04820"/>
    <w:rsid w:val="00A048DB"/>
    <w:rsid w:val="00A04A44"/>
    <w:rsid w:val="00A0641F"/>
    <w:rsid w:val="00A07743"/>
    <w:rsid w:val="00A10967"/>
    <w:rsid w:val="00A11B4A"/>
    <w:rsid w:val="00A11E2A"/>
    <w:rsid w:val="00A121E5"/>
    <w:rsid w:val="00A13382"/>
    <w:rsid w:val="00A1376E"/>
    <w:rsid w:val="00A149E9"/>
    <w:rsid w:val="00A14E00"/>
    <w:rsid w:val="00A153AD"/>
    <w:rsid w:val="00A1731E"/>
    <w:rsid w:val="00A17A5C"/>
    <w:rsid w:val="00A17CE0"/>
    <w:rsid w:val="00A21BC4"/>
    <w:rsid w:val="00A22F55"/>
    <w:rsid w:val="00A23653"/>
    <w:rsid w:val="00A23D48"/>
    <w:rsid w:val="00A24002"/>
    <w:rsid w:val="00A24C53"/>
    <w:rsid w:val="00A2529B"/>
    <w:rsid w:val="00A25745"/>
    <w:rsid w:val="00A257C7"/>
    <w:rsid w:val="00A25D5D"/>
    <w:rsid w:val="00A27FC3"/>
    <w:rsid w:val="00A313BF"/>
    <w:rsid w:val="00A313D9"/>
    <w:rsid w:val="00A32571"/>
    <w:rsid w:val="00A32A46"/>
    <w:rsid w:val="00A3310F"/>
    <w:rsid w:val="00A332F5"/>
    <w:rsid w:val="00A336AB"/>
    <w:rsid w:val="00A33861"/>
    <w:rsid w:val="00A34D71"/>
    <w:rsid w:val="00A35013"/>
    <w:rsid w:val="00A350C0"/>
    <w:rsid w:val="00A36551"/>
    <w:rsid w:val="00A376E2"/>
    <w:rsid w:val="00A4067E"/>
    <w:rsid w:val="00A40847"/>
    <w:rsid w:val="00A41374"/>
    <w:rsid w:val="00A41551"/>
    <w:rsid w:val="00A41E2E"/>
    <w:rsid w:val="00A42147"/>
    <w:rsid w:val="00A42306"/>
    <w:rsid w:val="00A42898"/>
    <w:rsid w:val="00A43241"/>
    <w:rsid w:val="00A44E8D"/>
    <w:rsid w:val="00A4515B"/>
    <w:rsid w:val="00A45610"/>
    <w:rsid w:val="00A46EA8"/>
    <w:rsid w:val="00A475D8"/>
    <w:rsid w:val="00A4774A"/>
    <w:rsid w:val="00A47819"/>
    <w:rsid w:val="00A47F48"/>
    <w:rsid w:val="00A502F7"/>
    <w:rsid w:val="00A507B4"/>
    <w:rsid w:val="00A5214F"/>
    <w:rsid w:val="00A52F99"/>
    <w:rsid w:val="00A53E03"/>
    <w:rsid w:val="00A54A28"/>
    <w:rsid w:val="00A551CA"/>
    <w:rsid w:val="00A55ACD"/>
    <w:rsid w:val="00A55D58"/>
    <w:rsid w:val="00A571FA"/>
    <w:rsid w:val="00A577C4"/>
    <w:rsid w:val="00A57FAB"/>
    <w:rsid w:val="00A60595"/>
    <w:rsid w:val="00A6071C"/>
    <w:rsid w:val="00A60B1E"/>
    <w:rsid w:val="00A62622"/>
    <w:rsid w:val="00A62EDB"/>
    <w:rsid w:val="00A63D36"/>
    <w:rsid w:val="00A64D98"/>
    <w:rsid w:val="00A66E23"/>
    <w:rsid w:val="00A67296"/>
    <w:rsid w:val="00A7021D"/>
    <w:rsid w:val="00A71BE3"/>
    <w:rsid w:val="00A71F7C"/>
    <w:rsid w:val="00A72D4C"/>
    <w:rsid w:val="00A73860"/>
    <w:rsid w:val="00A7388A"/>
    <w:rsid w:val="00A73D04"/>
    <w:rsid w:val="00A746DE"/>
    <w:rsid w:val="00A762C8"/>
    <w:rsid w:val="00A80672"/>
    <w:rsid w:val="00A81531"/>
    <w:rsid w:val="00A82044"/>
    <w:rsid w:val="00A829CE"/>
    <w:rsid w:val="00A82DE7"/>
    <w:rsid w:val="00A835AC"/>
    <w:rsid w:val="00A835F5"/>
    <w:rsid w:val="00A83D27"/>
    <w:rsid w:val="00A84292"/>
    <w:rsid w:val="00A84787"/>
    <w:rsid w:val="00A848A2"/>
    <w:rsid w:val="00A84D40"/>
    <w:rsid w:val="00A85D27"/>
    <w:rsid w:val="00A86F25"/>
    <w:rsid w:val="00A87118"/>
    <w:rsid w:val="00A87139"/>
    <w:rsid w:val="00A90ACE"/>
    <w:rsid w:val="00A90C20"/>
    <w:rsid w:val="00A90D73"/>
    <w:rsid w:val="00A913CA"/>
    <w:rsid w:val="00A941C9"/>
    <w:rsid w:val="00A943F3"/>
    <w:rsid w:val="00A94451"/>
    <w:rsid w:val="00A948A1"/>
    <w:rsid w:val="00A94C4E"/>
    <w:rsid w:val="00A951FF"/>
    <w:rsid w:val="00A95BC9"/>
    <w:rsid w:val="00A95EA1"/>
    <w:rsid w:val="00A96036"/>
    <w:rsid w:val="00A966F2"/>
    <w:rsid w:val="00A9678F"/>
    <w:rsid w:val="00A9749C"/>
    <w:rsid w:val="00AA2AD9"/>
    <w:rsid w:val="00AA3C76"/>
    <w:rsid w:val="00AA3F8E"/>
    <w:rsid w:val="00AA4A26"/>
    <w:rsid w:val="00AA4ADB"/>
    <w:rsid w:val="00AA5767"/>
    <w:rsid w:val="00AA6F82"/>
    <w:rsid w:val="00AA78C8"/>
    <w:rsid w:val="00AA7E75"/>
    <w:rsid w:val="00AA7F02"/>
    <w:rsid w:val="00AB1256"/>
    <w:rsid w:val="00AB2210"/>
    <w:rsid w:val="00AB2C5B"/>
    <w:rsid w:val="00AB41B8"/>
    <w:rsid w:val="00AB435F"/>
    <w:rsid w:val="00AB500C"/>
    <w:rsid w:val="00AB55E3"/>
    <w:rsid w:val="00AB572A"/>
    <w:rsid w:val="00AB6B6F"/>
    <w:rsid w:val="00AB7742"/>
    <w:rsid w:val="00AB7875"/>
    <w:rsid w:val="00AB7BC7"/>
    <w:rsid w:val="00AB7C54"/>
    <w:rsid w:val="00AB7E05"/>
    <w:rsid w:val="00AC02CC"/>
    <w:rsid w:val="00AC4007"/>
    <w:rsid w:val="00AC49CE"/>
    <w:rsid w:val="00AC666B"/>
    <w:rsid w:val="00AC68EE"/>
    <w:rsid w:val="00AC7718"/>
    <w:rsid w:val="00AC7ADB"/>
    <w:rsid w:val="00AD0BC2"/>
    <w:rsid w:val="00AD1590"/>
    <w:rsid w:val="00AD19E2"/>
    <w:rsid w:val="00AD2B69"/>
    <w:rsid w:val="00AD2C45"/>
    <w:rsid w:val="00AD2CF9"/>
    <w:rsid w:val="00AD2F9A"/>
    <w:rsid w:val="00AD3894"/>
    <w:rsid w:val="00AD6C04"/>
    <w:rsid w:val="00AD6C5B"/>
    <w:rsid w:val="00AD704F"/>
    <w:rsid w:val="00AE1206"/>
    <w:rsid w:val="00AE16C3"/>
    <w:rsid w:val="00AE26E2"/>
    <w:rsid w:val="00AE296C"/>
    <w:rsid w:val="00AE2E4C"/>
    <w:rsid w:val="00AE31A8"/>
    <w:rsid w:val="00AE3ADB"/>
    <w:rsid w:val="00AE3EDF"/>
    <w:rsid w:val="00AE43D3"/>
    <w:rsid w:val="00AE65CE"/>
    <w:rsid w:val="00AE72E2"/>
    <w:rsid w:val="00AE7B59"/>
    <w:rsid w:val="00AF0321"/>
    <w:rsid w:val="00AF1E65"/>
    <w:rsid w:val="00AF22C9"/>
    <w:rsid w:val="00AF37DC"/>
    <w:rsid w:val="00AF4AB2"/>
    <w:rsid w:val="00AF6F90"/>
    <w:rsid w:val="00AF728D"/>
    <w:rsid w:val="00AF79FE"/>
    <w:rsid w:val="00AF7ED2"/>
    <w:rsid w:val="00B00411"/>
    <w:rsid w:val="00B01E39"/>
    <w:rsid w:val="00B01F7E"/>
    <w:rsid w:val="00B02767"/>
    <w:rsid w:val="00B0327F"/>
    <w:rsid w:val="00B03456"/>
    <w:rsid w:val="00B034F8"/>
    <w:rsid w:val="00B03550"/>
    <w:rsid w:val="00B03C4B"/>
    <w:rsid w:val="00B04480"/>
    <w:rsid w:val="00B04F69"/>
    <w:rsid w:val="00B0545A"/>
    <w:rsid w:val="00B05DDA"/>
    <w:rsid w:val="00B068D8"/>
    <w:rsid w:val="00B073A5"/>
    <w:rsid w:val="00B07EFE"/>
    <w:rsid w:val="00B1034D"/>
    <w:rsid w:val="00B11216"/>
    <w:rsid w:val="00B114BB"/>
    <w:rsid w:val="00B11B8E"/>
    <w:rsid w:val="00B12371"/>
    <w:rsid w:val="00B12ACB"/>
    <w:rsid w:val="00B12C4A"/>
    <w:rsid w:val="00B14411"/>
    <w:rsid w:val="00B15A26"/>
    <w:rsid w:val="00B16C2A"/>
    <w:rsid w:val="00B170EF"/>
    <w:rsid w:val="00B173B0"/>
    <w:rsid w:val="00B17B38"/>
    <w:rsid w:val="00B21C9A"/>
    <w:rsid w:val="00B21CE2"/>
    <w:rsid w:val="00B25326"/>
    <w:rsid w:val="00B25711"/>
    <w:rsid w:val="00B26EDD"/>
    <w:rsid w:val="00B2737B"/>
    <w:rsid w:val="00B307B4"/>
    <w:rsid w:val="00B3087D"/>
    <w:rsid w:val="00B30E11"/>
    <w:rsid w:val="00B317F9"/>
    <w:rsid w:val="00B324F0"/>
    <w:rsid w:val="00B32C00"/>
    <w:rsid w:val="00B33901"/>
    <w:rsid w:val="00B34794"/>
    <w:rsid w:val="00B352EC"/>
    <w:rsid w:val="00B36050"/>
    <w:rsid w:val="00B36767"/>
    <w:rsid w:val="00B37162"/>
    <w:rsid w:val="00B37831"/>
    <w:rsid w:val="00B379CD"/>
    <w:rsid w:val="00B40098"/>
    <w:rsid w:val="00B4148C"/>
    <w:rsid w:val="00B41E5C"/>
    <w:rsid w:val="00B41FC4"/>
    <w:rsid w:val="00B433B8"/>
    <w:rsid w:val="00B43991"/>
    <w:rsid w:val="00B43B12"/>
    <w:rsid w:val="00B43BB6"/>
    <w:rsid w:val="00B44822"/>
    <w:rsid w:val="00B44F32"/>
    <w:rsid w:val="00B453A7"/>
    <w:rsid w:val="00B45538"/>
    <w:rsid w:val="00B46F61"/>
    <w:rsid w:val="00B4779A"/>
    <w:rsid w:val="00B51273"/>
    <w:rsid w:val="00B51F98"/>
    <w:rsid w:val="00B5217E"/>
    <w:rsid w:val="00B533C3"/>
    <w:rsid w:val="00B53E8E"/>
    <w:rsid w:val="00B5428A"/>
    <w:rsid w:val="00B556B1"/>
    <w:rsid w:val="00B55998"/>
    <w:rsid w:val="00B564DF"/>
    <w:rsid w:val="00B6020F"/>
    <w:rsid w:val="00B60421"/>
    <w:rsid w:val="00B60DD5"/>
    <w:rsid w:val="00B61728"/>
    <w:rsid w:val="00B62FB0"/>
    <w:rsid w:val="00B6333A"/>
    <w:rsid w:val="00B63976"/>
    <w:rsid w:val="00B64009"/>
    <w:rsid w:val="00B6499B"/>
    <w:rsid w:val="00B65511"/>
    <w:rsid w:val="00B66944"/>
    <w:rsid w:val="00B66C2B"/>
    <w:rsid w:val="00B671DC"/>
    <w:rsid w:val="00B67524"/>
    <w:rsid w:val="00B67613"/>
    <w:rsid w:val="00B70CDC"/>
    <w:rsid w:val="00B71C27"/>
    <w:rsid w:val="00B722C2"/>
    <w:rsid w:val="00B7241F"/>
    <w:rsid w:val="00B72970"/>
    <w:rsid w:val="00B72CD1"/>
    <w:rsid w:val="00B73326"/>
    <w:rsid w:val="00B73878"/>
    <w:rsid w:val="00B73EEA"/>
    <w:rsid w:val="00B740BD"/>
    <w:rsid w:val="00B7436E"/>
    <w:rsid w:val="00B744AD"/>
    <w:rsid w:val="00B75FBD"/>
    <w:rsid w:val="00B7675E"/>
    <w:rsid w:val="00B8022D"/>
    <w:rsid w:val="00B80340"/>
    <w:rsid w:val="00B81EB6"/>
    <w:rsid w:val="00B82253"/>
    <w:rsid w:val="00B82BD2"/>
    <w:rsid w:val="00B848C7"/>
    <w:rsid w:val="00B84FDF"/>
    <w:rsid w:val="00B8500C"/>
    <w:rsid w:val="00B865E1"/>
    <w:rsid w:val="00B879B8"/>
    <w:rsid w:val="00B904B8"/>
    <w:rsid w:val="00B9258B"/>
    <w:rsid w:val="00B93D05"/>
    <w:rsid w:val="00B94053"/>
    <w:rsid w:val="00B942D9"/>
    <w:rsid w:val="00B9439A"/>
    <w:rsid w:val="00B945BF"/>
    <w:rsid w:val="00B94782"/>
    <w:rsid w:val="00B95CDF"/>
    <w:rsid w:val="00B95F93"/>
    <w:rsid w:val="00B95FC1"/>
    <w:rsid w:val="00B96988"/>
    <w:rsid w:val="00B969B0"/>
    <w:rsid w:val="00B975FB"/>
    <w:rsid w:val="00B97C05"/>
    <w:rsid w:val="00BA0866"/>
    <w:rsid w:val="00BA1B95"/>
    <w:rsid w:val="00BA2EEB"/>
    <w:rsid w:val="00BA30AF"/>
    <w:rsid w:val="00BA342B"/>
    <w:rsid w:val="00BA512E"/>
    <w:rsid w:val="00BA579A"/>
    <w:rsid w:val="00BA5997"/>
    <w:rsid w:val="00BA6144"/>
    <w:rsid w:val="00BA6B96"/>
    <w:rsid w:val="00BA6C49"/>
    <w:rsid w:val="00BA6DAF"/>
    <w:rsid w:val="00BA6F1E"/>
    <w:rsid w:val="00BA734D"/>
    <w:rsid w:val="00BB0243"/>
    <w:rsid w:val="00BB102B"/>
    <w:rsid w:val="00BB1320"/>
    <w:rsid w:val="00BB1808"/>
    <w:rsid w:val="00BB1CA7"/>
    <w:rsid w:val="00BB2520"/>
    <w:rsid w:val="00BB3694"/>
    <w:rsid w:val="00BB39C6"/>
    <w:rsid w:val="00BB3D75"/>
    <w:rsid w:val="00BB484E"/>
    <w:rsid w:val="00BB7A6B"/>
    <w:rsid w:val="00BB7B5F"/>
    <w:rsid w:val="00BB7DCA"/>
    <w:rsid w:val="00BC0E18"/>
    <w:rsid w:val="00BC1628"/>
    <w:rsid w:val="00BC275D"/>
    <w:rsid w:val="00BC2790"/>
    <w:rsid w:val="00BC2CA1"/>
    <w:rsid w:val="00BC2F89"/>
    <w:rsid w:val="00BC3C31"/>
    <w:rsid w:val="00BC4C9C"/>
    <w:rsid w:val="00BC5003"/>
    <w:rsid w:val="00BC5426"/>
    <w:rsid w:val="00BC63E9"/>
    <w:rsid w:val="00BD07B8"/>
    <w:rsid w:val="00BD0845"/>
    <w:rsid w:val="00BD18E6"/>
    <w:rsid w:val="00BD19F0"/>
    <w:rsid w:val="00BD1DB3"/>
    <w:rsid w:val="00BD20E3"/>
    <w:rsid w:val="00BD23CF"/>
    <w:rsid w:val="00BD2ABD"/>
    <w:rsid w:val="00BD3F72"/>
    <w:rsid w:val="00BD4872"/>
    <w:rsid w:val="00BD4E04"/>
    <w:rsid w:val="00BD5053"/>
    <w:rsid w:val="00BD508C"/>
    <w:rsid w:val="00BD50B5"/>
    <w:rsid w:val="00BD526F"/>
    <w:rsid w:val="00BD59B9"/>
    <w:rsid w:val="00BD6166"/>
    <w:rsid w:val="00BD68C1"/>
    <w:rsid w:val="00BD6B74"/>
    <w:rsid w:val="00BE06FD"/>
    <w:rsid w:val="00BE0B01"/>
    <w:rsid w:val="00BE11B6"/>
    <w:rsid w:val="00BE11F9"/>
    <w:rsid w:val="00BE1550"/>
    <w:rsid w:val="00BE198E"/>
    <w:rsid w:val="00BE2901"/>
    <w:rsid w:val="00BE2E7B"/>
    <w:rsid w:val="00BE2F2A"/>
    <w:rsid w:val="00BE3054"/>
    <w:rsid w:val="00BE45B3"/>
    <w:rsid w:val="00BE5077"/>
    <w:rsid w:val="00BE5859"/>
    <w:rsid w:val="00BE5A0B"/>
    <w:rsid w:val="00BE6AFD"/>
    <w:rsid w:val="00BE6D72"/>
    <w:rsid w:val="00BE6E8E"/>
    <w:rsid w:val="00BE7CAB"/>
    <w:rsid w:val="00BF007C"/>
    <w:rsid w:val="00BF01C4"/>
    <w:rsid w:val="00BF1903"/>
    <w:rsid w:val="00BF246C"/>
    <w:rsid w:val="00BF2EDD"/>
    <w:rsid w:val="00BF30FB"/>
    <w:rsid w:val="00BF3A30"/>
    <w:rsid w:val="00BF4438"/>
    <w:rsid w:val="00BF4984"/>
    <w:rsid w:val="00BF4A97"/>
    <w:rsid w:val="00BF4AA1"/>
    <w:rsid w:val="00BF4F78"/>
    <w:rsid w:val="00BF7C18"/>
    <w:rsid w:val="00C0032B"/>
    <w:rsid w:val="00C012C4"/>
    <w:rsid w:val="00C031DC"/>
    <w:rsid w:val="00C0465C"/>
    <w:rsid w:val="00C048E9"/>
    <w:rsid w:val="00C056D7"/>
    <w:rsid w:val="00C06BFE"/>
    <w:rsid w:val="00C079AF"/>
    <w:rsid w:val="00C1093D"/>
    <w:rsid w:val="00C10A48"/>
    <w:rsid w:val="00C10B5F"/>
    <w:rsid w:val="00C10D64"/>
    <w:rsid w:val="00C11578"/>
    <w:rsid w:val="00C12020"/>
    <w:rsid w:val="00C12A40"/>
    <w:rsid w:val="00C12F05"/>
    <w:rsid w:val="00C12F06"/>
    <w:rsid w:val="00C132D4"/>
    <w:rsid w:val="00C15396"/>
    <w:rsid w:val="00C16147"/>
    <w:rsid w:val="00C168DF"/>
    <w:rsid w:val="00C17214"/>
    <w:rsid w:val="00C21F16"/>
    <w:rsid w:val="00C223D6"/>
    <w:rsid w:val="00C225BA"/>
    <w:rsid w:val="00C225D5"/>
    <w:rsid w:val="00C22C09"/>
    <w:rsid w:val="00C2345F"/>
    <w:rsid w:val="00C23B07"/>
    <w:rsid w:val="00C2407E"/>
    <w:rsid w:val="00C24863"/>
    <w:rsid w:val="00C260D3"/>
    <w:rsid w:val="00C268DC"/>
    <w:rsid w:val="00C30735"/>
    <w:rsid w:val="00C31200"/>
    <w:rsid w:val="00C32447"/>
    <w:rsid w:val="00C32C48"/>
    <w:rsid w:val="00C33413"/>
    <w:rsid w:val="00C3386A"/>
    <w:rsid w:val="00C33CB7"/>
    <w:rsid w:val="00C33E46"/>
    <w:rsid w:val="00C348AD"/>
    <w:rsid w:val="00C34F5E"/>
    <w:rsid w:val="00C36622"/>
    <w:rsid w:val="00C37644"/>
    <w:rsid w:val="00C37D20"/>
    <w:rsid w:val="00C41925"/>
    <w:rsid w:val="00C424E4"/>
    <w:rsid w:val="00C43185"/>
    <w:rsid w:val="00C44093"/>
    <w:rsid w:val="00C44234"/>
    <w:rsid w:val="00C44248"/>
    <w:rsid w:val="00C45A4D"/>
    <w:rsid w:val="00C46A33"/>
    <w:rsid w:val="00C50A0C"/>
    <w:rsid w:val="00C516BE"/>
    <w:rsid w:val="00C5288A"/>
    <w:rsid w:val="00C542DB"/>
    <w:rsid w:val="00C55180"/>
    <w:rsid w:val="00C56C95"/>
    <w:rsid w:val="00C60308"/>
    <w:rsid w:val="00C614C6"/>
    <w:rsid w:val="00C6200A"/>
    <w:rsid w:val="00C62224"/>
    <w:rsid w:val="00C62397"/>
    <w:rsid w:val="00C623AE"/>
    <w:rsid w:val="00C627F9"/>
    <w:rsid w:val="00C62F01"/>
    <w:rsid w:val="00C64543"/>
    <w:rsid w:val="00C646B5"/>
    <w:rsid w:val="00C65110"/>
    <w:rsid w:val="00C65224"/>
    <w:rsid w:val="00C655DF"/>
    <w:rsid w:val="00C66469"/>
    <w:rsid w:val="00C67AD3"/>
    <w:rsid w:val="00C701B6"/>
    <w:rsid w:val="00C7055E"/>
    <w:rsid w:val="00C70776"/>
    <w:rsid w:val="00C7126B"/>
    <w:rsid w:val="00C7165E"/>
    <w:rsid w:val="00C71E25"/>
    <w:rsid w:val="00C71EEA"/>
    <w:rsid w:val="00C7256B"/>
    <w:rsid w:val="00C73A75"/>
    <w:rsid w:val="00C73D9F"/>
    <w:rsid w:val="00C7475B"/>
    <w:rsid w:val="00C74779"/>
    <w:rsid w:val="00C74AE3"/>
    <w:rsid w:val="00C74BF4"/>
    <w:rsid w:val="00C752E9"/>
    <w:rsid w:val="00C7586D"/>
    <w:rsid w:val="00C75C73"/>
    <w:rsid w:val="00C75E44"/>
    <w:rsid w:val="00C7612A"/>
    <w:rsid w:val="00C765B1"/>
    <w:rsid w:val="00C817FA"/>
    <w:rsid w:val="00C82551"/>
    <w:rsid w:val="00C82E52"/>
    <w:rsid w:val="00C8309B"/>
    <w:rsid w:val="00C83DA3"/>
    <w:rsid w:val="00C8475A"/>
    <w:rsid w:val="00C85810"/>
    <w:rsid w:val="00C874C4"/>
    <w:rsid w:val="00C878D5"/>
    <w:rsid w:val="00C87B1F"/>
    <w:rsid w:val="00C90087"/>
    <w:rsid w:val="00C9033B"/>
    <w:rsid w:val="00C90DCB"/>
    <w:rsid w:val="00C91049"/>
    <w:rsid w:val="00C913A1"/>
    <w:rsid w:val="00C91956"/>
    <w:rsid w:val="00C91D71"/>
    <w:rsid w:val="00C92A99"/>
    <w:rsid w:val="00C92FB8"/>
    <w:rsid w:val="00C940D2"/>
    <w:rsid w:val="00C9477C"/>
    <w:rsid w:val="00C96581"/>
    <w:rsid w:val="00C96B91"/>
    <w:rsid w:val="00C97086"/>
    <w:rsid w:val="00C97B46"/>
    <w:rsid w:val="00C97DFD"/>
    <w:rsid w:val="00C97F39"/>
    <w:rsid w:val="00CA01D6"/>
    <w:rsid w:val="00CA045C"/>
    <w:rsid w:val="00CA071E"/>
    <w:rsid w:val="00CA2535"/>
    <w:rsid w:val="00CA34FF"/>
    <w:rsid w:val="00CA3C10"/>
    <w:rsid w:val="00CA465F"/>
    <w:rsid w:val="00CA4B9D"/>
    <w:rsid w:val="00CA4F16"/>
    <w:rsid w:val="00CA5B78"/>
    <w:rsid w:val="00CA5DCF"/>
    <w:rsid w:val="00CA6799"/>
    <w:rsid w:val="00CB0072"/>
    <w:rsid w:val="00CB06B4"/>
    <w:rsid w:val="00CB28E2"/>
    <w:rsid w:val="00CB2E7B"/>
    <w:rsid w:val="00CB5380"/>
    <w:rsid w:val="00CB7EAE"/>
    <w:rsid w:val="00CC0C31"/>
    <w:rsid w:val="00CC1786"/>
    <w:rsid w:val="00CC217E"/>
    <w:rsid w:val="00CC26C4"/>
    <w:rsid w:val="00CC2746"/>
    <w:rsid w:val="00CC2F1C"/>
    <w:rsid w:val="00CC35F7"/>
    <w:rsid w:val="00CC4740"/>
    <w:rsid w:val="00CC5471"/>
    <w:rsid w:val="00CC5CE1"/>
    <w:rsid w:val="00CC6A99"/>
    <w:rsid w:val="00CC74C0"/>
    <w:rsid w:val="00CC7B74"/>
    <w:rsid w:val="00CC7FB8"/>
    <w:rsid w:val="00CC7FDE"/>
    <w:rsid w:val="00CD00DC"/>
    <w:rsid w:val="00CD0B41"/>
    <w:rsid w:val="00CD137E"/>
    <w:rsid w:val="00CD2594"/>
    <w:rsid w:val="00CD2E71"/>
    <w:rsid w:val="00CD357A"/>
    <w:rsid w:val="00CD4D3A"/>
    <w:rsid w:val="00CD4F71"/>
    <w:rsid w:val="00CD74A5"/>
    <w:rsid w:val="00CD77FA"/>
    <w:rsid w:val="00CE149E"/>
    <w:rsid w:val="00CE14E7"/>
    <w:rsid w:val="00CE2753"/>
    <w:rsid w:val="00CE28C6"/>
    <w:rsid w:val="00CE5571"/>
    <w:rsid w:val="00CE57EF"/>
    <w:rsid w:val="00CE5B4E"/>
    <w:rsid w:val="00CE5B7E"/>
    <w:rsid w:val="00CE6191"/>
    <w:rsid w:val="00CE6696"/>
    <w:rsid w:val="00CE6955"/>
    <w:rsid w:val="00CF08E0"/>
    <w:rsid w:val="00CF0EC5"/>
    <w:rsid w:val="00CF1C87"/>
    <w:rsid w:val="00CF2654"/>
    <w:rsid w:val="00CF2C5A"/>
    <w:rsid w:val="00CF3AB8"/>
    <w:rsid w:val="00CF4C5E"/>
    <w:rsid w:val="00CF4F9A"/>
    <w:rsid w:val="00CF561B"/>
    <w:rsid w:val="00CF67EA"/>
    <w:rsid w:val="00CF6D71"/>
    <w:rsid w:val="00CF7494"/>
    <w:rsid w:val="00CF7AC9"/>
    <w:rsid w:val="00D00AA3"/>
    <w:rsid w:val="00D01C1E"/>
    <w:rsid w:val="00D02626"/>
    <w:rsid w:val="00D03E48"/>
    <w:rsid w:val="00D044A1"/>
    <w:rsid w:val="00D04AC6"/>
    <w:rsid w:val="00D04EE1"/>
    <w:rsid w:val="00D0504E"/>
    <w:rsid w:val="00D0583F"/>
    <w:rsid w:val="00D0618A"/>
    <w:rsid w:val="00D07E1C"/>
    <w:rsid w:val="00D07F73"/>
    <w:rsid w:val="00D10085"/>
    <w:rsid w:val="00D10C2F"/>
    <w:rsid w:val="00D114ED"/>
    <w:rsid w:val="00D1221E"/>
    <w:rsid w:val="00D1241B"/>
    <w:rsid w:val="00D12552"/>
    <w:rsid w:val="00D1319F"/>
    <w:rsid w:val="00D13517"/>
    <w:rsid w:val="00D14844"/>
    <w:rsid w:val="00D14AFB"/>
    <w:rsid w:val="00D14C14"/>
    <w:rsid w:val="00D15832"/>
    <w:rsid w:val="00D16F82"/>
    <w:rsid w:val="00D17CD6"/>
    <w:rsid w:val="00D2041C"/>
    <w:rsid w:val="00D207D6"/>
    <w:rsid w:val="00D214DD"/>
    <w:rsid w:val="00D217EA"/>
    <w:rsid w:val="00D21965"/>
    <w:rsid w:val="00D22434"/>
    <w:rsid w:val="00D232BA"/>
    <w:rsid w:val="00D23D5E"/>
    <w:rsid w:val="00D241D5"/>
    <w:rsid w:val="00D25ADE"/>
    <w:rsid w:val="00D25E28"/>
    <w:rsid w:val="00D25E67"/>
    <w:rsid w:val="00D26446"/>
    <w:rsid w:val="00D26AE2"/>
    <w:rsid w:val="00D31829"/>
    <w:rsid w:val="00D323BA"/>
    <w:rsid w:val="00D326A3"/>
    <w:rsid w:val="00D329D8"/>
    <w:rsid w:val="00D34321"/>
    <w:rsid w:val="00D34B67"/>
    <w:rsid w:val="00D34CD2"/>
    <w:rsid w:val="00D34DAE"/>
    <w:rsid w:val="00D36644"/>
    <w:rsid w:val="00D37289"/>
    <w:rsid w:val="00D41750"/>
    <w:rsid w:val="00D41A7F"/>
    <w:rsid w:val="00D41B79"/>
    <w:rsid w:val="00D428D0"/>
    <w:rsid w:val="00D43297"/>
    <w:rsid w:val="00D44DB6"/>
    <w:rsid w:val="00D44EED"/>
    <w:rsid w:val="00D45920"/>
    <w:rsid w:val="00D4777A"/>
    <w:rsid w:val="00D47D56"/>
    <w:rsid w:val="00D50119"/>
    <w:rsid w:val="00D5081A"/>
    <w:rsid w:val="00D50C59"/>
    <w:rsid w:val="00D51CBB"/>
    <w:rsid w:val="00D51E3A"/>
    <w:rsid w:val="00D52680"/>
    <w:rsid w:val="00D53098"/>
    <w:rsid w:val="00D53611"/>
    <w:rsid w:val="00D540ED"/>
    <w:rsid w:val="00D5447A"/>
    <w:rsid w:val="00D54EAA"/>
    <w:rsid w:val="00D550BF"/>
    <w:rsid w:val="00D55426"/>
    <w:rsid w:val="00D5624F"/>
    <w:rsid w:val="00D5625C"/>
    <w:rsid w:val="00D572DC"/>
    <w:rsid w:val="00D609F9"/>
    <w:rsid w:val="00D60FFE"/>
    <w:rsid w:val="00D6137C"/>
    <w:rsid w:val="00D6171E"/>
    <w:rsid w:val="00D6277B"/>
    <w:rsid w:val="00D62A95"/>
    <w:rsid w:val="00D62BA2"/>
    <w:rsid w:val="00D6336A"/>
    <w:rsid w:val="00D644DB"/>
    <w:rsid w:val="00D64C55"/>
    <w:rsid w:val="00D654A6"/>
    <w:rsid w:val="00D65AF5"/>
    <w:rsid w:val="00D65C34"/>
    <w:rsid w:val="00D66449"/>
    <w:rsid w:val="00D66624"/>
    <w:rsid w:val="00D6687E"/>
    <w:rsid w:val="00D670E7"/>
    <w:rsid w:val="00D67397"/>
    <w:rsid w:val="00D703D2"/>
    <w:rsid w:val="00D71E03"/>
    <w:rsid w:val="00D7391A"/>
    <w:rsid w:val="00D74039"/>
    <w:rsid w:val="00D74097"/>
    <w:rsid w:val="00D74324"/>
    <w:rsid w:val="00D74F15"/>
    <w:rsid w:val="00D75017"/>
    <w:rsid w:val="00D750B5"/>
    <w:rsid w:val="00D757B5"/>
    <w:rsid w:val="00D75D4E"/>
    <w:rsid w:val="00D76EF0"/>
    <w:rsid w:val="00D77577"/>
    <w:rsid w:val="00D80121"/>
    <w:rsid w:val="00D80542"/>
    <w:rsid w:val="00D80F6D"/>
    <w:rsid w:val="00D81412"/>
    <w:rsid w:val="00D81681"/>
    <w:rsid w:val="00D826AD"/>
    <w:rsid w:val="00D8271E"/>
    <w:rsid w:val="00D82A43"/>
    <w:rsid w:val="00D858E8"/>
    <w:rsid w:val="00D86641"/>
    <w:rsid w:val="00D867EB"/>
    <w:rsid w:val="00D86AA1"/>
    <w:rsid w:val="00D86BC4"/>
    <w:rsid w:val="00D86FEF"/>
    <w:rsid w:val="00D9009D"/>
    <w:rsid w:val="00D90A1A"/>
    <w:rsid w:val="00D90D9C"/>
    <w:rsid w:val="00D90DBD"/>
    <w:rsid w:val="00D91B05"/>
    <w:rsid w:val="00D93347"/>
    <w:rsid w:val="00D93D7C"/>
    <w:rsid w:val="00D953A6"/>
    <w:rsid w:val="00D96503"/>
    <w:rsid w:val="00D96898"/>
    <w:rsid w:val="00DA0669"/>
    <w:rsid w:val="00DA266E"/>
    <w:rsid w:val="00DA371C"/>
    <w:rsid w:val="00DA3D8A"/>
    <w:rsid w:val="00DA3E6B"/>
    <w:rsid w:val="00DA560E"/>
    <w:rsid w:val="00DA59EE"/>
    <w:rsid w:val="00DA618A"/>
    <w:rsid w:val="00DA62CC"/>
    <w:rsid w:val="00DA6B5A"/>
    <w:rsid w:val="00DA6D62"/>
    <w:rsid w:val="00DA7B5D"/>
    <w:rsid w:val="00DA7B6D"/>
    <w:rsid w:val="00DA7DF8"/>
    <w:rsid w:val="00DA7F38"/>
    <w:rsid w:val="00DB0534"/>
    <w:rsid w:val="00DB1048"/>
    <w:rsid w:val="00DB2032"/>
    <w:rsid w:val="00DB4BB4"/>
    <w:rsid w:val="00DB5536"/>
    <w:rsid w:val="00DB6990"/>
    <w:rsid w:val="00DB6FE7"/>
    <w:rsid w:val="00DB7ED1"/>
    <w:rsid w:val="00DC11CA"/>
    <w:rsid w:val="00DC2125"/>
    <w:rsid w:val="00DC3B54"/>
    <w:rsid w:val="00DC41AB"/>
    <w:rsid w:val="00DC46BC"/>
    <w:rsid w:val="00DC4F47"/>
    <w:rsid w:val="00DC5236"/>
    <w:rsid w:val="00DC71C1"/>
    <w:rsid w:val="00DC753A"/>
    <w:rsid w:val="00DC7FDA"/>
    <w:rsid w:val="00DD025B"/>
    <w:rsid w:val="00DD034B"/>
    <w:rsid w:val="00DD070F"/>
    <w:rsid w:val="00DD0931"/>
    <w:rsid w:val="00DD0CA6"/>
    <w:rsid w:val="00DD17E9"/>
    <w:rsid w:val="00DD284E"/>
    <w:rsid w:val="00DD3351"/>
    <w:rsid w:val="00DD4164"/>
    <w:rsid w:val="00DD4864"/>
    <w:rsid w:val="00DD4FA4"/>
    <w:rsid w:val="00DD75F6"/>
    <w:rsid w:val="00DE0F1E"/>
    <w:rsid w:val="00DE0F63"/>
    <w:rsid w:val="00DE23E9"/>
    <w:rsid w:val="00DE3CBB"/>
    <w:rsid w:val="00DE495B"/>
    <w:rsid w:val="00DE5E1A"/>
    <w:rsid w:val="00DE632E"/>
    <w:rsid w:val="00DE6674"/>
    <w:rsid w:val="00DE6E56"/>
    <w:rsid w:val="00DE73DE"/>
    <w:rsid w:val="00DF025A"/>
    <w:rsid w:val="00DF0B36"/>
    <w:rsid w:val="00DF1556"/>
    <w:rsid w:val="00DF37F6"/>
    <w:rsid w:val="00DF4276"/>
    <w:rsid w:val="00DF503F"/>
    <w:rsid w:val="00DF52AE"/>
    <w:rsid w:val="00DF57DD"/>
    <w:rsid w:val="00DF58E7"/>
    <w:rsid w:val="00DF681F"/>
    <w:rsid w:val="00E006B6"/>
    <w:rsid w:val="00E00FC0"/>
    <w:rsid w:val="00E013E7"/>
    <w:rsid w:val="00E023C3"/>
    <w:rsid w:val="00E03EA4"/>
    <w:rsid w:val="00E0556A"/>
    <w:rsid w:val="00E06448"/>
    <w:rsid w:val="00E0708B"/>
    <w:rsid w:val="00E10EFE"/>
    <w:rsid w:val="00E11406"/>
    <w:rsid w:val="00E11876"/>
    <w:rsid w:val="00E118A2"/>
    <w:rsid w:val="00E118D5"/>
    <w:rsid w:val="00E12457"/>
    <w:rsid w:val="00E1298F"/>
    <w:rsid w:val="00E129E4"/>
    <w:rsid w:val="00E12B8B"/>
    <w:rsid w:val="00E13FCF"/>
    <w:rsid w:val="00E143D9"/>
    <w:rsid w:val="00E145A3"/>
    <w:rsid w:val="00E1475D"/>
    <w:rsid w:val="00E1612F"/>
    <w:rsid w:val="00E1630C"/>
    <w:rsid w:val="00E17940"/>
    <w:rsid w:val="00E17D53"/>
    <w:rsid w:val="00E20400"/>
    <w:rsid w:val="00E22081"/>
    <w:rsid w:val="00E226FE"/>
    <w:rsid w:val="00E2286B"/>
    <w:rsid w:val="00E22B4F"/>
    <w:rsid w:val="00E23CBB"/>
    <w:rsid w:val="00E244FF"/>
    <w:rsid w:val="00E246BD"/>
    <w:rsid w:val="00E24802"/>
    <w:rsid w:val="00E25AAE"/>
    <w:rsid w:val="00E260DC"/>
    <w:rsid w:val="00E26A4B"/>
    <w:rsid w:val="00E276CF"/>
    <w:rsid w:val="00E3049E"/>
    <w:rsid w:val="00E30C2B"/>
    <w:rsid w:val="00E30CB3"/>
    <w:rsid w:val="00E30F1A"/>
    <w:rsid w:val="00E31211"/>
    <w:rsid w:val="00E3653B"/>
    <w:rsid w:val="00E36F32"/>
    <w:rsid w:val="00E37B06"/>
    <w:rsid w:val="00E37B59"/>
    <w:rsid w:val="00E37D49"/>
    <w:rsid w:val="00E415E8"/>
    <w:rsid w:val="00E41737"/>
    <w:rsid w:val="00E4246D"/>
    <w:rsid w:val="00E431FF"/>
    <w:rsid w:val="00E439ED"/>
    <w:rsid w:val="00E43C24"/>
    <w:rsid w:val="00E44650"/>
    <w:rsid w:val="00E44E4F"/>
    <w:rsid w:val="00E452FF"/>
    <w:rsid w:val="00E453BC"/>
    <w:rsid w:val="00E45C95"/>
    <w:rsid w:val="00E4640B"/>
    <w:rsid w:val="00E46FBA"/>
    <w:rsid w:val="00E473B3"/>
    <w:rsid w:val="00E47648"/>
    <w:rsid w:val="00E47FF5"/>
    <w:rsid w:val="00E50B85"/>
    <w:rsid w:val="00E518D3"/>
    <w:rsid w:val="00E53438"/>
    <w:rsid w:val="00E5432E"/>
    <w:rsid w:val="00E54615"/>
    <w:rsid w:val="00E55E97"/>
    <w:rsid w:val="00E56A57"/>
    <w:rsid w:val="00E579D1"/>
    <w:rsid w:val="00E61312"/>
    <w:rsid w:val="00E6267E"/>
    <w:rsid w:val="00E64C5B"/>
    <w:rsid w:val="00E65226"/>
    <w:rsid w:val="00E66132"/>
    <w:rsid w:val="00E66F7E"/>
    <w:rsid w:val="00E67CF3"/>
    <w:rsid w:val="00E7012D"/>
    <w:rsid w:val="00E70520"/>
    <w:rsid w:val="00E71050"/>
    <w:rsid w:val="00E716F0"/>
    <w:rsid w:val="00E725FC"/>
    <w:rsid w:val="00E72D3F"/>
    <w:rsid w:val="00E732F2"/>
    <w:rsid w:val="00E74DFE"/>
    <w:rsid w:val="00E7581E"/>
    <w:rsid w:val="00E75E09"/>
    <w:rsid w:val="00E773D5"/>
    <w:rsid w:val="00E779E9"/>
    <w:rsid w:val="00E801E8"/>
    <w:rsid w:val="00E809CC"/>
    <w:rsid w:val="00E80E9B"/>
    <w:rsid w:val="00E81898"/>
    <w:rsid w:val="00E81A79"/>
    <w:rsid w:val="00E81FF7"/>
    <w:rsid w:val="00E82F69"/>
    <w:rsid w:val="00E83513"/>
    <w:rsid w:val="00E8364B"/>
    <w:rsid w:val="00E83E0D"/>
    <w:rsid w:val="00E842F3"/>
    <w:rsid w:val="00E849A5"/>
    <w:rsid w:val="00E84ABD"/>
    <w:rsid w:val="00E85635"/>
    <w:rsid w:val="00E85B9A"/>
    <w:rsid w:val="00E85F43"/>
    <w:rsid w:val="00E868A0"/>
    <w:rsid w:val="00E86C59"/>
    <w:rsid w:val="00E86E37"/>
    <w:rsid w:val="00E87591"/>
    <w:rsid w:val="00E901C7"/>
    <w:rsid w:val="00E90202"/>
    <w:rsid w:val="00E9182A"/>
    <w:rsid w:val="00E928FC"/>
    <w:rsid w:val="00E93DBB"/>
    <w:rsid w:val="00E93EB5"/>
    <w:rsid w:val="00E93FBA"/>
    <w:rsid w:val="00E9443F"/>
    <w:rsid w:val="00E9549C"/>
    <w:rsid w:val="00E95B44"/>
    <w:rsid w:val="00E96034"/>
    <w:rsid w:val="00E979D0"/>
    <w:rsid w:val="00EA039A"/>
    <w:rsid w:val="00EA1012"/>
    <w:rsid w:val="00EA201F"/>
    <w:rsid w:val="00EA246E"/>
    <w:rsid w:val="00EA2A3D"/>
    <w:rsid w:val="00EA36C6"/>
    <w:rsid w:val="00EA3955"/>
    <w:rsid w:val="00EA3B82"/>
    <w:rsid w:val="00EA5E84"/>
    <w:rsid w:val="00EA6220"/>
    <w:rsid w:val="00EA69B0"/>
    <w:rsid w:val="00EA729E"/>
    <w:rsid w:val="00EA7BBD"/>
    <w:rsid w:val="00EA7EB9"/>
    <w:rsid w:val="00EB1FC1"/>
    <w:rsid w:val="00EB34EC"/>
    <w:rsid w:val="00EB3A44"/>
    <w:rsid w:val="00EB3B58"/>
    <w:rsid w:val="00EB63F2"/>
    <w:rsid w:val="00EB7847"/>
    <w:rsid w:val="00EC30F9"/>
    <w:rsid w:val="00EC3805"/>
    <w:rsid w:val="00EC38C9"/>
    <w:rsid w:val="00EC39AC"/>
    <w:rsid w:val="00EC5297"/>
    <w:rsid w:val="00EC59C6"/>
    <w:rsid w:val="00EC5C48"/>
    <w:rsid w:val="00EC5DC5"/>
    <w:rsid w:val="00EC5FCD"/>
    <w:rsid w:val="00EC6D45"/>
    <w:rsid w:val="00EC7064"/>
    <w:rsid w:val="00EC74D6"/>
    <w:rsid w:val="00EC7601"/>
    <w:rsid w:val="00EC7C41"/>
    <w:rsid w:val="00ED066F"/>
    <w:rsid w:val="00ED27BE"/>
    <w:rsid w:val="00ED2A86"/>
    <w:rsid w:val="00ED3009"/>
    <w:rsid w:val="00ED5133"/>
    <w:rsid w:val="00ED5725"/>
    <w:rsid w:val="00ED6BB3"/>
    <w:rsid w:val="00ED6FF3"/>
    <w:rsid w:val="00ED7031"/>
    <w:rsid w:val="00ED7DD0"/>
    <w:rsid w:val="00EE086E"/>
    <w:rsid w:val="00EE20E8"/>
    <w:rsid w:val="00EE3060"/>
    <w:rsid w:val="00EE3D6D"/>
    <w:rsid w:val="00EE4315"/>
    <w:rsid w:val="00EE5B34"/>
    <w:rsid w:val="00EE6E1C"/>
    <w:rsid w:val="00EE6E42"/>
    <w:rsid w:val="00EF0FA9"/>
    <w:rsid w:val="00EF3BF6"/>
    <w:rsid w:val="00EF4180"/>
    <w:rsid w:val="00EF594D"/>
    <w:rsid w:val="00EF6925"/>
    <w:rsid w:val="00EF6AED"/>
    <w:rsid w:val="00EF6BC5"/>
    <w:rsid w:val="00EF74A2"/>
    <w:rsid w:val="00EF7A1A"/>
    <w:rsid w:val="00EF7F90"/>
    <w:rsid w:val="00F003CD"/>
    <w:rsid w:val="00F01BA7"/>
    <w:rsid w:val="00F01F72"/>
    <w:rsid w:val="00F03BFD"/>
    <w:rsid w:val="00F03E56"/>
    <w:rsid w:val="00F0437D"/>
    <w:rsid w:val="00F04DBF"/>
    <w:rsid w:val="00F04E5E"/>
    <w:rsid w:val="00F05399"/>
    <w:rsid w:val="00F0551C"/>
    <w:rsid w:val="00F05ACD"/>
    <w:rsid w:val="00F05F80"/>
    <w:rsid w:val="00F11FC9"/>
    <w:rsid w:val="00F12118"/>
    <w:rsid w:val="00F1213E"/>
    <w:rsid w:val="00F12C51"/>
    <w:rsid w:val="00F13C1E"/>
    <w:rsid w:val="00F140A8"/>
    <w:rsid w:val="00F14E36"/>
    <w:rsid w:val="00F17853"/>
    <w:rsid w:val="00F17EF5"/>
    <w:rsid w:val="00F21914"/>
    <w:rsid w:val="00F21A91"/>
    <w:rsid w:val="00F226BE"/>
    <w:rsid w:val="00F22B92"/>
    <w:rsid w:val="00F23644"/>
    <w:rsid w:val="00F24C9E"/>
    <w:rsid w:val="00F25ED0"/>
    <w:rsid w:val="00F2640A"/>
    <w:rsid w:val="00F26ED3"/>
    <w:rsid w:val="00F273AA"/>
    <w:rsid w:val="00F30327"/>
    <w:rsid w:val="00F30492"/>
    <w:rsid w:val="00F31118"/>
    <w:rsid w:val="00F3228C"/>
    <w:rsid w:val="00F32829"/>
    <w:rsid w:val="00F332BC"/>
    <w:rsid w:val="00F33E38"/>
    <w:rsid w:val="00F34220"/>
    <w:rsid w:val="00F34DFD"/>
    <w:rsid w:val="00F351FC"/>
    <w:rsid w:val="00F354CB"/>
    <w:rsid w:val="00F3583A"/>
    <w:rsid w:val="00F35FB9"/>
    <w:rsid w:val="00F3659E"/>
    <w:rsid w:val="00F36B64"/>
    <w:rsid w:val="00F36C60"/>
    <w:rsid w:val="00F37BEB"/>
    <w:rsid w:val="00F37EB5"/>
    <w:rsid w:val="00F41242"/>
    <w:rsid w:val="00F41856"/>
    <w:rsid w:val="00F41A05"/>
    <w:rsid w:val="00F42846"/>
    <w:rsid w:val="00F43249"/>
    <w:rsid w:val="00F438E2"/>
    <w:rsid w:val="00F4468D"/>
    <w:rsid w:val="00F45CC3"/>
    <w:rsid w:val="00F468E3"/>
    <w:rsid w:val="00F479C2"/>
    <w:rsid w:val="00F47A04"/>
    <w:rsid w:val="00F47A82"/>
    <w:rsid w:val="00F501FD"/>
    <w:rsid w:val="00F5046C"/>
    <w:rsid w:val="00F50A01"/>
    <w:rsid w:val="00F50DD8"/>
    <w:rsid w:val="00F519CA"/>
    <w:rsid w:val="00F51A0E"/>
    <w:rsid w:val="00F51E6B"/>
    <w:rsid w:val="00F53D74"/>
    <w:rsid w:val="00F56201"/>
    <w:rsid w:val="00F57C64"/>
    <w:rsid w:val="00F60ECF"/>
    <w:rsid w:val="00F62046"/>
    <w:rsid w:val="00F6226F"/>
    <w:rsid w:val="00F624DF"/>
    <w:rsid w:val="00F62B7A"/>
    <w:rsid w:val="00F637CF"/>
    <w:rsid w:val="00F6397D"/>
    <w:rsid w:val="00F6448E"/>
    <w:rsid w:val="00F65A6D"/>
    <w:rsid w:val="00F65A6F"/>
    <w:rsid w:val="00F65A8F"/>
    <w:rsid w:val="00F662CB"/>
    <w:rsid w:val="00F669EA"/>
    <w:rsid w:val="00F67189"/>
    <w:rsid w:val="00F6729D"/>
    <w:rsid w:val="00F676B7"/>
    <w:rsid w:val="00F67F14"/>
    <w:rsid w:val="00F705F7"/>
    <w:rsid w:val="00F70D74"/>
    <w:rsid w:val="00F70FB0"/>
    <w:rsid w:val="00F71F01"/>
    <w:rsid w:val="00F72924"/>
    <w:rsid w:val="00F7293E"/>
    <w:rsid w:val="00F74EC3"/>
    <w:rsid w:val="00F75A0B"/>
    <w:rsid w:val="00F7635B"/>
    <w:rsid w:val="00F76646"/>
    <w:rsid w:val="00F76650"/>
    <w:rsid w:val="00F77B13"/>
    <w:rsid w:val="00F80292"/>
    <w:rsid w:val="00F80344"/>
    <w:rsid w:val="00F816F9"/>
    <w:rsid w:val="00F826C4"/>
    <w:rsid w:val="00F827DA"/>
    <w:rsid w:val="00F82B22"/>
    <w:rsid w:val="00F8305A"/>
    <w:rsid w:val="00F83B02"/>
    <w:rsid w:val="00F848CC"/>
    <w:rsid w:val="00F856BD"/>
    <w:rsid w:val="00F85DA6"/>
    <w:rsid w:val="00F861F4"/>
    <w:rsid w:val="00F86357"/>
    <w:rsid w:val="00F8646D"/>
    <w:rsid w:val="00F87D89"/>
    <w:rsid w:val="00F9020A"/>
    <w:rsid w:val="00F90ACC"/>
    <w:rsid w:val="00F9187B"/>
    <w:rsid w:val="00F91BAA"/>
    <w:rsid w:val="00F91CB8"/>
    <w:rsid w:val="00F91D69"/>
    <w:rsid w:val="00F92385"/>
    <w:rsid w:val="00F9421A"/>
    <w:rsid w:val="00FA04EB"/>
    <w:rsid w:val="00FA0C88"/>
    <w:rsid w:val="00FA10E7"/>
    <w:rsid w:val="00FA1B4F"/>
    <w:rsid w:val="00FA2B2A"/>
    <w:rsid w:val="00FA4AF0"/>
    <w:rsid w:val="00FA4D64"/>
    <w:rsid w:val="00FA50B1"/>
    <w:rsid w:val="00FA5211"/>
    <w:rsid w:val="00FA6756"/>
    <w:rsid w:val="00FA68C0"/>
    <w:rsid w:val="00FA73CE"/>
    <w:rsid w:val="00FB0A8E"/>
    <w:rsid w:val="00FB18FF"/>
    <w:rsid w:val="00FB1CA8"/>
    <w:rsid w:val="00FB22B6"/>
    <w:rsid w:val="00FB24F7"/>
    <w:rsid w:val="00FB3094"/>
    <w:rsid w:val="00FB449F"/>
    <w:rsid w:val="00FB4EE2"/>
    <w:rsid w:val="00FB510C"/>
    <w:rsid w:val="00FB5649"/>
    <w:rsid w:val="00FB61EA"/>
    <w:rsid w:val="00FB6B3F"/>
    <w:rsid w:val="00FB73F8"/>
    <w:rsid w:val="00FB767E"/>
    <w:rsid w:val="00FC06E5"/>
    <w:rsid w:val="00FC0920"/>
    <w:rsid w:val="00FC1384"/>
    <w:rsid w:val="00FC18F9"/>
    <w:rsid w:val="00FC2620"/>
    <w:rsid w:val="00FC29E2"/>
    <w:rsid w:val="00FC2C6E"/>
    <w:rsid w:val="00FC37CF"/>
    <w:rsid w:val="00FC3F05"/>
    <w:rsid w:val="00FC4459"/>
    <w:rsid w:val="00FC47F9"/>
    <w:rsid w:val="00FC4F96"/>
    <w:rsid w:val="00FC5736"/>
    <w:rsid w:val="00FC576E"/>
    <w:rsid w:val="00FC6271"/>
    <w:rsid w:val="00FC6625"/>
    <w:rsid w:val="00FC767D"/>
    <w:rsid w:val="00FC7824"/>
    <w:rsid w:val="00FD1CC7"/>
    <w:rsid w:val="00FD4282"/>
    <w:rsid w:val="00FD51AD"/>
    <w:rsid w:val="00FD5971"/>
    <w:rsid w:val="00FD63CA"/>
    <w:rsid w:val="00FD739B"/>
    <w:rsid w:val="00FE020E"/>
    <w:rsid w:val="00FE1AF0"/>
    <w:rsid w:val="00FE21C9"/>
    <w:rsid w:val="00FE2351"/>
    <w:rsid w:val="00FE2513"/>
    <w:rsid w:val="00FE337D"/>
    <w:rsid w:val="00FE3489"/>
    <w:rsid w:val="00FE3D58"/>
    <w:rsid w:val="00FE52CE"/>
    <w:rsid w:val="00FE5580"/>
    <w:rsid w:val="00FE58C2"/>
    <w:rsid w:val="00FE5F86"/>
    <w:rsid w:val="00FE652C"/>
    <w:rsid w:val="00FF110C"/>
    <w:rsid w:val="00FF168A"/>
    <w:rsid w:val="00FF2648"/>
    <w:rsid w:val="00FF312E"/>
    <w:rsid w:val="00FF3DAF"/>
    <w:rsid w:val="00FF3FD4"/>
    <w:rsid w:val="00FF4062"/>
    <w:rsid w:val="00FF4831"/>
    <w:rsid w:val="00FF518C"/>
    <w:rsid w:val="00FF6877"/>
    <w:rsid w:val="00FF6E99"/>
    <w:rsid w:val="00FF7406"/>
    <w:rsid w:val="00FF7411"/>
    <w:rsid w:val="00FF7659"/>
    <w:rsid w:val="00FF76A1"/>
    <w:rsid w:val="053C4ABE"/>
    <w:rsid w:val="08979776"/>
    <w:rsid w:val="0ABA5D30"/>
    <w:rsid w:val="0BACED0C"/>
    <w:rsid w:val="0C21E6B5"/>
    <w:rsid w:val="0D1AAB96"/>
    <w:rsid w:val="0D2D9865"/>
    <w:rsid w:val="0D3205F3"/>
    <w:rsid w:val="0D52A608"/>
    <w:rsid w:val="1114238F"/>
    <w:rsid w:val="1118DCBA"/>
    <w:rsid w:val="15441AB1"/>
    <w:rsid w:val="159307E9"/>
    <w:rsid w:val="159F8FC3"/>
    <w:rsid w:val="164FF89D"/>
    <w:rsid w:val="169A4F80"/>
    <w:rsid w:val="17DED9D1"/>
    <w:rsid w:val="196493FA"/>
    <w:rsid w:val="19E44931"/>
    <w:rsid w:val="1AF40916"/>
    <w:rsid w:val="1EB48973"/>
    <w:rsid w:val="1EC5139E"/>
    <w:rsid w:val="1F1101CC"/>
    <w:rsid w:val="22E7CD94"/>
    <w:rsid w:val="23712981"/>
    <w:rsid w:val="2473FCFB"/>
    <w:rsid w:val="2654E558"/>
    <w:rsid w:val="26D942D2"/>
    <w:rsid w:val="27C3C8F0"/>
    <w:rsid w:val="2ADF43AD"/>
    <w:rsid w:val="2F20A6A5"/>
    <w:rsid w:val="3058D6BC"/>
    <w:rsid w:val="31329661"/>
    <w:rsid w:val="31382679"/>
    <w:rsid w:val="38320CF7"/>
    <w:rsid w:val="389A61E2"/>
    <w:rsid w:val="39BD8428"/>
    <w:rsid w:val="3A0A3316"/>
    <w:rsid w:val="3A2A827D"/>
    <w:rsid w:val="3A3323EB"/>
    <w:rsid w:val="403B6E60"/>
    <w:rsid w:val="409C5136"/>
    <w:rsid w:val="4386DE1B"/>
    <w:rsid w:val="44F30F7D"/>
    <w:rsid w:val="44FAEEE9"/>
    <w:rsid w:val="451EF2F8"/>
    <w:rsid w:val="46488BDF"/>
    <w:rsid w:val="4664995D"/>
    <w:rsid w:val="477CBC0A"/>
    <w:rsid w:val="477F12B7"/>
    <w:rsid w:val="482B7D10"/>
    <w:rsid w:val="48A8FE0B"/>
    <w:rsid w:val="4C2564ED"/>
    <w:rsid w:val="4CAE9545"/>
    <w:rsid w:val="4CBE8825"/>
    <w:rsid w:val="4D5E7038"/>
    <w:rsid w:val="4F06384F"/>
    <w:rsid w:val="4F69EF5F"/>
    <w:rsid w:val="517EA182"/>
    <w:rsid w:val="56ACE167"/>
    <w:rsid w:val="5AF5885B"/>
    <w:rsid w:val="5BA31C7E"/>
    <w:rsid w:val="5CEB7227"/>
    <w:rsid w:val="5F872DDC"/>
    <w:rsid w:val="5FFB71AF"/>
    <w:rsid w:val="61663DC7"/>
    <w:rsid w:val="6794FB8A"/>
    <w:rsid w:val="6A804585"/>
    <w:rsid w:val="6C73E784"/>
    <w:rsid w:val="6DB27D82"/>
    <w:rsid w:val="6DDC9039"/>
    <w:rsid w:val="6E00CE92"/>
    <w:rsid w:val="71A03116"/>
    <w:rsid w:val="74E43295"/>
    <w:rsid w:val="7721389D"/>
    <w:rsid w:val="79F77AEC"/>
    <w:rsid w:val="7B56490D"/>
    <w:rsid w:val="7C0A01EA"/>
    <w:rsid w:val="7CEC4977"/>
    <w:rsid w:val="7D81AD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00B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7"/>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7"/>
      </w:numPr>
      <w:ind w:right="2160"/>
      <w:outlineLvl w:val="1"/>
    </w:pPr>
  </w:style>
  <w:style w:type="paragraph" w:styleId="Heading3">
    <w:name w:val="heading 3"/>
    <w:basedOn w:val="Dummy"/>
    <w:next w:val="Standard"/>
    <w:link w:val="Heading3Char"/>
    <w:uiPriority w:val="4"/>
    <w:qFormat/>
    <w:rsid w:val="000E270A"/>
    <w:pPr>
      <w:numPr>
        <w:ilvl w:val="2"/>
        <w:numId w:val="7"/>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7"/>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7"/>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7"/>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1"/>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 Char,TBG Style Char Char Char,Footnote Text Char2,Footnote Text Char1,TBG Style Char Char,Footnote Text Char3 Char,Footnote Text Char Char Char,Footnote Text Char1 Char Char Char,Footnote Text Char3,fn,Footnote Text Cha"/>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aliases w:val="Footnote Text Char1 Char Char,TBG Style Char Char Char Char,Footnote Text Char2 Char,Footnote Text Char1 Char1,TBG Style Char Char Char1,Footnote Text Char3 Char Char,Footnote Text Char Char Char Char,Footnote Text Char3 Char1,fn Char"/>
    <w:basedOn w:val="DefaultParagraphFont"/>
    <w:link w:val="FootnoteText"/>
    <w:uiPriority w:val="99"/>
    <w:rsid w:val="007657C1"/>
    <w:rPr>
      <w:rFonts w:ascii="Book Antiqua" w:hAnsi="Book Antiqua"/>
      <w:szCs w:val="20"/>
    </w:rPr>
  </w:style>
  <w:style w:type="character" w:styleId="FootnoteReference">
    <w:name w:val="footnote reference"/>
    <w:aliases w:val="o,fr,o1,o2,o3,o4,o5,o6,o11,o21,o7,Style 12,(NECG) Footnote Reference,Appel note de bas de p,Style 124,o + Times New Roman,Style 3,Style 17,Style 20,Style 13,fr1,fr2,fr3,Style 58,FR,Footnote Reference/,Style 6,Footnote,Style 8"/>
    <w:basedOn w:val="DefaultParagraphFont"/>
    <w:uiPriority w:val="99"/>
    <w:unhideWhenUsed/>
    <w:qFormat/>
    <w:rsid w:val="00DF58E7"/>
    <w:rPr>
      <w:vertAlign w:val="superscript"/>
    </w:rPr>
  </w:style>
  <w:style w:type="paragraph" w:customStyle="1" w:styleId="FoF">
    <w:name w:val="FoF"/>
    <w:basedOn w:val="Standard"/>
    <w:uiPriority w:val="6"/>
    <w:qFormat/>
    <w:rsid w:val="001E2A62"/>
    <w:pPr>
      <w:numPr>
        <w:numId w:val="2"/>
      </w:numPr>
      <w:ind w:firstLine="547"/>
    </w:pPr>
  </w:style>
  <w:style w:type="paragraph" w:customStyle="1" w:styleId="CoL">
    <w:name w:val="CoL"/>
    <w:basedOn w:val="Standard"/>
    <w:uiPriority w:val="7"/>
    <w:qFormat/>
    <w:rsid w:val="001E2A62"/>
    <w:pPr>
      <w:numPr>
        <w:numId w:val="3"/>
      </w:numPr>
      <w:ind w:firstLine="547"/>
    </w:pPr>
  </w:style>
  <w:style w:type="paragraph" w:styleId="NoSpacing">
    <w:name w:val="No Spacing"/>
    <w:basedOn w:val="Standard"/>
    <w:uiPriority w:val="1"/>
    <w:qFormat/>
    <w:rsid w:val="00287BC5"/>
    <w:pPr>
      <w:spacing w:after="120" w:line="240" w:lineRule="auto"/>
      <w:ind w:firstLine="0"/>
      <w:contextualSpacing/>
    </w:pPr>
  </w:style>
  <w:style w:type="paragraph" w:customStyle="1" w:styleId="OP">
    <w:name w:val="OP"/>
    <w:basedOn w:val="Standard"/>
    <w:uiPriority w:val="8"/>
    <w:qFormat/>
    <w:rsid w:val="001E2A62"/>
    <w:pPr>
      <w:numPr>
        <w:numId w:val="4"/>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5"/>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7"/>
      </w:numPr>
      <w:spacing w:after="120" w:line="240" w:lineRule="auto"/>
    </w:pPr>
  </w:style>
  <w:style w:type="paragraph" w:styleId="ListBullet">
    <w:name w:val="List Bullet"/>
    <w:basedOn w:val="Standard"/>
    <w:uiPriority w:val="4"/>
    <w:qFormat/>
    <w:rsid w:val="001F2819"/>
    <w:pPr>
      <w:numPr>
        <w:numId w:val="6"/>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7"/>
      </w:numPr>
      <w:spacing w:after="120" w:line="240" w:lineRule="auto"/>
    </w:pPr>
  </w:style>
  <w:style w:type="paragraph" w:styleId="Revision">
    <w:name w:val="Revision"/>
    <w:hidden/>
    <w:uiPriority w:val="99"/>
    <w:semiHidden/>
    <w:rsid w:val="00092A69"/>
    <w:pPr>
      <w:spacing w:after="0" w:line="240" w:lineRule="auto"/>
    </w:pPr>
    <w:rPr>
      <w:rFonts w:ascii="Book Antiqua" w:hAnsi="Book Antiqua"/>
      <w:sz w:val="26"/>
    </w:rPr>
  </w:style>
  <w:style w:type="character" w:styleId="CommentReference">
    <w:name w:val="annotation reference"/>
    <w:uiPriority w:val="99"/>
    <w:semiHidden/>
    <w:rsid w:val="00092A69"/>
    <w:rPr>
      <w:sz w:val="16"/>
      <w:szCs w:val="16"/>
    </w:rPr>
  </w:style>
  <w:style w:type="paragraph" w:styleId="CommentText">
    <w:name w:val="annotation text"/>
    <w:basedOn w:val="Normal"/>
    <w:link w:val="CommentTextChar"/>
    <w:uiPriority w:val="99"/>
    <w:rsid w:val="00092A69"/>
    <w:pPr>
      <w:spacing w:line="240" w:lineRule="auto"/>
      <w:ind w:firstLine="0"/>
    </w:pPr>
    <w:rPr>
      <w:rFonts w:ascii="Palatino" w:eastAsia="Times New Roman" w:hAnsi="Palatino" w:cs="Times New Roman"/>
      <w:sz w:val="20"/>
      <w:szCs w:val="20"/>
    </w:rPr>
  </w:style>
  <w:style w:type="character" w:customStyle="1" w:styleId="CommentTextChar">
    <w:name w:val="Comment Text Char"/>
    <w:basedOn w:val="DefaultParagraphFont"/>
    <w:link w:val="CommentText"/>
    <w:uiPriority w:val="99"/>
    <w:rsid w:val="00092A69"/>
    <w:rPr>
      <w:rFonts w:ascii="Palatino" w:eastAsia="Times New Roman" w:hAnsi="Palatino" w:cs="Times New Roman"/>
      <w:sz w:val="20"/>
      <w:szCs w:val="20"/>
    </w:rPr>
  </w:style>
  <w:style w:type="paragraph" w:customStyle="1" w:styleId="standard0">
    <w:name w:val="standard"/>
    <w:basedOn w:val="Normal"/>
    <w:link w:val="standardChar"/>
    <w:rsid w:val="00092A69"/>
    <w:rPr>
      <w:rFonts w:ascii="Palatino" w:eastAsia="Times New Roman" w:hAnsi="Palatino" w:cs="Times New Roman"/>
      <w:szCs w:val="20"/>
    </w:rPr>
  </w:style>
  <w:style w:type="character" w:customStyle="1" w:styleId="standardChar">
    <w:name w:val="standard Char"/>
    <w:link w:val="standard0"/>
    <w:rsid w:val="00092A69"/>
    <w:rPr>
      <w:rFonts w:ascii="Palatino" w:eastAsia="Times New Roman" w:hAnsi="Palatino" w:cs="Times New Roman"/>
      <w:sz w:val="26"/>
      <w:szCs w:val="20"/>
    </w:rPr>
  </w:style>
  <w:style w:type="paragraph" w:customStyle="1" w:styleId="ALJFootnote">
    <w:name w:val="ALJ Footnote"/>
    <w:basedOn w:val="FootnoteText"/>
    <w:link w:val="ALJFootnoteChar"/>
    <w:qFormat/>
    <w:rsid w:val="00092A69"/>
    <w:rPr>
      <w:rFonts w:cs="Times New Roman"/>
      <w:szCs w:val="24"/>
    </w:rPr>
  </w:style>
  <w:style w:type="character" w:customStyle="1" w:styleId="ALJFootnoteChar">
    <w:name w:val="ALJ Footnote Char"/>
    <w:basedOn w:val="DefaultParagraphFont"/>
    <w:link w:val="ALJFootnote"/>
    <w:rsid w:val="00092A69"/>
    <w:rPr>
      <w:rFonts w:ascii="Book Antiqua" w:hAnsi="Book Antiqua" w:cs="Times New Roman"/>
      <w:szCs w:val="24"/>
    </w:rPr>
  </w:style>
  <w:style w:type="paragraph" w:customStyle="1" w:styleId="Style5">
    <w:name w:val="Style5"/>
    <w:basedOn w:val="Normal"/>
    <w:autoRedefine/>
    <w:rsid w:val="00362C67"/>
    <w:pPr>
      <w:spacing w:line="240" w:lineRule="auto"/>
      <w:ind w:left="1080" w:firstLine="540"/>
      <w:outlineLvl w:val="0"/>
    </w:pPr>
    <w:rPr>
      <w:rFonts w:ascii="Palatino" w:eastAsia="Times New Roman" w:hAnsi="Palatino" w:cs="Times New Roman"/>
      <w:color w:val="0000FF"/>
      <w:szCs w:val="20"/>
    </w:rPr>
  </w:style>
  <w:style w:type="character" w:customStyle="1" w:styleId="normaltextrun">
    <w:name w:val="normaltextrun"/>
    <w:basedOn w:val="DefaultParagraphFont"/>
    <w:rsid w:val="00362C67"/>
  </w:style>
  <w:style w:type="character" w:styleId="PageNumber">
    <w:name w:val="page number"/>
    <w:basedOn w:val="DefaultParagraphFont"/>
    <w:rsid w:val="00362C67"/>
  </w:style>
  <w:style w:type="character" w:customStyle="1" w:styleId="FootnoteReferencebyTim">
    <w:name w:val="Footnote Reference by Tim"/>
    <w:rsid w:val="00362C67"/>
    <w:rPr>
      <w:rFonts w:ascii="Palatino" w:hAnsi="Palatino"/>
      <w:dstrike w:val="0"/>
      <w:color w:val="000000"/>
      <w:position w:val="2"/>
      <w:sz w:val="22"/>
      <w:szCs w:val="22"/>
      <w:vertAlign w:val="superscript"/>
    </w:rPr>
  </w:style>
  <w:style w:type="paragraph" w:styleId="ListParagraph">
    <w:name w:val="List Paragraph"/>
    <w:basedOn w:val="Normal"/>
    <w:uiPriority w:val="34"/>
    <w:qFormat/>
    <w:rsid w:val="008845EF"/>
    <w:pPr>
      <w:spacing w:line="240" w:lineRule="auto"/>
      <w:ind w:left="720" w:firstLine="0"/>
      <w:contextualSpacing/>
    </w:pPr>
    <w:rPr>
      <w:rFonts w:ascii="Palatino" w:eastAsia="Times New Roman" w:hAnsi="Palatino" w:cs="Times New Roman"/>
      <w:szCs w:val="20"/>
    </w:rPr>
  </w:style>
  <w:style w:type="paragraph" w:customStyle="1" w:styleId="main0">
    <w:name w:val="main"/>
    <w:basedOn w:val="Normal"/>
    <w:link w:val="mainChar"/>
    <w:rsid w:val="006F135C"/>
    <w:pPr>
      <w:spacing w:line="240" w:lineRule="auto"/>
      <w:ind w:firstLine="0"/>
      <w:jc w:val="center"/>
    </w:pPr>
    <w:rPr>
      <w:rFonts w:ascii="Helvetica" w:eastAsia="Times New Roman" w:hAnsi="Helvetica" w:cs="Times New Roman"/>
      <w:b/>
      <w:szCs w:val="20"/>
    </w:rPr>
  </w:style>
  <w:style w:type="paragraph" w:customStyle="1" w:styleId="num1">
    <w:name w:val="num1"/>
    <w:basedOn w:val="Normal"/>
    <w:link w:val="num1Char"/>
    <w:rsid w:val="006F135C"/>
    <w:pPr>
      <w:tabs>
        <w:tab w:val="left" w:pos="-720"/>
      </w:tabs>
      <w:suppressAutoHyphens/>
      <w:ind w:firstLine="360"/>
    </w:pPr>
    <w:rPr>
      <w:rFonts w:ascii="Palatino" w:eastAsia="Times New Roman" w:hAnsi="Palatino" w:cs="Times New Roman"/>
      <w:szCs w:val="20"/>
    </w:rPr>
  </w:style>
  <w:style w:type="character" w:customStyle="1" w:styleId="num1Char">
    <w:name w:val="num1 Char"/>
    <w:link w:val="num1"/>
    <w:rsid w:val="006F135C"/>
    <w:rPr>
      <w:rFonts w:ascii="Palatino" w:eastAsia="Times New Roman" w:hAnsi="Palatino" w:cs="Times New Roman"/>
      <w:sz w:val="26"/>
      <w:szCs w:val="20"/>
    </w:rPr>
  </w:style>
  <w:style w:type="character" w:customStyle="1" w:styleId="mainChar">
    <w:name w:val="main Char"/>
    <w:link w:val="main0"/>
    <w:rsid w:val="006F135C"/>
    <w:rPr>
      <w:rFonts w:ascii="Helvetica" w:eastAsia="Times New Roman" w:hAnsi="Helvetica" w:cs="Times New Roman"/>
      <w:b/>
      <w:sz w:val="26"/>
      <w:szCs w:val="20"/>
    </w:rPr>
  </w:style>
  <w:style w:type="paragraph" w:customStyle="1" w:styleId="bullets">
    <w:name w:val="bullets"/>
    <w:basedOn w:val="standard0"/>
    <w:rsid w:val="006F135C"/>
    <w:pPr>
      <w:numPr>
        <w:numId w:val="9"/>
      </w:numPr>
      <w:spacing w:after="120" w:line="240" w:lineRule="auto"/>
    </w:pPr>
    <w:rPr>
      <w:bCs/>
    </w:rPr>
  </w:style>
  <w:style w:type="paragraph" w:customStyle="1" w:styleId="num2">
    <w:name w:val="num2"/>
    <w:basedOn w:val="num1"/>
    <w:rsid w:val="004078BB"/>
    <w:pPr>
      <w:ind w:firstLine="270"/>
    </w:pPr>
  </w:style>
  <w:style w:type="paragraph" w:customStyle="1" w:styleId="Style1">
    <w:name w:val="Style1"/>
    <w:basedOn w:val="Heading1"/>
    <w:autoRedefine/>
    <w:rsid w:val="004078BB"/>
    <w:pPr>
      <w:keepNext w:val="0"/>
      <w:keepLines w:val="0"/>
      <w:numPr>
        <w:numId w:val="10"/>
      </w:numPr>
      <w:spacing w:before="120"/>
      <w:ind w:right="0"/>
    </w:pPr>
    <w:rPr>
      <w:rFonts w:ascii="Helvetica" w:eastAsia="Times New Roman" w:hAnsi="Helvetica" w:cs="Times New Roman"/>
      <w:szCs w:val="20"/>
    </w:rPr>
  </w:style>
  <w:style w:type="character" w:styleId="UnresolvedMention">
    <w:name w:val="Unresolved Mention"/>
    <w:basedOn w:val="DefaultParagraphFont"/>
    <w:uiPriority w:val="99"/>
    <w:semiHidden/>
    <w:unhideWhenUsed/>
    <w:rsid w:val="00B9439A"/>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A579A"/>
    <w:pPr>
      <w:ind w:firstLine="720"/>
    </w:pPr>
    <w:rPr>
      <w:rFonts w:ascii="Book Antiqua" w:eastAsiaTheme="minorHAnsi" w:hAnsi="Book Antiqua" w:cstheme="minorBidi"/>
      <w:b/>
      <w:bCs/>
    </w:rPr>
  </w:style>
  <w:style w:type="character" w:customStyle="1" w:styleId="CommentSubjectChar">
    <w:name w:val="Comment Subject Char"/>
    <w:basedOn w:val="CommentTextChar"/>
    <w:link w:val="CommentSubject"/>
    <w:uiPriority w:val="99"/>
    <w:semiHidden/>
    <w:rsid w:val="00BA579A"/>
    <w:rPr>
      <w:rFonts w:ascii="Book Antiqua" w:eastAsia="Times New Roman" w:hAnsi="Book Antiqua" w:cs="Times New Roman"/>
      <w:b/>
      <w:bCs/>
      <w:sz w:val="20"/>
      <w:szCs w:val="20"/>
    </w:rPr>
  </w:style>
  <w:style w:type="paragraph" w:styleId="NormalWeb">
    <w:name w:val="Normal (Web)"/>
    <w:basedOn w:val="Normal"/>
    <w:uiPriority w:val="99"/>
    <w:semiHidden/>
    <w:unhideWhenUsed/>
    <w:rsid w:val="00E90202"/>
    <w:rPr>
      <w:rFonts w:ascii="Times New Roman" w:hAnsi="Times New Roman" w:cs="Times New Roman"/>
      <w:sz w:val="24"/>
      <w:szCs w:val="24"/>
    </w:rPr>
  </w:style>
  <w:style w:type="character" w:styleId="LineNumber">
    <w:name w:val="line number"/>
    <w:basedOn w:val="DefaultParagraphFont"/>
    <w:uiPriority w:val="99"/>
    <w:semiHidden/>
    <w:unhideWhenUsed/>
    <w:rsid w:val="00E37B06"/>
  </w:style>
  <w:style w:type="character" w:styleId="Mention">
    <w:name w:val="Mention"/>
    <w:basedOn w:val="DefaultParagraphFont"/>
    <w:uiPriority w:val="99"/>
    <w:unhideWhenUsed/>
    <w:rsid w:val="00E44E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dcompliance@cpuc.ca.gov" TargetMode="External" /><Relationship Id="rId21" Type="http://schemas.openxmlformats.org/officeDocument/2006/relationships/hyperlink" Target="https://cs.cpuc.ca.gov/otcsdav/nodes/513161798/telcosurcharge%40cpuc.ca.gov" TargetMode="External" /><Relationship Id="rId42" Type="http://schemas.openxmlformats.org/officeDocument/2006/relationships/hyperlink" Target="mailto:Telcosurcharge@cpuc.ca.gov" TargetMode="External" /><Relationship Id="rId47" Type="http://schemas.openxmlformats.org/officeDocument/2006/relationships/hyperlink" Target="mailto:cdcompliance@cpuc.ca.gov" TargetMode="External" /><Relationship Id="rId63" Type="http://schemas.openxmlformats.org/officeDocument/2006/relationships/footer" Target="footer14.xml" /><Relationship Id="rId68" Type="http://schemas.openxmlformats.org/officeDocument/2006/relationships/footer" Target="footer16.xml" /><Relationship Id="rId7" Type="http://schemas.openxmlformats.org/officeDocument/2006/relationships/settings" Target="settings.xml" /><Relationship Id="rId2" Type="http://schemas.openxmlformats.org/officeDocument/2006/relationships/customXml" Target="../customXml/item2.xml" /><Relationship Id="rId16" Type="http://schemas.openxmlformats.org/officeDocument/2006/relationships/footer" Target="footer3.xml" /><Relationship Id="rId29" Type="http://schemas.openxmlformats.org/officeDocument/2006/relationships/hyperlink" Target="mailto:telcosurcharge@cpuc.ca.gov" TargetMode="External" /><Relationship Id="rId11" Type="http://schemas.openxmlformats.org/officeDocument/2006/relationships/header" Target="header1.xml" /><Relationship Id="rId24" Type="http://schemas.openxmlformats.org/officeDocument/2006/relationships/hyperlink" Target="mailto:cdcompliance@cpuc.ca.gov" TargetMode="External" /><Relationship Id="rId32" Type="http://schemas.openxmlformats.org/officeDocument/2006/relationships/hyperlink" Target="mailto:cdcompliance@cpuc.ca.gov" TargetMode="External" /><Relationship Id="rId37" Type="http://schemas.openxmlformats.org/officeDocument/2006/relationships/footer" Target="footer7.xml" /><Relationship Id="rId40" Type="http://schemas.openxmlformats.org/officeDocument/2006/relationships/hyperlink" Target="https://www.cpuc.ca.gov/industries-and-topics/internet-and-phone/telecommunications-surcharges-and-user-fees" TargetMode="External" /><Relationship Id="rId45" Type="http://schemas.openxmlformats.org/officeDocument/2006/relationships/hyperlink" Target="mailto:userfees@cpuc.ca.gov" TargetMode="External" /><Relationship Id="rId53" Type="http://schemas.openxmlformats.org/officeDocument/2006/relationships/hyperlink" Target="mailto:cdcompliance@cpuc.ca.gov" TargetMode="External" /><Relationship Id="rId58" Type="http://schemas.openxmlformats.org/officeDocument/2006/relationships/hyperlink" Target="mailto:cdcompliance@cpuc.ca.gov" TargetMode="External" /><Relationship Id="rId66" Type="http://schemas.openxmlformats.org/officeDocument/2006/relationships/hyperlink" Target="mailto:cdcompliance@cpuc.ca.gov" TargetMode="External" /><Relationship Id="rId5" Type="http://schemas.openxmlformats.org/officeDocument/2006/relationships/numbering" Target="numbering.xml" /><Relationship Id="rId61" Type="http://schemas.openxmlformats.org/officeDocument/2006/relationships/hyperlink" Target="mailto:cdcompliance@cpuc.ca.gov" TargetMode="External" /><Relationship Id="rId19" Type="http://schemas.openxmlformats.org/officeDocument/2006/relationships/hyperlink" Target="https://cs.cpuc.ca.gov/otcsdav/nodes/513161798/telcosurcharge%40cpuc.ca.gov" TargetMode="External" /><Relationship Id="rId14" Type="http://schemas.openxmlformats.org/officeDocument/2006/relationships/footer" Target="footer2.xml" /><Relationship Id="rId22" Type="http://schemas.openxmlformats.org/officeDocument/2006/relationships/hyperlink" Target="https://cs.cpuc.ca.gov/otcsdav/nodes/513161798/cdcompliance%40cpuc.ca.gov" TargetMode="External" /><Relationship Id="rId27" Type="http://schemas.openxmlformats.org/officeDocument/2006/relationships/hyperlink" Target="mailto:cdcompliance@cpuc.ca.gov" TargetMode="External" /><Relationship Id="rId30" Type="http://schemas.openxmlformats.org/officeDocument/2006/relationships/hyperlink" Target="mailto:cdcompliance@cpuc.ca.gov" TargetMode="External" /><Relationship Id="rId35" Type="http://schemas.openxmlformats.org/officeDocument/2006/relationships/header" Target="header6.xml" /><Relationship Id="rId43" Type="http://schemas.openxmlformats.org/officeDocument/2006/relationships/hyperlink" Target="https://www.cpuc.ca.gov/industries-and-topics/internet-and-phone/telecommunications-surcharges-and-user-fees/surcharge-rates" TargetMode="External" /><Relationship Id="rId48" Type="http://schemas.openxmlformats.org/officeDocument/2006/relationships/hyperlink" Target="https://www.cpuc.ca.gov/industries-and-topics/internet-and-phone/carrier-reporting-requirements/tariff-filing-requirements" TargetMode="External" /><Relationship Id="rId56" Type="http://schemas.openxmlformats.org/officeDocument/2006/relationships/hyperlink" Target="mailto:cdcompliance@cpuc.ca.gov" TargetMode="External" /><Relationship Id="rId64" Type="http://schemas.openxmlformats.org/officeDocument/2006/relationships/footer" Target="footer15.xml" /><Relationship Id="rId69" Type="http://schemas.openxmlformats.org/officeDocument/2006/relationships/fontTable" Target="fontTable.xml" /><Relationship Id="rId8" Type="http://schemas.openxmlformats.org/officeDocument/2006/relationships/webSettings" Target="webSettings.xml" /><Relationship Id="rId51" Type="http://schemas.openxmlformats.org/officeDocument/2006/relationships/hyperlink" Target="https://www.cpuc.ca.gov/industries-and-topics/internet-and-phone/carrier-reporting-requirements/performance-bond-requirements" TargetMode="External" /><Relationship Id="rId3" Type="http://schemas.openxmlformats.org/officeDocument/2006/relationships/customXml" Target="../customXml/item3.xml" /><Relationship Id="rId12" Type="http://schemas.openxmlformats.org/officeDocument/2006/relationships/header" Target="header2.xml" /><Relationship Id="rId17" Type="http://schemas.openxmlformats.org/officeDocument/2006/relationships/header" Target="header4.xml" /><Relationship Id="rId25" Type="http://schemas.openxmlformats.org/officeDocument/2006/relationships/hyperlink" Target="mailto:cdcompliance@cpuc.ca.gov" TargetMode="External" /><Relationship Id="rId33" Type="http://schemas.openxmlformats.org/officeDocument/2006/relationships/header" Target="header5.xml" /><Relationship Id="rId38" Type="http://schemas.openxmlformats.org/officeDocument/2006/relationships/footer" Target="footer8.xml" /><Relationship Id="rId46" Type="http://schemas.openxmlformats.org/officeDocument/2006/relationships/hyperlink" Target="https://www.cpuc.ca.gov/industries-and-topics/internet-and-phone/telecommunications-surcharges-and-user-fees/user-fee-rates" TargetMode="External" /><Relationship Id="rId59" Type="http://schemas.openxmlformats.org/officeDocument/2006/relationships/footer" Target="footer12.xml" /><Relationship Id="rId67" Type="http://schemas.openxmlformats.org/officeDocument/2006/relationships/header" Target="header7.xml" /><Relationship Id="rId20" Type="http://schemas.openxmlformats.org/officeDocument/2006/relationships/hyperlink" Target="https://cs.cpuc.ca.gov/otcsdav/nodes/513161798/cdcompliance%40cpuc.ca.gov" TargetMode="External" /><Relationship Id="rId41" Type="http://schemas.openxmlformats.org/officeDocument/2006/relationships/hyperlink" Target="https://www.cpuc.ca.gov/industries-and-topics/internet-and-phone/telecommunications-surcharges-and-user-fees" TargetMode="External" /><Relationship Id="rId54" Type="http://schemas.openxmlformats.org/officeDocument/2006/relationships/footer" Target="footer10.xml" /><Relationship Id="rId62" Type="http://schemas.openxmlformats.org/officeDocument/2006/relationships/hyperlink" Target="https://www.cpuc.ca.gov/industries-and-topics/internet-and-phone/carrier-reporting-requirements/annual-report-forms" TargetMode="External" /><Relationship Id="rId7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tyles" Target="styles.xml" /><Relationship Id="rId15" Type="http://schemas.openxmlformats.org/officeDocument/2006/relationships/header" Target="header3.xml" /><Relationship Id="rId23" Type="http://schemas.openxmlformats.org/officeDocument/2006/relationships/hyperlink" Target="mailto:cdcompliance@cpuc.ca.gov" TargetMode="External" /><Relationship Id="rId28" Type="http://schemas.openxmlformats.org/officeDocument/2006/relationships/hyperlink" Target="mailto:cdcompliance@cpuc.ca.gov" TargetMode="External" /><Relationship Id="rId36" Type="http://schemas.openxmlformats.org/officeDocument/2006/relationships/footer" Target="footer6.xml" /><Relationship Id="rId49" Type="http://schemas.openxmlformats.org/officeDocument/2006/relationships/hyperlink" Target="mailto:TD._PAL@cpuc.ca.gov" TargetMode="External" /><Relationship Id="rId57" Type="http://schemas.openxmlformats.org/officeDocument/2006/relationships/hyperlink" Target="https://www.cpuc.ca.gov/industries-and-topics/internet-and-phone/carrier-reporting-requirements/annual-report-forms" TargetMode="External" /><Relationship Id="rId10" Type="http://schemas.openxmlformats.org/officeDocument/2006/relationships/endnotes" Target="endnotes.xml" /><Relationship Id="rId31" Type="http://schemas.openxmlformats.org/officeDocument/2006/relationships/hyperlink" Target="mailto:telcosurcharge@cpuc.ca.gov" TargetMode="External" /><Relationship Id="rId44" Type="http://schemas.openxmlformats.org/officeDocument/2006/relationships/hyperlink" Target="mailto:userfees@cpuc.ca.gov" TargetMode="External" /><Relationship Id="rId52" Type="http://schemas.openxmlformats.org/officeDocument/2006/relationships/hyperlink" Target="https://www.cpuc.ca.gov/industries-and-topics/internet-and-phone/carrier-reporting-requirements/performance-bond-requirements" TargetMode="External" /><Relationship Id="rId60" Type="http://schemas.openxmlformats.org/officeDocument/2006/relationships/footer" Target="footer13.xml" /><Relationship Id="rId65" Type="http://schemas.openxmlformats.org/officeDocument/2006/relationships/hyperlink" Target="mailto:telcosurcharge@cpuc.ca.gov" TargetMode="External" /><Relationship Id="rId4" Type="http://schemas.openxmlformats.org/officeDocument/2006/relationships/customXml" Target="../customXml/item4.xml" /><Relationship Id="rId9" Type="http://schemas.openxmlformats.org/officeDocument/2006/relationships/footnotes" Target="footnotes.xml" /><Relationship Id="rId13" Type="http://schemas.openxmlformats.org/officeDocument/2006/relationships/footer" Target="footer1.xml" /><Relationship Id="rId18" Type="http://schemas.openxmlformats.org/officeDocument/2006/relationships/footer" Target="footer4.xml" /><Relationship Id="rId39" Type="http://schemas.openxmlformats.org/officeDocument/2006/relationships/footer" Target="footer9.xml" /><Relationship Id="rId34" Type="http://schemas.openxmlformats.org/officeDocument/2006/relationships/footer" Target="footer5.xml" /><Relationship Id="rId50" Type="http://schemas.openxmlformats.org/officeDocument/2006/relationships/hyperlink" Target="mailto:cdcompliance@cpuc.ca.gov" TargetMode="External" /><Relationship Id="rId55" Type="http://schemas.openxmlformats.org/officeDocument/2006/relationships/footer" Target="footer11.xml" /></Relationships>
</file>

<file path=word/_rels/footnotes.xml.rels><?xml version="1.0" encoding="UTF-8" standalone="yes"?>
<Relationships xmlns="http://schemas.openxmlformats.org/package/2006/relationships"><Relationship Id="rId2" Type="http://schemas.openxmlformats.org/officeDocument/2006/relationships/hyperlink" Target="https://www.cpuc.ca.gov/-/media/cpuc-website/divisions/communications-division/documents/licensing-compliance/annual-reporting-requirements/annual-affiliate-transaction-report-form_.pdf" TargetMode="External"/><Relationship Id="rId1" Type="http://schemas.openxmlformats.org/officeDocument/2006/relationships/hyperlink" Target="https://www.cpuc.ca.gov/-/media/cpuc-website/divisions/communications-division/documents/licensing-compliance/annual-reporting-requirements/aropf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401c2c-9287-43ab-a293-354c814ae0f9">
      <Terms xmlns="http://schemas.microsoft.com/office/infopath/2007/PartnerControls"/>
    </lcf76f155ced4ddcb4097134ff3c332f>
    <TaxCatchAll xmlns="005d1024-2fde-4134-9d52-de97a2b1c5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1EEB0345788E4686025D8D57F1F3D6" ma:contentTypeVersion="11" ma:contentTypeDescription="Create a new document." ma:contentTypeScope="" ma:versionID="5b20ceecaf65a8eabbb009185ec812c6">
  <xsd:schema xmlns:xsd="http://www.w3.org/2001/XMLSchema" xmlns:xs="http://www.w3.org/2001/XMLSchema" xmlns:p="http://schemas.microsoft.com/office/2006/metadata/properties" xmlns:ns2="fd401c2c-9287-43ab-a293-354c814ae0f9" xmlns:ns3="005d1024-2fde-4134-9d52-de97a2b1c5ac" targetNamespace="http://schemas.microsoft.com/office/2006/metadata/properties" ma:root="true" ma:fieldsID="f904c0a13844b1da02fb4313c82a9cdf" ns2:_="" ns3:_="">
    <xsd:import namespace="fd401c2c-9287-43ab-a293-354c814ae0f9"/>
    <xsd:import namespace="005d1024-2fde-4134-9d52-de97a2b1c5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01c2c-9287-43ab-a293-354c814ae0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5d1024-2fde-4134-9d52-de97a2b1c5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3b5b1f-8528-4fe2-a0c5-abaabff58d80}" ma:internalName="TaxCatchAll" ma:showField="CatchAllData" ma:web="005d1024-2fde-4134-9d52-de97a2b1c5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fd401c2c-9287-43ab-a293-354c814ae0f9"/>
    <ds:schemaRef ds:uri="005d1024-2fde-4134-9d52-de97a2b1c5ac"/>
  </ds:schemaRefs>
</ds:datastoreItem>
</file>

<file path=customXml/itemProps2.xml><?xml version="1.0" encoding="utf-8"?>
<ds:datastoreItem xmlns:ds="http://schemas.openxmlformats.org/officeDocument/2006/customXml" ds:itemID="{6FF84DF1-3855-49CA-A084-C33246AA0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01c2c-9287-43ab-a293-354c814ae0f9"/>
    <ds:schemaRef ds:uri="005d1024-2fde-4134-9d52-de97a2b1c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B930DE7C-9577-4EA8-AC89-8E2B6CC952CB}">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59</ap:Pages>
  <ap:Words>12697</ap:Words>
  <ap:Characters>72376</ap:Characters>
  <ap:Application>Microsoft Office Word</ap:Application>
  <ap:DocSecurity>0</ap:DocSecurity>
  <ap:Lines>603</ap:Lines>
  <ap:Paragraphs>169</ap:Paragraphs>
  <ap:ScaleCrop>false</ap:ScaleCrop>
  <ap:Company/>
  <ap:LinksUpToDate>false</ap:LinksUpToDate>
  <ap:CharactersWithSpaces>84904</ap:CharactersWithSpaces>
  <ap:SharedDoc>false</ap:SharedDoc>
  <ap:HLinks>
    <vt:vector baseType="variant" size="414">
      <vt:variant>
        <vt:i4>1048685</vt:i4>
      </vt:variant>
      <vt:variant>
        <vt:i4>297</vt:i4>
      </vt:variant>
      <vt:variant>
        <vt:i4>0</vt:i4>
      </vt:variant>
      <vt:variant>
        <vt:i4>5</vt:i4>
      </vt:variant>
      <vt:variant>
        <vt:lpwstr>mailto:cdcompliance@cpuc.ca.gov</vt:lpwstr>
      </vt:variant>
      <vt:variant>
        <vt:lpwstr/>
      </vt:variant>
      <vt:variant>
        <vt:i4>7602188</vt:i4>
      </vt:variant>
      <vt:variant>
        <vt:i4>294</vt:i4>
      </vt:variant>
      <vt:variant>
        <vt:i4>0</vt:i4>
      </vt:variant>
      <vt:variant>
        <vt:i4>5</vt:i4>
      </vt:variant>
      <vt:variant>
        <vt:lpwstr>mailto:telcosurcharge@cpuc.ca.gov</vt:lpwstr>
      </vt:variant>
      <vt:variant>
        <vt:lpwstr/>
      </vt:variant>
      <vt:variant>
        <vt:i4>7143530</vt:i4>
      </vt:variant>
      <vt:variant>
        <vt:i4>291</vt:i4>
      </vt:variant>
      <vt:variant>
        <vt:i4>0</vt:i4>
      </vt:variant>
      <vt:variant>
        <vt:i4>5</vt:i4>
      </vt:variant>
      <vt:variant>
        <vt:lpwstr>https://www.cpuc.ca.gov/industries-and-topics/internet-and-phone/carrier-reporting-requirements/annual-report-forms</vt:lpwstr>
      </vt:variant>
      <vt:variant>
        <vt:lpwstr/>
      </vt:variant>
      <vt:variant>
        <vt:i4>1048685</vt:i4>
      </vt:variant>
      <vt:variant>
        <vt:i4>288</vt:i4>
      </vt:variant>
      <vt:variant>
        <vt:i4>0</vt:i4>
      </vt:variant>
      <vt:variant>
        <vt:i4>5</vt:i4>
      </vt:variant>
      <vt:variant>
        <vt:lpwstr>mailto:cdcompliance@cpuc.ca.gov</vt:lpwstr>
      </vt:variant>
      <vt:variant>
        <vt:lpwstr/>
      </vt:variant>
      <vt:variant>
        <vt:i4>1048685</vt:i4>
      </vt:variant>
      <vt:variant>
        <vt:i4>285</vt:i4>
      </vt:variant>
      <vt:variant>
        <vt:i4>0</vt:i4>
      </vt:variant>
      <vt:variant>
        <vt:i4>5</vt:i4>
      </vt:variant>
      <vt:variant>
        <vt:lpwstr>mailto:cdcompliance@cpuc.ca.gov</vt:lpwstr>
      </vt:variant>
      <vt:variant>
        <vt:lpwstr/>
      </vt:variant>
      <vt:variant>
        <vt:i4>7143530</vt:i4>
      </vt:variant>
      <vt:variant>
        <vt:i4>282</vt:i4>
      </vt:variant>
      <vt:variant>
        <vt:i4>0</vt:i4>
      </vt:variant>
      <vt:variant>
        <vt:i4>5</vt:i4>
      </vt:variant>
      <vt:variant>
        <vt:lpwstr>https://www.cpuc.ca.gov/industries-and-topics/internet-and-phone/carrier-reporting-requirements/annual-report-forms</vt:lpwstr>
      </vt:variant>
      <vt:variant>
        <vt:lpwstr/>
      </vt:variant>
      <vt:variant>
        <vt:i4>1048685</vt:i4>
      </vt:variant>
      <vt:variant>
        <vt:i4>279</vt:i4>
      </vt:variant>
      <vt:variant>
        <vt:i4>0</vt:i4>
      </vt:variant>
      <vt:variant>
        <vt:i4>5</vt:i4>
      </vt:variant>
      <vt:variant>
        <vt:lpwstr>mailto:cdcompliance@cpuc.ca.gov</vt:lpwstr>
      </vt:variant>
      <vt:variant>
        <vt:lpwstr/>
      </vt:variant>
      <vt:variant>
        <vt:i4>1048685</vt:i4>
      </vt:variant>
      <vt:variant>
        <vt:i4>276</vt:i4>
      </vt:variant>
      <vt:variant>
        <vt:i4>0</vt:i4>
      </vt:variant>
      <vt:variant>
        <vt:i4>5</vt:i4>
      </vt:variant>
      <vt:variant>
        <vt:lpwstr>mailto:cdcompliance@cpuc.ca.gov</vt:lpwstr>
      </vt:variant>
      <vt:variant>
        <vt:lpwstr/>
      </vt:variant>
      <vt:variant>
        <vt:i4>917512</vt:i4>
      </vt:variant>
      <vt:variant>
        <vt:i4>273</vt:i4>
      </vt:variant>
      <vt:variant>
        <vt:i4>0</vt:i4>
      </vt:variant>
      <vt:variant>
        <vt:i4>5</vt:i4>
      </vt:variant>
      <vt:variant>
        <vt:lpwstr>https://www.cpuc.ca.gov/industries-and-topics/internet-and-phone/carrier-reporting-requirements/performance-bond-requirements</vt:lpwstr>
      </vt:variant>
      <vt:variant>
        <vt:lpwstr/>
      </vt:variant>
      <vt:variant>
        <vt:i4>917512</vt:i4>
      </vt:variant>
      <vt:variant>
        <vt:i4>270</vt:i4>
      </vt:variant>
      <vt:variant>
        <vt:i4>0</vt:i4>
      </vt:variant>
      <vt:variant>
        <vt:i4>5</vt:i4>
      </vt:variant>
      <vt:variant>
        <vt:lpwstr>https://www.cpuc.ca.gov/industries-and-topics/internet-and-phone/carrier-reporting-requirements/performance-bond-requirements</vt:lpwstr>
      </vt:variant>
      <vt:variant>
        <vt:lpwstr/>
      </vt:variant>
      <vt:variant>
        <vt:i4>1048685</vt:i4>
      </vt:variant>
      <vt:variant>
        <vt:i4>267</vt:i4>
      </vt:variant>
      <vt:variant>
        <vt:i4>0</vt:i4>
      </vt:variant>
      <vt:variant>
        <vt:i4>5</vt:i4>
      </vt:variant>
      <vt:variant>
        <vt:lpwstr>mailto:cdcompliance@cpuc.ca.gov</vt:lpwstr>
      </vt:variant>
      <vt:variant>
        <vt:lpwstr/>
      </vt:variant>
      <vt:variant>
        <vt:i4>7077985</vt:i4>
      </vt:variant>
      <vt:variant>
        <vt:i4>264</vt:i4>
      </vt:variant>
      <vt:variant>
        <vt:i4>0</vt:i4>
      </vt:variant>
      <vt:variant>
        <vt:i4>5</vt:i4>
      </vt:variant>
      <vt:variant>
        <vt:lpwstr>mailto:TD._PAL@cpuc.ca.gov</vt:lpwstr>
      </vt:variant>
      <vt:variant>
        <vt:lpwstr/>
      </vt:variant>
      <vt:variant>
        <vt:i4>7340151</vt:i4>
      </vt:variant>
      <vt:variant>
        <vt:i4>261</vt:i4>
      </vt:variant>
      <vt:variant>
        <vt:i4>0</vt:i4>
      </vt:variant>
      <vt:variant>
        <vt:i4>5</vt:i4>
      </vt:variant>
      <vt:variant>
        <vt:lpwstr>https://www.cpuc.ca.gov/industries-and-topics/internet-and-phone/carrier-reporting-requirements/tariff-filing-requirements</vt:lpwstr>
      </vt:variant>
      <vt:variant>
        <vt:lpwstr/>
      </vt:variant>
      <vt:variant>
        <vt:i4>1048685</vt:i4>
      </vt:variant>
      <vt:variant>
        <vt:i4>258</vt:i4>
      </vt:variant>
      <vt:variant>
        <vt:i4>0</vt:i4>
      </vt:variant>
      <vt:variant>
        <vt:i4>5</vt:i4>
      </vt:variant>
      <vt:variant>
        <vt:lpwstr>mailto:cdcompliance@cpuc.ca.gov</vt:lpwstr>
      </vt:variant>
      <vt:variant>
        <vt:lpwstr/>
      </vt:variant>
      <vt:variant>
        <vt:i4>8192105</vt:i4>
      </vt:variant>
      <vt:variant>
        <vt:i4>255</vt:i4>
      </vt:variant>
      <vt:variant>
        <vt:i4>0</vt:i4>
      </vt:variant>
      <vt:variant>
        <vt:i4>5</vt:i4>
      </vt:variant>
      <vt:variant>
        <vt:lpwstr>https://www.cpuc.ca.gov/industries-and-topics/internet-and-phone/telecommunications-surcharges-and-user-fees/user-fee-rates</vt:lpwstr>
      </vt:variant>
      <vt:variant>
        <vt:lpwstr/>
      </vt:variant>
      <vt:variant>
        <vt:i4>99</vt:i4>
      </vt:variant>
      <vt:variant>
        <vt:i4>252</vt:i4>
      </vt:variant>
      <vt:variant>
        <vt:i4>0</vt:i4>
      </vt:variant>
      <vt:variant>
        <vt:i4>5</vt:i4>
      </vt:variant>
      <vt:variant>
        <vt:lpwstr>mailto:userfees@cpuc.ca.gov</vt:lpwstr>
      </vt:variant>
      <vt:variant>
        <vt:lpwstr/>
      </vt:variant>
      <vt:variant>
        <vt:i4>99</vt:i4>
      </vt:variant>
      <vt:variant>
        <vt:i4>249</vt:i4>
      </vt:variant>
      <vt:variant>
        <vt:i4>0</vt:i4>
      </vt:variant>
      <vt:variant>
        <vt:i4>5</vt:i4>
      </vt:variant>
      <vt:variant>
        <vt:lpwstr>mailto:userfees@cpuc.ca.gov</vt:lpwstr>
      </vt:variant>
      <vt:variant>
        <vt:lpwstr/>
      </vt:variant>
      <vt:variant>
        <vt:i4>458836</vt:i4>
      </vt:variant>
      <vt:variant>
        <vt:i4>246</vt:i4>
      </vt:variant>
      <vt:variant>
        <vt:i4>0</vt:i4>
      </vt:variant>
      <vt:variant>
        <vt:i4>5</vt:i4>
      </vt:variant>
      <vt:variant>
        <vt:lpwstr>https://www.cpuc.ca.gov/industries-and-topics/internet-and-phone/telecommunications-surcharges-and-user-fees/surcharge-rates</vt:lpwstr>
      </vt:variant>
      <vt:variant>
        <vt:lpwstr/>
      </vt:variant>
      <vt:variant>
        <vt:i4>7602188</vt:i4>
      </vt:variant>
      <vt:variant>
        <vt:i4>243</vt:i4>
      </vt:variant>
      <vt:variant>
        <vt:i4>0</vt:i4>
      </vt:variant>
      <vt:variant>
        <vt:i4>5</vt:i4>
      </vt:variant>
      <vt:variant>
        <vt:lpwstr>mailto:Telcosurcharge@cpuc.ca.gov</vt:lpwstr>
      </vt:variant>
      <vt:variant>
        <vt:lpwstr/>
      </vt:variant>
      <vt:variant>
        <vt:i4>786498</vt:i4>
      </vt:variant>
      <vt:variant>
        <vt:i4>240</vt:i4>
      </vt:variant>
      <vt:variant>
        <vt:i4>0</vt:i4>
      </vt:variant>
      <vt:variant>
        <vt:i4>5</vt:i4>
      </vt:variant>
      <vt:variant>
        <vt:lpwstr>https://www.cpuc.ca.gov/industries-and-topics/internet-and-phone/telecommunications-surcharges-and-user-fees</vt:lpwstr>
      </vt:variant>
      <vt:variant>
        <vt:lpwstr/>
      </vt:variant>
      <vt:variant>
        <vt:i4>786498</vt:i4>
      </vt:variant>
      <vt:variant>
        <vt:i4>237</vt:i4>
      </vt:variant>
      <vt:variant>
        <vt:i4>0</vt:i4>
      </vt:variant>
      <vt:variant>
        <vt:i4>5</vt:i4>
      </vt:variant>
      <vt:variant>
        <vt:lpwstr>https://www.cpuc.ca.gov/industries-and-topics/internet-and-phone/telecommunications-surcharges-and-user-fees</vt:lpwstr>
      </vt:variant>
      <vt:variant>
        <vt:lpwstr/>
      </vt:variant>
      <vt:variant>
        <vt:i4>1048685</vt:i4>
      </vt:variant>
      <vt:variant>
        <vt:i4>234</vt:i4>
      </vt:variant>
      <vt:variant>
        <vt:i4>0</vt:i4>
      </vt:variant>
      <vt:variant>
        <vt:i4>5</vt:i4>
      </vt:variant>
      <vt:variant>
        <vt:lpwstr>mailto:cdcompliance@cpuc.ca.gov</vt:lpwstr>
      </vt:variant>
      <vt:variant>
        <vt:lpwstr/>
      </vt:variant>
      <vt:variant>
        <vt:i4>7602188</vt:i4>
      </vt:variant>
      <vt:variant>
        <vt:i4>231</vt:i4>
      </vt:variant>
      <vt:variant>
        <vt:i4>0</vt:i4>
      </vt:variant>
      <vt:variant>
        <vt:i4>5</vt:i4>
      </vt:variant>
      <vt:variant>
        <vt:lpwstr>mailto:telcosurcharge@cpuc.ca.gov</vt:lpwstr>
      </vt:variant>
      <vt:variant>
        <vt:lpwstr/>
      </vt:variant>
      <vt:variant>
        <vt:i4>1048685</vt:i4>
      </vt:variant>
      <vt:variant>
        <vt:i4>228</vt:i4>
      </vt:variant>
      <vt:variant>
        <vt:i4>0</vt:i4>
      </vt:variant>
      <vt:variant>
        <vt:i4>5</vt:i4>
      </vt:variant>
      <vt:variant>
        <vt:lpwstr>mailto:cdcompliance@cpuc.ca.gov</vt:lpwstr>
      </vt:variant>
      <vt:variant>
        <vt:lpwstr/>
      </vt:variant>
      <vt:variant>
        <vt:i4>7602188</vt:i4>
      </vt:variant>
      <vt:variant>
        <vt:i4>225</vt:i4>
      </vt:variant>
      <vt:variant>
        <vt:i4>0</vt:i4>
      </vt:variant>
      <vt:variant>
        <vt:i4>5</vt:i4>
      </vt:variant>
      <vt:variant>
        <vt:lpwstr>mailto:telcosurcharge@cpuc.ca.gov</vt:lpwstr>
      </vt:variant>
      <vt:variant>
        <vt:lpwstr/>
      </vt:variant>
      <vt:variant>
        <vt:i4>1048685</vt:i4>
      </vt:variant>
      <vt:variant>
        <vt:i4>222</vt:i4>
      </vt:variant>
      <vt:variant>
        <vt:i4>0</vt:i4>
      </vt:variant>
      <vt:variant>
        <vt:i4>5</vt:i4>
      </vt:variant>
      <vt:variant>
        <vt:lpwstr>mailto:cdcompliance@cpuc.ca.gov</vt:lpwstr>
      </vt:variant>
      <vt:variant>
        <vt:lpwstr/>
      </vt:variant>
      <vt:variant>
        <vt:i4>1048685</vt:i4>
      </vt:variant>
      <vt:variant>
        <vt:i4>219</vt:i4>
      </vt:variant>
      <vt:variant>
        <vt:i4>0</vt:i4>
      </vt:variant>
      <vt:variant>
        <vt:i4>5</vt:i4>
      </vt:variant>
      <vt:variant>
        <vt:lpwstr>mailto:cdcompliance@cpuc.ca.gov</vt:lpwstr>
      </vt:variant>
      <vt:variant>
        <vt:lpwstr/>
      </vt:variant>
      <vt:variant>
        <vt:i4>1048685</vt:i4>
      </vt:variant>
      <vt:variant>
        <vt:i4>216</vt:i4>
      </vt:variant>
      <vt:variant>
        <vt:i4>0</vt:i4>
      </vt:variant>
      <vt:variant>
        <vt:i4>5</vt:i4>
      </vt:variant>
      <vt:variant>
        <vt:lpwstr>mailto:cdcompliance@cpuc.ca.gov</vt:lpwstr>
      </vt:variant>
      <vt:variant>
        <vt:lpwstr/>
      </vt:variant>
      <vt:variant>
        <vt:i4>1048685</vt:i4>
      </vt:variant>
      <vt:variant>
        <vt:i4>213</vt:i4>
      </vt:variant>
      <vt:variant>
        <vt:i4>0</vt:i4>
      </vt:variant>
      <vt:variant>
        <vt:i4>5</vt:i4>
      </vt:variant>
      <vt:variant>
        <vt:lpwstr>mailto:cdcompliance@cpuc.ca.gov</vt:lpwstr>
      </vt:variant>
      <vt:variant>
        <vt:lpwstr/>
      </vt:variant>
      <vt:variant>
        <vt:i4>1048685</vt:i4>
      </vt:variant>
      <vt:variant>
        <vt:i4>210</vt:i4>
      </vt:variant>
      <vt:variant>
        <vt:i4>0</vt:i4>
      </vt:variant>
      <vt:variant>
        <vt:i4>5</vt:i4>
      </vt:variant>
      <vt:variant>
        <vt:lpwstr>mailto:cdcompliance@cpuc.ca.gov</vt:lpwstr>
      </vt:variant>
      <vt:variant>
        <vt:lpwstr/>
      </vt:variant>
      <vt:variant>
        <vt:i4>1048685</vt:i4>
      </vt:variant>
      <vt:variant>
        <vt:i4>207</vt:i4>
      </vt:variant>
      <vt:variant>
        <vt:i4>0</vt:i4>
      </vt:variant>
      <vt:variant>
        <vt:i4>5</vt:i4>
      </vt:variant>
      <vt:variant>
        <vt:lpwstr>mailto:cdcompliance@cpuc.ca.gov</vt:lpwstr>
      </vt:variant>
      <vt:variant>
        <vt:lpwstr/>
      </vt:variant>
      <vt:variant>
        <vt:i4>2293775</vt:i4>
      </vt:variant>
      <vt:variant>
        <vt:i4>204</vt:i4>
      </vt:variant>
      <vt:variant>
        <vt:i4>0</vt:i4>
      </vt:variant>
      <vt:variant>
        <vt:i4>5</vt:i4>
      </vt:variant>
      <vt:variant>
        <vt:lpwstr>C:\Users\RP6\AppData\Local\Microsoft\Windows\INetCache\Content.Outlook\V6P67NEY\cdcompliance@cpuc.ca.gov</vt:lpwstr>
      </vt:variant>
      <vt:variant>
        <vt:lpwstr/>
      </vt:variant>
      <vt:variant>
        <vt:i4>4325483</vt:i4>
      </vt:variant>
      <vt:variant>
        <vt:i4>201</vt:i4>
      </vt:variant>
      <vt:variant>
        <vt:i4>0</vt:i4>
      </vt:variant>
      <vt:variant>
        <vt:i4>5</vt:i4>
      </vt:variant>
      <vt:variant>
        <vt:lpwstr>C:\Users\RP6\AppData\Local\Microsoft\Windows\INetCache\Content.Outlook\V6P67NEY\telcosurcharge@cpuc.ca.gov</vt:lpwstr>
      </vt:variant>
      <vt:variant>
        <vt:lpwstr/>
      </vt:variant>
      <vt:variant>
        <vt:i4>2293775</vt:i4>
      </vt:variant>
      <vt:variant>
        <vt:i4>198</vt:i4>
      </vt:variant>
      <vt:variant>
        <vt:i4>0</vt:i4>
      </vt:variant>
      <vt:variant>
        <vt:i4>5</vt:i4>
      </vt:variant>
      <vt:variant>
        <vt:lpwstr>C:\Users\RP6\AppData\Local\Microsoft\Windows\INetCache\Content.Outlook\V6P67NEY\cdcompliance@cpuc.ca.gov</vt:lpwstr>
      </vt:variant>
      <vt:variant>
        <vt:lpwstr/>
      </vt:variant>
      <vt:variant>
        <vt:i4>4325483</vt:i4>
      </vt:variant>
      <vt:variant>
        <vt:i4>195</vt:i4>
      </vt:variant>
      <vt:variant>
        <vt:i4>0</vt:i4>
      </vt:variant>
      <vt:variant>
        <vt:i4>5</vt:i4>
      </vt:variant>
      <vt:variant>
        <vt:lpwstr>C:\Users\RP6\AppData\Local\Microsoft\Windows\INetCache\Content.Outlook\V6P67NEY\telcosurcharge@cpuc.ca.gov</vt:lpwstr>
      </vt:variant>
      <vt:variant>
        <vt:lpwstr/>
      </vt:variant>
      <vt:variant>
        <vt:i4>1703985</vt:i4>
      </vt:variant>
      <vt:variant>
        <vt:i4>188</vt:i4>
      </vt:variant>
      <vt:variant>
        <vt:i4>0</vt:i4>
      </vt:variant>
      <vt:variant>
        <vt:i4>5</vt:i4>
      </vt:variant>
      <vt:variant>
        <vt:lpwstr/>
      </vt:variant>
      <vt:variant>
        <vt:lpwstr>_Toc240010298</vt:lpwstr>
      </vt:variant>
      <vt:variant>
        <vt:i4>1703985</vt:i4>
      </vt:variant>
      <vt:variant>
        <vt:i4>182</vt:i4>
      </vt:variant>
      <vt:variant>
        <vt:i4>0</vt:i4>
      </vt:variant>
      <vt:variant>
        <vt:i4>5</vt:i4>
      </vt:variant>
      <vt:variant>
        <vt:lpwstr/>
      </vt:variant>
      <vt:variant>
        <vt:lpwstr>_Toc240010297</vt:lpwstr>
      </vt:variant>
      <vt:variant>
        <vt:i4>1703985</vt:i4>
      </vt:variant>
      <vt:variant>
        <vt:i4>176</vt:i4>
      </vt:variant>
      <vt:variant>
        <vt:i4>0</vt:i4>
      </vt:variant>
      <vt:variant>
        <vt:i4>5</vt:i4>
      </vt:variant>
      <vt:variant>
        <vt:lpwstr/>
      </vt:variant>
      <vt:variant>
        <vt:lpwstr>_Toc240010296</vt:lpwstr>
      </vt:variant>
      <vt:variant>
        <vt:i4>1703985</vt:i4>
      </vt:variant>
      <vt:variant>
        <vt:i4>170</vt:i4>
      </vt:variant>
      <vt:variant>
        <vt:i4>0</vt:i4>
      </vt:variant>
      <vt:variant>
        <vt:i4>5</vt:i4>
      </vt:variant>
      <vt:variant>
        <vt:lpwstr/>
      </vt:variant>
      <vt:variant>
        <vt:lpwstr>_Toc240010295</vt:lpwstr>
      </vt:variant>
      <vt:variant>
        <vt:i4>1703985</vt:i4>
      </vt:variant>
      <vt:variant>
        <vt:i4>164</vt:i4>
      </vt:variant>
      <vt:variant>
        <vt:i4>0</vt:i4>
      </vt:variant>
      <vt:variant>
        <vt:i4>5</vt:i4>
      </vt:variant>
      <vt:variant>
        <vt:lpwstr/>
      </vt:variant>
      <vt:variant>
        <vt:lpwstr>_Toc240010294</vt:lpwstr>
      </vt:variant>
      <vt:variant>
        <vt:i4>1703985</vt:i4>
      </vt:variant>
      <vt:variant>
        <vt:i4>158</vt:i4>
      </vt:variant>
      <vt:variant>
        <vt:i4>0</vt:i4>
      </vt:variant>
      <vt:variant>
        <vt:i4>5</vt:i4>
      </vt:variant>
      <vt:variant>
        <vt:lpwstr/>
      </vt:variant>
      <vt:variant>
        <vt:lpwstr>_Toc240010293</vt:lpwstr>
      </vt:variant>
      <vt:variant>
        <vt:i4>1703985</vt:i4>
      </vt:variant>
      <vt:variant>
        <vt:i4>152</vt:i4>
      </vt:variant>
      <vt:variant>
        <vt:i4>0</vt:i4>
      </vt:variant>
      <vt:variant>
        <vt:i4>5</vt:i4>
      </vt:variant>
      <vt:variant>
        <vt:lpwstr/>
      </vt:variant>
      <vt:variant>
        <vt:lpwstr>_Toc240010292</vt:lpwstr>
      </vt:variant>
      <vt:variant>
        <vt:i4>1703985</vt:i4>
      </vt:variant>
      <vt:variant>
        <vt:i4>146</vt:i4>
      </vt:variant>
      <vt:variant>
        <vt:i4>0</vt:i4>
      </vt:variant>
      <vt:variant>
        <vt:i4>5</vt:i4>
      </vt:variant>
      <vt:variant>
        <vt:lpwstr/>
      </vt:variant>
      <vt:variant>
        <vt:lpwstr>_Toc240010291</vt:lpwstr>
      </vt:variant>
      <vt:variant>
        <vt:i4>1703985</vt:i4>
      </vt:variant>
      <vt:variant>
        <vt:i4>140</vt:i4>
      </vt:variant>
      <vt:variant>
        <vt:i4>0</vt:i4>
      </vt:variant>
      <vt:variant>
        <vt:i4>5</vt:i4>
      </vt:variant>
      <vt:variant>
        <vt:lpwstr/>
      </vt:variant>
      <vt:variant>
        <vt:lpwstr>_Toc240010290</vt:lpwstr>
      </vt:variant>
      <vt:variant>
        <vt:i4>1769521</vt:i4>
      </vt:variant>
      <vt:variant>
        <vt:i4>134</vt:i4>
      </vt:variant>
      <vt:variant>
        <vt:i4>0</vt:i4>
      </vt:variant>
      <vt:variant>
        <vt:i4>5</vt:i4>
      </vt:variant>
      <vt:variant>
        <vt:lpwstr/>
      </vt:variant>
      <vt:variant>
        <vt:lpwstr>_Toc240010288</vt:lpwstr>
      </vt:variant>
      <vt:variant>
        <vt:i4>1769521</vt:i4>
      </vt:variant>
      <vt:variant>
        <vt:i4>128</vt:i4>
      </vt:variant>
      <vt:variant>
        <vt:i4>0</vt:i4>
      </vt:variant>
      <vt:variant>
        <vt:i4>5</vt:i4>
      </vt:variant>
      <vt:variant>
        <vt:lpwstr/>
      </vt:variant>
      <vt:variant>
        <vt:lpwstr>_Toc240010287</vt:lpwstr>
      </vt:variant>
      <vt:variant>
        <vt:i4>1769521</vt:i4>
      </vt:variant>
      <vt:variant>
        <vt:i4>122</vt:i4>
      </vt:variant>
      <vt:variant>
        <vt:i4>0</vt:i4>
      </vt:variant>
      <vt:variant>
        <vt:i4>5</vt:i4>
      </vt:variant>
      <vt:variant>
        <vt:lpwstr/>
      </vt:variant>
      <vt:variant>
        <vt:lpwstr>_Toc240010286</vt:lpwstr>
      </vt:variant>
      <vt:variant>
        <vt:i4>1769521</vt:i4>
      </vt:variant>
      <vt:variant>
        <vt:i4>116</vt:i4>
      </vt:variant>
      <vt:variant>
        <vt:i4>0</vt:i4>
      </vt:variant>
      <vt:variant>
        <vt:i4>5</vt:i4>
      </vt:variant>
      <vt:variant>
        <vt:lpwstr/>
      </vt:variant>
      <vt:variant>
        <vt:lpwstr>_Toc240010285</vt:lpwstr>
      </vt:variant>
      <vt:variant>
        <vt:i4>1769521</vt:i4>
      </vt:variant>
      <vt:variant>
        <vt:i4>110</vt:i4>
      </vt:variant>
      <vt:variant>
        <vt:i4>0</vt:i4>
      </vt:variant>
      <vt:variant>
        <vt:i4>5</vt:i4>
      </vt:variant>
      <vt:variant>
        <vt:lpwstr/>
      </vt:variant>
      <vt:variant>
        <vt:lpwstr>_Toc240010284</vt:lpwstr>
      </vt:variant>
      <vt:variant>
        <vt:i4>1769521</vt:i4>
      </vt:variant>
      <vt:variant>
        <vt:i4>104</vt:i4>
      </vt:variant>
      <vt:variant>
        <vt:i4>0</vt:i4>
      </vt:variant>
      <vt:variant>
        <vt:i4>5</vt:i4>
      </vt:variant>
      <vt:variant>
        <vt:lpwstr/>
      </vt:variant>
      <vt:variant>
        <vt:lpwstr>_Toc240010283</vt:lpwstr>
      </vt:variant>
      <vt:variant>
        <vt:i4>1769521</vt:i4>
      </vt:variant>
      <vt:variant>
        <vt:i4>98</vt:i4>
      </vt:variant>
      <vt:variant>
        <vt:i4>0</vt:i4>
      </vt:variant>
      <vt:variant>
        <vt:i4>5</vt:i4>
      </vt:variant>
      <vt:variant>
        <vt:lpwstr/>
      </vt:variant>
      <vt:variant>
        <vt:lpwstr>_Toc240010282</vt:lpwstr>
      </vt:variant>
      <vt:variant>
        <vt:i4>1769521</vt:i4>
      </vt:variant>
      <vt:variant>
        <vt:i4>92</vt:i4>
      </vt:variant>
      <vt:variant>
        <vt:i4>0</vt:i4>
      </vt:variant>
      <vt:variant>
        <vt:i4>5</vt:i4>
      </vt:variant>
      <vt:variant>
        <vt:lpwstr/>
      </vt:variant>
      <vt:variant>
        <vt:lpwstr>_Toc240010281</vt:lpwstr>
      </vt:variant>
      <vt:variant>
        <vt:i4>1769521</vt:i4>
      </vt:variant>
      <vt:variant>
        <vt:i4>86</vt:i4>
      </vt:variant>
      <vt:variant>
        <vt:i4>0</vt:i4>
      </vt:variant>
      <vt:variant>
        <vt:i4>5</vt:i4>
      </vt:variant>
      <vt:variant>
        <vt:lpwstr/>
      </vt:variant>
      <vt:variant>
        <vt:lpwstr>_Toc240010280</vt:lpwstr>
      </vt:variant>
      <vt:variant>
        <vt:i4>1310769</vt:i4>
      </vt:variant>
      <vt:variant>
        <vt:i4>80</vt:i4>
      </vt:variant>
      <vt:variant>
        <vt:i4>0</vt:i4>
      </vt:variant>
      <vt:variant>
        <vt:i4>5</vt:i4>
      </vt:variant>
      <vt:variant>
        <vt:lpwstr/>
      </vt:variant>
      <vt:variant>
        <vt:lpwstr>_Toc240010279</vt:lpwstr>
      </vt:variant>
      <vt:variant>
        <vt:i4>1310769</vt:i4>
      </vt:variant>
      <vt:variant>
        <vt:i4>74</vt:i4>
      </vt:variant>
      <vt:variant>
        <vt:i4>0</vt:i4>
      </vt:variant>
      <vt:variant>
        <vt:i4>5</vt:i4>
      </vt:variant>
      <vt:variant>
        <vt:lpwstr/>
      </vt:variant>
      <vt:variant>
        <vt:lpwstr>_Toc240010278</vt:lpwstr>
      </vt:variant>
      <vt:variant>
        <vt:i4>1310769</vt:i4>
      </vt:variant>
      <vt:variant>
        <vt:i4>68</vt:i4>
      </vt:variant>
      <vt:variant>
        <vt:i4>0</vt:i4>
      </vt:variant>
      <vt:variant>
        <vt:i4>5</vt:i4>
      </vt:variant>
      <vt:variant>
        <vt:lpwstr/>
      </vt:variant>
      <vt:variant>
        <vt:lpwstr>_Toc240010277</vt:lpwstr>
      </vt:variant>
      <vt:variant>
        <vt:i4>1310769</vt:i4>
      </vt:variant>
      <vt:variant>
        <vt:i4>62</vt:i4>
      </vt:variant>
      <vt:variant>
        <vt:i4>0</vt:i4>
      </vt:variant>
      <vt:variant>
        <vt:i4>5</vt:i4>
      </vt:variant>
      <vt:variant>
        <vt:lpwstr/>
      </vt:variant>
      <vt:variant>
        <vt:lpwstr>_Toc240010276</vt:lpwstr>
      </vt:variant>
      <vt:variant>
        <vt:i4>1310769</vt:i4>
      </vt:variant>
      <vt:variant>
        <vt:i4>56</vt:i4>
      </vt:variant>
      <vt:variant>
        <vt:i4>0</vt:i4>
      </vt:variant>
      <vt:variant>
        <vt:i4>5</vt:i4>
      </vt:variant>
      <vt:variant>
        <vt:lpwstr/>
      </vt:variant>
      <vt:variant>
        <vt:lpwstr>_Toc240010275</vt:lpwstr>
      </vt:variant>
      <vt:variant>
        <vt:i4>1310769</vt:i4>
      </vt:variant>
      <vt:variant>
        <vt:i4>50</vt:i4>
      </vt:variant>
      <vt:variant>
        <vt:i4>0</vt:i4>
      </vt:variant>
      <vt:variant>
        <vt:i4>5</vt:i4>
      </vt:variant>
      <vt:variant>
        <vt:lpwstr/>
      </vt:variant>
      <vt:variant>
        <vt:lpwstr>_Toc240010274</vt:lpwstr>
      </vt:variant>
      <vt:variant>
        <vt:i4>1310769</vt:i4>
      </vt:variant>
      <vt:variant>
        <vt:i4>44</vt:i4>
      </vt:variant>
      <vt:variant>
        <vt:i4>0</vt:i4>
      </vt:variant>
      <vt:variant>
        <vt:i4>5</vt:i4>
      </vt:variant>
      <vt:variant>
        <vt:lpwstr/>
      </vt:variant>
      <vt:variant>
        <vt:lpwstr>_Toc240010273</vt:lpwstr>
      </vt:variant>
      <vt:variant>
        <vt:i4>1310769</vt:i4>
      </vt:variant>
      <vt:variant>
        <vt:i4>38</vt:i4>
      </vt:variant>
      <vt:variant>
        <vt:i4>0</vt:i4>
      </vt:variant>
      <vt:variant>
        <vt:i4>5</vt:i4>
      </vt:variant>
      <vt:variant>
        <vt:lpwstr/>
      </vt:variant>
      <vt:variant>
        <vt:lpwstr>_Toc240010272</vt:lpwstr>
      </vt:variant>
      <vt:variant>
        <vt:i4>1310769</vt:i4>
      </vt:variant>
      <vt:variant>
        <vt:i4>32</vt:i4>
      </vt:variant>
      <vt:variant>
        <vt:i4>0</vt:i4>
      </vt:variant>
      <vt:variant>
        <vt:i4>5</vt:i4>
      </vt:variant>
      <vt:variant>
        <vt:lpwstr/>
      </vt:variant>
      <vt:variant>
        <vt:lpwstr>_Toc240010271</vt:lpwstr>
      </vt:variant>
      <vt:variant>
        <vt:i4>1310769</vt:i4>
      </vt:variant>
      <vt:variant>
        <vt:i4>26</vt:i4>
      </vt:variant>
      <vt:variant>
        <vt:i4>0</vt:i4>
      </vt:variant>
      <vt:variant>
        <vt:i4>5</vt:i4>
      </vt:variant>
      <vt:variant>
        <vt:lpwstr/>
      </vt:variant>
      <vt:variant>
        <vt:lpwstr>_Toc240010270</vt:lpwstr>
      </vt:variant>
      <vt:variant>
        <vt:i4>1376305</vt:i4>
      </vt:variant>
      <vt:variant>
        <vt:i4>20</vt:i4>
      </vt:variant>
      <vt:variant>
        <vt:i4>0</vt:i4>
      </vt:variant>
      <vt:variant>
        <vt:i4>5</vt:i4>
      </vt:variant>
      <vt:variant>
        <vt:lpwstr/>
      </vt:variant>
      <vt:variant>
        <vt:lpwstr>_Toc240010269</vt:lpwstr>
      </vt:variant>
      <vt:variant>
        <vt:i4>1376305</vt:i4>
      </vt:variant>
      <vt:variant>
        <vt:i4>14</vt:i4>
      </vt:variant>
      <vt:variant>
        <vt:i4>0</vt:i4>
      </vt:variant>
      <vt:variant>
        <vt:i4>5</vt:i4>
      </vt:variant>
      <vt:variant>
        <vt:lpwstr/>
      </vt:variant>
      <vt:variant>
        <vt:lpwstr>_Toc240010268</vt:lpwstr>
      </vt:variant>
      <vt:variant>
        <vt:i4>1376305</vt:i4>
      </vt:variant>
      <vt:variant>
        <vt:i4>8</vt:i4>
      </vt:variant>
      <vt:variant>
        <vt:i4>0</vt:i4>
      </vt:variant>
      <vt:variant>
        <vt:i4>5</vt:i4>
      </vt:variant>
      <vt:variant>
        <vt:lpwstr/>
      </vt:variant>
      <vt:variant>
        <vt:lpwstr>_Toc240010267</vt:lpwstr>
      </vt:variant>
      <vt:variant>
        <vt:i4>1376305</vt:i4>
      </vt:variant>
      <vt:variant>
        <vt:i4>2</vt:i4>
      </vt:variant>
      <vt:variant>
        <vt:i4>0</vt:i4>
      </vt:variant>
      <vt:variant>
        <vt:i4>5</vt:i4>
      </vt:variant>
      <vt:variant>
        <vt:lpwstr/>
      </vt:variant>
      <vt:variant>
        <vt:lpwstr>_Toc240010266</vt:lpwstr>
      </vt:variant>
      <vt:variant>
        <vt:i4>1245230</vt:i4>
      </vt:variant>
      <vt:variant>
        <vt:i4>3</vt:i4>
      </vt:variant>
      <vt:variant>
        <vt:i4>0</vt:i4>
      </vt:variant>
      <vt:variant>
        <vt:i4>5</vt:i4>
      </vt:variant>
      <vt:variant>
        <vt:lpwstr>https://www.cpuc.ca.gov/-/media/cpuc-website/divisions/communications-division/documents/licensing-compliance/annual-reporting-requirements/annual-affiliate-transaction-report-form_.pdf</vt:lpwstr>
      </vt:variant>
      <vt:variant>
        <vt:lpwstr/>
      </vt:variant>
      <vt:variant>
        <vt:i4>6357118</vt:i4>
      </vt:variant>
      <vt:variant>
        <vt:i4>0</vt:i4>
      </vt:variant>
      <vt:variant>
        <vt:i4>0</vt:i4>
      </vt:variant>
      <vt:variant>
        <vt:i4>5</vt:i4>
      </vt:variant>
      <vt:variant>
        <vt:lpwstr>https://www.cpuc.ca.gov/-/media/cpuc-website/divisions/communications-division/documents/licensing-compliance/annual-reporting-requirements/aropfi.pdf</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2026-06-25T16:47:00Z</cp:lastPrinted>
  <dcterms:created xsi:type="dcterms:W3CDTF">2026-10-12T11:22:02Z</dcterms:created>
  <dcterms:modified xsi:type="dcterms:W3CDTF">2026-10-12T11:22:02Z</dcterms:modified>
</cp:coreProperties>
</file>