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038F1A9"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6A5360" w:rsidR="00A76F4A" w:rsidP="00A76F4A" w:rsidRDefault="00A76F4A" w14:paraId="739BA5B3" w14:textId="77777777">
      <w:pPr>
        <w:suppressAutoHyphens/>
        <w:spacing w:after="0" w:line="240" w:lineRule="auto"/>
        <w:rPr>
          <w:rFonts w:ascii="Palatino Linotype" w:hAnsi="Palatino Linotype" w:eastAsia="Times New Roman" w:cs="Times New Roman"/>
          <w:kern w:val="0"/>
          <w14:ligatures w14:val="none"/>
        </w:rPr>
      </w:pPr>
    </w:p>
    <w:p w:rsidR="00FF6330" w:rsidP="00A76F4A" w:rsidRDefault="00FF6330" w14:paraId="19EF73BF" w14:textId="6FFEBEEA">
      <w:pPr>
        <w:tabs>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p>
    <w:p w:rsidRPr="0051493D" w:rsidR="00A76F4A" w:rsidP="00A76F4A" w:rsidRDefault="00A76F4A" w14:paraId="2AFEBBF1" w14:textId="557C3AFA">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0D2C0C">
        <w:rPr>
          <w:rFonts w:ascii="Palatino Linotype" w:hAnsi="Palatino Linotype" w:eastAsia="Times New Roman" w:cs="Times New Roman"/>
          <w:b/>
          <w:kern w:val="0"/>
          <w14:ligatures w14:val="none"/>
        </w:rPr>
        <w:t>Agenda ID #</w:t>
      </w:r>
      <w:r w:rsidR="00493430">
        <w:rPr>
          <w:rFonts w:ascii="Palatino Linotype" w:hAnsi="Palatino Linotype" w:eastAsia="Times New Roman" w:cs="Times New Roman"/>
          <w:b/>
          <w:kern w:val="0"/>
          <w14:ligatures w14:val="none"/>
        </w:rPr>
        <w:t>24254</w:t>
      </w:r>
    </w:p>
    <w:p w:rsidRPr="00BE4D45" w:rsidR="00A76F4A" w:rsidP="006A5360" w:rsidRDefault="00204B1B" w14:paraId="097CE738" w14:textId="4F8CEB4A">
      <w:pPr>
        <w:tabs>
          <w:tab w:val="right" w:pos="8820"/>
        </w:tabs>
        <w:spacing w:after="0" w:line="240" w:lineRule="auto"/>
        <w:ind w:left="360"/>
        <w:rPr>
          <w:rFonts w:ascii="Palatino Linotype" w:hAnsi="Palatino Linotype" w:eastAsia="Palatino Linotype" w:cs="Times New Roman"/>
          <w:b/>
          <w:kern w:val="0"/>
          <w14:ligatures w14:val="none"/>
        </w:rPr>
      </w:pPr>
      <w:r w:rsidRPr="00BE4D45">
        <w:rPr>
          <w:rFonts w:ascii="Palatino Linotype" w:hAnsi="Palatino Linotype" w:eastAsia="Palatino Linotype" w:cs="Times New Roman"/>
          <w:b/>
          <w:kern w:val="0"/>
          <w14:ligatures w14:val="none"/>
        </w:rPr>
        <w:t>ENERGY DIVISION</w:t>
      </w:r>
      <w:r w:rsidRPr="00BE4D45" w:rsidR="00A76F4A">
        <w:rPr>
          <w:rFonts w:ascii="Palatino Linotype" w:hAnsi="Palatino Linotype" w:eastAsia="Times New Roman" w:cs="Times New Roman"/>
          <w:b/>
          <w:kern w:val="0"/>
          <w14:ligatures w14:val="none"/>
        </w:rPr>
        <w:tab/>
      </w:r>
      <w:r w:rsidRPr="00BE4D45" w:rsidR="00A76F4A">
        <w:rPr>
          <w:rFonts w:ascii="Palatino Linotype" w:hAnsi="Palatino Linotype" w:eastAsia="Palatino Linotype" w:cs="Times New Roman"/>
          <w:b/>
          <w:kern w:val="0"/>
          <w14:ligatures w14:val="none"/>
        </w:rPr>
        <w:t xml:space="preserve">       </w:t>
      </w:r>
      <w:r w:rsidRPr="00BE4D45" w:rsidR="00A76F4A">
        <w:rPr>
          <w:rFonts w:ascii="Palatino Linotype" w:hAnsi="Palatino Linotype" w:eastAsia="Palatino Linotype" w:cs="Times New Roman"/>
          <w:b/>
        </w:rPr>
        <w:t xml:space="preserve">RESOLUTION </w:t>
      </w:r>
      <w:r w:rsidRPr="00BE4D45" w:rsidR="00E56DE5">
        <w:rPr>
          <w:rFonts w:ascii="Palatino Linotype" w:hAnsi="Palatino Linotype" w:eastAsia="Palatino Linotype" w:cs="Times New Roman"/>
          <w:b/>
        </w:rPr>
        <w:t>E-5455</w:t>
      </w:r>
    </w:p>
    <w:p w:rsidRPr="001942D0" w:rsidR="00A76F4A" w:rsidP="00A76F4A" w:rsidRDefault="00BE4D45" w14:paraId="17BEFA95" w14:textId="7C1618C4">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C774F0">
        <w:rPr>
          <w:rFonts w:ascii="Palatino Linotype" w:hAnsi="Palatino Linotype" w:eastAsia="Times New Roman" w:cs="Times New Roman"/>
          <w:b/>
          <w:kern w:val="0"/>
          <w14:ligatures w14:val="none"/>
        </w:rPr>
        <w:t xml:space="preserve">October </w:t>
      </w:r>
      <w:r w:rsidR="00490AAF">
        <w:rPr>
          <w:rFonts w:ascii="Palatino Linotype" w:hAnsi="Palatino Linotype" w:eastAsia="Times New Roman" w:cs="Times New Roman"/>
          <w:b/>
          <w:kern w:val="0"/>
          <w14:ligatures w14:val="none"/>
        </w:rPr>
        <w:t>29</w:t>
      </w:r>
      <w:r w:rsidR="006A5360">
        <w:rPr>
          <w:rFonts w:ascii="Palatino Linotype" w:hAnsi="Palatino Linotype" w:eastAsia="Times New Roman" w:cs="Times New Roman"/>
          <w:b/>
          <w:kern w:val="0"/>
          <w14:ligatures w14:val="none"/>
        </w:rPr>
        <w:t>, 2026</w:t>
      </w:r>
    </w:p>
    <w:p w:rsidRPr="006A5360"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6A5360">
        <w:rPr>
          <w:rFonts w:ascii="Palatino Linotype" w:hAnsi="Palatino Linotype" w:eastAsia="Times New Roman" w:cs="Times New Roman"/>
          <w:b/>
          <w:kern w:val="0"/>
          <w14:ligatures w14:val="none"/>
        </w:rPr>
        <w:tab/>
      </w:r>
    </w:p>
    <w:p w:rsidRPr="006A5360" w:rsidR="00A76F4A" w:rsidP="00A76F4A" w:rsidRDefault="00A76F4A" w14:paraId="524F4DC8" w14:textId="77777777">
      <w:pPr>
        <w:tabs>
          <w:tab w:val="right" w:pos="8910"/>
        </w:tabs>
        <w:spacing w:after="0" w:line="240" w:lineRule="auto"/>
        <w:ind w:left="1440" w:firstLine="720"/>
        <w:rPr>
          <w:rFonts w:ascii="Palatino Linotype" w:hAnsi="Palatino Linotype" w:eastAsia="Times New Roman" w:cs="Times New Roman"/>
          <w:b/>
          <w:kern w:val="0"/>
          <w:szCs w:val="2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5CE4283E" w14:textId="77777777">
      <w:pPr>
        <w:spacing w:after="0" w:line="240" w:lineRule="auto"/>
        <w:ind w:left="72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E-5455.  Pacific Gas and Electric. Electric Rules 2, 15, and 16 Exceptional Case Submittal for Electric Transmission Interconnection for Google LLC.</w:t>
      </w:r>
    </w:p>
    <w:p w:rsidR="00317D09" w:rsidP="00317D09" w:rsidRDefault="00317D09" w14:paraId="37E8AB8A" w14:textId="77777777">
      <w:pPr>
        <w:spacing w:after="0" w:line="240" w:lineRule="auto"/>
        <w:ind w:right="720"/>
        <w:rPr>
          <w:rFonts w:ascii="Palatino Linotype" w:hAnsi="Palatino Linotype" w:eastAsia="Palatino Linotype" w:cs="Times New Roman"/>
          <w:kern w:val="0"/>
          <w14:ligatures w14:val="none"/>
        </w:rPr>
      </w:pPr>
    </w:p>
    <w:p w:rsidR="00317D09" w:rsidP="00317D09" w:rsidRDefault="00317D09" w14:paraId="74099EE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17D09" w:rsidP="00317D09" w:rsidRDefault="00317D09" w14:paraId="3020FE19"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Approves, with modifications, an agreement to facilitate the energization of a new </w:t>
      </w:r>
      <w:proofErr w:type="gramStart"/>
      <w:r>
        <w:rPr>
          <w:rFonts w:ascii="Palatino Linotype" w:hAnsi="Palatino Linotype" w:eastAsia="Times New Roman" w:cs="Times New Roman"/>
          <w:kern w:val="0"/>
          <w14:ligatures w14:val="none"/>
        </w:rPr>
        <w:t>250 megawatt</w:t>
      </w:r>
      <w:proofErr w:type="gramEnd"/>
      <w:r>
        <w:rPr>
          <w:rFonts w:ascii="Palatino Linotype" w:hAnsi="Palatino Linotype" w:eastAsia="Times New Roman" w:cs="Times New Roman"/>
          <w:kern w:val="0"/>
          <w14:ligatures w14:val="none"/>
        </w:rPr>
        <w:t xml:space="preserve"> (MW) data center load through transmission-level retail electric service </w:t>
      </w:r>
      <w:proofErr w:type="gramStart"/>
      <w:r>
        <w:rPr>
          <w:rFonts w:ascii="Palatino Linotype" w:hAnsi="Palatino Linotype" w:eastAsia="Times New Roman" w:cs="Times New Roman"/>
          <w:kern w:val="0"/>
          <w14:ligatures w14:val="none"/>
        </w:rPr>
        <w:t>for customer</w:t>
      </w:r>
      <w:proofErr w:type="gramEnd"/>
      <w:r>
        <w:rPr>
          <w:rFonts w:ascii="Palatino Linotype" w:hAnsi="Palatino Linotype" w:eastAsia="Times New Roman" w:cs="Times New Roman"/>
          <w:kern w:val="0"/>
          <w14:ligatures w14:val="none"/>
        </w:rPr>
        <w:t xml:space="preserve"> Google LLC.</w:t>
      </w:r>
    </w:p>
    <w:p w:rsidR="00627C1B" w:rsidP="00584FFD" w:rsidRDefault="00584FFD" w14:paraId="16405779" w14:textId="26E18335">
      <w:pPr>
        <w:numPr>
          <w:ilvl w:val="0"/>
          <w:numId w:val="8"/>
        </w:numPr>
        <w:spacing w:after="0" w:line="240" w:lineRule="auto"/>
        <w:ind w:right="720"/>
        <w:rPr>
          <w:rFonts w:ascii="Palatino Linotype" w:hAnsi="Palatino Linotype" w:eastAsia="Times New Roman" w:cs="Times New Roman"/>
          <w:kern w:val="0"/>
          <w14:ligatures w14:val="none"/>
        </w:rPr>
      </w:pPr>
      <w:r w:rsidRPr="00CE0A95">
        <w:rPr>
          <w:rFonts w:ascii="Palatino Linotype" w:hAnsi="Palatino Linotype" w:eastAsia="Times New Roman" w:cs="Times New Roman"/>
          <w:kern w:val="0"/>
          <w14:ligatures w14:val="none"/>
        </w:rPr>
        <w:t xml:space="preserve">Modifies the </w:t>
      </w:r>
      <w:r>
        <w:rPr>
          <w:rFonts w:ascii="Palatino Linotype" w:hAnsi="Palatino Linotype" w:eastAsia="Times New Roman" w:cs="Times New Roman"/>
          <w:kern w:val="0"/>
          <w14:ligatures w14:val="none"/>
        </w:rPr>
        <w:t xml:space="preserve">energization-related capital advance and </w:t>
      </w:r>
      <w:r w:rsidRPr="00CE0A95">
        <w:rPr>
          <w:rFonts w:ascii="Palatino Linotype" w:hAnsi="Palatino Linotype" w:eastAsia="Times New Roman" w:cs="Times New Roman"/>
          <w:kern w:val="0"/>
          <w14:ligatures w14:val="none"/>
        </w:rPr>
        <w:t>refund process,</w:t>
      </w:r>
      <w:r>
        <w:rPr>
          <w:rFonts w:ascii="Palatino Linotype" w:hAnsi="Palatino Linotype" w:eastAsia="Times New Roman" w:cs="Times New Roman"/>
          <w:kern w:val="0"/>
          <w14:ligatures w14:val="none"/>
        </w:rPr>
        <w:t xml:space="preserve"> requiring an additional capital advance of $600,000 per MW and</w:t>
      </w:r>
      <w:r w:rsidRPr="00CE0A95">
        <w:rPr>
          <w:rFonts w:ascii="Palatino Linotype" w:hAnsi="Palatino Linotype" w:eastAsia="Times New Roman" w:cs="Times New Roman"/>
          <w:kern w:val="0"/>
          <w14:ligatures w14:val="none"/>
        </w:rPr>
        <w:t xml:space="preserve"> limiting annual refunds to </w:t>
      </w:r>
      <w:r>
        <w:rPr>
          <w:rFonts w:ascii="Palatino Linotype" w:hAnsi="Palatino Linotype" w:eastAsia="Times New Roman" w:cs="Times New Roman"/>
          <w:kern w:val="0"/>
          <w14:ligatures w14:val="none"/>
        </w:rPr>
        <w:t>the</w:t>
      </w:r>
      <w:r w:rsidRPr="00CE0A95">
        <w:rPr>
          <w:rFonts w:ascii="Palatino Linotype" w:hAnsi="Palatino Linotype" w:eastAsia="Times New Roman" w:cs="Times New Roman"/>
          <w:kern w:val="0"/>
          <w14:ligatures w14:val="none"/>
        </w:rPr>
        <w:t xml:space="preserve"> annual net revenues received from the customer</w:t>
      </w:r>
      <w:r>
        <w:rPr>
          <w:rFonts w:ascii="Palatino Linotype" w:hAnsi="Palatino Linotype" w:eastAsia="Times New Roman" w:cs="Times New Roman"/>
          <w:kern w:val="0"/>
          <w14:ligatures w14:val="none"/>
        </w:rPr>
        <w:t xml:space="preserve"> plus an adjustment for the Income Tax Component of Contribution (ITCC)</w:t>
      </w:r>
      <w:r w:rsidRPr="00CE0A95">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w:t>
      </w:r>
    </w:p>
    <w:p w:rsidRPr="00584FFD" w:rsidR="00317D09" w:rsidP="00584FFD" w:rsidRDefault="00627C1B" w14:paraId="0BDEF04F" w14:textId="23F8AE8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Allows </w:t>
      </w:r>
      <w:r w:rsidR="00167CAA">
        <w:rPr>
          <w:rFonts w:ascii="Palatino Linotype" w:hAnsi="Palatino Linotype" w:eastAsia="Times New Roman" w:cs="Times New Roman"/>
          <w:kern w:val="0"/>
          <w14:ligatures w14:val="none"/>
        </w:rPr>
        <w:t xml:space="preserve">PG&amp;E </w:t>
      </w:r>
      <w:r w:rsidR="008F75CF">
        <w:rPr>
          <w:rFonts w:ascii="Palatino Linotype" w:hAnsi="Palatino Linotype" w:eastAsia="Times New Roman" w:cs="Times New Roman"/>
          <w:kern w:val="0"/>
          <w14:ligatures w14:val="none"/>
        </w:rPr>
        <w:t xml:space="preserve">to modify </w:t>
      </w:r>
      <w:r>
        <w:rPr>
          <w:rFonts w:ascii="Palatino Linotype" w:hAnsi="Palatino Linotype" w:eastAsia="Times New Roman" w:cs="Times New Roman"/>
        </w:rPr>
        <w:t>t</w:t>
      </w:r>
      <w:r w:rsidRPr="00584FFD" w:rsidR="00461902">
        <w:rPr>
          <w:rFonts w:ascii="Palatino Linotype" w:hAnsi="Palatino Linotype" w:eastAsia="Times New Roman" w:cs="Times New Roman"/>
        </w:rPr>
        <w:t>h</w:t>
      </w:r>
      <w:r w:rsidR="00584FFD">
        <w:rPr>
          <w:rFonts w:ascii="Palatino Linotype" w:hAnsi="Palatino Linotype" w:eastAsia="Times New Roman" w:cs="Times New Roman"/>
        </w:rPr>
        <w:t>e additional capital</w:t>
      </w:r>
      <w:r w:rsidRPr="00584FFD" w:rsidR="00461902">
        <w:rPr>
          <w:rFonts w:ascii="Palatino Linotype" w:hAnsi="Palatino Linotype" w:eastAsia="Times New Roman" w:cs="Times New Roman"/>
        </w:rPr>
        <w:t xml:space="preserve"> advance </w:t>
      </w:r>
      <w:r w:rsidR="008F75CF">
        <w:rPr>
          <w:rFonts w:ascii="Palatino Linotype" w:hAnsi="Palatino Linotype" w:eastAsia="Times New Roman" w:cs="Times New Roman"/>
        </w:rPr>
        <w:t xml:space="preserve">requirement </w:t>
      </w:r>
      <w:r w:rsidRPr="00584FFD" w:rsidR="00461902">
        <w:rPr>
          <w:rFonts w:ascii="Palatino Linotype" w:hAnsi="Palatino Linotype" w:eastAsia="Times New Roman" w:cs="Times New Roman"/>
        </w:rPr>
        <w:t>to</w:t>
      </w:r>
      <w:r>
        <w:rPr>
          <w:rFonts w:ascii="Palatino Linotype" w:hAnsi="Palatino Linotype" w:eastAsia="Times New Roman" w:cs="Times New Roman"/>
        </w:rPr>
        <w:t xml:space="preserve"> align with</w:t>
      </w:r>
      <w:r w:rsidRPr="00584FFD" w:rsidR="00461902">
        <w:rPr>
          <w:rFonts w:ascii="Palatino Linotype" w:hAnsi="Palatino Linotype" w:eastAsia="Times New Roman" w:cs="Times New Roman"/>
        </w:rPr>
        <w:t xml:space="preserve"> the outcome in the Rule </w:t>
      </w:r>
      <w:r w:rsidRPr="00584FFD" w:rsidR="00783A51">
        <w:rPr>
          <w:rFonts w:ascii="Palatino Linotype" w:hAnsi="Palatino Linotype" w:eastAsia="Times New Roman" w:cs="Times New Roman"/>
        </w:rPr>
        <w:t>30 Proceed</w:t>
      </w:r>
      <w:r>
        <w:rPr>
          <w:rFonts w:ascii="Palatino Linotype" w:hAnsi="Palatino Linotype" w:eastAsia="Times New Roman" w:cs="Times New Roman"/>
        </w:rPr>
        <w:t xml:space="preserve">ing. </w:t>
      </w:r>
      <w:r w:rsidRPr="00584FFD" w:rsidR="00317D09">
        <w:rPr>
          <w:rFonts w:ascii="Palatino Linotype" w:hAnsi="Palatino Linotype" w:eastAsia="Times New Roman" w:cs="Times New Roman"/>
        </w:rPr>
        <w:t xml:space="preserve"> </w:t>
      </w:r>
    </w:p>
    <w:p w:rsidR="00317D09" w:rsidP="00317D09" w:rsidRDefault="00317D09" w14:paraId="02B5C711"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Requires additional clarifications and reporting regarding the proposed binding cost cap for the portion of the project built by Google LLC.</w:t>
      </w:r>
    </w:p>
    <w:p w:rsidR="00317D09" w:rsidP="00317D09" w:rsidRDefault="00317D09" w14:paraId="12A28BC7"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00D91868"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17D09" w:rsidP="00317D09" w:rsidRDefault="00317D09" w14:paraId="238A005C" w14:textId="77777777">
      <w:pPr>
        <w:numPr>
          <w:ilvl w:val="0"/>
          <w:numId w:val="9"/>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There </w:t>
      </w:r>
      <w:proofErr w:type="gramStart"/>
      <w:r>
        <w:rPr>
          <w:rFonts w:ascii="Palatino Linotype" w:hAnsi="Palatino Linotype" w:eastAsia="Times New Roman" w:cs="Times New Roman"/>
          <w:kern w:val="0"/>
          <w14:ligatures w14:val="none"/>
        </w:rPr>
        <w:t>are</w:t>
      </w:r>
      <w:proofErr w:type="gramEnd"/>
      <w:r>
        <w:rPr>
          <w:rFonts w:ascii="Palatino Linotype" w:hAnsi="Palatino Linotype" w:eastAsia="Times New Roman" w:cs="Times New Roman"/>
          <w:kern w:val="0"/>
          <w14:ligatures w14:val="none"/>
        </w:rPr>
        <w:t xml:space="preserve"> no safety considerations associated with this Resolution.</w:t>
      </w:r>
    </w:p>
    <w:p w:rsidR="00317D09" w:rsidP="00317D09" w:rsidRDefault="00317D09" w14:paraId="003C9435"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2F0E5882"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17D09" w:rsidP="00317D09" w:rsidRDefault="00317D09" w14:paraId="54664B9B" w14:textId="77777777">
      <w:pPr>
        <w:spacing w:after="0" w:line="240" w:lineRule="auto"/>
        <w:ind w:left="144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facilitates the energization of a new customer including both the associated costs of energization and the expected future revenues from the customer</w:t>
      </w:r>
      <w:r>
        <w:rPr>
          <w:rFonts w:ascii="Palatino Linotype" w:hAnsi="Palatino Linotype" w:eastAsia="Palatino Linotype" w:cs="Palatino Linotype"/>
        </w:rPr>
        <w:t xml:space="preserve">. </w:t>
      </w:r>
    </w:p>
    <w:p w:rsidR="00317D09" w:rsidP="00317D09" w:rsidRDefault="00317D09" w14:paraId="736F57C1"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1186729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By Advice Letter 7785-E, Filed on December 18, 2025. </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5A0197" w:rsidP="005A0197" w:rsidRDefault="005A0197" w14:paraId="4287E9AB" w14:textId="1D45D463">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This Resolution approves</w:t>
      </w:r>
      <w:r w:rsidR="007709C9">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with modification</w:t>
      </w:r>
      <w:r w:rsidR="007709C9">
        <w:rPr>
          <w:rFonts w:ascii="Palatino Linotype" w:hAnsi="Palatino Linotype" w:eastAsia="Times New Roman" w:cs="Times New Roman"/>
          <w:kern w:val="0"/>
          <w14:ligatures w14:val="none"/>
        </w:rPr>
        <w:t>s,</w:t>
      </w:r>
      <w:r w:rsidRPr="005A0197">
        <w:rPr>
          <w:rFonts w:ascii="Palatino Linotype" w:hAnsi="Palatino Linotype" w:eastAsia="Times New Roman" w:cs="Times New Roman"/>
          <w:kern w:val="0"/>
          <w14:ligatures w14:val="none"/>
        </w:rPr>
        <w:t xml:space="preserve"> Pacific Gas and Electric Company’s (PG&amp;E) Advice Letter</w:t>
      </w:r>
      <w:r w:rsidR="007709C9">
        <w:rPr>
          <w:rFonts w:ascii="Palatino Linotype" w:hAnsi="Palatino Linotype" w:eastAsia="Times New Roman" w:cs="Times New Roman"/>
          <w:kern w:val="0"/>
          <w14:ligatures w14:val="none"/>
        </w:rPr>
        <w:t xml:space="preserve"> (AL)</w:t>
      </w:r>
      <w:r w:rsidRPr="005A0197">
        <w:rPr>
          <w:rFonts w:ascii="Palatino Linotype" w:hAnsi="Palatino Linotype" w:eastAsia="Times New Roman" w:cs="Times New Roman"/>
          <w:kern w:val="0"/>
          <w14:ligatures w14:val="none"/>
        </w:rPr>
        <w:t xml:space="preserve"> 7785-E, filed on December 18, 2025, requesting Commission approval of an exceptional case agreement between PG&amp;E and Google LLC (Google) to support the energization of a new 250 </w:t>
      </w:r>
      <w:r w:rsidR="00600BE4">
        <w:rPr>
          <w:rFonts w:ascii="Palatino Linotype" w:hAnsi="Palatino Linotype" w:eastAsia="Times New Roman" w:cs="Times New Roman"/>
          <w:kern w:val="0"/>
          <w14:ligatures w14:val="none"/>
        </w:rPr>
        <w:t>megawatt (</w:t>
      </w:r>
      <w:r w:rsidRPr="005A0197">
        <w:rPr>
          <w:rFonts w:ascii="Palatino Linotype" w:hAnsi="Palatino Linotype" w:eastAsia="Times New Roman" w:cs="Times New Roman"/>
          <w:kern w:val="0"/>
          <w14:ligatures w14:val="none"/>
        </w:rPr>
        <w:t>MW</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transmission-level retail electric load at 230 </w:t>
      </w:r>
      <w:r w:rsidR="00600BE4">
        <w:rPr>
          <w:rFonts w:ascii="Palatino Linotype" w:hAnsi="Palatino Linotype" w:eastAsia="Times New Roman" w:cs="Times New Roman"/>
          <w:kern w:val="0"/>
          <w14:ligatures w14:val="none"/>
        </w:rPr>
        <w:t>kilovolts (</w:t>
      </w:r>
      <w:r w:rsidRPr="005A0197">
        <w:rPr>
          <w:rFonts w:ascii="Palatino Linotype" w:hAnsi="Palatino Linotype" w:eastAsia="Times New Roman" w:cs="Times New Roman"/>
          <w:kern w:val="0"/>
          <w14:ligatures w14:val="none"/>
        </w:rPr>
        <w:t>kV</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in San Jose</w:t>
      </w:r>
      <w:r w:rsidR="001256B6">
        <w:rPr>
          <w:rFonts w:ascii="Palatino Linotype" w:hAnsi="Palatino Linotype" w:eastAsia="Times New Roman" w:cs="Times New Roman"/>
          <w:kern w:val="0"/>
          <w14:ligatures w14:val="none"/>
        </w:rPr>
        <w:t>, California</w:t>
      </w:r>
      <w:r w:rsidRPr="005A0197">
        <w:rPr>
          <w:rFonts w:ascii="Palatino Linotype" w:hAnsi="Palatino Linotype" w:eastAsia="Times New Roman" w:cs="Times New Roman"/>
          <w:kern w:val="0"/>
          <w14:ligatures w14:val="none"/>
        </w:rPr>
        <w:t xml:space="preserve">. The Commission approves </w:t>
      </w:r>
      <w:proofErr w:type="gramStart"/>
      <w:r w:rsidRPr="005A0197">
        <w:rPr>
          <w:rFonts w:ascii="Palatino Linotype" w:hAnsi="Palatino Linotype" w:eastAsia="Times New Roman" w:cs="Times New Roman"/>
          <w:kern w:val="0"/>
          <w14:ligatures w14:val="none"/>
        </w:rPr>
        <w:t>the AL</w:t>
      </w:r>
      <w:proofErr w:type="gramEnd"/>
      <w:r w:rsidRPr="005A0197">
        <w:rPr>
          <w:rFonts w:ascii="Palatino Linotype" w:hAnsi="Palatino Linotype" w:eastAsia="Times New Roman" w:cs="Times New Roman"/>
          <w:kern w:val="0"/>
          <w14:ligatures w14:val="none"/>
        </w:rPr>
        <w:t xml:space="preserve"> with modifications, requiring additional ratepayer protections.</w:t>
      </w:r>
    </w:p>
    <w:p w:rsidRPr="005A0197" w:rsidR="005A0197" w:rsidP="005A0197" w:rsidRDefault="005A0197" w14:paraId="050C95DF" w14:textId="77777777">
      <w:pPr>
        <w:spacing w:after="0" w:line="240" w:lineRule="auto"/>
        <w:rPr>
          <w:rFonts w:ascii="Palatino Linotype" w:hAnsi="Palatino Linotype" w:eastAsia="Times New Roman" w:cs="Times New Roman"/>
          <w:kern w:val="0"/>
          <w14:ligatures w14:val="none"/>
        </w:rPr>
      </w:pPr>
    </w:p>
    <w:p w:rsidR="005A0197" w:rsidP="005A0197" w:rsidRDefault="005A0197" w14:paraId="731C2853" w14:textId="4AAA721E">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Specifically, the Commission requires </w:t>
      </w:r>
      <w:r w:rsidR="00432451">
        <w:rPr>
          <w:rFonts w:ascii="Palatino Linotype" w:hAnsi="Palatino Linotype" w:eastAsia="Times New Roman" w:cs="Times New Roman"/>
          <w:kern w:val="0"/>
          <w14:ligatures w14:val="none"/>
        </w:rPr>
        <w:t xml:space="preserve">(1) an additional capital advance from the customer of $600,000 per MW to better reflect the costs of energization, including broader transmission network upgrades, and (2) </w:t>
      </w:r>
      <w:r w:rsidRPr="005A0197" w:rsidR="00432451">
        <w:rPr>
          <w:rFonts w:ascii="Palatino Linotype" w:hAnsi="Palatino Linotype" w:eastAsia="Times New Roman" w:cs="Times New Roman"/>
          <w:kern w:val="0"/>
          <w14:ligatures w14:val="none"/>
        </w:rPr>
        <w:t>modifications to the proposed refund</w:t>
      </w:r>
      <w:r w:rsidR="00432451">
        <w:rPr>
          <w:rFonts w:ascii="Palatino Linotype" w:hAnsi="Palatino Linotype" w:eastAsia="Times New Roman" w:cs="Times New Roman"/>
          <w:kern w:val="0"/>
          <w14:ligatures w14:val="none"/>
        </w:rPr>
        <w:t xml:space="preserve"> </w:t>
      </w:r>
      <w:r w:rsidRPr="005A0197" w:rsidR="00432451">
        <w:rPr>
          <w:rFonts w:ascii="Palatino Linotype" w:hAnsi="Palatino Linotype" w:eastAsia="Times New Roman" w:cs="Times New Roman"/>
          <w:kern w:val="0"/>
          <w14:ligatures w14:val="none"/>
        </w:rPr>
        <w:t xml:space="preserve">methodology to limit annual refunds to </w:t>
      </w:r>
      <w:r w:rsidR="00432451">
        <w:rPr>
          <w:rFonts w:ascii="Palatino Linotype" w:hAnsi="Palatino Linotype" w:eastAsia="Times New Roman" w:cs="Times New Roman"/>
          <w:kern w:val="0"/>
          <w14:ligatures w14:val="none"/>
        </w:rPr>
        <w:t>100</w:t>
      </w:r>
      <w:r w:rsidRPr="005A0197" w:rsidR="00432451">
        <w:rPr>
          <w:rFonts w:ascii="Palatino Linotype" w:hAnsi="Palatino Linotype" w:eastAsia="Times New Roman" w:cs="Times New Roman"/>
          <w:kern w:val="0"/>
          <w14:ligatures w14:val="none"/>
        </w:rPr>
        <w:t xml:space="preserve"> percent of annual net revenues received from the customer.</w:t>
      </w:r>
      <w:r w:rsidR="00906E74">
        <w:rPr>
          <w:rFonts w:ascii="Palatino Linotype" w:hAnsi="Palatino Linotype" w:eastAsia="Times New Roman" w:cs="Times New Roman"/>
          <w:kern w:val="0"/>
          <w14:ligatures w14:val="none"/>
        </w:rPr>
        <w:t xml:space="preserve"> </w:t>
      </w:r>
      <w:r w:rsidR="004C40A1">
        <w:rPr>
          <w:rFonts w:ascii="Palatino Linotype" w:hAnsi="Palatino Linotype" w:eastAsia="Times New Roman" w:cs="Times New Roman"/>
          <w:kern w:val="0"/>
          <w14:ligatures w14:val="none"/>
        </w:rPr>
        <w:t xml:space="preserve">PG&amp;E may modify the </w:t>
      </w:r>
      <w:r w:rsidR="00BE2967">
        <w:rPr>
          <w:rFonts w:ascii="Palatino Linotype" w:hAnsi="Palatino Linotype" w:eastAsia="Times New Roman" w:cs="Times New Roman"/>
          <w:kern w:val="0"/>
          <w14:ligatures w14:val="none"/>
        </w:rPr>
        <w:t xml:space="preserve">advance </w:t>
      </w:r>
      <w:r w:rsidR="004C40A1">
        <w:rPr>
          <w:rFonts w:ascii="Palatino Linotype" w:hAnsi="Palatino Linotype" w:eastAsia="Times New Roman" w:cs="Times New Roman"/>
          <w:kern w:val="0"/>
          <w14:ligatures w14:val="none"/>
        </w:rPr>
        <w:t xml:space="preserve">requirement </w:t>
      </w:r>
      <w:r w:rsidR="00906E74">
        <w:rPr>
          <w:rFonts w:ascii="Palatino Linotype" w:hAnsi="Palatino Linotype" w:eastAsia="Times New Roman" w:cs="Times New Roman"/>
          <w:kern w:val="0"/>
          <w14:ligatures w14:val="none"/>
        </w:rPr>
        <w:t xml:space="preserve">to match the outcome in </w:t>
      </w:r>
      <w:proofErr w:type="gramStart"/>
      <w:r w:rsidR="00906E74">
        <w:rPr>
          <w:rFonts w:ascii="Palatino Linotype" w:hAnsi="Palatino Linotype" w:eastAsia="Times New Roman" w:cs="Times New Roman"/>
          <w:kern w:val="0"/>
          <w14:ligatures w14:val="none"/>
        </w:rPr>
        <w:t>the Rule</w:t>
      </w:r>
      <w:proofErr w:type="gramEnd"/>
      <w:r w:rsidR="007933B2">
        <w:rPr>
          <w:rFonts w:ascii="Palatino Linotype" w:hAnsi="Palatino Linotype" w:eastAsia="Times New Roman" w:cs="Times New Roman"/>
          <w:kern w:val="0"/>
          <w14:ligatures w14:val="none"/>
        </w:rPr>
        <w:t xml:space="preserve"> 30 </w:t>
      </w:r>
      <w:r w:rsidR="003D36B1">
        <w:rPr>
          <w:rFonts w:ascii="Palatino Linotype" w:hAnsi="Palatino Linotype" w:eastAsia="Times New Roman" w:cs="Times New Roman"/>
          <w:kern w:val="0"/>
          <w14:ligatures w14:val="none"/>
        </w:rPr>
        <w:t>P</w:t>
      </w:r>
      <w:r w:rsidR="007933B2">
        <w:rPr>
          <w:rFonts w:ascii="Palatino Linotype" w:hAnsi="Palatino Linotype" w:eastAsia="Times New Roman" w:cs="Times New Roman"/>
          <w:kern w:val="0"/>
          <w14:ligatures w14:val="none"/>
        </w:rPr>
        <w:t>roceeding, A. 24-11-007</w:t>
      </w:r>
      <w:r w:rsidR="00BE2967">
        <w:rPr>
          <w:rFonts w:ascii="Palatino Linotype" w:hAnsi="Palatino Linotype" w:eastAsia="Times New Roman" w:cs="Times New Roman"/>
          <w:kern w:val="0"/>
          <w14:ligatures w14:val="none"/>
        </w:rPr>
        <w:t>, if warranted</w:t>
      </w:r>
      <w:r w:rsidR="00563899">
        <w:rPr>
          <w:rFonts w:ascii="Palatino Linotype" w:hAnsi="Palatino Linotype" w:eastAsia="Times New Roman" w:cs="Times New Roman"/>
          <w:kern w:val="0"/>
          <w14:ligatures w14:val="none"/>
        </w:rPr>
        <w:t xml:space="preserve">. </w:t>
      </w:r>
      <w:r w:rsidR="000F2C5C">
        <w:rPr>
          <w:rFonts w:ascii="Palatino Linotype" w:hAnsi="Palatino Linotype" w:eastAsia="Times New Roman" w:cs="Times New Roman"/>
          <w:kern w:val="0"/>
          <w14:ligatures w14:val="none"/>
        </w:rPr>
        <w:t>T</w:t>
      </w:r>
      <w:r w:rsidRPr="005A0197">
        <w:rPr>
          <w:rFonts w:ascii="Palatino Linotype" w:hAnsi="Palatino Linotype" w:eastAsia="Times New Roman" w:cs="Times New Roman"/>
          <w:kern w:val="0"/>
          <w14:ligatures w14:val="none"/>
        </w:rPr>
        <w:t>he standard Base Annual Revenue Calculation (BARC) refund approach used under Electric Rule 15 may result in rapid refunds for large transmission-level customers well before sufficient net revenues have been received to offset the costs and associated risks of energizing large load.</w:t>
      </w:r>
      <w:r w:rsidR="00740E32">
        <w:rPr>
          <w:rFonts w:ascii="Palatino Linotype" w:hAnsi="Palatino Linotype" w:eastAsia="Times New Roman" w:cs="Times New Roman"/>
          <w:kern w:val="0"/>
          <w14:ligatures w14:val="none"/>
        </w:rPr>
        <w:t xml:space="preserve"> </w:t>
      </w:r>
      <w:r w:rsidR="00986A81">
        <w:rPr>
          <w:rFonts w:ascii="Palatino Linotype" w:hAnsi="Palatino Linotype" w:eastAsia="Times New Roman" w:cs="Times New Roman"/>
          <w:kern w:val="0"/>
          <w14:ligatures w14:val="none"/>
        </w:rPr>
        <w:t>Because the applicant</w:t>
      </w:r>
      <w:r w:rsidR="00740E32">
        <w:rPr>
          <w:rFonts w:ascii="Palatino Linotype" w:hAnsi="Palatino Linotype" w:eastAsia="Times New Roman" w:cs="Times New Roman"/>
          <w:kern w:val="0"/>
          <w14:ligatures w14:val="none"/>
        </w:rPr>
        <w:t xml:space="preserve"> proposed process does not adequately account for the energization costs associated with broader transmission network upgrades</w:t>
      </w:r>
      <w:r w:rsidR="00986A81">
        <w:rPr>
          <w:rFonts w:ascii="Palatino Linotype" w:hAnsi="Palatino Linotype" w:eastAsia="Times New Roman" w:cs="Times New Roman"/>
          <w:kern w:val="0"/>
          <w14:ligatures w14:val="none"/>
        </w:rPr>
        <w:t xml:space="preserve">, the </w:t>
      </w:r>
      <w:r w:rsidRPr="005A0197">
        <w:rPr>
          <w:rFonts w:ascii="Palatino Linotype" w:hAnsi="Palatino Linotype" w:eastAsia="Times New Roman" w:cs="Times New Roman"/>
          <w:kern w:val="0"/>
          <w14:ligatures w14:val="none"/>
        </w:rPr>
        <w:t xml:space="preserve">Commission finds that </w:t>
      </w:r>
      <w:r w:rsidR="00171586">
        <w:rPr>
          <w:rFonts w:ascii="Palatino Linotype" w:hAnsi="Palatino Linotype" w:eastAsia="Times New Roman" w:cs="Times New Roman"/>
          <w:kern w:val="0"/>
          <w14:ligatures w14:val="none"/>
        </w:rPr>
        <w:t>an additional capital advance and an</w:t>
      </w:r>
      <w:r w:rsidRPr="005A0197" w:rsidR="00171586">
        <w:rPr>
          <w:rFonts w:ascii="Palatino Linotype" w:hAnsi="Palatino Linotype" w:eastAsia="Times New Roman" w:cs="Times New Roman"/>
          <w:kern w:val="0"/>
          <w14:ligatures w14:val="none"/>
        </w:rPr>
        <w:t xml:space="preserve"> annual </w:t>
      </w:r>
      <w:r w:rsidR="00171586">
        <w:rPr>
          <w:rFonts w:ascii="Palatino Linotype" w:hAnsi="Palatino Linotype" w:eastAsia="Times New Roman" w:cs="Times New Roman"/>
          <w:kern w:val="0"/>
          <w14:ligatures w14:val="none"/>
        </w:rPr>
        <w:t xml:space="preserve">100 </w:t>
      </w:r>
      <w:r w:rsidRPr="005A0197" w:rsidR="00171586">
        <w:rPr>
          <w:rFonts w:ascii="Palatino Linotype" w:hAnsi="Palatino Linotype" w:eastAsia="Times New Roman" w:cs="Times New Roman"/>
          <w:kern w:val="0"/>
          <w14:ligatures w14:val="none"/>
        </w:rPr>
        <w:t xml:space="preserve">percent net revenue refund limit </w:t>
      </w:r>
      <w:r w:rsidR="00C85E57">
        <w:rPr>
          <w:rFonts w:ascii="Palatino Linotype" w:hAnsi="Palatino Linotype" w:eastAsia="Times New Roman" w:cs="Times New Roman"/>
          <w:kern w:val="0"/>
          <w14:ligatures w14:val="none"/>
        </w:rPr>
        <w:t>are</w:t>
      </w:r>
      <w:r w:rsidRPr="005A0197">
        <w:rPr>
          <w:rFonts w:ascii="Palatino Linotype" w:hAnsi="Palatino Linotype" w:eastAsia="Times New Roman" w:cs="Times New Roman"/>
          <w:kern w:val="0"/>
          <w14:ligatures w14:val="none"/>
        </w:rPr>
        <w:t xml:space="preserve"> reasonable and necessary to protect ratepayers while still allowing the customer to receive </w:t>
      </w:r>
      <w:r w:rsidR="000F2C5C">
        <w:rPr>
          <w:rFonts w:ascii="Palatino Linotype" w:hAnsi="Palatino Linotype" w:eastAsia="Times New Roman" w:cs="Times New Roman"/>
          <w:kern w:val="0"/>
          <w14:ligatures w14:val="none"/>
        </w:rPr>
        <w:t xml:space="preserve">a full </w:t>
      </w:r>
      <w:r w:rsidRPr="005A0197">
        <w:rPr>
          <w:rFonts w:ascii="Palatino Linotype" w:hAnsi="Palatino Linotype" w:eastAsia="Times New Roman" w:cs="Times New Roman"/>
          <w:kern w:val="0"/>
          <w14:ligatures w14:val="none"/>
        </w:rPr>
        <w:t>refund over time.</w:t>
      </w:r>
      <w:r w:rsidR="00FE4D5D">
        <w:rPr>
          <w:rFonts w:ascii="Palatino Linotype" w:hAnsi="Palatino Linotype" w:eastAsia="Times New Roman" w:cs="Times New Roman"/>
          <w:kern w:val="0"/>
          <w14:ligatures w14:val="none"/>
        </w:rPr>
        <w:t xml:space="preserve"> </w:t>
      </w:r>
    </w:p>
    <w:p w:rsidRPr="005A0197" w:rsidR="005A0197" w:rsidP="005A0197" w:rsidRDefault="005A0197" w14:paraId="3ECC14DE" w14:textId="77777777">
      <w:pPr>
        <w:spacing w:after="0" w:line="240" w:lineRule="auto"/>
        <w:rPr>
          <w:rFonts w:ascii="Palatino Linotype" w:hAnsi="Palatino Linotype" w:eastAsia="Times New Roman" w:cs="Times New Roman"/>
          <w:kern w:val="0"/>
          <w14:ligatures w14:val="none"/>
        </w:rPr>
      </w:pPr>
    </w:p>
    <w:p w:rsidR="00A76F4A" w:rsidP="00E50E44" w:rsidRDefault="005A0197" w14:paraId="5BA743B0" w14:textId="62FFC352">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This Resolution also addresses a proposed binding cost cap for the applicant-build portion of the project. The Commission clarifies that the binding cost estimate should apply to refundable costs (Standard Facilities) separately from non-refundable costs (Special Facilities), and that the binding cost cap for refundable costs should not include costs overlapping with </w:t>
      </w:r>
      <w:r w:rsidR="00750EB8">
        <w:rPr>
          <w:rFonts w:ascii="Palatino Linotype" w:hAnsi="Palatino Linotype" w:eastAsia="Times New Roman" w:cs="Times New Roman"/>
          <w:kern w:val="0"/>
          <w14:ligatures w14:val="none"/>
        </w:rPr>
        <w:t xml:space="preserve">the costs of </w:t>
      </w:r>
      <w:r w:rsidRPr="005A0197">
        <w:rPr>
          <w:rFonts w:ascii="Palatino Linotype" w:hAnsi="Palatino Linotype" w:eastAsia="Times New Roman" w:cs="Times New Roman"/>
          <w:kern w:val="0"/>
          <w14:ligatures w14:val="none"/>
        </w:rPr>
        <w:t xml:space="preserve">PG&amp;E’s own </w:t>
      </w:r>
      <w:r w:rsidR="00750EB8">
        <w:rPr>
          <w:rFonts w:ascii="Palatino Linotype" w:hAnsi="Palatino Linotype" w:eastAsia="Times New Roman" w:cs="Times New Roman"/>
          <w:kern w:val="0"/>
          <w14:ligatures w14:val="none"/>
        </w:rPr>
        <w:t>work on the project</w:t>
      </w:r>
      <w:r w:rsidRPr="005A0197">
        <w:rPr>
          <w:rFonts w:ascii="Palatino Linotype" w:hAnsi="Palatino Linotype" w:eastAsia="Times New Roman" w:cs="Times New Roman"/>
          <w:kern w:val="0"/>
          <w14:ligatures w14:val="none"/>
        </w:rPr>
        <w:t xml:space="preserve">. The Commission further requires PG&amp;E to submit an information-only Tier 1 </w:t>
      </w:r>
      <w:r w:rsidR="0017250A">
        <w:rPr>
          <w:rFonts w:ascii="Palatino Linotype" w:hAnsi="Palatino Linotype" w:eastAsia="Times New Roman" w:cs="Times New Roman"/>
          <w:kern w:val="0"/>
          <w14:ligatures w14:val="none"/>
        </w:rPr>
        <w:t>Advice Letter</w:t>
      </w:r>
      <w:r w:rsidRPr="005A0197">
        <w:rPr>
          <w:rFonts w:ascii="Palatino Linotype" w:hAnsi="Palatino Linotype" w:eastAsia="Times New Roman" w:cs="Times New Roman"/>
          <w:kern w:val="0"/>
          <w14:ligatures w14:val="none"/>
        </w:rPr>
        <w:t xml:space="preserve"> when the binding cost estimate is finalized, with attachments describing the binding estimate and how it was calculated. </w:t>
      </w:r>
    </w:p>
    <w:p w:rsidRPr="007D02B1" w:rsidR="00E50E44" w:rsidP="00E50E44" w:rsidRDefault="00E50E44" w14:paraId="67B8897F" w14:textId="77777777">
      <w:pPr>
        <w:spacing w:after="0" w:line="240" w:lineRule="auto"/>
        <w:rPr>
          <w:rFonts w:ascii="Palatino Linotype" w:hAnsi="Palatino Linotype" w:eastAsia="Palatino Linotype" w:cs="Times New Roman"/>
          <w:kern w:val="0"/>
          <w14:ligatures w14:val="none"/>
        </w:rPr>
      </w:pPr>
    </w:p>
    <w:p w:rsidRPr="001942D0" w:rsidR="00A76F4A" w:rsidP="00EB7B59"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7C2D81" w:rsidP="00EB7B59" w:rsidRDefault="007C2D81" w14:paraId="1C27CA49" w14:textId="77777777">
      <w:pPr>
        <w:keepNext/>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Filing and Request</w:t>
      </w:r>
    </w:p>
    <w:p w:rsidRPr="007C2D81" w:rsidR="00EB2EAD" w:rsidP="00EB7B59" w:rsidRDefault="00EB2EAD" w14:paraId="6D6C768C" w14:textId="77777777">
      <w:pPr>
        <w:keepNext/>
        <w:spacing w:after="0" w:line="240" w:lineRule="auto"/>
        <w:rPr>
          <w:rFonts w:ascii="Palatino Linotype" w:hAnsi="Palatino Linotype" w:eastAsia="Times New Roman" w:cs="Times New Roman"/>
          <w:b/>
          <w:bCs/>
          <w:kern w:val="0"/>
          <w14:ligatures w14:val="none"/>
        </w:rPr>
      </w:pPr>
    </w:p>
    <w:p w:rsidR="007C2D81" w:rsidP="00EB7B59" w:rsidRDefault="007C2D81" w14:paraId="3D88247E" w14:textId="2C9DD500">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On December 18, 2025, Pacific Gas and Electric Company (PG&amp;E) filed Advice Letter </w:t>
      </w:r>
      <w:r w:rsidR="00CF1110">
        <w:rPr>
          <w:rFonts w:ascii="Palatino Linotype" w:hAnsi="Palatino Linotype" w:eastAsia="Times New Roman" w:cs="Times New Roman"/>
          <w:kern w:val="0"/>
          <w14:ligatures w14:val="none"/>
        </w:rPr>
        <w:t xml:space="preserve">(AL) </w:t>
      </w:r>
      <w:r w:rsidRPr="007C2D81">
        <w:rPr>
          <w:rFonts w:ascii="Palatino Linotype" w:hAnsi="Palatino Linotype" w:eastAsia="Times New Roman" w:cs="Times New Roman"/>
          <w:kern w:val="0"/>
          <w14:ligatures w14:val="none"/>
        </w:rPr>
        <w:t xml:space="preserve">7785-E as a Tier 3 </w:t>
      </w:r>
      <w:r w:rsidR="0017250A">
        <w:rPr>
          <w:rFonts w:ascii="Palatino Linotype" w:hAnsi="Palatino Linotype" w:eastAsia="Times New Roman" w:cs="Times New Roman"/>
          <w:kern w:val="0"/>
          <w14:ligatures w14:val="none"/>
        </w:rPr>
        <w:t>Advice Letter</w:t>
      </w:r>
      <w:r w:rsidRPr="007C2D81">
        <w:rPr>
          <w:rFonts w:ascii="Palatino Linotype" w:hAnsi="Palatino Linotype" w:eastAsia="Times New Roman" w:cs="Times New Roman"/>
          <w:kern w:val="0"/>
          <w14:ligatures w14:val="none"/>
        </w:rPr>
        <w:t xml:space="preserve"> requesting Commission approval of an agreement </w:t>
      </w:r>
      <w:r w:rsidRPr="007C2D81">
        <w:rPr>
          <w:rFonts w:ascii="Palatino Linotype" w:hAnsi="Palatino Linotype" w:eastAsia="Times New Roman" w:cs="Times New Roman"/>
          <w:kern w:val="0"/>
          <w14:ligatures w14:val="none"/>
        </w:rPr>
        <w:lastRenderedPageBreak/>
        <w:t>between PG&amp;E and Google LLC (Google) to provide transmission-level retail electric service at 230 kilovolts (kV) to serve Google’s facilities at 5079 Disk Drive in San Jose, California, with a forecasted demand of 250 megawatts (MW) at full build. PG&amp;E requests approval by June 1, 2026, to support construction beginning in January 2027 and an operational in-service date in December 2028.</w:t>
      </w:r>
    </w:p>
    <w:p w:rsidR="00A6263C" w:rsidP="007C2D81" w:rsidRDefault="00A6263C" w14:paraId="5277EB12" w14:textId="77777777">
      <w:pPr>
        <w:spacing w:after="0" w:line="240" w:lineRule="auto"/>
        <w:rPr>
          <w:rFonts w:ascii="Palatino Linotype" w:hAnsi="Palatino Linotype" w:eastAsia="Times New Roman" w:cs="Times New Roman"/>
          <w:kern w:val="0"/>
          <w14:ligatures w14:val="none"/>
        </w:rPr>
      </w:pPr>
    </w:p>
    <w:p w:rsidR="00A6263C" w:rsidP="007C2D81" w:rsidRDefault="00257FE1" w14:paraId="6961281E" w14:textId="47163C7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For context,</w:t>
      </w:r>
      <w:r w:rsidR="00A6263C">
        <w:rPr>
          <w:rFonts w:ascii="Palatino Linotype" w:hAnsi="Palatino Linotype" w:eastAsia="Times New Roman" w:cs="Times New Roman"/>
          <w:kern w:val="0"/>
          <w14:ligatures w14:val="none"/>
        </w:rPr>
        <w:t xml:space="preserve"> 250 MW is larger than the average demand of </w:t>
      </w:r>
      <w:proofErr w:type="gramStart"/>
      <w:r>
        <w:rPr>
          <w:rFonts w:ascii="Palatino Linotype" w:hAnsi="Palatino Linotype" w:eastAsia="Times New Roman" w:cs="Times New Roman"/>
          <w:kern w:val="0"/>
          <w14:ligatures w14:val="none"/>
        </w:rPr>
        <w:t>all of</w:t>
      </w:r>
      <w:proofErr w:type="gramEnd"/>
      <w:r>
        <w:rPr>
          <w:rFonts w:ascii="Palatino Linotype" w:hAnsi="Palatino Linotype" w:eastAsia="Times New Roman" w:cs="Times New Roman"/>
          <w:kern w:val="0"/>
          <w14:ligatures w14:val="none"/>
        </w:rPr>
        <w:t xml:space="preserve"> </w:t>
      </w:r>
      <w:proofErr w:type="gramStart"/>
      <w:r w:rsidR="00A6263C">
        <w:rPr>
          <w:rFonts w:ascii="Palatino Linotype" w:hAnsi="Palatino Linotype" w:eastAsia="Times New Roman" w:cs="Times New Roman"/>
          <w:kern w:val="0"/>
          <w14:ligatures w14:val="none"/>
        </w:rPr>
        <w:t>Marin county</w:t>
      </w:r>
      <w:proofErr w:type="gramEnd"/>
      <w:r>
        <w:rPr>
          <w:rFonts w:ascii="Palatino Linotype" w:hAnsi="Palatino Linotype" w:eastAsia="Times New Roman" w:cs="Times New Roman"/>
          <w:kern w:val="0"/>
          <w14:ligatures w14:val="none"/>
        </w:rPr>
        <w:t xml:space="preserve"> in 2024</w:t>
      </w:r>
      <w:r w:rsidR="00A6263C">
        <w:rPr>
          <w:rFonts w:ascii="Palatino Linotype" w:hAnsi="Palatino Linotype" w:eastAsia="Times New Roman" w:cs="Times New Roman"/>
          <w:kern w:val="0"/>
          <w14:ligatures w14:val="none"/>
        </w:rPr>
        <w:t xml:space="preserve">, and about half the overall average demand of </w:t>
      </w:r>
      <w:proofErr w:type="gramStart"/>
      <w:r w:rsidR="00A6263C">
        <w:rPr>
          <w:rFonts w:ascii="Palatino Linotype" w:hAnsi="Palatino Linotype" w:eastAsia="Times New Roman" w:cs="Times New Roman"/>
          <w:kern w:val="0"/>
          <w14:ligatures w14:val="none"/>
        </w:rPr>
        <w:t>San Mateo county</w:t>
      </w:r>
      <w:proofErr w:type="gramEnd"/>
      <w:r w:rsidR="00A6263C">
        <w:rPr>
          <w:rFonts w:ascii="Palatino Linotype" w:hAnsi="Palatino Linotype" w:eastAsia="Times New Roman" w:cs="Times New Roman"/>
          <w:kern w:val="0"/>
          <w14:ligatures w14:val="none"/>
        </w:rPr>
        <w:t>.</w:t>
      </w:r>
      <w:r w:rsidR="00A6263C">
        <w:rPr>
          <w:rStyle w:val="FootnoteReference"/>
          <w:rFonts w:ascii="Palatino Linotype" w:hAnsi="Palatino Linotype" w:eastAsia="Times New Roman" w:cs="Times New Roman"/>
          <w:kern w:val="0"/>
          <w14:ligatures w14:val="none"/>
        </w:rPr>
        <w:footnoteReference w:id="2"/>
      </w:r>
    </w:p>
    <w:p w:rsidRPr="007C2D81" w:rsidR="007C2D81" w:rsidP="007C2D81" w:rsidRDefault="007C2D81" w14:paraId="3381D4A4"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2AECC4AD" w14:textId="77777777">
      <w:pPr>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Project Development and Facilities Overview</w:t>
      </w:r>
    </w:p>
    <w:p w:rsidRPr="007C2D81" w:rsidR="00EB2EAD" w:rsidP="007C2D81" w:rsidRDefault="00EB2EAD" w14:paraId="6192772F"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5841DE96" w14:textId="094E3896">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states that Google </w:t>
      </w:r>
      <w:proofErr w:type="gramStart"/>
      <w:r w:rsidRPr="007C2D81">
        <w:rPr>
          <w:rFonts w:ascii="Palatino Linotype" w:hAnsi="Palatino Linotype" w:eastAsia="Times New Roman" w:cs="Times New Roman"/>
          <w:kern w:val="0"/>
          <w14:ligatures w14:val="none"/>
        </w:rPr>
        <w:t>submitted an application</w:t>
      </w:r>
      <w:proofErr w:type="gramEnd"/>
      <w:r w:rsidRPr="007C2D81">
        <w:rPr>
          <w:rFonts w:ascii="Palatino Linotype" w:hAnsi="Palatino Linotype" w:eastAsia="Times New Roman" w:cs="Times New Roman"/>
          <w:kern w:val="0"/>
          <w14:ligatures w14:val="none"/>
        </w:rPr>
        <w:t xml:space="preserve"> on March 3, </w:t>
      </w:r>
      <w:proofErr w:type="gramStart"/>
      <w:r w:rsidRPr="007C2D81">
        <w:rPr>
          <w:rFonts w:ascii="Palatino Linotype" w:hAnsi="Palatino Linotype" w:eastAsia="Times New Roman" w:cs="Times New Roman"/>
          <w:kern w:val="0"/>
          <w14:ligatures w14:val="none"/>
        </w:rPr>
        <w:t>2025</w:t>
      </w:r>
      <w:proofErr w:type="gramEnd"/>
      <w:r w:rsidRPr="007C2D81">
        <w:rPr>
          <w:rFonts w:ascii="Palatino Linotype" w:hAnsi="Palatino Linotype" w:eastAsia="Times New Roman" w:cs="Times New Roman"/>
          <w:kern w:val="0"/>
          <w14:ligatures w14:val="none"/>
        </w:rPr>
        <w:t xml:space="preserve"> to interconnect a new transmission-level retail load. PG&amp;E conducted a Preliminary Engineering Study (PES) and completed the latest PES report in December 2025. PG&amp;E states that the PES concluded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an onsite 230 kV switching station would be required to provide 230 kV service for Google’s load.</w:t>
      </w:r>
    </w:p>
    <w:p w:rsidRPr="007C2D81" w:rsidR="00EB2EAD" w:rsidP="007C2D81" w:rsidRDefault="00EB2EAD" w14:paraId="3F90E0F7"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7205141B" w14:textId="4B621B65">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describes the project as requiring (1) an onsite switching station to interconnect to the transmission network</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w:t>
      </w:r>
      <w:proofErr w:type="gramStart"/>
      <w:r w:rsidRPr="007C2D81">
        <w:rPr>
          <w:rFonts w:ascii="Palatino Linotype" w:hAnsi="Palatino Linotype" w:eastAsia="Times New Roman" w:cs="Times New Roman"/>
          <w:kern w:val="0"/>
          <w14:ligatures w14:val="none"/>
        </w:rPr>
        <w:t>and</w:t>
      </w:r>
      <w:r w:rsidR="001256B6">
        <w:rPr>
          <w:rFonts w:ascii="Palatino Linotype" w:hAnsi="Palatino Linotype" w:eastAsia="Times New Roman" w:cs="Times New Roman"/>
          <w:kern w:val="0"/>
          <w14:ligatures w14:val="none"/>
        </w:rPr>
        <w:t>,</w:t>
      </w:r>
      <w:proofErr w:type="gramEnd"/>
      <w:r w:rsidRPr="007C2D81">
        <w:rPr>
          <w:rFonts w:ascii="Palatino Linotype" w:hAnsi="Palatino Linotype" w:eastAsia="Times New Roman" w:cs="Times New Roman"/>
          <w:kern w:val="0"/>
          <w14:ligatures w14:val="none"/>
        </w:rPr>
        <w:t xml:space="preserve"> (2) underground 230 kV service lines to connect from the switching station to Google’s substation. PG&amp;E states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the switching station will use gas insulated switchgear and a breaker-and-a-half bus configuration. PG&amp;E further states that the switching station will be designed to be expandable or reconfigurable to serve additional customers should future demand materialize.</w:t>
      </w:r>
    </w:p>
    <w:p w:rsidRPr="007C2D81" w:rsidR="004140CF" w:rsidP="007C2D81" w:rsidRDefault="004140CF" w14:paraId="5BCE7931" w14:textId="77777777">
      <w:pPr>
        <w:spacing w:after="0" w:line="240" w:lineRule="auto"/>
        <w:rPr>
          <w:rFonts w:ascii="Palatino Linotype" w:hAnsi="Palatino Linotype" w:eastAsia="Times New Roman" w:cs="Times New Roman"/>
          <w:kern w:val="0"/>
          <w14:ligatures w14:val="none"/>
        </w:rPr>
      </w:pPr>
    </w:p>
    <w:p w:rsidR="007C2D81" w:rsidP="0030610D" w:rsidRDefault="007C2D81" w14:paraId="47E13410" w14:textId="77777777">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Agreement Structure and Construction Responsibilities</w:t>
      </w:r>
    </w:p>
    <w:p w:rsidRPr="004140CF" w:rsidR="00EB2EAD" w:rsidP="0030610D" w:rsidRDefault="00EB2EAD" w14:paraId="7997FFB0" w14:textId="77777777">
      <w:pPr>
        <w:keepNext/>
        <w:spacing w:after="0" w:line="240" w:lineRule="auto"/>
        <w:rPr>
          <w:rFonts w:ascii="Palatino Linotype" w:hAnsi="Palatino Linotype" w:eastAsia="Times New Roman" w:cs="Times New Roman"/>
          <w:b/>
          <w:bCs/>
          <w:kern w:val="0"/>
          <w14:ligatures w14:val="none"/>
        </w:rPr>
      </w:pPr>
    </w:p>
    <w:p w:rsidR="007C2D81" w:rsidP="0030610D" w:rsidRDefault="007C2D81" w14:paraId="25972527" w14:textId="3809C3BB">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agreement as an </w:t>
      </w:r>
      <w:r w:rsidR="00C4148E">
        <w:rPr>
          <w:rFonts w:ascii="Palatino Linotype" w:hAnsi="Palatino Linotype" w:eastAsia="Times New Roman" w:cs="Times New Roman"/>
          <w:kern w:val="0"/>
          <w14:ligatures w14:val="none"/>
        </w:rPr>
        <w:t>E</w:t>
      </w:r>
      <w:r w:rsidRPr="007C2D81">
        <w:rPr>
          <w:rFonts w:ascii="Palatino Linotype" w:hAnsi="Palatino Linotype" w:eastAsia="Times New Roman" w:cs="Times New Roman"/>
          <w:kern w:val="0"/>
          <w14:ligatures w14:val="none"/>
        </w:rPr>
        <w:t xml:space="preserve">xceptional </w:t>
      </w:r>
      <w:r w:rsidR="00C4148E">
        <w:rPr>
          <w:rFonts w:ascii="Palatino Linotype" w:hAnsi="Palatino Linotype" w:eastAsia="Times New Roman" w:cs="Times New Roman"/>
          <w:kern w:val="0"/>
          <w14:ligatures w14:val="none"/>
        </w:rPr>
        <w:t>C</w:t>
      </w:r>
      <w:r w:rsidRPr="007C2D81">
        <w:rPr>
          <w:rFonts w:ascii="Palatino Linotype" w:hAnsi="Palatino Linotype" w:eastAsia="Times New Roman" w:cs="Times New Roman"/>
          <w:kern w:val="0"/>
          <w14:ligatures w14:val="none"/>
        </w:rPr>
        <w:t>ase</w:t>
      </w:r>
      <w:r w:rsidR="00C4148E">
        <w:rPr>
          <w:rFonts w:ascii="Palatino Linotype" w:hAnsi="Palatino Linotype" w:eastAsia="Times New Roman" w:cs="Times New Roman"/>
          <w:kern w:val="0"/>
          <w14:ligatures w14:val="none"/>
        </w:rPr>
        <w:t xml:space="preserve"> Submittal</w:t>
      </w:r>
      <w:r w:rsidRPr="007C2D81">
        <w:rPr>
          <w:rFonts w:ascii="Palatino Linotype" w:hAnsi="Palatino Linotype" w:eastAsia="Times New Roman" w:cs="Times New Roman"/>
          <w:kern w:val="0"/>
          <w14:ligatures w14:val="none"/>
        </w:rPr>
        <w:t xml:space="preserve"> under Electric </w:t>
      </w:r>
      <w:r w:rsidR="0030610D">
        <w:rPr>
          <w:rFonts w:ascii="Palatino Linotype" w:hAnsi="Palatino Linotype" w:eastAsia="Times New Roman" w:cs="Times New Roman"/>
          <w:kern w:val="0"/>
          <w14:ligatures w14:val="none"/>
        </w:rPr>
        <w:br/>
      </w:r>
      <w:r w:rsidRPr="007C2D81">
        <w:rPr>
          <w:rFonts w:ascii="Palatino Linotype" w:hAnsi="Palatino Linotype" w:eastAsia="Times New Roman" w:cs="Times New Roman"/>
          <w:kern w:val="0"/>
          <w14:ligatures w14:val="none"/>
        </w:rPr>
        <w:t>Rules 2, 15, and 16. PG&amp;E states that Google will engineer, design, and construct certain facilities as “Applicant Work,” which will be transferred to PG&amp;E upon completion, and that other work will be performed directly by PG&amp;E pursuant to the agreement. PG&amp;E also states that the agreement includes provisions addressing construction responsibilities and cost responsibility, including actual-cost billing and a binding cost estimate framework for certain facilities constructed by Google.</w:t>
      </w:r>
    </w:p>
    <w:p w:rsidRPr="007C2D81" w:rsidR="004140CF" w:rsidP="007C2D81" w:rsidRDefault="004140CF" w14:paraId="40B6BF43" w14:textId="77777777">
      <w:pPr>
        <w:spacing w:after="0" w:line="240" w:lineRule="auto"/>
        <w:rPr>
          <w:rFonts w:ascii="Palatino Linotype" w:hAnsi="Palatino Linotype" w:eastAsia="Times New Roman" w:cs="Times New Roman"/>
          <w:kern w:val="0"/>
          <w14:ligatures w14:val="none"/>
        </w:rPr>
      </w:pPr>
    </w:p>
    <w:p w:rsidR="007C2D81" w:rsidP="00515E18" w:rsidRDefault="007C2D81" w14:paraId="32790CC1" w14:textId="08941B3B">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lastRenderedPageBreak/>
        <w:t>Estimated Cost</w:t>
      </w:r>
      <w:r w:rsidR="000E3539">
        <w:rPr>
          <w:rFonts w:ascii="Palatino Linotype" w:hAnsi="Palatino Linotype" w:eastAsia="Times New Roman" w:cs="Times New Roman"/>
          <w:b/>
          <w:bCs/>
          <w:kern w:val="0"/>
          <w14:ligatures w14:val="none"/>
        </w:rPr>
        <w:t>,</w:t>
      </w:r>
      <w:r w:rsidRPr="004140CF">
        <w:rPr>
          <w:rFonts w:ascii="Palatino Linotype" w:hAnsi="Palatino Linotype" w:eastAsia="Times New Roman" w:cs="Times New Roman"/>
          <w:b/>
          <w:bCs/>
          <w:kern w:val="0"/>
          <w14:ligatures w14:val="none"/>
        </w:rPr>
        <w:t xml:space="preserve"> Cost Recovery</w:t>
      </w:r>
      <w:r w:rsidR="003C1B53">
        <w:rPr>
          <w:rFonts w:ascii="Palatino Linotype" w:hAnsi="Palatino Linotype" w:eastAsia="Times New Roman" w:cs="Times New Roman"/>
          <w:b/>
          <w:bCs/>
          <w:kern w:val="0"/>
          <w14:ligatures w14:val="none"/>
        </w:rPr>
        <w:t>,</w:t>
      </w:r>
      <w:r w:rsidR="000E3539">
        <w:rPr>
          <w:rFonts w:ascii="Palatino Linotype" w:hAnsi="Palatino Linotype" w:eastAsia="Times New Roman" w:cs="Times New Roman"/>
          <w:b/>
          <w:bCs/>
          <w:kern w:val="0"/>
          <w14:ligatures w14:val="none"/>
        </w:rPr>
        <w:t xml:space="preserve"> and Refunds</w:t>
      </w:r>
    </w:p>
    <w:p w:rsidRPr="004140CF" w:rsidR="00EB2EAD" w:rsidP="00515E18" w:rsidRDefault="00EB2EAD" w14:paraId="602CCF04" w14:textId="77777777">
      <w:pPr>
        <w:keepNext/>
        <w:spacing w:after="0" w:line="240" w:lineRule="auto"/>
        <w:rPr>
          <w:rFonts w:ascii="Palatino Linotype" w:hAnsi="Palatino Linotype" w:eastAsia="Times New Roman" w:cs="Times New Roman"/>
          <w:b/>
          <w:bCs/>
          <w:kern w:val="0"/>
          <w14:ligatures w14:val="none"/>
        </w:rPr>
      </w:pPr>
    </w:p>
    <w:p w:rsidRPr="007C2D81" w:rsidR="007C2D81" w:rsidP="00515E18" w:rsidRDefault="007C2D81" w14:paraId="68EB1BCE" w14:textId="6FD27617">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provides a public estimated cost range of $64 million to $137 million, </w:t>
      </w:r>
      <w:r w:rsidR="003739E4">
        <w:rPr>
          <w:rFonts w:ascii="Palatino Linotype" w:hAnsi="Palatino Linotype" w:eastAsia="Times New Roman" w:cs="Times New Roman"/>
          <w:kern w:val="0"/>
          <w14:ligatures w14:val="none"/>
        </w:rPr>
        <w:t>which does not include</w:t>
      </w:r>
      <w:r w:rsidRPr="007C2D81">
        <w:rPr>
          <w:rFonts w:ascii="Palatino Linotype" w:hAnsi="Palatino Linotype" w:eastAsia="Times New Roman" w:cs="Times New Roman"/>
          <w:kern w:val="0"/>
          <w14:ligatures w14:val="none"/>
        </w:rPr>
        <w:t xml:space="preserve"> the Income Tax Component of Contribution (ITCC). </w:t>
      </w:r>
      <w:r w:rsidR="003739E4">
        <w:rPr>
          <w:rFonts w:ascii="Palatino Linotype" w:hAnsi="Palatino Linotype" w:eastAsia="Times New Roman" w:cs="Times New Roman"/>
          <w:kern w:val="0"/>
          <w14:ligatures w14:val="none"/>
        </w:rPr>
        <w:t>T</w:t>
      </w:r>
      <w:r w:rsidRPr="007C2D81">
        <w:rPr>
          <w:rFonts w:ascii="Palatino Linotype" w:hAnsi="Palatino Linotype" w:eastAsia="Times New Roman" w:cs="Times New Roman"/>
          <w:kern w:val="0"/>
          <w14:ligatures w14:val="none"/>
        </w:rPr>
        <w:t xml:space="preserve">his public cost estimate reflects only the </w:t>
      </w:r>
      <w:r w:rsidR="00032985">
        <w:rPr>
          <w:rFonts w:ascii="Palatino Linotype" w:hAnsi="Palatino Linotype" w:eastAsia="Times New Roman" w:cs="Times New Roman"/>
          <w:kern w:val="0"/>
          <w14:ligatures w14:val="none"/>
        </w:rPr>
        <w:t>a</w:t>
      </w:r>
      <w:r w:rsidRPr="007C2D81">
        <w:rPr>
          <w:rFonts w:ascii="Palatino Linotype" w:hAnsi="Palatino Linotype" w:eastAsia="Times New Roman" w:cs="Times New Roman"/>
          <w:kern w:val="0"/>
          <w14:ligatures w14:val="none"/>
        </w:rPr>
        <w:t xml:space="preserve">pplicant </w:t>
      </w:r>
      <w:r w:rsidR="00032985">
        <w:rPr>
          <w:rFonts w:ascii="Palatino Linotype" w:hAnsi="Palatino Linotype" w:eastAsia="Times New Roman" w:cs="Times New Roman"/>
          <w:kern w:val="0"/>
          <w14:ligatures w14:val="none"/>
        </w:rPr>
        <w:t>b</w:t>
      </w:r>
      <w:r w:rsidRPr="007C2D81">
        <w:rPr>
          <w:rFonts w:ascii="Palatino Linotype" w:hAnsi="Palatino Linotype" w:eastAsia="Times New Roman" w:cs="Times New Roman"/>
          <w:kern w:val="0"/>
          <w14:ligatures w14:val="none"/>
        </w:rPr>
        <w:t xml:space="preserve">uild portion of the project and does not include </w:t>
      </w:r>
      <w:r w:rsidR="003739E4">
        <w:rPr>
          <w:rFonts w:ascii="Palatino Linotype" w:hAnsi="Palatino Linotype" w:eastAsia="Times New Roman" w:cs="Times New Roman"/>
          <w:kern w:val="0"/>
          <w14:ligatures w14:val="none"/>
        </w:rPr>
        <w:t xml:space="preserve">the </w:t>
      </w:r>
      <w:r w:rsidRPr="007C2D81">
        <w:rPr>
          <w:rFonts w:ascii="Palatino Linotype" w:hAnsi="Palatino Linotype" w:eastAsia="Times New Roman" w:cs="Times New Roman"/>
          <w:kern w:val="0"/>
          <w14:ligatures w14:val="none"/>
        </w:rPr>
        <w:t>costs associated with work performed directly by PG&amp;E.</w:t>
      </w:r>
    </w:p>
    <w:p w:rsidRPr="002C0ECD" w:rsidR="00555D5D" w:rsidP="00555D5D" w:rsidRDefault="00555D5D" w14:paraId="78D764BE"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7A40D311" w14:textId="16284AA6">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Pr>
          <w:rFonts w:ascii="Palatino Linotype" w:hAnsi="Palatino Linotype" w:eastAsia="Times New Roman" w:cs="Times New Roman"/>
          <w:kern w:val="0"/>
          <w14:ligatures w14:val="none"/>
        </w:rPr>
        <w:t>, which is based on the revenues a facility generates and an estimate of future expected revenues</w:t>
      </w:r>
      <w:r w:rsidRPr="002C0ECD">
        <w:rPr>
          <w:rFonts w:ascii="Palatino Linotype" w:hAnsi="Palatino Linotype" w:eastAsia="Times New Roman" w:cs="Times New Roman"/>
          <w:kern w:val="0"/>
          <w14:ligatures w14:val="none"/>
        </w:rPr>
        <w:t xml:space="preserve">. </w:t>
      </w:r>
      <w:r w:rsidR="00B60EFA">
        <w:rPr>
          <w:rFonts w:ascii="Palatino Linotype" w:hAnsi="Palatino Linotype" w:eastAsia="Times New Roman" w:cs="Times New Roman"/>
          <w:kern w:val="0"/>
          <w14:ligatures w14:val="none"/>
        </w:rPr>
        <w:t xml:space="preserve">These refunds would only apply to </w:t>
      </w:r>
      <w:r w:rsidR="006C291D">
        <w:rPr>
          <w:rFonts w:ascii="Palatino Linotype" w:hAnsi="Palatino Linotype" w:eastAsia="Times New Roman" w:cs="Times New Roman"/>
          <w:kern w:val="0"/>
          <w14:ligatures w14:val="none"/>
        </w:rPr>
        <w:t xml:space="preserve">standard facilities that are needed to provide </w:t>
      </w:r>
      <w:r w:rsidR="005926A4">
        <w:rPr>
          <w:rFonts w:ascii="Palatino Linotype" w:hAnsi="Palatino Linotype" w:eastAsia="Times New Roman" w:cs="Times New Roman"/>
          <w:kern w:val="0"/>
          <w14:ligatures w14:val="none"/>
        </w:rPr>
        <w:t>standard</w:t>
      </w:r>
      <w:r w:rsidR="006C291D">
        <w:rPr>
          <w:rFonts w:ascii="Palatino Linotype" w:hAnsi="Palatino Linotype" w:eastAsia="Times New Roman" w:cs="Times New Roman"/>
          <w:kern w:val="0"/>
          <w14:ligatures w14:val="none"/>
        </w:rPr>
        <w:t xml:space="preserve"> service</w:t>
      </w:r>
      <w:r w:rsidR="005926A4">
        <w:rPr>
          <w:rFonts w:ascii="Palatino Linotype" w:hAnsi="Palatino Linotype" w:eastAsia="Times New Roman" w:cs="Times New Roman"/>
          <w:kern w:val="0"/>
          <w14:ligatures w14:val="none"/>
        </w:rPr>
        <w:t xml:space="preserve"> to the customer</w:t>
      </w:r>
      <w:r w:rsidR="006C291D">
        <w:rPr>
          <w:rFonts w:ascii="Palatino Linotype" w:hAnsi="Palatino Linotype" w:eastAsia="Times New Roman" w:cs="Times New Roman"/>
          <w:kern w:val="0"/>
          <w14:ligatures w14:val="none"/>
        </w:rPr>
        <w:t xml:space="preserve"> (Standard Facilities). Any additional </w:t>
      </w:r>
      <w:r w:rsidRPr="002C0ECD">
        <w:rPr>
          <w:rFonts w:ascii="Palatino Linotype" w:hAnsi="Palatino Linotype" w:eastAsia="Times New Roman" w:cs="Times New Roman"/>
          <w:kern w:val="0"/>
          <w14:ligatures w14:val="none"/>
        </w:rPr>
        <w:t>Special Facilities costs</w:t>
      </w:r>
      <w:r w:rsidR="005926A4">
        <w:rPr>
          <w:rFonts w:ascii="Palatino Linotype" w:hAnsi="Palatino Linotype" w:eastAsia="Times New Roman" w:cs="Times New Roman"/>
          <w:kern w:val="0"/>
          <w14:ligatures w14:val="none"/>
        </w:rPr>
        <w:t xml:space="preserve"> w</w:t>
      </w:r>
      <w:r w:rsidR="00CF487B">
        <w:rPr>
          <w:rFonts w:ascii="Palatino Linotype" w:hAnsi="Palatino Linotype" w:eastAsia="Times New Roman" w:cs="Times New Roman"/>
          <w:kern w:val="0"/>
          <w14:ligatures w14:val="none"/>
        </w:rPr>
        <w:t>ill</w:t>
      </w:r>
      <w:r w:rsidR="005926A4">
        <w:rPr>
          <w:rFonts w:ascii="Palatino Linotype" w:hAnsi="Palatino Linotype" w:eastAsia="Times New Roman" w:cs="Times New Roman"/>
          <w:kern w:val="0"/>
          <w14:ligatures w14:val="none"/>
        </w:rPr>
        <w:t xml:space="preserve"> be covered following </w:t>
      </w:r>
      <w:r w:rsidR="00CF487B">
        <w:rPr>
          <w:rFonts w:ascii="Palatino Linotype" w:hAnsi="Palatino Linotype" w:eastAsia="Times New Roman" w:cs="Times New Roman"/>
          <w:kern w:val="0"/>
          <w14:ligatures w14:val="none"/>
        </w:rPr>
        <w:t xml:space="preserve">the process under </w:t>
      </w:r>
      <w:r w:rsidR="005926A4">
        <w:rPr>
          <w:rFonts w:ascii="Palatino Linotype" w:hAnsi="Palatino Linotype" w:eastAsia="Times New Roman" w:cs="Times New Roman"/>
          <w:kern w:val="0"/>
          <w14:ligatures w14:val="none"/>
        </w:rPr>
        <w:t xml:space="preserve">Electric Rule </w:t>
      </w:r>
      <w:r w:rsidR="002E6C33">
        <w:rPr>
          <w:rFonts w:ascii="Palatino Linotype" w:hAnsi="Palatino Linotype" w:eastAsia="Times New Roman" w:cs="Times New Roman"/>
          <w:kern w:val="0"/>
          <w14:ligatures w14:val="none"/>
        </w:rPr>
        <w:t>2 and</w:t>
      </w:r>
      <w:r w:rsidR="00CF487B">
        <w:rPr>
          <w:rFonts w:ascii="Palatino Linotype" w:hAnsi="Palatino Linotype" w:eastAsia="Times New Roman" w:cs="Times New Roman"/>
          <w:kern w:val="0"/>
          <w14:ligatures w14:val="none"/>
        </w:rPr>
        <w:t xml:space="preserve"> w</w:t>
      </w:r>
      <w:r w:rsidR="002E6C33">
        <w:rPr>
          <w:rFonts w:ascii="Palatino Linotype" w:hAnsi="Palatino Linotype" w:eastAsia="Times New Roman" w:cs="Times New Roman"/>
          <w:kern w:val="0"/>
          <w14:ligatures w14:val="none"/>
        </w:rPr>
        <w:t>ill</w:t>
      </w:r>
      <w:r w:rsidR="00CF487B">
        <w:rPr>
          <w:rFonts w:ascii="Palatino Linotype" w:hAnsi="Palatino Linotype" w:eastAsia="Times New Roman" w:cs="Times New Roman"/>
          <w:kern w:val="0"/>
          <w14:ligatures w14:val="none"/>
        </w:rPr>
        <w:t xml:space="preserve"> not be refundable</w:t>
      </w:r>
      <w:r w:rsidRPr="002C0ECD">
        <w:rPr>
          <w:rFonts w:ascii="Palatino Linotype" w:hAnsi="Palatino Linotype" w:eastAsia="Times New Roman" w:cs="Times New Roman"/>
          <w:kern w:val="0"/>
          <w14:ligatures w14:val="none"/>
        </w:rPr>
        <w:t>.</w:t>
      </w:r>
    </w:p>
    <w:p w:rsidR="00555D5D" w:rsidP="00555D5D" w:rsidRDefault="00555D5D" w14:paraId="23EE31BB"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03F6A4D6" w14:textId="388C0384">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the standard refund process, using the </w:t>
      </w:r>
      <w:r w:rsidRPr="007C2D81" w:rsidR="00500B0F">
        <w:rPr>
          <w:rFonts w:ascii="Palatino Linotype" w:hAnsi="Palatino Linotype" w:eastAsia="Times New Roman" w:cs="Times New Roman"/>
          <w:kern w:val="0"/>
          <w14:ligatures w14:val="none"/>
        </w:rPr>
        <w:t>Base Annual Revenue Calculation (BARC)</w:t>
      </w:r>
      <w:r>
        <w:rPr>
          <w:rFonts w:ascii="Palatino Linotype" w:hAnsi="Palatino Linotype" w:eastAsia="Times New Roman" w:cs="Times New Roman"/>
          <w:kern w:val="0"/>
          <w14:ligatures w14:val="none"/>
        </w:rPr>
        <w:t xml:space="preserve"> methodology, a customer would provide up-front payments to cover their </w:t>
      </w:r>
      <w:r w:rsidDel="006545CF">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 of energization. This up-front payment would not cover broader costs of energization, such as upgrades to the broader transmission network also related to other system or customer needs. Once the customer is energized, they would be eligible for a refund of these up-front payments, based on their current load and expected future revenues. In brief, the BARC methodology takes current annual revenues from the customer and assumes those revenues will </w:t>
      </w:r>
      <w:proofErr w:type="gramStart"/>
      <w:r>
        <w:rPr>
          <w:rFonts w:ascii="Palatino Linotype" w:hAnsi="Palatino Linotype" w:eastAsia="Times New Roman" w:cs="Times New Roman"/>
          <w:kern w:val="0"/>
          <w14:ligatures w14:val="none"/>
        </w:rPr>
        <w:t>continue into the future</w:t>
      </w:r>
      <w:proofErr w:type="gramEnd"/>
      <w:r>
        <w:rPr>
          <w:rFonts w:ascii="Palatino Linotype" w:hAnsi="Palatino Linotype" w:eastAsia="Times New Roman" w:cs="Times New Roman"/>
          <w:kern w:val="0"/>
          <w14:ligatures w14:val="none"/>
        </w:rPr>
        <w:t>. Then, the BARC methodology calculates an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this continuous stream of future revenues. This total amount of capital costs determined through the BARC methodology is called the BARC Formula amount.</w:t>
      </w:r>
      <w:r>
        <w:rPr>
          <w:rStyle w:val="FootnoteReference"/>
          <w:rFonts w:ascii="Palatino Linotype" w:hAnsi="Palatino Linotype" w:eastAsia="Times New Roman" w:cs="Times New Roman"/>
          <w:kern w:val="0"/>
          <w14:ligatures w14:val="none"/>
        </w:rPr>
        <w:footnoteReference w:id="3"/>
      </w:r>
      <w:r>
        <w:rPr>
          <w:rFonts w:ascii="Palatino Linotype" w:hAnsi="Palatino Linotype" w:eastAsia="Times New Roman" w:cs="Times New Roman"/>
          <w:kern w:val="0"/>
          <w14:ligatures w14:val="none"/>
        </w:rPr>
        <w:t xml:space="preserve"> That full amount of costs can be immediately refunded to the customer. Because many of the specific details of the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555D5D" w:rsidP="00555D5D" w:rsidRDefault="00555D5D" w14:paraId="281E4750"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CA289E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 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about $12 million in electric bills to PG&amp;E for energy delivery. Of that $12 million, about $5 million would be the net revenue, or the part of the electric bill specifically related to transmission costs and infrastructure. Based on this $5 million in actual net revenue, the BARC process would allow for an end-of-year refund of about $46 million (the amount of capital investment deemed justified, </w:t>
      </w:r>
      <w:r>
        <w:rPr>
          <w:rFonts w:ascii="Palatino Linotype" w:hAnsi="Palatino Linotype" w:eastAsia="Times New Roman" w:cs="Times New Roman"/>
          <w:kern w:val="0"/>
          <w14:ligatures w14:val="none"/>
        </w:rPr>
        <w:lastRenderedPageBreak/>
        <w:t>assuming the customer’s net revenue continues indefinitely into the future at about the same level). The immediate refund could be about nine times larger than the actual net revenues collected from the customer in the first year. The total refund cannot be larger than the $50 million originally advanced by the customer.</w:t>
      </w:r>
      <w:r w:rsidRPr="00C94169">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In following years, the customer could receive the remaining $4 million in refunds if its electric bills increase, but no more than this.</w:t>
      </w:r>
    </w:p>
    <w:p w:rsidRPr="002C0ECD" w:rsidR="00555D5D" w:rsidP="00555D5D" w:rsidRDefault="00555D5D" w14:paraId="729215F9"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19671E0" w14:textId="6961D93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As a customer is refunded, the related capital costs are added to PG&amp;E’s accounts and ultimately recovered from ratepayers. </w:t>
      </w: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Pr="007C2D81" w:rsidR="004140CF" w:rsidP="007C2D81" w:rsidRDefault="004140CF" w14:paraId="129C0E52"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15016E6C" w14:textId="5097B402">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 xml:space="preserve">Prior </w:t>
      </w:r>
      <w:r w:rsidR="00032985">
        <w:rPr>
          <w:rFonts w:ascii="Palatino Linotype" w:hAnsi="Palatino Linotype" w:eastAsia="Times New Roman" w:cs="Times New Roman"/>
          <w:b/>
          <w:bCs/>
          <w:kern w:val="0"/>
          <w14:ligatures w14:val="none"/>
        </w:rPr>
        <w:t>Exceptional Case Filings for Large Transmission-Level Loads</w:t>
      </w:r>
    </w:p>
    <w:p w:rsidRPr="004140CF" w:rsidR="00EB2EAD" w:rsidP="007C2D81" w:rsidRDefault="00EB2EAD" w14:paraId="4081FBFC"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72F5D4BC" w14:textId="4B3DEFC0">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The Commission recently addressed similar exceptional case agreement</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for transmission-level energization of large data center load</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in Resolution E-5420</w:t>
      </w:r>
      <w:r w:rsidR="00F16253">
        <w:rPr>
          <w:rFonts w:ascii="Palatino Linotype" w:hAnsi="Palatino Linotype" w:eastAsia="Times New Roman" w:cs="Times New Roman"/>
          <w:kern w:val="0"/>
          <w14:ligatures w14:val="none"/>
        </w:rPr>
        <w:t>, Resolution E-5433</w:t>
      </w:r>
      <w:r w:rsidR="003576D2">
        <w:rPr>
          <w:rFonts w:ascii="Palatino Linotype" w:hAnsi="Palatino Linotype" w:eastAsia="Times New Roman" w:cs="Times New Roman"/>
          <w:kern w:val="0"/>
          <w14:ligatures w14:val="none"/>
        </w:rPr>
        <w:t xml:space="preserve"> and Resolution E-5439</w:t>
      </w:r>
      <w:r w:rsidRPr="007C2D81">
        <w:rPr>
          <w:rFonts w:ascii="Palatino Linotype" w:hAnsi="Palatino Linotype" w:eastAsia="Times New Roman" w:cs="Times New Roman"/>
          <w:kern w:val="0"/>
          <w14:ligatures w14:val="none"/>
        </w:rPr>
        <w:t xml:space="preserve">. </w:t>
      </w:r>
      <w:r w:rsidR="003576D2">
        <w:rPr>
          <w:rFonts w:ascii="Palatino Linotype" w:hAnsi="Palatino Linotype" w:eastAsia="Times New Roman" w:cs="Times New Roman"/>
          <w:kern w:val="0"/>
          <w14:ligatures w14:val="none"/>
        </w:rPr>
        <w:t xml:space="preserve">In </w:t>
      </w:r>
      <w:r w:rsidR="00F16253">
        <w:rPr>
          <w:rFonts w:ascii="Palatino Linotype" w:hAnsi="Palatino Linotype" w:eastAsia="Times New Roman" w:cs="Times New Roman"/>
          <w:kern w:val="0"/>
          <w14:ligatures w14:val="none"/>
        </w:rPr>
        <w:t xml:space="preserve">all </w:t>
      </w:r>
      <w:r w:rsidR="003576D2">
        <w:rPr>
          <w:rFonts w:ascii="Palatino Linotype" w:hAnsi="Palatino Linotype" w:eastAsia="Times New Roman" w:cs="Times New Roman"/>
          <w:kern w:val="0"/>
          <w14:ligatures w14:val="none"/>
        </w:rPr>
        <w:t xml:space="preserve">cases, the Commission </w:t>
      </w:r>
      <w:r w:rsidRPr="007C2D81">
        <w:rPr>
          <w:rFonts w:ascii="Palatino Linotype" w:hAnsi="Palatino Linotype" w:eastAsia="Times New Roman" w:cs="Times New Roman"/>
          <w:kern w:val="0"/>
          <w14:ligatures w14:val="none"/>
        </w:rPr>
        <w:t>approved PG&amp;E’s exceptional case filing with modifications, requiring additional ratepayer protection by limiting annual refunds to 75 percent of annual net revenues from the customer, recognizing that the standard BARC refund approach may refund large transmission-level customers too quickly.</w:t>
      </w:r>
    </w:p>
    <w:p w:rsidR="002A3DB6" w:rsidP="007C2D81" w:rsidRDefault="002A3DB6" w14:paraId="5EE1DE0B" w14:textId="77777777">
      <w:pPr>
        <w:spacing w:after="0" w:line="240" w:lineRule="auto"/>
        <w:rPr>
          <w:rFonts w:ascii="Palatino Linotype" w:hAnsi="Palatino Linotype" w:eastAsia="Times New Roman" w:cs="Times New Roman"/>
          <w:kern w:val="0"/>
          <w14:ligatures w14:val="none"/>
        </w:rPr>
      </w:pPr>
    </w:p>
    <w:p w:rsidR="002A3DB6" w:rsidP="0030610D" w:rsidRDefault="002A3DB6" w14:paraId="799C1155" w14:textId="77777777">
      <w:pPr>
        <w:keepNext/>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 – A. 24-11-007</w:t>
      </w:r>
    </w:p>
    <w:p w:rsidR="002A3DB6" w:rsidP="0030610D" w:rsidRDefault="002A3DB6" w14:paraId="7351F505" w14:textId="77777777">
      <w:pPr>
        <w:keepNext/>
        <w:spacing w:after="0" w:line="240" w:lineRule="auto"/>
        <w:rPr>
          <w:rFonts w:ascii="Palatino Linotype" w:hAnsi="Palatino Linotype" w:eastAsia="Times New Roman" w:cs="Times New Roman"/>
          <w:b/>
          <w:bCs/>
          <w:kern w:val="0"/>
          <w14:ligatures w14:val="none"/>
        </w:rPr>
      </w:pPr>
    </w:p>
    <w:p w:rsidRPr="00C20344" w:rsidR="002A3DB6" w:rsidP="0030610D" w:rsidRDefault="002A3DB6" w14:paraId="2A31A67F" w14:textId="761ED886">
      <w:pPr>
        <w:keepNext/>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w:t>
      </w:r>
      <w:r w:rsidR="00761418">
        <w:rPr>
          <w:rFonts w:ascii="Palatino Linotype" w:hAnsi="Palatino Linotype" w:eastAsia="Times New Roman" w:cs="Times New Roman"/>
          <w:kern w:val="0"/>
          <w14:ligatures w14:val="none"/>
        </w:rPr>
        <w:t xml:space="preserve"> </w:t>
      </w:r>
    </w:p>
    <w:p w:rsidR="002A3DB6" w:rsidP="007C2D81" w:rsidRDefault="002A3DB6" w14:paraId="7934CCA7" w14:textId="77777777">
      <w:pPr>
        <w:spacing w:after="0" w:line="240" w:lineRule="auto"/>
        <w:rPr>
          <w:rFonts w:ascii="Palatino Linotype" w:hAnsi="Palatino Linotype" w:eastAsia="Times New Roman" w:cs="Times New Roman"/>
          <w:kern w:val="0"/>
          <w14:ligatures w14:val="none"/>
        </w:rPr>
      </w:pPr>
    </w:p>
    <w:p w:rsidR="007C2D81" w:rsidP="00473F97" w:rsidRDefault="007C2D81" w14:paraId="5BEF36A4" w14:textId="204D6FAA">
      <w:pPr>
        <w:keepNext/>
        <w:spacing w:after="0" w:line="240" w:lineRule="auto"/>
        <w:rPr>
          <w:rFonts w:ascii="Palatino Linotype" w:hAnsi="Palatino Linotype" w:eastAsia="Times New Roman" w:cs="Times New Roman"/>
          <w:b/>
          <w:bCs/>
          <w:kern w:val="0"/>
          <w14:ligatures w14:val="none"/>
        </w:rPr>
      </w:pPr>
      <w:r w:rsidRPr="00917DF1">
        <w:rPr>
          <w:rFonts w:ascii="Palatino Linotype" w:hAnsi="Palatino Linotype" w:eastAsia="Times New Roman" w:cs="Times New Roman"/>
          <w:b/>
          <w:bCs/>
          <w:kern w:val="0"/>
          <w14:ligatures w14:val="none"/>
        </w:rPr>
        <w:t>Confidentiality</w:t>
      </w:r>
    </w:p>
    <w:p w:rsidRPr="00917DF1" w:rsidR="00EB2EAD" w:rsidP="00473F97" w:rsidRDefault="00EB2EAD" w14:paraId="5E5E3884" w14:textId="77777777">
      <w:pPr>
        <w:keepNext/>
        <w:spacing w:after="0" w:line="240" w:lineRule="auto"/>
        <w:rPr>
          <w:rFonts w:ascii="Palatino Linotype" w:hAnsi="Palatino Linotype" w:eastAsia="Times New Roman" w:cs="Times New Roman"/>
          <w:b/>
          <w:bCs/>
          <w:kern w:val="0"/>
          <w14:ligatures w14:val="none"/>
        </w:rPr>
      </w:pPr>
    </w:p>
    <w:p w:rsidR="00A76F4A" w:rsidP="00473F97" w:rsidRDefault="007C2D81" w14:paraId="6B8C5E37" w14:textId="61F51219">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executed agreement and a summary of agreement terms as confidential attachments, stating that the agreement contains confidential customer </w:t>
      </w:r>
      <w:r w:rsidRPr="007C2D81">
        <w:rPr>
          <w:rFonts w:ascii="Palatino Linotype" w:hAnsi="Palatino Linotype" w:eastAsia="Times New Roman" w:cs="Times New Roman"/>
          <w:kern w:val="0"/>
          <w14:ligatures w14:val="none"/>
        </w:rPr>
        <w:lastRenderedPageBreak/>
        <w:t>information and negotiated commercial terms. This Resolution discusses confidential elements only in general terms.</w:t>
      </w:r>
    </w:p>
    <w:p w:rsidR="00EB2EAD" w:rsidP="007C2D81" w:rsidRDefault="00EB2EAD" w14:paraId="1785BB0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A76F4A" w14:paraId="5E7465D3" w14:textId="44D4DC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E467F3">
        <w:rPr>
          <w:rFonts w:ascii="Palatino Linotype" w:hAnsi="Palatino Linotype" w:eastAsia="Palatino Linotype" w:cs="Times New Roman"/>
          <w:kern w:val="0"/>
          <w14:ligatures w14:val="none"/>
        </w:rPr>
        <w:t>7785-E</w:t>
      </w:r>
      <w:r w:rsidRPr="001942D0">
        <w:rPr>
          <w:rFonts w:ascii="Palatino Linotype" w:hAnsi="Palatino Linotype" w:eastAsia="Palatino Linotype" w:cs="Times New Roman"/>
          <w:kern w:val="0"/>
          <w14:ligatures w14:val="none"/>
        </w:rPr>
        <w:t xml:space="preserve"> was made by publication in the Commission’s Daily Calendar.  </w:t>
      </w:r>
      <w:r w:rsidR="00E20BC3">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w:t>
      </w:r>
      <w:proofErr w:type="gramStart"/>
      <w:r w:rsidRPr="001942D0">
        <w:rPr>
          <w:rFonts w:ascii="Palatino Linotype" w:hAnsi="Palatino Linotype" w:eastAsia="Palatino Linotype" w:cs="Times New Roman"/>
          <w:kern w:val="0"/>
          <w14:ligatures w14:val="none"/>
        </w:rPr>
        <w:t>states</w:t>
      </w:r>
      <w:proofErr w:type="gramEnd"/>
      <w:r w:rsidRPr="001942D0">
        <w:rPr>
          <w:rFonts w:ascii="Palatino Linotype" w:hAnsi="Palatino Linotype" w:eastAsia="Palatino Linotype" w:cs="Times New Roman"/>
          <w:kern w:val="0"/>
          <w14:ligatures w14:val="none"/>
        </w:rPr>
        <w:t xml:space="preserve"> that a copy of the Advice Letter was mailed and distributed in accordance with Section 4 of General Order 96-B. </w:t>
      </w:r>
    </w:p>
    <w:p w:rsidR="00A76F4A" w:rsidP="00A76F4A" w:rsidRDefault="00A76F4A" w14:paraId="327345AA"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7C542F" w14:paraId="68DF9CC3" w14:textId="401C8F3E">
      <w:pPr>
        <w:spacing w:after="0" w:line="240" w:lineRule="auto"/>
        <w:rPr>
          <w:rFonts w:ascii="Palatino Linotype" w:hAnsi="Palatino Linotype" w:eastAsia="Palatino Linotype" w:cs="Times New Roman"/>
          <w:kern w:val="0"/>
          <w14:ligatures w14:val="none"/>
        </w:rPr>
      </w:pPr>
      <w:r w:rsidRPr="003A1469">
        <w:rPr>
          <w:rFonts w:ascii="Palatino Linotype" w:hAnsi="Palatino Linotype" w:eastAsia="Palatino Linotype" w:cs="Times New Roman"/>
          <w:kern w:val="0"/>
          <w14:ligatures w14:val="none"/>
        </w:rPr>
        <w:t>PG&amp;E</w:t>
      </w:r>
      <w:r w:rsidRPr="003A1469" w:rsidR="00A76F4A">
        <w:rPr>
          <w:rFonts w:ascii="Palatino Linotype" w:hAnsi="Palatino Linotype" w:eastAsia="Palatino Linotype" w:cs="Times New Roman"/>
          <w:kern w:val="0"/>
          <w14:ligatures w14:val="none"/>
        </w:rPr>
        <w:t>’s Advice</w:t>
      </w:r>
      <w:r w:rsidRPr="001942D0" w:rsidR="00A76F4A">
        <w:rPr>
          <w:rFonts w:ascii="Palatino Linotype" w:hAnsi="Palatino Linotype" w:eastAsia="Palatino Linotype" w:cs="Times New Roman"/>
          <w:kern w:val="0"/>
          <w14:ligatures w14:val="none"/>
        </w:rPr>
        <w:t xml:space="preserve"> Letter </w:t>
      </w:r>
      <w:r>
        <w:rPr>
          <w:rFonts w:ascii="Palatino Linotype" w:hAnsi="Palatino Linotype" w:eastAsia="Palatino Linotype" w:cs="Times New Roman"/>
          <w:kern w:val="0"/>
          <w14:ligatures w14:val="none"/>
        </w:rPr>
        <w:t>7785-E</w:t>
      </w:r>
      <w:r w:rsidRPr="001942D0" w:rsidR="00A76F4A">
        <w:rPr>
          <w:rFonts w:ascii="Palatino Linotype" w:hAnsi="Palatino Linotype" w:eastAsia="Palatino Linotype" w:cs="Times New Roman"/>
          <w:kern w:val="0"/>
          <w14:ligatures w14:val="none"/>
        </w:rPr>
        <w:t xml:space="preserve"> was timely protested by </w:t>
      </w:r>
      <w:r w:rsidR="006018DB">
        <w:rPr>
          <w:rFonts w:ascii="Palatino Linotype" w:hAnsi="Palatino Linotype" w:eastAsia="Palatino Linotype" w:cs="Times New Roman"/>
          <w:kern w:val="0"/>
          <w14:ligatures w14:val="none"/>
        </w:rPr>
        <w:t>Imel Enterprises</w:t>
      </w:r>
      <w:r w:rsidR="00FA7536">
        <w:rPr>
          <w:rFonts w:ascii="Palatino Linotype" w:hAnsi="Palatino Linotype" w:eastAsia="Palatino Linotype" w:cs="Times New Roman"/>
          <w:kern w:val="0"/>
          <w14:ligatures w14:val="none"/>
        </w:rPr>
        <w:t xml:space="preserve">, LLC (Imel) on January 6, </w:t>
      </w:r>
      <w:proofErr w:type="gramStart"/>
      <w:r w:rsidR="00FA7536">
        <w:rPr>
          <w:rFonts w:ascii="Palatino Linotype" w:hAnsi="Palatino Linotype" w:eastAsia="Palatino Linotype" w:cs="Times New Roman"/>
          <w:kern w:val="0"/>
          <w14:ligatures w14:val="none"/>
        </w:rPr>
        <w:t>2026</w:t>
      </w:r>
      <w:proofErr w:type="gramEnd"/>
      <w:r w:rsidR="00FA7536">
        <w:rPr>
          <w:rFonts w:ascii="Palatino Linotype" w:hAnsi="Palatino Linotype" w:eastAsia="Palatino Linotype" w:cs="Times New Roman"/>
          <w:kern w:val="0"/>
          <w14:ligatures w14:val="none"/>
        </w:rPr>
        <w:t xml:space="preserve"> and by </w:t>
      </w:r>
      <w:r w:rsidR="00045E53">
        <w:rPr>
          <w:rFonts w:ascii="Palatino Linotype" w:hAnsi="Palatino Linotype" w:eastAsia="Palatino Linotype" w:cs="Times New Roman"/>
          <w:kern w:val="0"/>
          <w14:ligatures w14:val="none"/>
        </w:rPr>
        <w:t xml:space="preserve">the Public Advocates Office (Cal Advocates) </w:t>
      </w:r>
      <w:r w:rsidR="006018DB">
        <w:rPr>
          <w:rFonts w:ascii="Palatino Linotype" w:hAnsi="Palatino Linotype" w:eastAsia="Palatino Linotype" w:cs="Times New Roman"/>
          <w:kern w:val="0"/>
          <w14:ligatures w14:val="none"/>
        </w:rPr>
        <w:t>on January 7, 2026</w:t>
      </w:r>
      <w:r w:rsidRPr="001942D0" w:rsidR="00A76F4A">
        <w:rPr>
          <w:rFonts w:ascii="Palatino Linotype" w:hAnsi="Palatino Linotype" w:eastAsia="Palatino Linotype" w:cs="Times New Roman"/>
          <w:kern w:val="0"/>
          <w14:ligatures w14:val="none"/>
        </w:rPr>
        <w:t xml:space="preserve">.  </w:t>
      </w:r>
      <w:r w:rsidR="00F26535">
        <w:rPr>
          <w:rFonts w:ascii="Palatino Linotype" w:hAnsi="Palatino Linotype" w:eastAsia="Palatino Linotype" w:cs="Times New Roman"/>
          <w:kern w:val="0"/>
          <w14:ligatures w14:val="none"/>
        </w:rPr>
        <w:t xml:space="preserve">PG&amp;E responded to the protests on </w:t>
      </w:r>
      <w:r w:rsidR="00737E72">
        <w:rPr>
          <w:rFonts w:ascii="Palatino Linotype" w:hAnsi="Palatino Linotype" w:eastAsia="Palatino Linotype" w:cs="Times New Roman"/>
          <w:kern w:val="0"/>
          <w14:ligatures w14:val="none"/>
        </w:rPr>
        <w:t>January 14, 2026</w:t>
      </w:r>
      <w:r w:rsidR="00F26535">
        <w:rPr>
          <w:rFonts w:ascii="Palatino Linotype" w:hAnsi="Palatino Linotype" w:eastAsia="Palatino Linotype" w:cs="Times New Roman"/>
          <w:kern w:val="0"/>
          <w14:ligatures w14:val="none"/>
        </w:rPr>
        <w:t>.</w:t>
      </w:r>
    </w:p>
    <w:p w:rsidR="00A76F4A" w:rsidP="00A76F4A" w:rsidRDefault="00A76F4A" w14:paraId="658DCAAA"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44D6FAF0" w14:textId="77777777">
      <w:pPr>
        <w:spacing w:after="0" w:line="240" w:lineRule="auto"/>
        <w:rPr>
          <w:rFonts w:ascii="Palatino Linotype" w:hAnsi="Palatino Linotype" w:eastAsia="Palatino Linotype" w:cs="Times New Roman"/>
          <w:b/>
          <w:bCs/>
          <w:kern w:val="0"/>
          <w14:ligatures w14:val="none"/>
        </w:rPr>
      </w:pPr>
      <w:r w:rsidRPr="009F7028">
        <w:rPr>
          <w:rFonts w:ascii="Palatino Linotype" w:hAnsi="Palatino Linotype" w:eastAsia="Palatino Linotype" w:cs="Times New Roman"/>
          <w:b/>
          <w:bCs/>
          <w:kern w:val="0"/>
          <w14:ligatures w14:val="none"/>
        </w:rPr>
        <w:t>Cal Advocates Protest — January 7, 2026</w:t>
      </w:r>
    </w:p>
    <w:p w:rsidRPr="009F7028" w:rsidR="00B87F78" w:rsidP="009F7028" w:rsidRDefault="00B87F78" w14:paraId="560AAC54" w14:textId="77777777">
      <w:pPr>
        <w:spacing w:after="0" w:line="240" w:lineRule="auto"/>
        <w:rPr>
          <w:rFonts w:ascii="Palatino Linotype" w:hAnsi="Palatino Linotype" w:eastAsia="Palatino Linotype" w:cs="Times New Roman"/>
          <w:b/>
          <w:bCs/>
          <w:kern w:val="0"/>
          <w14:ligatures w14:val="none"/>
        </w:rPr>
      </w:pPr>
    </w:p>
    <w:p w:rsidR="009F7028" w:rsidP="009F7028" w:rsidRDefault="009F7028" w14:paraId="06659C49" w14:textId="71DA742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Cal Advocates protests approval of the agreement without modifications, arguing that the proposed refund methodology and applicant-build provisions create unreasonable risks of improper cost shifts to ratepayers. Cal Advocates requests that the Commission require a refund methodology consistent with Resolution E-5420</w:t>
      </w:r>
      <w:r w:rsidR="00784A30">
        <w:rPr>
          <w:rFonts w:ascii="Palatino Linotype" w:hAnsi="Palatino Linotype" w:eastAsia="Palatino Linotype" w:cs="Times New Roman"/>
          <w:kern w:val="0"/>
          <w14:ligatures w14:val="none"/>
        </w:rPr>
        <w:t xml:space="preserve"> and Resolution E-5439</w:t>
      </w:r>
      <w:r w:rsidRPr="009F7028">
        <w:rPr>
          <w:rFonts w:ascii="Palatino Linotype" w:hAnsi="Palatino Linotype" w:eastAsia="Palatino Linotype" w:cs="Times New Roman"/>
          <w:kern w:val="0"/>
          <w14:ligatures w14:val="none"/>
        </w:rPr>
        <w:t xml:space="preserve">, including limiting annual refunds to 75 percent of annual net revenues received from the customer, with the refund calculation adjusted for the Income Tax Component of Contribution (ITCC), and extending the refund eligibility period from 10 years to </w:t>
      </w:r>
      <w:r w:rsidR="0030610D">
        <w:rPr>
          <w:rFonts w:ascii="Palatino Linotype" w:hAnsi="Palatino Linotype" w:eastAsia="Palatino Linotype" w:cs="Times New Roman"/>
          <w:kern w:val="0"/>
          <w14:ligatures w14:val="none"/>
        </w:rPr>
        <w:br/>
      </w:r>
      <w:r w:rsidRPr="009F7028">
        <w:rPr>
          <w:rFonts w:ascii="Palatino Linotype" w:hAnsi="Palatino Linotype" w:eastAsia="Palatino Linotype" w:cs="Times New Roman"/>
          <w:kern w:val="0"/>
          <w14:ligatures w14:val="none"/>
        </w:rPr>
        <w:t xml:space="preserve">15 years so the customer may still receive a full refund over time. Cal Advocates contends that using the standard Base Annual Revenue Calculation (BARC) refund approach for a large transmission-level data center could result in refunds occurring well before net revenues actually received from the customer cover energization-related costs, particularly because transmission-level customers pay different rates than distribution customers on which the standard BARC approach is based. Cal Advocates also references the Newark–NRS 230 </w:t>
      </w:r>
      <w:r w:rsidR="008771A8">
        <w:rPr>
          <w:rFonts w:ascii="Palatino Linotype" w:hAnsi="Palatino Linotype" w:eastAsia="Palatino Linotype" w:cs="Times New Roman"/>
          <w:kern w:val="0"/>
          <w14:ligatures w14:val="none"/>
        </w:rPr>
        <w:t>kilo</w:t>
      </w:r>
      <w:r w:rsidR="003D1DBD">
        <w:rPr>
          <w:rFonts w:ascii="Palatino Linotype" w:hAnsi="Palatino Linotype" w:eastAsia="Palatino Linotype" w:cs="Times New Roman"/>
          <w:kern w:val="0"/>
          <w14:ligatures w14:val="none"/>
        </w:rPr>
        <w:t>volt (</w:t>
      </w:r>
      <w:r w:rsidRPr="009F7028">
        <w:rPr>
          <w:rFonts w:ascii="Palatino Linotype" w:hAnsi="Palatino Linotype" w:eastAsia="Palatino Linotype" w:cs="Times New Roman"/>
          <w:kern w:val="0"/>
          <w14:ligatures w14:val="none"/>
        </w:rPr>
        <w:t>kV</w:t>
      </w:r>
      <w:r w:rsidR="003D1DBD">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transmission line project as context for broader transmission network impacts and argues that the size of Google’s 250 MW load further supports additional ratepayer protections.</w:t>
      </w:r>
      <w:r w:rsidR="003D72FC">
        <w:rPr>
          <w:rFonts w:ascii="Palatino Linotype" w:hAnsi="Palatino Linotype" w:eastAsia="Palatino Linotype" w:cs="Times New Roman"/>
          <w:kern w:val="0"/>
          <w14:ligatures w14:val="none"/>
        </w:rPr>
        <w:t xml:space="preserve"> Cal Advocates notes that </w:t>
      </w:r>
      <w:r w:rsidR="00F978E6">
        <w:rPr>
          <w:rFonts w:ascii="Palatino Linotype" w:hAnsi="Palatino Linotype" w:eastAsia="Palatino Linotype" w:cs="Times New Roman"/>
          <w:kern w:val="0"/>
          <w14:ligatures w14:val="none"/>
        </w:rPr>
        <w:t xml:space="preserve">the </w:t>
      </w:r>
      <w:r w:rsidR="007D5189">
        <w:rPr>
          <w:rFonts w:ascii="Palatino Linotype" w:hAnsi="Palatino Linotype" w:eastAsia="Palatino Linotype" w:cs="Times New Roman"/>
          <w:kern w:val="0"/>
          <w14:ligatures w14:val="none"/>
        </w:rPr>
        <w:t xml:space="preserve">Newark-NRS 230 kV transmission line </w:t>
      </w:r>
      <w:r w:rsidR="005F7306">
        <w:rPr>
          <w:rFonts w:ascii="Palatino Linotype" w:hAnsi="Palatino Linotype" w:eastAsia="Palatino Linotype" w:cs="Times New Roman"/>
          <w:kern w:val="0"/>
          <w14:ligatures w14:val="none"/>
        </w:rPr>
        <w:t xml:space="preserve">to which the new Google load would connect </w:t>
      </w:r>
      <w:r w:rsidR="007D5189">
        <w:rPr>
          <w:rFonts w:ascii="Palatino Linotype" w:hAnsi="Palatino Linotype" w:eastAsia="Palatino Linotype" w:cs="Times New Roman"/>
          <w:kern w:val="0"/>
          <w14:ligatures w14:val="none"/>
        </w:rPr>
        <w:t xml:space="preserve">is </w:t>
      </w:r>
      <w:r w:rsidR="005F7306">
        <w:rPr>
          <w:rFonts w:ascii="Palatino Linotype" w:hAnsi="Palatino Linotype" w:eastAsia="Palatino Linotype" w:cs="Times New Roman"/>
          <w:kern w:val="0"/>
          <w14:ligatures w14:val="none"/>
        </w:rPr>
        <w:t>an</w:t>
      </w:r>
      <w:r w:rsidR="007D5189">
        <w:rPr>
          <w:rFonts w:ascii="Palatino Linotype" w:hAnsi="Palatino Linotype" w:eastAsia="Palatino Linotype" w:cs="Times New Roman"/>
          <w:kern w:val="0"/>
          <w14:ligatures w14:val="none"/>
        </w:rPr>
        <w:t xml:space="preserve"> approximately $1 billion project, </w:t>
      </w:r>
      <w:r w:rsidR="005F7306">
        <w:rPr>
          <w:rFonts w:ascii="Palatino Linotype" w:hAnsi="Palatino Linotype" w:eastAsia="Palatino Linotype" w:cs="Times New Roman"/>
          <w:kern w:val="0"/>
          <w14:ligatures w14:val="none"/>
        </w:rPr>
        <w:t xml:space="preserve">currently under construction, </w:t>
      </w:r>
      <w:r w:rsidR="007D5189">
        <w:rPr>
          <w:rFonts w:ascii="Palatino Linotype" w:hAnsi="Palatino Linotype" w:eastAsia="Palatino Linotype" w:cs="Times New Roman"/>
          <w:kern w:val="0"/>
          <w14:ligatures w14:val="none"/>
        </w:rPr>
        <w:t>with potential revenue requirement of $100 million per year</w:t>
      </w:r>
      <w:r w:rsidR="009566DE">
        <w:rPr>
          <w:rFonts w:ascii="Palatino Linotype" w:hAnsi="Palatino Linotype" w:eastAsia="Palatino Linotype" w:cs="Times New Roman"/>
          <w:kern w:val="0"/>
          <w14:ligatures w14:val="none"/>
        </w:rPr>
        <w:t xml:space="preserve"> (decreasing to $40 million per year after 40 years).</w:t>
      </w:r>
      <w:r w:rsidR="009566DE">
        <w:rPr>
          <w:rStyle w:val="FootnoteReference"/>
          <w:rFonts w:ascii="Palatino Linotype" w:hAnsi="Palatino Linotype" w:eastAsia="Palatino Linotype" w:cs="Times New Roman"/>
          <w:kern w:val="0"/>
          <w14:ligatures w14:val="none"/>
        </w:rPr>
        <w:footnoteReference w:id="4"/>
      </w:r>
      <w:r w:rsidR="00F978E6">
        <w:rPr>
          <w:rFonts w:ascii="Palatino Linotype" w:hAnsi="Palatino Linotype" w:eastAsia="Palatino Linotype" w:cs="Times New Roman"/>
          <w:kern w:val="0"/>
          <w14:ligatures w14:val="none"/>
        </w:rPr>
        <w:t xml:space="preserve"> </w:t>
      </w:r>
    </w:p>
    <w:p w:rsidRPr="009F7028" w:rsidR="00B87F78" w:rsidP="009F7028" w:rsidRDefault="00B87F78" w14:paraId="7E2CC707"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032960DC" w14:textId="5006449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Cal Advocates further raises concerns regarding cost accounting and the proposed binding cost estimate for applicant-build work. Cal Advocates requests, </w:t>
      </w:r>
      <w:r w:rsidR="00CA1C51">
        <w:rPr>
          <w:rFonts w:ascii="Palatino Linotype" w:hAnsi="Palatino Linotype" w:eastAsia="Palatino Linotype" w:cs="Times New Roman"/>
          <w:kern w:val="0"/>
          <w14:ligatures w14:val="none"/>
        </w:rPr>
        <w:t>in summary</w:t>
      </w:r>
      <w:r w:rsidRPr="009F7028">
        <w:rPr>
          <w:rFonts w:ascii="Palatino Linotype" w:hAnsi="Palatino Linotype" w:eastAsia="Palatino Linotype" w:cs="Times New Roman"/>
          <w:kern w:val="0"/>
          <w14:ligatures w14:val="none"/>
        </w:rPr>
        <w:t>, that: (1) PG&amp;E oversight and inspection costs should not be refundable; (2) the final binding cost estimate should be provided to the Commission for review; (3) refundable Standard Facilities and non-refundable Special Facilities should be treated separately in calculating the binding cost estimate so the refundable cap is clear; and (4) the agreement should not allow an excessive level of contingency to be included in the refundable cap. Cal Advocates also proposes that the binding cost estimate for refundable Standard Facilities should be set in a manner that reasonably constrains the refundable amount relative to PG&amp;E’s and the customer’s estimates, and that the estimate should be supported by clear cost-accounting details. Cal Advocates alternatively requests that the Commission require PG&amp;E to use interim Electric Rule 30 implementation agreements rather than proceeding under Electric Rules 2, 15, and 16 for this project.</w:t>
      </w:r>
    </w:p>
    <w:p w:rsidRPr="009F7028" w:rsidR="00B87F78" w:rsidP="009F7028" w:rsidRDefault="00B87F78" w14:paraId="1DBD5088"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65757E35"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Imel Protest — January 6, 2026</w:t>
      </w:r>
    </w:p>
    <w:p w:rsidRPr="009F7028" w:rsidR="00B87F78" w:rsidP="009F7028" w:rsidRDefault="00B87F78" w14:paraId="3198ED5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6777B07D" w14:textId="099F32D4">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Imel protests the AL on the grounds that PG&amp;E’s filing allegedly lacks sufficient technical and cost </w:t>
      </w:r>
      <w:r w:rsidRPr="009F7028" w:rsidR="00394F01">
        <w:rPr>
          <w:rFonts w:ascii="Palatino Linotype" w:hAnsi="Palatino Linotype" w:eastAsia="Palatino Linotype" w:cs="Times New Roman"/>
          <w:kern w:val="0"/>
          <w14:ligatures w14:val="none"/>
        </w:rPr>
        <w:t>details</w:t>
      </w:r>
      <w:r w:rsidRPr="009F7028">
        <w:rPr>
          <w:rFonts w:ascii="Palatino Linotype" w:hAnsi="Palatino Linotype" w:eastAsia="Palatino Linotype" w:cs="Times New Roman"/>
          <w:kern w:val="0"/>
          <w14:ligatures w14:val="none"/>
        </w:rPr>
        <w:t xml:space="preserve"> to determine whether the agreement is equitable</w:t>
      </w:r>
      <w:r w:rsidR="00CC10C8">
        <w:rPr>
          <w:rFonts w:ascii="Palatino Linotype" w:hAnsi="Palatino Linotype" w:eastAsia="Palatino Linotype" w:cs="Times New Roman"/>
          <w:kern w:val="0"/>
          <w14:ligatures w14:val="none"/>
        </w:rPr>
        <w:t xml:space="preserve"> to all parties</w:t>
      </w:r>
      <w:r w:rsidRPr="009F7028">
        <w:rPr>
          <w:rFonts w:ascii="Palatino Linotype" w:hAnsi="Palatino Linotype" w:eastAsia="Palatino Linotype" w:cs="Times New Roman"/>
          <w:kern w:val="0"/>
          <w14:ligatures w14:val="none"/>
        </w:rPr>
        <w:t xml:space="preserve">, and requests that the agreement be made available to the public in redacted form rather than treated as confidential. </w:t>
      </w:r>
    </w:p>
    <w:p w:rsidRPr="009F7028" w:rsidR="00B87F78" w:rsidP="009F7028" w:rsidRDefault="00B87F78" w14:paraId="63A78061"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75BA9834"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PG&amp;E Reply — January 14, 2026</w:t>
      </w:r>
    </w:p>
    <w:p w:rsidRPr="009F7028" w:rsidR="00B87F78" w:rsidP="009F7028" w:rsidRDefault="00B87F78" w14:paraId="71081646"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26DF935" w14:textId="4BF8BF55">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PG&amp;E’s reply responds to both protests. </w:t>
      </w:r>
      <w:r w:rsidR="0086579C">
        <w:rPr>
          <w:rFonts w:ascii="Palatino Linotype" w:hAnsi="Palatino Linotype" w:eastAsia="Palatino Linotype" w:cs="Times New Roman"/>
          <w:kern w:val="0"/>
          <w14:ligatures w14:val="none"/>
        </w:rPr>
        <w:t>Responding to</w:t>
      </w:r>
      <w:r w:rsidRPr="009F7028">
        <w:rPr>
          <w:rFonts w:ascii="Palatino Linotype" w:hAnsi="Palatino Linotype" w:eastAsia="Palatino Linotype" w:cs="Times New Roman"/>
          <w:kern w:val="0"/>
          <w14:ligatures w14:val="none"/>
        </w:rPr>
        <w:t xml:space="preserve"> Cal Advocates, PG&amp;E addresses five main issues raised in </w:t>
      </w:r>
      <w:r w:rsidR="0086579C">
        <w:rPr>
          <w:rFonts w:ascii="Palatino Linotype" w:hAnsi="Palatino Linotype" w:eastAsia="Palatino Linotype" w:cs="Times New Roman"/>
          <w:kern w:val="0"/>
          <w14:ligatures w14:val="none"/>
        </w:rPr>
        <w:t>its</w:t>
      </w:r>
      <w:r w:rsidRPr="009F7028">
        <w:rPr>
          <w:rFonts w:ascii="Palatino Linotype" w:hAnsi="Palatino Linotype" w:eastAsia="Palatino Linotype" w:cs="Times New Roman"/>
          <w:kern w:val="0"/>
          <w14:ligatures w14:val="none"/>
        </w:rPr>
        <w:t xml:space="preserve"> protest: </w:t>
      </w:r>
      <w:r w:rsidR="0086579C">
        <w:rPr>
          <w:rFonts w:ascii="Palatino Linotype" w:hAnsi="Palatino Linotype" w:eastAsia="Palatino Linotype" w:cs="Times New Roman"/>
          <w:kern w:val="0"/>
          <w14:ligatures w14:val="none"/>
        </w:rPr>
        <w:t xml:space="preserve">(1) </w:t>
      </w:r>
      <w:r w:rsidRPr="009F7028">
        <w:rPr>
          <w:rFonts w:ascii="Palatino Linotype" w:hAnsi="Palatino Linotype" w:eastAsia="Palatino Linotype" w:cs="Times New Roman"/>
          <w:kern w:val="0"/>
          <w14:ligatures w14:val="none"/>
        </w:rPr>
        <w:t xml:space="preserve">the refund methodology, </w:t>
      </w:r>
      <w:r w:rsidR="00E65512">
        <w:rPr>
          <w:rFonts w:ascii="Palatino Linotype" w:hAnsi="Palatino Linotype" w:eastAsia="Palatino Linotype" w:cs="Times New Roman"/>
          <w:kern w:val="0"/>
          <w14:ligatures w14:val="none"/>
        </w:rPr>
        <w:t xml:space="preserve">(2) </w:t>
      </w:r>
      <w:r w:rsidRPr="009F7028">
        <w:rPr>
          <w:rFonts w:ascii="Palatino Linotype" w:hAnsi="Palatino Linotype" w:eastAsia="Palatino Linotype" w:cs="Times New Roman"/>
          <w:kern w:val="0"/>
          <w14:ligatures w14:val="none"/>
        </w:rPr>
        <w:t xml:space="preserve">the binding cost estimate, </w:t>
      </w:r>
      <w:r w:rsidR="00E65512">
        <w:rPr>
          <w:rFonts w:ascii="Palatino Linotype" w:hAnsi="Palatino Linotype" w:eastAsia="Palatino Linotype" w:cs="Times New Roman"/>
          <w:kern w:val="0"/>
          <w14:ligatures w14:val="none"/>
        </w:rPr>
        <w:t xml:space="preserve">(3) </w:t>
      </w:r>
      <w:r w:rsidRPr="009F7028">
        <w:rPr>
          <w:rFonts w:ascii="Palatino Linotype" w:hAnsi="Palatino Linotype" w:eastAsia="Palatino Linotype" w:cs="Times New Roman"/>
          <w:kern w:val="0"/>
          <w14:ligatures w14:val="none"/>
        </w:rPr>
        <w:t xml:space="preserve">PG&amp;E oversight and inspection costs, </w:t>
      </w:r>
      <w:r w:rsidR="00E65512">
        <w:rPr>
          <w:rFonts w:ascii="Palatino Linotype" w:hAnsi="Palatino Linotype" w:eastAsia="Palatino Linotype" w:cs="Times New Roman"/>
          <w:kern w:val="0"/>
          <w14:ligatures w14:val="none"/>
        </w:rPr>
        <w:t xml:space="preserve">(4) </w:t>
      </w:r>
      <w:r w:rsidRPr="009F7028">
        <w:rPr>
          <w:rFonts w:ascii="Palatino Linotype" w:hAnsi="Palatino Linotype" w:eastAsia="Palatino Linotype" w:cs="Times New Roman"/>
          <w:kern w:val="0"/>
          <w14:ligatures w14:val="none"/>
        </w:rPr>
        <w:t xml:space="preserve">submission of the binding cost estimate to the Commission, and </w:t>
      </w:r>
      <w:r w:rsidR="00E65512">
        <w:rPr>
          <w:rFonts w:ascii="Palatino Linotype" w:hAnsi="Palatino Linotype" w:eastAsia="Palatino Linotype" w:cs="Times New Roman"/>
          <w:kern w:val="0"/>
          <w14:ligatures w14:val="none"/>
        </w:rPr>
        <w:t xml:space="preserve">(5) </w:t>
      </w:r>
      <w:r w:rsidRPr="009F7028">
        <w:rPr>
          <w:rFonts w:ascii="Palatino Linotype" w:hAnsi="Palatino Linotype" w:eastAsia="Palatino Linotype" w:cs="Times New Roman"/>
          <w:kern w:val="0"/>
          <w14:ligatures w14:val="none"/>
        </w:rPr>
        <w:t xml:space="preserve">whether interim Electric Rule 30 should be used instead of Electric Rules 2, 15, and 16. PG&amp;E argues that applying the BARC-based refund approach is appropriate and reflects long-standing Commission-approved practice under Electric Rules 15 and 16, and contends that the agreements include </w:t>
      </w:r>
      <w:r w:rsidR="00C1395F">
        <w:rPr>
          <w:rFonts w:ascii="Palatino Linotype" w:hAnsi="Palatino Linotype" w:eastAsia="Palatino Linotype" w:cs="Times New Roman"/>
          <w:kern w:val="0"/>
          <w14:ligatures w14:val="none"/>
        </w:rPr>
        <w:t>sufficient</w:t>
      </w:r>
      <w:r w:rsidRPr="009F7028">
        <w:rPr>
          <w:rFonts w:ascii="Palatino Linotype" w:hAnsi="Palatino Linotype" w:eastAsia="Palatino Linotype" w:cs="Times New Roman"/>
          <w:kern w:val="0"/>
          <w14:ligatures w14:val="none"/>
        </w:rPr>
        <w:t xml:space="preserve"> protections (including charges and provisions intended to ensure the customer bears </w:t>
      </w:r>
      <w:r w:rsidR="00C1395F">
        <w:rPr>
          <w:rFonts w:ascii="Palatino Linotype" w:hAnsi="Palatino Linotype" w:eastAsia="Palatino Linotype" w:cs="Times New Roman"/>
          <w:kern w:val="0"/>
          <w14:ligatures w14:val="none"/>
        </w:rPr>
        <w:t xml:space="preserve">the </w:t>
      </w:r>
      <w:r w:rsidRPr="009F7028">
        <w:rPr>
          <w:rFonts w:ascii="Palatino Linotype" w:hAnsi="Palatino Linotype" w:eastAsia="Palatino Linotype" w:cs="Times New Roman"/>
          <w:kern w:val="0"/>
          <w14:ligatures w14:val="none"/>
        </w:rPr>
        <w:t>costs</w:t>
      </w:r>
      <w:r w:rsidR="00C1395F">
        <w:rPr>
          <w:rFonts w:ascii="Palatino Linotype" w:hAnsi="Palatino Linotype" w:eastAsia="Palatino Linotype" w:cs="Times New Roman"/>
          <w:kern w:val="0"/>
          <w14:ligatures w14:val="none"/>
        </w:rPr>
        <w:t xml:space="preserve"> </w:t>
      </w:r>
      <w:r w:rsidR="00B43C1E">
        <w:rPr>
          <w:rFonts w:ascii="Palatino Linotype" w:hAnsi="Palatino Linotype" w:eastAsia="Palatino Linotype" w:cs="Times New Roman"/>
          <w:kern w:val="0"/>
          <w14:ligatures w14:val="none"/>
        </w:rPr>
        <w:t>o</w:t>
      </w:r>
      <w:r w:rsidR="00C1395F">
        <w:rPr>
          <w:rFonts w:ascii="Palatino Linotype" w:hAnsi="Palatino Linotype" w:eastAsia="Palatino Linotype" w:cs="Times New Roman"/>
          <w:kern w:val="0"/>
          <w14:ligatures w14:val="none"/>
        </w:rPr>
        <w:t>f its energization</w:t>
      </w:r>
      <w:r w:rsidRPr="009F7028">
        <w:rPr>
          <w:rFonts w:ascii="Palatino Linotype" w:hAnsi="Palatino Linotype" w:eastAsia="Palatino Linotype" w:cs="Times New Roman"/>
          <w:kern w:val="0"/>
          <w14:ligatures w14:val="none"/>
        </w:rPr>
        <w:t xml:space="preserve"> if </w:t>
      </w:r>
      <w:r w:rsidR="008771A8">
        <w:rPr>
          <w:rFonts w:ascii="Palatino Linotype" w:hAnsi="Palatino Linotype" w:eastAsia="Palatino Linotype" w:cs="Times New Roman"/>
          <w:kern w:val="0"/>
          <w14:ligatures w14:val="none"/>
        </w:rPr>
        <w:t xml:space="preserve">its </w:t>
      </w:r>
      <w:r w:rsidRPr="009F7028">
        <w:rPr>
          <w:rFonts w:ascii="Palatino Linotype" w:hAnsi="Palatino Linotype" w:eastAsia="Palatino Linotype" w:cs="Times New Roman"/>
          <w:kern w:val="0"/>
          <w14:ligatures w14:val="none"/>
        </w:rPr>
        <w:t>load does not materialize). PG&amp;E also asserts that Resolution E-5420 and Draft Resolution E-5439 are explicitly non-precedential, and disputes Cal Advocates’ characterization that the Google project drove the need for the Newark</w:t>
      </w:r>
      <w:r w:rsidR="00CB2601">
        <w:rPr>
          <w:rFonts w:ascii="Palatino Linotype" w:hAnsi="Palatino Linotype" w:eastAsia="Palatino Linotype" w:cs="Times New Roman"/>
          <w:kern w:val="0"/>
          <w14:ligatures w14:val="none"/>
        </w:rPr>
        <w:t>-NRS</w:t>
      </w:r>
      <w:r w:rsidR="008771A8">
        <w:rPr>
          <w:rFonts w:ascii="Palatino Linotype" w:hAnsi="Palatino Linotype" w:eastAsia="Palatino Linotype" w:cs="Times New Roman"/>
          <w:kern w:val="0"/>
          <w14:ligatures w14:val="none"/>
        </w:rPr>
        <w:t xml:space="preserve"> 230 kV</w:t>
      </w:r>
      <w:r w:rsidRPr="009F7028">
        <w:rPr>
          <w:rFonts w:ascii="Palatino Linotype" w:hAnsi="Palatino Linotype" w:eastAsia="Palatino Linotype" w:cs="Times New Roman"/>
          <w:kern w:val="0"/>
          <w14:ligatures w14:val="none"/>
        </w:rPr>
        <w:t xml:space="preserve"> line, stating that the project was identified </w:t>
      </w:r>
      <w:r w:rsidRPr="009F7028">
        <w:rPr>
          <w:rFonts w:ascii="Palatino Linotype" w:hAnsi="Palatino Linotype" w:eastAsia="Palatino Linotype" w:cs="Times New Roman"/>
          <w:kern w:val="0"/>
          <w14:ligatures w14:val="none"/>
        </w:rPr>
        <w:lastRenderedPageBreak/>
        <w:t xml:space="preserve">in </w:t>
      </w:r>
      <w:r w:rsidR="00D02874">
        <w:rPr>
          <w:rFonts w:ascii="Palatino Linotype" w:hAnsi="Palatino Linotype" w:eastAsia="Palatino Linotype" w:cs="Times New Roman"/>
          <w:kern w:val="0"/>
          <w14:ligatures w14:val="none"/>
        </w:rPr>
        <w:t>California Independent System Operator (</w:t>
      </w:r>
      <w:r w:rsidRPr="009F7028">
        <w:rPr>
          <w:rFonts w:ascii="Palatino Linotype" w:hAnsi="Palatino Linotype" w:eastAsia="Palatino Linotype" w:cs="Times New Roman"/>
          <w:kern w:val="0"/>
          <w14:ligatures w14:val="none"/>
        </w:rPr>
        <w:t>CAISO</w:t>
      </w:r>
      <w:r w:rsidR="00D02874">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planning before Google’s interconnection request.</w:t>
      </w:r>
    </w:p>
    <w:p w:rsidRPr="009F7028" w:rsidR="003A1469" w:rsidP="009F7028" w:rsidRDefault="003A1469" w14:paraId="77B4CF0B" w14:textId="77777777">
      <w:pPr>
        <w:spacing w:after="0" w:line="240" w:lineRule="auto"/>
        <w:rPr>
          <w:rFonts w:ascii="Palatino Linotype" w:hAnsi="Palatino Linotype" w:eastAsia="Palatino Linotype" w:cs="Times New Roman"/>
          <w:kern w:val="0"/>
          <w14:ligatures w14:val="none"/>
        </w:rPr>
      </w:pPr>
    </w:p>
    <w:p w:rsidR="00400795" w:rsidP="009F7028" w:rsidRDefault="009F7028" w14:paraId="0AE0324C" w14:textId="70ED480C">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With respect to the binding cost estimate, PG&amp;E contends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Cal Advocates misunderstands how the binding cost estimate and contingency interact and states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the binding cost estimate will be developed after additional engineering</w:t>
      </w:r>
      <w:r w:rsidR="003D1DBD">
        <w:rPr>
          <w:rFonts w:ascii="Palatino Linotype" w:hAnsi="Palatino Linotype" w:eastAsia="Palatino Linotype" w:cs="Times New Roman"/>
          <w:kern w:val="0"/>
          <w14:ligatures w14:val="none"/>
        </w:rPr>
        <w:t xml:space="preserve"> work is completed</w:t>
      </w:r>
      <w:r w:rsidRPr="009F7028">
        <w:rPr>
          <w:rFonts w:ascii="Palatino Linotype" w:hAnsi="Palatino Linotype" w:eastAsia="Palatino Linotype" w:cs="Times New Roman"/>
          <w:kern w:val="0"/>
          <w14:ligatures w14:val="none"/>
        </w:rPr>
        <w:t>.</w:t>
      </w:r>
      <w:r w:rsidR="00BA68C8">
        <w:rPr>
          <w:rFonts w:ascii="Palatino Linotype" w:hAnsi="Palatino Linotype" w:eastAsia="Palatino Linotype" w:cs="Times New Roman"/>
          <w:kern w:val="0"/>
          <w14:ligatures w14:val="none"/>
        </w:rPr>
        <w:t xml:space="preserve"> </w:t>
      </w:r>
      <w:r w:rsidR="00316EBC">
        <w:rPr>
          <w:rFonts w:ascii="Palatino Linotype" w:hAnsi="Palatino Linotype" w:eastAsia="Palatino Linotype" w:cs="Times New Roman"/>
          <w:kern w:val="0"/>
          <w14:ligatures w14:val="none"/>
        </w:rPr>
        <w:t xml:space="preserve">This binding cost estimate will not be based on the current public </w:t>
      </w:r>
      <w:r w:rsidR="00D02874">
        <w:rPr>
          <w:rFonts w:ascii="Palatino Linotype" w:hAnsi="Palatino Linotype" w:eastAsia="Palatino Linotype" w:cs="Times New Roman"/>
          <w:kern w:val="0"/>
          <w14:ligatures w14:val="none"/>
        </w:rPr>
        <w:t xml:space="preserve">range </w:t>
      </w:r>
      <w:r w:rsidR="00316EBC">
        <w:rPr>
          <w:rFonts w:ascii="Palatino Linotype" w:hAnsi="Palatino Linotype" w:eastAsia="Palatino Linotype" w:cs="Times New Roman"/>
          <w:kern w:val="0"/>
          <w14:ligatures w14:val="none"/>
        </w:rPr>
        <w:t xml:space="preserve">estimate of </w:t>
      </w:r>
      <w:r w:rsidRPr="007C2D81" w:rsidR="00316EBC">
        <w:rPr>
          <w:rFonts w:ascii="Palatino Linotype" w:hAnsi="Palatino Linotype" w:eastAsia="Times New Roman" w:cs="Times New Roman"/>
          <w:kern w:val="0"/>
          <w14:ligatures w14:val="none"/>
        </w:rPr>
        <w:t>$64 million to $137 million</w:t>
      </w:r>
      <w:r w:rsidR="00316EBC">
        <w:rPr>
          <w:rFonts w:ascii="Palatino Linotype" w:hAnsi="Palatino Linotype" w:eastAsia="Times New Roman" w:cs="Times New Roman"/>
          <w:kern w:val="0"/>
          <w14:ligatures w14:val="none"/>
        </w:rPr>
        <w:t>.</w:t>
      </w:r>
      <w:r w:rsidRPr="009F7028">
        <w:rPr>
          <w:rFonts w:ascii="Palatino Linotype" w:hAnsi="Palatino Linotype" w:eastAsia="Palatino Linotype" w:cs="Times New Roman"/>
          <w:kern w:val="0"/>
          <w14:ligatures w14:val="none"/>
        </w:rPr>
        <w:t xml:space="preserve"> PG&amp;E states that </w:t>
      </w:r>
      <w:r w:rsidR="00FA58B9">
        <w:rPr>
          <w:rFonts w:ascii="Palatino Linotype" w:hAnsi="Palatino Linotype" w:eastAsia="Palatino Linotype" w:cs="Times New Roman"/>
          <w:kern w:val="0"/>
          <w14:ligatures w14:val="none"/>
        </w:rPr>
        <w:t>Google’s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used to establish the binding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w:t>
      </w:r>
      <w:r w:rsidR="001B3C8A">
        <w:rPr>
          <w:rFonts w:ascii="Palatino Linotype" w:hAnsi="Palatino Linotype" w:eastAsia="Palatino Linotype" w:cs="Times New Roman"/>
          <w:kern w:val="0"/>
          <w14:ligatures w14:val="none"/>
        </w:rPr>
        <w:t>will be</w:t>
      </w:r>
      <w:r w:rsidRPr="009F7028">
        <w:rPr>
          <w:rFonts w:ascii="Palatino Linotype" w:hAnsi="Palatino Linotype" w:eastAsia="Palatino Linotype" w:cs="Times New Roman"/>
          <w:kern w:val="0"/>
          <w14:ligatures w14:val="none"/>
        </w:rPr>
        <w:t xml:space="preserve"> constrained by PG&amp;E’s</w:t>
      </w:r>
      <w:r w:rsidR="001B3C8A">
        <w:rPr>
          <w:rFonts w:ascii="Palatino Linotype" w:hAnsi="Palatino Linotype" w:eastAsia="Palatino Linotype" w:cs="Times New Roman"/>
          <w:kern w:val="0"/>
          <w14:ligatures w14:val="none"/>
        </w:rPr>
        <w:t xml:space="preserve"> own</w:t>
      </w:r>
      <w:r w:rsidRPr="009F7028">
        <w:rPr>
          <w:rFonts w:ascii="Palatino Linotype" w:hAnsi="Palatino Linotype" w:eastAsia="Palatino Linotype" w:cs="Times New Roman"/>
          <w:kern w:val="0"/>
          <w14:ligatures w14:val="none"/>
        </w:rPr>
        <w:t xml:space="preserve"> internal estimate plus a standard contingency amount</w:t>
      </w:r>
      <w:r w:rsidR="001B3C8A">
        <w:rPr>
          <w:rFonts w:ascii="Palatino Linotype" w:hAnsi="Palatino Linotype" w:eastAsia="Palatino Linotype" w:cs="Times New Roman"/>
          <w:kern w:val="0"/>
          <w14:ligatures w14:val="none"/>
        </w:rPr>
        <w:t xml:space="preserve">. If </w:t>
      </w:r>
      <w:r w:rsidRPr="009F7028">
        <w:rPr>
          <w:rFonts w:ascii="Palatino Linotype" w:hAnsi="Palatino Linotype" w:eastAsia="Palatino Linotype" w:cs="Times New Roman"/>
          <w:kern w:val="0"/>
          <w14:ligatures w14:val="none"/>
        </w:rPr>
        <w:t xml:space="preserve">the customer’s estimate exceeds that constraint, additional Commission approval would be required through a new </w:t>
      </w:r>
      <w:r w:rsidR="001B3C8A">
        <w:rPr>
          <w:rFonts w:ascii="Palatino Linotype" w:hAnsi="Palatino Linotype" w:eastAsia="Palatino Linotype" w:cs="Times New Roman"/>
          <w:kern w:val="0"/>
          <w14:ligatures w14:val="none"/>
        </w:rPr>
        <w:t>Advice Letter</w:t>
      </w:r>
      <w:r w:rsidRPr="009F7028">
        <w:rPr>
          <w:rFonts w:ascii="Palatino Linotype" w:hAnsi="Palatino Linotype" w:eastAsia="Palatino Linotype" w:cs="Times New Roman"/>
          <w:kern w:val="0"/>
          <w14:ligatures w14:val="none"/>
        </w:rPr>
        <w:t xml:space="preserve"> submission.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it does not object to providing the finalized binding cost estimate to the Commission in a Tier 1 </w:t>
      </w:r>
      <w:r w:rsidR="0017250A">
        <w:rPr>
          <w:rFonts w:ascii="Palatino Linotype" w:hAnsi="Palatino Linotype" w:eastAsia="Palatino Linotype" w:cs="Times New Roman"/>
          <w:kern w:val="0"/>
          <w14:ligatures w14:val="none"/>
        </w:rPr>
        <w:t>A</w:t>
      </w:r>
      <w:r w:rsidRPr="009F7028">
        <w:rPr>
          <w:rFonts w:ascii="Palatino Linotype" w:hAnsi="Palatino Linotype" w:eastAsia="Palatino Linotype" w:cs="Times New Roman"/>
          <w:kern w:val="0"/>
          <w14:ligatures w14:val="none"/>
        </w:rPr>
        <w:t xml:space="preserve">dvice </w:t>
      </w:r>
      <w:r w:rsidR="0017250A">
        <w:rPr>
          <w:rFonts w:ascii="Palatino Linotype" w:hAnsi="Palatino Linotype" w:eastAsia="Palatino Linotype" w:cs="Times New Roman"/>
          <w:kern w:val="0"/>
          <w14:ligatures w14:val="none"/>
        </w:rPr>
        <w:t>L</w:t>
      </w:r>
      <w:r w:rsidRPr="009F7028">
        <w:rPr>
          <w:rFonts w:ascii="Palatino Linotype" w:hAnsi="Palatino Linotype" w:eastAsia="Palatino Linotype" w:cs="Times New Roman"/>
          <w:kern w:val="0"/>
          <w14:ligatures w14:val="none"/>
        </w:rPr>
        <w:t xml:space="preserve">etter on an information-only basis once </w:t>
      </w:r>
      <w:proofErr w:type="gramStart"/>
      <w:r w:rsidRPr="009F7028">
        <w:rPr>
          <w:rFonts w:ascii="Palatino Linotype" w:hAnsi="Palatino Linotype" w:eastAsia="Palatino Linotype" w:cs="Times New Roman"/>
          <w:kern w:val="0"/>
          <w14:ligatures w14:val="none"/>
        </w:rPr>
        <w:t>available, but</w:t>
      </w:r>
      <w:proofErr w:type="gramEnd"/>
      <w:r w:rsidRPr="009F7028">
        <w:rPr>
          <w:rFonts w:ascii="Palatino Linotype" w:hAnsi="Palatino Linotype" w:eastAsia="Palatino Linotype" w:cs="Times New Roman"/>
          <w:kern w:val="0"/>
          <w14:ligatures w14:val="none"/>
        </w:rPr>
        <w:t xml:space="preserve"> opposes an approach that would reopen the agreement for re-approval at that stage. </w:t>
      </w:r>
    </w:p>
    <w:p w:rsidR="0017250A" w:rsidP="009F7028" w:rsidRDefault="0017250A" w14:paraId="56FC974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FFE128A" w14:textId="130FCEB6">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 also argues that PG&amp;E oversight and inspection costs should be included and are not duplicative of the customer’s costs, and states that oversight costs are appropriate </w:t>
      </w:r>
      <w:r w:rsidR="00AD7B28">
        <w:rPr>
          <w:rFonts w:ascii="Palatino Linotype" w:hAnsi="Palatino Linotype" w:eastAsia="Palatino Linotype" w:cs="Times New Roman"/>
          <w:kern w:val="0"/>
          <w14:ligatures w14:val="none"/>
        </w:rPr>
        <w:t xml:space="preserve">for refund </w:t>
      </w:r>
      <w:r w:rsidRPr="009F7028">
        <w:rPr>
          <w:rFonts w:ascii="Palatino Linotype" w:hAnsi="Palatino Linotype" w:eastAsia="Palatino Linotype" w:cs="Times New Roman"/>
          <w:kern w:val="0"/>
          <w14:ligatures w14:val="none"/>
        </w:rPr>
        <w:t>because they are incurred regardless of whether PG&amp;E or the applicant constructs the facilities. PG&amp;E opposes requiring the use of interim Electric Rule 30 implementation agreements in lieu of the proposed exceptional case agreement under Electric Rules 2, 15, and 16</w:t>
      </w:r>
      <w:r w:rsidR="00683594">
        <w:rPr>
          <w:rFonts w:ascii="Palatino Linotype" w:hAnsi="Palatino Linotype" w:eastAsia="Palatino Linotype" w:cs="Times New Roman"/>
          <w:kern w:val="0"/>
          <w14:ligatures w14:val="none"/>
        </w:rPr>
        <w:t>, as this would unnecessarily delay the project</w:t>
      </w:r>
      <w:r w:rsidR="00C442F8">
        <w:rPr>
          <w:rFonts w:ascii="Palatino Linotype" w:hAnsi="Palatino Linotype" w:eastAsia="Palatino Linotype" w:cs="Times New Roman"/>
          <w:kern w:val="0"/>
          <w14:ligatures w14:val="none"/>
        </w:rPr>
        <w:t xml:space="preserve"> and create substantial uncertainty for the customer</w:t>
      </w:r>
      <w:r w:rsidRPr="009F7028">
        <w:rPr>
          <w:rFonts w:ascii="Palatino Linotype" w:hAnsi="Palatino Linotype" w:eastAsia="Palatino Linotype" w:cs="Times New Roman"/>
          <w:kern w:val="0"/>
          <w14:ligatures w14:val="none"/>
        </w:rPr>
        <w:t>.</w:t>
      </w:r>
    </w:p>
    <w:p w:rsidRPr="009F7028" w:rsidR="003A1469" w:rsidP="009F7028" w:rsidRDefault="003A1469" w14:paraId="058C9A05" w14:textId="77777777">
      <w:pPr>
        <w:spacing w:after="0" w:line="240" w:lineRule="auto"/>
        <w:rPr>
          <w:rFonts w:ascii="Palatino Linotype" w:hAnsi="Palatino Linotype" w:eastAsia="Palatino Linotype" w:cs="Times New Roman"/>
          <w:kern w:val="0"/>
          <w14:ligatures w14:val="none"/>
        </w:rPr>
      </w:pPr>
    </w:p>
    <w:p w:rsidR="003A1469" w:rsidP="009F7028" w:rsidRDefault="009F7028" w14:paraId="7F8AE43D" w14:textId="6FC42C00">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As to Imel, PG&amp;E argues that the requested technical details and negotiated commercial cost terms are confidential and proprietary and may also </w:t>
      </w:r>
      <w:proofErr w:type="gramStart"/>
      <w:r w:rsidRPr="009F7028">
        <w:rPr>
          <w:rFonts w:ascii="Palatino Linotype" w:hAnsi="Palatino Linotype" w:eastAsia="Palatino Linotype" w:cs="Times New Roman"/>
          <w:kern w:val="0"/>
          <w14:ligatures w14:val="none"/>
        </w:rPr>
        <w:t>implicate</w:t>
      </w:r>
      <w:proofErr w:type="gramEnd"/>
      <w:r w:rsidRPr="009F7028">
        <w:rPr>
          <w:rFonts w:ascii="Palatino Linotype" w:hAnsi="Palatino Linotype" w:eastAsia="Palatino Linotype" w:cs="Times New Roman"/>
          <w:kern w:val="0"/>
          <w14:ligatures w14:val="none"/>
        </w:rPr>
        <w:t xml:space="preserve"> sensitive infrastructure information, and that public disclosure of negotiated commercial terms is not appropriate.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it can provide confidential details to the Commission as needed for review.</w:t>
      </w:r>
    </w:p>
    <w:p w:rsidRPr="001942D0" w:rsidR="00737E72" w:rsidP="00A76F4A" w:rsidRDefault="00737E72" w14:paraId="465DBCB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B36B2C" w:rsidP="2444F476" w:rsidRDefault="00B36B2C" w14:paraId="2EBF7439" w14:textId="0CF6E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The Commission has reviewed AL 7785-E, the protests, and PG&amp;E’s reply. We approve the </w:t>
      </w:r>
      <w:r w:rsidR="005823C1">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5823C1">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with modifications. The modifications are necessary to provide additional ratepayer protection</w:t>
      </w:r>
      <w:r w:rsidR="00955D1B">
        <w:rPr>
          <w:rFonts w:ascii="Palatino Linotype" w:hAnsi="Palatino Linotype" w:eastAsia="Palatino Linotype" w:cs="Times New Roman"/>
          <w:kern w:val="0"/>
          <w14:ligatures w14:val="none"/>
        </w:rPr>
        <w:t xml:space="preserve">s corresponding to the </w:t>
      </w:r>
      <w:r w:rsidRPr="00B36B2C">
        <w:rPr>
          <w:rFonts w:ascii="Palatino Linotype" w:hAnsi="Palatino Linotype" w:eastAsia="Palatino Linotype" w:cs="Times New Roman"/>
          <w:kern w:val="0"/>
          <w14:ligatures w14:val="none"/>
        </w:rPr>
        <w:t xml:space="preserve">transmission-level energization of a very large load and to clarify the binding cost cap structure for the applicant-build portion of the project. In this </w:t>
      </w:r>
      <w:r w:rsidR="008A4F9A">
        <w:rPr>
          <w:rFonts w:ascii="Palatino Linotype" w:hAnsi="Palatino Linotype" w:eastAsia="Palatino Linotype" w:cs="Times New Roman"/>
          <w:kern w:val="0"/>
          <w14:ligatures w14:val="none"/>
        </w:rPr>
        <w:t>d</w:t>
      </w:r>
      <w:r w:rsidRPr="00B36B2C">
        <w:rPr>
          <w:rFonts w:ascii="Palatino Linotype" w:hAnsi="Palatino Linotype" w:eastAsia="Palatino Linotype" w:cs="Times New Roman"/>
          <w:kern w:val="0"/>
          <w14:ligatures w14:val="none"/>
        </w:rPr>
        <w:t>iscussion, we address: (1) whether it is reasonable to approve the agreement as an exceptional case; (2)</w:t>
      </w:r>
      <w:r w:rsidR="007F2391">
        <w:rPr>
          <w:rFonts w:ascii="Palatino Linotype" w:hAnsi="Palatino Linotype" w:eastAsia="Palatino Linotype" w:cs="Times New Roman"/>
          <w:kern w:val="0"/>
          <w14:ligatures w14:val="none"/>
        </w:rPr>
        <w:t xml:space="preserve"> </w:t>
      </w:r>
      <w:r w:rsidR="00C90A62">
        <w:rPr>
          <w:rFonts w:ascii="Palatino Linotype" w:hAnsi="Palatino Linotype" w:eastAsia="Palatino Linotype" w:cs="Times New Roman"/>
          <w:kern w:val="0"/>
          <w14:ligatures w14:val="none"/>
        </w:rPr>
        <w:t xml:space="preserve">whether it is reasonable to require an </w:t>
      </w:r>
      <w:r w:rsidR="00C90A62">
        <w:rPr>
          <w:rFonts w:ascii="Palatino Linotype" w:hAnsi="Palatino Linotype" w:eastAsia="Palatino Linotype" w:cs="Times New Roman"/>
          <w:kern w:val="0"/>
          <w14:ligatures w14:val="none"/>
        </w:rPr>
        <w:lastRenderedPageBreak/>
        <w:t>additional capital advance to reflect the energization costs associated with broader transmission network upgrades</w:t>
      </w:r>
      <w:r w:rsidR="00C90A62">
        <w:rPr>
          <w:rFonts w:ascii="Palatino Linotype" w:hAnsi="Palatino Linotype" w:eastAsia="Palatino Linotype" w:cs="Times New Roman"/>
        </w:rPr>
        <w:t xml:space="preserve">, allowing that </w:t>
      </w:r>
      <w:r w:rsidR="00627C1B">
        <w:rPr>
          <w:rFonts w:ascii="Palatino Linotype" w:hAnsi="Palatino Linotype" w:eastAsia="Palatino Linotype" w:cs="Times New Roman"/>
        </w:rPr>
        <w:t xml:space="preserve">amount </w:t>
      </w:r>
      <w:r w:rsidR="00C90A62">
        <w:rPr>
          <w:rFonts w:ascii="Palatino Linotype" w:hAnsi="Palatino Linotype" w:eastAsia="Palatino Linotype" w:cs="Times New Roman"/>
        </w:rPr>
        <w:t xml:space="preserve">to be updated </w:t>
      </w:r>
      <w:r w:rsidRPr="2444F476" w:rsidR="00836550">
        <w:rPr>
          <w:rFonts w:ascii="Palatino Linotype" w:hAnsi="Palatino Linotype" w:eastAsia="Palatino Linotype" w:cs="Times New Roman"/>
        </w:rPr>
        <w:t xml:space="preserve">in accordance with the outcome in the </w:t>
      </w:r>
      <w:r w:rsidR="00345654">
        <w:rPr>
          <w:rFonts w:ascii="Palatino Linotype" w:hAnsi="Palatino Linotype" w:eastAsia="Palatino Linotype" w:cs="Times New Roman"/>
        </w:rPr>
        <w:t>Rule 30 proceeding</w:t>
      </w:r>
      <w:r w:rsidR="007F2391">
        <w:rPr>
          <w:rFonts w:ascii="Palatino Linotype" w:hAnsi="Palatino Linotype" w:eastAsia="Palatino Linotype" w:cs="Times New Roman"/>
          <w:kern w:val="0"/>
          <w14:ligatures w14:val="none"/>
        </w:rPr>
        <w:t>; (3)</w:t>
      </w:r>
      <w:r w:rsidRPr="00B36B2C">
        <w:rPr>
          <w:rFonts w:ascii="Palatino Linotype" w:hAnsi="Palatino Linotype" w:eastAsia="Palatino Linotype" w:cs="Times New Roman"/>
          <w:kern w:val="0"/>
          <w14:ligatures w14:val="none"/>
        </w:rPr>
        <w:t xml:space="preserve"> whether the refund methodology should be modified to limit annual refunds to annual net revenues</w:t>
      </w:r>
      <w:r w:rsidR="00426844">
        <w:rPr>
          <w:rFonts w:ascii="Palatino Linotype" w:hAnsi="Palatino Linotype" w:eastAsia="Palatino Linotype" w:cs="Times New Roman"/>
          <w:kern w:val="0"/>
          <w14:ligatures w14:val="none"/>
        </w:rPr>
        <w:t xml:space="preserve"> from the customer</w:t>
      </w:r>
      <w:r w:rsidRPr="00B36B2C">
        <w:rPr>
          <w:rFonts w:ascii="Palatino Linotype" w:hAnsi="Palatino Linotype" w:eastAsia="Palatino Linotype" w:cs="Times New Roman"/>
          <w:kern w:val="0"/>
          <w14:ligatures w14:val="none"/>
        </w:rPr>
        <w:t>; (</w:t>
      </w:r>
      <w:r w:rsidR="00426844">
        <w:rPr>
          <w:rFonts w:ascii="Palatino Linotype" w:hAnsi="Palatino Linotype" w:eastAsia="Palatino Linotype" w:cs="Times New Roman"/>
          <w:kern w:val="0"/>
          <w14:ligatures w14:val="none"/>
        </w:rPr>
        <w:t>4</w:t>
      </w:r>
      <w:r w:rsidRPr="00B36B2C">
        <w:rPr>
          <w:rFonts w:ascii="Palatino Linotype" w:hAnsi="Palatino Linotype" w:eastAsia="Palatino Linotype" w:cs="Times New Roman"/>
          <w:kern w:val="0"/>
          <w14:ligatures w14:val="none"/>
        </w:rPr>
        <w:t>) how the binding cost estimate (binding cost cap) should be structured and reported; (</w:t>
      </w:r>
      <w:r w:rsidR="00426844">
        <w:rPr>
          <w:rFonts w:ascii="Palatino Linotype" w:hAnsi="Palatino Linotype" w:eastAsia="Palatino Linotype" w:cs="Times New Roman"/>
          <w:kern w:val="0"/>
          <w14:ligatures w14:val="none"/>
        </w:rPr>
        <w:t>5</w:t>
      </w:r>
      <w:r w:rsidRPr="00B36B2C">
        <w:rPr>
          <w:rFonts w:ascii="Palatino Linotype" w:hAnsi="Palatino Linotype" w:eastAsia="Palatino Linotype" w:cs="Times New Roman"/>
          <w:kern w:val="0"/>
          <w14:ligatures w14:val="none"/>
        </w:rPr>
        <w:t>) how PG&amp;E oversight and supplemental costs should be treated to avoid overlap and double counting; (</w:t>
      </w:r>
      <w:r w:rsidR="00426844">
        <w:rPr>
          <w:rFonts w:ascii="Palatino Linotype" w:hAnsi="Palatino Linotype" w:eastAsia="Palatino Linotype" w:cs="Times New Roman"/>
          <w:kern w:val="0"/>
          <w14:ligatures w14:val="none"/>
        </w:rPr>
        <w:t>6</w:t>
      </w:r>
      <w:r w:rsidRPr="00B36B2C">
        <w:rPr>
          <w:rFonts w:ascii="Palatino Linotype" w:hAnsi="Palatino Linotype" w:eastAsia="Palatino Linotype" w:cs="Times New Roman"/>
          <w:kern w:val="0"/>
          <w14:ligatures w14:val="none"/>
        </w:rPr>
        <w:t>) whether interim Electric Rule 30 implementation is required; and (</w:t>
      </w:r>
      <w:r w:rsidR="00426844">
        <w:rPr>
          <w:rFonts w:ascii="Palatino Linotype" w:hAnsi="Palatino Linotype" w:eastAsia="Palatino Linotype" w:cs="Times New Roman"/>
          <w:kern w:val="0"/>
          <w14:ligatures w14:val="none"/>
        </w:rPr>
        <w:t>7</w:t>
      </w:r>
      <w:r w:rsidRPr="00B36B2C">
        <w:rPr>
          <w:rFonts w:ascii="Palatino Linotype" w:hAnsi="Palatino Linotype" w:eastAsia="Palatino Linotype" w:cs="Times New Roman"/>
          <w:kern w:val="0"/>
          <w14:ligatures w14:val="none"/>
        </w:rPr>
        <w:t>) the confidentiality and disclosure issues raised by Imel.</w:t>
      </w:r>
    </w:p>
    <w:p w:rsidRPr="00B36B2C" w:rsidR="00717000" w:rsidP="00B36B2C" w:rsidRDefault="00717000" w14:paraId="4715F66F" w14:textId="77777777">
      <w:pPr>
        <w:spacing w:after="0" w:line="240" w:lineRule="auto"/>
        <w:contextualSpacing/>
        <w:rPr>
          <w:rFonts w:ascii="Palatino Linotype" w:hAnsi="Palatino Linotype" w:eastAsia="Palatino Linotype" w:cs="Times New Roman"/>
          <w:kern w:val="0"/>
          <w14:ligatures w14:val="none"/>
        </w:rPr>
      </w:pPr>
    </w:p>
    <w:p w:rsidRPr="00717000" w:rsidR="00B36B2C" w:rsidP="00B36B2C" w:rsidRDefault="00B36B2C" w14:paraId="01DA8A46" w14:textId="64DEA0DC">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It Is Reasonable to Approve the Agreement as an Exceptional Case, Subject to Additional Ratepayer Protection</w:t>
      </w:r>
    </w:p>
    <w:p w:rsidRPr="00B36B2C" w:rsidR="00717000" w:rsidP="00B36B2C" w:rsidRDefault="00717000" w14:paraId="7B1B032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F7518F"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PG&amp;E seeks approval of an agreement to energize a new 250 MW transmission-level retail load at 230 kV using modified Electric Rules 2, 15, and 16 form agreements due to the scale and complexity of the work, including applicant construction and transfer of certain facilities to PG&amp;E and construction performed directly by PG&amp;E. We find it reasonable to approve the agreement as an exceptional case because the project involves unusually large transmission-level facilities and negotiated provisions addressing applicant construction, ownership transfer, and cost </w:t>
      </w:r>
      <w:proofErr w:type="gramStart"/>
      <w:r w:rsidRPr="00B36B2C">
        <w:rPr>
          <w:rFonts w:ascii="Palatino Linotype" w:hAnsi="Palatino Linotype" w:eastAsia="Palatino Linotype" w:cs="Times New Roman"/>
          <w:kern w:val="0"/>
          <w14:ligatures w14:val="none"/>
        </w:rPr>
        <w:t>responsibility</w:t>
      </w:r>
      <w:proofErr w:type="gramEnd"/>
      <w:r w:rsidRPr="00B36B2C">
        <w:rPr>
          <w:rFonts w:ascii="Palatino Linotype" w:hAnsi="Palatino Linotype" w:eastAsia="Palatino Linotype" w:cs="Times New Roman"/>
          <w:kern w:val="0"/>
          <w14:ligatures w14:val="none"/>
        </w:rPr>
        <w:t xml:space="preserve"> that are not fully addressed by standard distribution-oriented energization practices.</w:t>
      </w:r>
    </w:p>
    <w:p w:rsidRPr="00B36B2C" w:rsidR="00717000" w:rsidP="00B36B2C" w:rsidRDefault="00717000" w14:paraId="0ECF968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600A249" w14:textId="54AFF92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At the same time, this project presents heightened ratepayer risk if the </w:t>
      </w:r>
      <w:r w:rsidR="00400C1D">
        <w:rPr>
          <w:rFonts w:ascii="Palatino Linotype" w:hAnsi="Palatino Linotype" w:eastAsia="Palatino Linotype" w:cs="Times New Roman"/>
          <w:kern w:val="0"/>
          <w14:ligatures w14:val="none"/>
        </w:rPr>
        <w:t xml:space="preserve">capital advances from the customer and the </w:t>
      </w:r>
      <w:r w:rsidRPr="00B36B2C">
        <w:rPr>
          <w:rFonts w:ascii="Palatino Linotype" w:hAnsi="Palatino Linotype" w:eastAsia="Palatino Linotype" w:cs="Times New Roman"/>
          <w:kern w:val="0"/>
          <w14:ligatures w14:val="none"/>
        </w:rPr>
        <w:t xml:space="preserve">agreement’s refund mechanisms are not properly tailored to the characteristics of a transmission-level, large-load energization. Large transmission-level customers can require expensive energization upgrades on a scale that is atypical for most customers subject to Electric Rule 15 refund practices. If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too quickly relative to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ratepayers can be exposed to stranded-cost risk if load materially declines after initial years of operation. </w:t>
      </w:r>
      <w:r w:rsidR="00400C1D">
        <w:rPr>
          <w:rFonts w:ascii="Palatino Linotype" w:hAnsi="Palatino Linotype" w:eastAsia="Palatino Linotype" w:cs="Times New Roman"/>
          <w:kern w:val="0"/>
          <w14:ligatures w14:val="none"/>
        </w:rPr>
        <w:t>In addition, if the customer</w:t>
      </w:r>
      <w:r w:rsidR="00DD3A01">
        <w:rPr>
          <w:rFonts w:ascii="Palatino Linotype" w:hAnsi="Palatino Linotype" w:eastAsia="Palatino Linotype" w:cs="Times New Roman"/>
          <w:kern w:val="0"/>
          <w14:ligatures w14:val="none"/>
        </w:rPr>
        <w:t>’s</w:t>
      </w:r>
      <w:r w:rsidR="00400C1D">
        <w:rPr>
          <w:rFonts w:ascii="Palatino Linotype" w:hAnsi="Palatino Linotype" w:eastAsia="Palatino Linotype" w:cs="Times New Roman"/>
          <w:kern w:val="0"/>
          <w14:ligatures w14:val="none"/>
        </w:rPr>
        <w:t xml:space="preserve"> capital advance is </w:t>
      </w:r>
      <w:r w:rsidR="00A353FE">
        <w:rPr>
          <w:rFonts w:ascii="Palatino Linotype" w:hAnsi="Palatino Linotype" w:eastAsia="Palatino Linotype" w:cs="Times New Roman"/>
          <w:kern w:val="0"/>
          <w14:ligatures w14:val="none"/>
        </w:rPr>
        <w:t xml:space="preserve">small compared to the actual costs of energization, </w:t>
      </w:r>
      <w:r w:rsidR="00DD70EB">
        <w:rPr>
          <w:rFonts w:ascii="Palatino Linotype" w:hAnsi="Palatino Linotype" w:eastAsia="Palatino Linotype" w:cs="Times New Roman"/>
          <w:kern w:val="0"/>
          <w14:ligatures w14:val="none"/>
        </w:rPr>
        <w:t>ratepayers</w:t>
      </w:r>
      <w:r w:rsidR="00A353FE">
        <w:rPr>
          <w:rFonts w:ascii="Palatino Linotype" w:hAnsi="Palatino Linotype" w:eastAsia="Palatino Linotype" w:cs="Times New Roman"/>
          <w:kern w:val="0"/>
          <w14:ligatures w14:val="none"/>
        </w:rPr>
        <w:t xml:space="preserve"> are exposed to stranded-cost risk</w:t>
      </w:r>
      <w:r w:rsidR="00DD3A01">
        <w:rPr>
          <w:rFonts w:ascii="Palatino Linotype" w:hAnsi="Palatino Linotype" w:eastAsia="Palatino Linotype" w:cs="Times New Roman"/>
          <w:kern w:val="0"/>
          <w14:ligatures w14:val="none"/>
        </w:rPr>
        <w:t xml:space="preserve"> </w:t>
      </w:r>
      <w:r w:rsidR="000D280D">
        <w:rPr>
          <w:rFonts w:ascii="Palatino Linotype" w:hAnsi="Palatino Linotype" w:eastAsia="Palatino Linotype" w:cs="Times New Roman"/>
          <w:kern w:val="0"/>
          <w14:ligatures w14:val="none"/>
        </w:rPr>
        <w:t>even if the</w:t>
      </w:r>
      <w:r w:rsidR="004776A2">
        <w:rPr>
          <w:rFonts w:ascii="Palatino Linotype" w:hAnsi="Palatino Linotype" w:eastAsia="Palatino Linotype" w:cs="Times New Roman"/>
          <w:kern w:val="0"/>
          <w14:ligatures w14:val="none"/>
        </w:rPr>
        <w:t xml:space="preserve"> customer</w:t>
      </w:r>
      <w:r w:rsidR="000D280D">
        <w:rPr>
          <w:rFonts w:ascii="Palatino Linotype" w:hAnsi="Palatino Linotype" w:eastAsia="Palatino Linotype" w:cs="Times New Roman"/>
          <w:kern w:val="0"/>
          <w14:ligatures w14:val="none"/>
        </w:rPr>
        <w:t xml:space="preserve"> never receive</w:t>
      </w:r>
      <w:r w:rsidR="004776A2">
        <w:rPr>
          <w:rFonts w:ascii="Palatino Linotype" w:hAnsi="Palatino Linotype" w:eastAsia="Palatino Linotype" w:cs="Times New Roman"/>
          <w:kern w:val="0"/>
          <w14:ligatures w14:val="none"/>
        </w:rPr>
        <w:t>s</w:t>
      </w:r>
      <w:r w:rsidR="000D280D">
        <w:rPr>
          <w:rFonts w:ascii="Palatino Linotype" w:hAnsi="Palatino Linotype" w:eastAsia="Palatino Linotype" w:cs="Times New Roman"/>
          <w:kern w:val="0"/>
          <w14:ligatures w14:val="none"/>
        </w:rPr>
        <w:t xml:space="preserve"> any refund amount</w:t>
      </w:r>
      <w:r w:rsidR="00DD3A0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Accordingly, approval should include explicit, enforceable ratepayer protections designed for this project’s scale and </w:t>
      </w:r>
      <w:r w:rsidR="00AC082B">
        <w:rPr>
          <w:rFonts w:ascii="Palatino Linotype" w:hAnsi="Palatino Linotype" w:eastAsia="Palatino Linotype" w:cs="Times New Roman"/>
          <w:kern w:val="0"/>
          <w14:ligatures w14:val="none"/>
        </w:rPr>
        <w:t>exceptional characteristics</w:t>
      </w:r>
      <w:r w:rsidRPr="00B36B2C">
        <w:rPr>
          <w:rFonts w:ascii="Palatino Linotype" w:hAnsi="Palatino Linotype" w:eastAsia="Palatino Linotype" w:cs="Times New Roman"/>
          <w:kern w:val="0"/>
          <w14:ligatures w14:val="none"/>
        </w:rPr>
        <w:t>.</w:t>
      </w:r>
    </w:p>
    <w:p w:rsidRPr="00B36B2C" w:rsidR="00717000" w:rsidP="00B36B2C" w:rsidRDefault="00717000" w14:paraId="3F9A76CF"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841337" w14:paraId="4FB5B0D7" w14:textId="140A8203">
      <w:pPr>
        <w:spacing w:after="0" w:line="240" w:lineRule="auto"/>
        <w:contextualSpacing/>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 xml:space="preserve">Given the </w:t>
      </w:r>
      <w:r w:rsidR="000C3476">
        <w:rPr>
          <w:rFonts w:ascii="Palatino Linotype" w:hAnsi="Palatino Linotype" w:eastAsia="Palatino Linotype" w:cs="Times New Roman"/>
          <w:b/>
          <w:bCs/>
          <w:kern w:val="0"/>
          <w14:ligatures w14:val="none"/>
        </w:rPr>
        <w:t xml:space="preserve">Dependency of this Project on Larger Grid Upgrades, </w:t>
      </w:r>
      <w:r w:rsidR="00D2721E">
        <w:rPr>
          <w:rFonts w:ascii="Palatino Linotype" w:hAnsi="Palatino Linotype" w:eastAsia="Palatino Linotype" w:cs="Times New Roman"/>
          <w:b/>
          <w:bCs/>
          <w:kern w:val="0"/>
          <w14:ligatures w14:val="none"/>
        </w:rPr>
        <w:t xml:space="preserve">the Customer Should Provide an Additional Refundable Capital Advance of $600,000 per MW to Protect Ratepayers from these Costs. </w:t>
      </w:r>
      <w:r w:rsidR="008F5BE4">
        <w:rPr>
          <w:rFonts w:ascii="Palatino Linotype" w:hAnsi="Palatino Linotype" w:eastAsia="Palatino Linotype" w:cs="Times New Roman"/>
          <w:b/>
          <w:bCs/>
          <w:kern w:val="0"/>
          <w14:ligatures w14:val="none"/>
        </w:rPr>
        <w:t xml:space="preserve">This </w:t>
      </w:r>
      <w:r w:rsidR="00BE2967">
        <w:rPr>
          <w:rFonts w:ascii="Palatino Linotype" w:hAnsi="Palatino Linotype" w:eastAsia="Palatino Linotype" w:cs="Times New Roman"/>
          <w:b/>
          <w:bCs/>
          <w:kern w:val="0"/>
          <w14:ligatures w14:val="none"/>
        </w:rPr>
        <w:t xml:space="preserve">amount </w:t>
      </w:r>
      <w:r w:rsidR="008F5BE4">
        <w:rPr>
          <w:rFonts w:ascii="Palatino Linotype" w:hAnsi="Palatino Linotype" w:eastAsia="Palatino Linotype" w:cs="Times New Roman"/>
          <w:b/>
          <w:bCs/>
          <w:kern w:val="0"/>
          <w14:ligatures w14:val="none"/>
        </w:rPr>
        <w:t>can Later be Modified</w:t>
      </w:r>
      <w:r w:rsidR="00C018AF">
        <w:rPr>
          <w:rFonts w:ascii="Palatino Linotype" w:hAnsi="Palatino Linotype" w:eastAsia="Palatino Linotype" w:cs="Times New Roman"/>
          <w:b/>
          <w:bCs/>
          <w:kern w:val="0"/>
          <w14:ligatures w14:val="none"/>
        </w:rPr>
        <w:t xml:space="preserve"> </w:t>
      </w:r>
      <w:r w:rsidRPr="00C018AF" w:rsidR="00C018AF">
        <w:rPr>
          <w:rFonts w:ascii="Palatino Linotype" w:hAnsi="Palatino Linotype" w:eastAsia="Palatino Linotype" w:cs="Times New Roman"/>
          <w:b/>
          <w:bCs/>
          <w:kern w:val="0"/>
          <w14:ligatures w14:val="none"/>
        </w:rPr>
        <w:t xml:space="preserve">in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ccordance with the </w:t>
      </w:r>
      <w:r w:rsidR="00C018AF">
        <w:rPr>
          <w:rFonts w:ascii="Palatino Linotype" w:hAnsi="Palatino Linotype" w:eastAsia="Palatino Linotype" w:cs="Times New Roman"/>
          <w:b/>
          <w:bCs/>
          <w:kern w:val="0"/>
          <w14:ligatures w14:val="none"/>
        </w:rPr>
        <w:t>O</w:t>
      </w:r>
      <w:r w:rsidRPr="00C018AF" w:rsidR="00C018AF">
        <w:rPr>
          <w:rFonts w:ascii="Palatino Linotype" w:hAnsi="Palatino Linotype" w:eastAsia="Palatino Linotype" w:cs="Times New Roman"/>
          <w:b/>
          <w:bCs/>
          <w:kern w:val="0"/>
          <w14:ligatures w14:val="none"/>
        </w:rPr>
        <w:t xml:space="preserve">utcome in the </w:t>
      </w:r>
      <w:r w:rsidR="00345654">
        <w:rPr>
          <w:rFonts w:ascii="Palatino Linotype" w:hAnsi="Palatino Linotype" w:eastAsia="Palatino Linotype" w:cs="Times New Roman"/>
          <w:b/>
          <w:bCs/>
          <w:kern w:val="0"/>
          <w14:ligatures w14:val="none"/>
        </w:rPr>
        <w:t>Rule 30 proceeding</w:t>
      </w:r>
      <w:r w:rsidR="00586D29">
        <w:rPr>
          <w:rFonts w:ascii="Palatino Linotype" w:hAnsi="Palatino Linotype" w:eastAsia="Palatino Linotype" w:cs="Times New Roman"/>
          <w:b/>
          <w:bCs/>
          <w:kern w:val="0"/>
          <w14:ligatures w14:val="none"/>
        </w:rPr>
        <w:t>.</w:t>
      </w:r>
    </w:p>
    <w:p w:rsidR="00586D29" w:rsidP="00B36B2C" w:rsidRDefault="00586D29" w14:paraId="35B0E663" w14:textId="77777777">
      <w:pPr>
        <w:spacing w:after="0" w:line="240" w:lineRule="auto"/>
        <w:contextualSpacing/>
        <w:rPr>
          <w:rFonts w:ascii="Palatino Linotype" w:hAnsi="Palatino Linotype" w:eastAsia="Palatino Linotype" w:cs="Times New Roman"/>
          <w:b/>
          <w:bCs/>
          <w:kern w:val="0"/>
          <w14:ligatures w14:val="none"/>
        </w:rPr>
      </w:pPr>
    </w:p>
    <w:p w:rsidR="00586D29" w:rsidP="00B36B2C" w:rsidRDefault="009E7653" w14:paraId="7E051B06" w14:textId="64A7570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In its protest, Cal Advocates </w:t>
      </w:r>
      <w:r w:rsidR="000D284C">
        <w:rPr>
          <w:rFonts w:ascii="Palatino Linotype" w:hAnsi="Palatino Linotype" w:eastAsia="Palatino Linotype" w:cs="Times New Roman"/>
          <w:kern w:val="0"/>
          <w14:ligatures w14:val="none"/>
        </w:rPr>
        <w:t xml:space="preserve">notes that </w:t>
      </w:r>
      <w:r w:rsidR="00B27F3B">
        <w:rPr>
          <w:rFonts w:ascii="Palatino Linotype" w:hAnsi="Palatino Linotype" w:eastAsia="Palatino Linotype" w:cs="Times New Roman"/>
          <w:kern w:val="0"/>
          <w14:ligatures w14:val="none"/>
        </w:rPr>
        <w:t>this project presents the same risks as the transmission-level, large-load energizations for customers STACK Infrastructure and Microsoft approved in Resolutions E-</w:t>
      </w:r>
      <w:r w:rsidR="0086162D">
        <w:rPr>
          <w:rFonts w:ascii="Palatino Linotype" w:hAnsi="Palatino Linotype" w:eastAsia="Palatino Linotype" w:cs="Times New Roman"/>
          <w:kern w:val="0"/>
          <w14:ligatures w14:val="none"/>
        </w:rPr>
        <w:t xml:space="preserve">5420 and E-5439. However, Cal Advocates notes that </w:t>
      </w:r>
      <w:r w:rsidR="00972215">
        <w:rPr>
          <w:rFonts w:ascii="Palatino Linotype" w:hAnsi="Palatino Linotype" w:eastAsia="Palatino Linotype" w:cs="Times New Roman"/>
          <w:kern w:val="0"/>
          <w14:ligatures w14:val="none"/>
        </w:rPr>
        <w:t xml:space="preserve">the 250 MW project under consideration here is </w:t>
      </w:r>
      <w:r w:rsidR="00DD6B07">
        <w:rPr>
          <w:rFonts w:ascii="Palatino Linotype" w:hAnsi="Palatino Linotype" w:eastAsia="Palatino Linotype" w:cs="Times New Roman"/>
          <w:kern w:val="0"/>
          <w14:ligatures w14:val="none"/>
        </w:rPr>
        <w:t>“</w:t>
      </w:r>
      <w:r w:rsidRPr="00DD6B07" w:rsidR="00DD6B07">
        <w:rPr>
          <w:rFonts w:ascii="Palatino Linotype" w:hAnsi="Palatino Linotype" w:eastAsia="Palatino Linotype" w:cs="Times New Roman"/>
          <w:kern w:val="0"/>
          <w14:ligatures w14:val="none"/>
        </w:rPr>
        <w:t>larger than the STACK and Microsoft facilities combined</w:t>
      </w:r>
      <w:r w:rsidR="00DD6B07">
        <w:rPr>
          <w:rFonts w:ascii="Palatino Linotype" w:hAnsi="Palatino Linotype" w:eastAsia="Palatino Linotype" w:cs="Times New Roman"/>
          <w:kern w:val="0"/>
          <w14:ligatures w14:val="none"/>
        </w:rPr>
        <w:t>.”</w:t>
      </w:r>
      <w:r w:rsidR="00DD6B07">
        <w:rPr>
          <w:rStyle w:val="FootnoteReference"/>
          <w:rFonts w:ascii="Palatino Linotype" w:hAnsi="Palatino Linotype" w:eastAsia="Palatino Linotype" w:cs="Times New Roman"/>
          <w:kern w:val="0"/>
          <w14:ligatures w14:val="none"/>
        </w:rPr>
        <w:footnoteReference w:id="5"/>
      </w:r>
      <w:r w:rsidR="00DD6B07">
        <w:rPr>
          <w:rFonts w:ascii="Palatino Linotype" w:hAnsi="Palatino Linotype" w:eastAsia="Palatino Linotype" w:cs="Times New Roman"/>
          <w:kern w:val="0"/>
          <w14:ligatures w14:val="none"/>
        </w:rPr>
        <w:t xml:space="preserve"> In addition, Cal Advocates notes that the Google facility </w:t>
      </w:r>
      <w:r w:rsidR="00AE2204">
        <w:rPr>
          <w:rFonts w:ascii="Palatino Linotype" w:hAnsi="Palatino Linotype" w:eastAsia="Palatino Linotype" w:cs="Times New Roman"/>
          <w:kern w:val="0"/>
          <w14:ligatures w14:val="none"/>
        </w:rPr>
        <w:t>will benefit from new planned transmission capacity pr</w:t>
      </w:r>
      <w:r w:rsidR="00933B14">
        <w:rPr>
          <w:rFonts w:ascii="Palatino Linotype" w:hAnsi="Palatino Linotype" w:eastAsia="Palatino Linotype" w:cs="Times New Roman"/>
          <w:kern w:val="0"/>
          <w14:ligatures w14:val="none"/>
        </w:rPr>
        <w:t xml:space="preserve">ovided by LS Power’s Newark-NRS 230 kV </w:t>
      </w:r>
      <w:r w:rsidR="00D260EC">
        <w:rPr>
          <w:rFonts w:ascii="Palatino Linotype" w:hAnsi="Palatino Linotype" w:eastAsia="Palatino Linotype" w:cs="Times New Roman"/>
          <w:kern w:val="0"/>
          <w14:ligatures w14:val="none"/>
        </w:rPr>
        <w:t>transmission line, a “more than $1 billion project</w:t>
      </w:r>
      <w:r w:rsidR="00C6781C">
        <w:rPr>
          <w:rFonts w:ascii="Palatino Linotype" w:hAnsi="Palatino Linotype" w:eastAsia="Palatino Linotype" w:cs="Times New Roman"/>
          <w:kern w:val="0"/>
          <w14:ligatures w14:val="none"/>
        </w:rPr>
        <w:t>.”</w:t>
      </w:r>
      <w:r w:rsidR="00D260EC">
        <w:rPr>
          <w:rStyle w:val="FootnoteReference"/>
          <w:rFonts w:ascii="Palatino Linotype" w:hAnsi="Palatino Linotype" w:eastAsia="Palatino Linotype" w:cs="Times New Roman"/>
          <w:kern w:val="0"/>
          <w14:ligatures w14:val="none"/>
        </w:rPr>
        <w:footnoteReference w:id="6"/>
      </w:r>
      <w:r w:rsidR="00C6781C">
        <w:rPr>
          <w:rFonts w:ascii="Palatino Linotype" w:hAnsi="Palatino Linotype" w:eastAsia="Palatino Linotype" w:cs="Times New Roman"/>
          <w:kern w:val="0"/>
          <w14:ligatures w14:val="none"/>
        </w:rPr>
        <w:t xml:space="preserve"> </w:t>
      </w:r>
      <w:r w:rsidR="003725DD">
        <w:rPr>
          <w:rFonts w:ascii="Palatino Linotype" w:hAnsi="Palatino Linotype" w:eastAsia="Palatino Linotype" w:cs="Times New Roman"/>
          <w:kern w:val="0"/>
          <w14:ligatures w14:val="none"/>
        </w:rPr>
        <w:t xml:space="preserve">In fact, the new </w:t>
      </w:r>
      <w:r w:rsidR="0030610D">
        <w:rPr>
          <w:rFonts w:ascii="Palatino Linotype" w:hAnsi="Palatino Linotype" w:eastAsia="Palatino Linotype" w:cs="Times New Roman"/>
          <w:kern w:val="0"/>
          <w14:ligatures w14:val="none"/>
        </w:rPr>
        <w:br/>
      </w:r>
      <w:r w:rsidR="003725DD">
        <w:rPr>
          <w:rFonts w:ascii="Palatino Linotype" w:hAnsi="Palatino Linotype" w:eastAsia="Palatino Linotype" w:cs="Times New Roman"/>
          <w:kern w:val="0"/>
          <w14:ligatures w14:val="none"/>
        </w:rPr>
        <w:t xml:space="preserve">250 MW </w:t>
      </w:r>
      <w:r w:rsidR="00A82612">
        <w:rPr>
          <w:rFonts w:ascii="Palatino Linotype" w:hAnsi="Palatino Linotype" w:eastAsia="Palatino Linotype" w:cs="Times New Roman"/>
          <w:kern w:val="0"/>
          <w14:ligatures w14:val="none"/>
        </w:rPr>
        <w:t>facility</w:t>
      </w:r>
      <w:r w:rsidR="003725DD">
        <w:rPr>
          <w:rFonts w:ascii="Palatino Linotype" w:hAnsi="Palatino Linotype" w:eastAsia="Palatino Linotype" w:cs="Times New Roman"/>
          <w:kern w:val="0"/>
          <w14:ligatures w14:val="none"/>
        </w:rPr>
        <w:t xml:space="preserve"> will connect directly to this new transmission line</w:t>
      </w:r>
      <w:r w:rsidR="00465BF1">
        <w:rPr>
          <w:rFonts w:ascii="Palatino Linotype" w:hAnsi="Palatino Linotype" w:eastAsia="Palatino Linotype" w:cs="Times New Roman"/>
          <w:kern w:val="0"/>
          <w14:ligatures w14:val="none"/>
        </w:rPr>
        <w:t>, which is expected to be operational in 2028</w:t>
      </w:r>
      <w:r w:rsidR="000232D3">
        <w:rPr>
          <w:rFonts w:ascii="Palatino Linotype" w:hAnsi="Palatino Linotype" w:eastAsia="Palatino Linotype" w:cs="Times New Roman"/>
          <w:kern w:val="0"/>
          <w14:ligatures w14:val="none"/>
        </w:rPr>
        <w:t xml:space="preserve"> with a total capacity of about 1000 MW</w:t>
      </w:r>
      <w:r w:rsidR="00465BF1">
        <w:rPr>
          <w:rFonts w:ascii="Palatino Linotype" w:hAnsi="Palatino Linotype" w:eastAsia="Palatino Linotype" w:cs="Times New Roman"/>
          <w:kern w:val="0"/>
          <w14:ligatures w14:val="none"/>
        </w:rPr>
        <w:t>.</w:t>
      </w:r>
      <w:r w:rsidR="002803D0">
        <w:rPr>
          <w:rFonts w:ascii="Palatino Linotype" w:hAnsi="Palatino Linotype" w:eastAsia="Palatino Linotype" w:cs="Times New Roman"/>
          <w:kern w:val="0"/>
          <w14:ligatures w14:val="none"/>
        </w:rPr>
        <w:t xml:space="preserve"> </w:t>
      </w:r>
      <w:r w:rsidR="00A54341">
        <w:rPr>
          <w:rFonts w:ascii="Palatino Linotype" w:hAnsi="Palatino Linotype" w:eastAsia="Palatino Linotype" w:cs="Times New Roman"/>
          <w:kern w:val="0"/>
          <w14:ligatures w14:val="none"/>
        </w:rPr>
        <w:t xml:space="preserve">In its protest, </w:t>
      </w:r>
      <w:r w:rsidR="002803D0">
        <w:rPr>
          <w:rFonts w:ascii="Palatino Linotype" w:hAnsi="Palatino Linotype" w:eastAsia="Palatino Linotype" w:cs="Times New Roman"/>
          <w:kern w:val="0"/>
          <w14:ligatures w14:val="none"/>
        </w:rPr>
        <w:t>Cal Advocates</w:t>
      </w:r>
      <w:r w:rsidR="00A54341">
        <w:rPr>
          <w:rFonts w:ascii="Palatino Linotype" w:hAnsi="Palatino Linotype" w:eastAsia="Palatino Linotype" w:cs="Times New Roman"/>
          <w:kern w:val="0"/>
          <w14:ligatures w14:val="none"/>
        </w:rPr>
        <w:t xml:space="preserve"> also</w:t>
      </w:r>
      <w:r w:rsidR="002803D0">
        <w:rPr>
          <w:rFonts w:ascii="Palatino Linotype" w:hAnsi="Palatino Linotype" w:eastAsia="Palatino Linotype" w:cs="Times New Roman"/>
          <w:kern w:val="0"/>
          <w14:ligatures w14:val="none"/>
        </w:rPr>
        <w:t xml:space="preserve"> notes that </w:t>
      </w:r>
      <w:r w:rsidR="009047FF">
        <w:rPr>
          <w:rFonts w:ascii="Palatino Linotype" w:hAnsi="Palatino Linotype" w:eastAsia="Palatino Linotype" w:cs="Times New Roman"/>
          <w:kern w:val="0"/>
          <w14:ligatures w14:val="none"/>
        </w:rPr>
        <w:t>the revenue requirement</w:t>
      </w:r>
      <w:r w:rsidR="000E3126">
        <w:rPr>
          <w:rFonts w:ascii="Palatino Linotype" w:hAnsi="Palatino Linotype" w:eastAsia="Palatino Linotype" w:cs="Times New Roman"/>
          <w:kern w:val="0"/>
          <w14:ligatures w14:val="none"/>
        </w:rPr>
        <w:t xml:space="preserve"> associated with </w:t>
      </w:r>
      <w:r w:rsidR="00696095">
        <w:rPr>
          <w:rFonts w:ascii="Palatino Linotype" w:hAnsi="Palatino Linotype" w:eastAsia="Palatino Linotype" w:cs="Times New Roman"/>
          <w:kern w:val="0"/>
          <w14:ligatures w14:val="none"/>
        </w:rPr>
        <w:t xml:space="preserve">the Newark-NRS </w:t>
      </w:r>
      <w:r w:rsidR="005F7F57">
        <w:rPr>
          <w:rFonts w:ascii="Palatino Linotype" w:hAnsi="Palatino Linotype" w:eastAsia="Palatino Linotype" w:cs="Times New Roman"/>
          <w:kern w:val="0"/>
          <w14:ligatures w14:val="none"/>
        </w:rPr>
        <w:t xml:space="preserve">transmission line </w:t>
      </w:r>
      <w:r w:rsidR="00696095">
        <w:rPr>
          <w:rFonts w:ascii="Palatino Linotype" w:hAnsi="Palatino Linotype" w:eastAsia="Palatino Linotype" w:cs="Times New Roman"/>
          <w:kern w:val="0"/>
          <w14:ligatures w14:val="none"/>
        </w:rPr>
        <w:t>project</w:t>
      </w:r>
      <w:r w:rsidR="009047FF">
        <w:rPr>
          <w:rFonts w:ascii="Palatino Linotype" w:hAnsi="Palatino Linotype" w:eastAsia="Palatino Linotype" w:cs="Times New Roman"/>
          <w:kern w:val="0"/>
          <w14:ligatures w14:val="none"/>
        </w:rPr>
        <w:t xml:space="preserve">, paid for by all </w:t>
      </w:r>
      <w:r w:rsidR="000E3126">
        <w:rPr>
          <w:rFonts w:ascii="Palatino Linotype" w:hAnsi="Palatino Linotype" w:eastAsia="Palatino Linotype" w:cs="Times New Roman"/>
          <w:kern w:val="0"/>
          <w14:ligatures w14:val="none"/>
        </w:rPr>
        <w:t xml:space="preserve">ratepayers within the CAISO system, </w:t>
      </w:r>
      <w:r w:rsidR="005F7F57">
        <w:rPr>
          <w:rFonts w:ascii="Palatino Linotype" w:hAnsi="Palatino Linotype" w:eastAsia="Palatino Linotype" w:cs="Times New Roman"/>
          <w:kern w:val="0"/>
          <w14:ligatures w14:val="none"/>
        </w:rPr>
        <w:t>will be capped</w:t>
      </w:r>
      <w:r w:rsidR="00701768">
        <w:rPr>
          <w:rFonts w:ascii="Palatino Linotype" w:hAnsi="Palatino Linotype" w:eastAsia="Palatino Linotype" w:cs="Times New Roman"/>
          <w:kern w:val="0"/>
          <w14:ligatures w14:val="none"/>
        </w:rPr>
        <w:t xml:space="preserve"> at $102 million </w:t>
      </w:r>
      <w:r w:rsidR="00215850">
        <w:rPr>
          <w:rFonts w:ascii="Palatino Linotype" w:hAnsi="Palatino Linotype" w:eastAsia="Palatino Linotype" w:cs="Times New Roman"/>
          <w:kern w:val="0"/>
          <w14:ligatures w14:val="none"/>
        </w:rPr>
        <w:t>during year one, decreasing to $41 million in year forty.</w:t>
      </w:r>
      <w:r w:rsidR="00215850">
        <w:rPr>
          <w:rStyle w:val="FootnoteReference"/>
          <w:rFonts w:ascii="Palatino Linotype" w:hAnsi="Palatino Linotype" w:eastAsia="Palatino Linotype" w:cs="Times New Roman"/>
          <w:kern w:val="0"/>
          <w14:ligatures w14:val="none"/>
        </w:rPr>
        <w:footnoteReference w:id="7"/>
      </w:r>
      <w:r w:rsidR="00215850">
        <w:rPr>
          <w:rFonts w:ascii="Palatino Linotype" w:hAnsi="Palatino Linotype" w:eastAsia="Palatino Linotype" w:cs="Times New Roman"/>
          <w:kern w:val="0"/>
          <w14:ligatures w14:val="none"/>
        </w:rPr>
        <w:t xml:space="preserve"> </w:t>
      </w:r>
      <w:r w:rsidR="00693A4F">
        <w:rPr>
          <w:rFonts w:ascii="Palatino Linotype" w:hAnsi="Palatino Linotype" w:eastAsia="Palatino Linotype" w:cs="Times New Roman"/>
          <w:kern w:val="0"/>
          <w14:ligatures w14:val="none"/>
        </w:rPr>
        <w:t xml:space="preserve">In other words, ratepayers </w:t>
      </w:r>
      <w:r w:rsidR="00844C39">
        <w:rPr>
          <w:rFonts w:ascii="Palatino Linotype" w:hAnsi="Palatino Linotype" w:eastAsia="Palatino Linotype" w:cs="Times New Roman"/>
          <w:kern w:val="0"/>
          <w14:ligatures w14:val="none"/>
        </w:rPr>
        <w:t xml:space="preserve">statewide </w:t>
      </w:r>
      <w:r w:rsidR="00693A4F">
        <w:rPr>
          <w:rFonts w:ascii="Palatino Linotype" w:hAnsi="Palatino Linotype" w:eastAsia="Palatino Linotype" w:cs="Times New Roman"/>
          <w:kern w:val="0"/>
          <w14:ligatures w14:val="none"/>
        </w:rPr>
        <w:t xml:space="preserve">would be expected to cover about $100 million </w:t>
      </w:r>
      <w:r w:rsidR="00F17055">
        <w:rPr>
          <w:rFonts w:ascii="Palatino Linotype" w:hAnsi="Palatino Linotype" w:eastAsia="Palatino Linotype" w:cs="Times New Roman"/>
          <w:kern w:val="0"/>
          <w14:ligatures w14:val="none"/>
        </w:rPr>
        <w:t>every year in</w:t>
      </w:r>
      <w:r w:rsidR="00ED7AB3">
        <w:rPr>
          <w:rFonts w:ascii="Palatino Linotype" w:hAnsi="Palatino Linotype" w:eastAsia="Palatino Linotype" w:cs="Times New Roman"/>
          <w:kern w:val="0"/>
          <w14:ligatures w14:val="none"/>
        </w:rPr>
        <w:t xml:space="preserve"> revenue requirement for </w:t>
      </w:r>
      <w:r w:rsidR="008A2B7D">
        <w:rPr>
          <w:rFonts w:ascii="Palatino Linotype" w:hAnsi="Palatino Linotype" w:eastAsia="Palatino Linotype" w:cs="Times New Roman"/>
          <w:kern w:val="0"/>
          <w14:ligatures w14:val="none"/>
        </w:rPr>
        <w:t>the Newark-NRS project</w:t>
      </w:r>
      <w:r w:rsidR="003E36BD">
        <w:rPr>
          <w:rFonts w:ascii="Palatino Linotype" w:hAnsi="Palatino Linotype" w:eastAsia="Palatino Linotype" w:cs="Times New Roman"/>
          <w:kern w:val="0"/>
          <w14:ligatures w14:val="none"/>
        </w:rPr>
        <w:t xml:space="preserve"> once operational</w:t>
      </w:r>
      <w:r w:rsidR="00C16BF1">
        <w:rPr>
          <w:rFonts w:ascii="Palatino Linotype" w:hAnsi="Palatino Linotype" w:eastAsia="Palatino Linotype" w:cs="Times New Roman"/>
          <w:kern w:val="0"/>
          <w14:ligatures w14:val="none"/>
        </w:rPr>
        <w:t xml:space="preserve">, </w:t>
      </w:r>
      <w:r w:rsidR="008A2B7D">
        <w:rPr>
          <w:rFonts w:ascii="Palatino Linotype" w:hAnsi="Palatino Linotype" w:eastAsia="Palatino Linotype" w:cs="Times New Roman"/>
          <w:kern w:val="0"/>
          <w14:ligatures w14:val="none"/>
        </w:rPr>
        <w:t xml:space="preserve">with that amount </w:t>
      </w:r>
      <w:r w:rsidR="00F36178">
        <w:rPr>
          <w:rFonts w:ascii="Palatino Linotype" w:hAnsi="Palatino Linotype" w:eastAsia="Palatino Linotype" w:cs="Times New Roman"/>
          <w:kern w:val="0"/>
          <w14:ligatures w14:val="none"/>
        </w:rPr>
        <w:t xml:space="preserve">slowly </w:t>
      </w:r>
      <w:r w:rsidR="00C16BF1">
        <w:rPr>
          <w:rFonts w:ascii="Palatino Linotype" w:hAnsi="Palatino Linotype" w:eastAsia="Palatino Linotype" w:cs="Times New Roman"/>
          <w:kern w:val="0"/>
          <w14:ligatures w14:val="none"/>
        </w:rPr>
        <w:t xml:space="preserve">decreasing </w:t>
      </w:r>
      <w:r w:rsidR="00F36178">
        <w:rPr>
          <w:rFonts w:ascii="Palatino Linotype" w:hAnsi="Palatino Linotype" w:eastAsia="Palatino Linotype" w:cs="Times New Roman"/>
          <w:kern w:val="0"/>
          <w14:ligatures w14:val="none"/>
        </w:rPr>
        <w:t xml:space="preserve">year by year </w:t>
      </w:r>
      <w:r w:rsidR="00C16BF1">
        <w:rPr>
          <w:rFonts w:ascii="Palatino Linotype" w:hAnsi="Palatino Linotype" w:eastAsia="Palatino Linotype" w:cs="Times New Roman"/>
          <w:kern w:val="0"/>
          <w14:ligatures w14:val="none"/>
        </w:rPr>
        <w:t xml:space="preserve">to about $40 million </w:t>
      </w:r>
      <w:r w:rsidR="003E36BD">
        <w:rPr>
          <w:rFonts w:ascii="Palatino Linotype" w:hAnsi="Palatino Linotype" w:eastAsia="Palatino Linotype" w:cs="Times New Roman"/>
          <w:kern w:val="0"/>
          <w14:ligatures w14:val="none"/>
        </w:rPr>
        <w:t>by</w:t>
      </w:r>
      <w:r w:rsidR="00F36178">
        <w:rPr>
          <w:rFonts w:ascii="Palatino Linotype" w:hAnsi="Palatino Linotype" w:eastAsia="Palatino Linotype" w:cs="Times New Roman"/>
          <w:kern w:val="0"/>
          <w14:ligatures w14:val="none"/>
        </w:rPr>
        <w:t xml:space="preserve"> the year 2070.</w:t>
      </w:r>
      <w:r w:rsidR="00321D8C">
        <w:rPr>
          <w:rStyle w:val="FootnoteReference"/>
          <w:rFonts w:ascii="Palatino Linotype" w:hAnsi="Palatino Linotype" w:eastAsia="Palatino Linotype" w:cs="Times New Roman"/>
          <w:kern w:val="0"/>
          <w14:ligatures w14:val="none"/>
        </w:rPr>
        <w:footnoteReference w:id="8"/>
      </w:r>
      <w:r w:rsidR="00F36178">
        <w:rPr>
          <w:rFonts w:ascii="Palatino Linotype" w:hAnsi="Palatino Linotype" w:eastAsia="Palatino Linotype" w:cs="Times New Roman"/>
          <w:kern w:val="0"/>
          <w14:ligatures w14:val="none"/>
        </w:rPr>
        <w:t xml:space="preserve"> </w:t>
      </w:r>
      <w:r w:rsidR="000479D9">
        <w:rPr>
          <w:rFonts w:ascii="Palatino Linotype" w:hAnsi="Palatino Linotype" w:eastAsia="Palatino Linotype" w:cs="Times New Roman"/>
          <w:kern w:val="0"/>
          <w14:ligatures w14:val="none"/>
        </w:rPr>
        <w:t xml:space="preserve">These </w:t>
      </w:r>
      <w:r w:rsidR="00B722E8">
        <w:rPr>
          <w:rFonts w:ascii="Palatino Linotype" w:hAnsi="Palatino Linotype" w:eastAsia="Palatino Linotype" w:cs="Times New Roman"/>
          <w:kern w:val="0"/>
          <w14:ligatures w14:val="none"/>
        </w:rPr>
        <w:t>revenue requirement</w:t>
      </w:r>
      <w:r w:rsidR="000479D9">
        <w:rPr>
          <w:rFonts w:ascii="Palatino Linotype" w:hAnsi="Palatino Linotype" w:eastAsia="Palatino Linotype" w:cs="Times New Roman"/>
          <w:kern w:val="0"/>
          <w14:ligatures w14:val="none"/>
        </w:rPr>
        <w:t xml:space="preserve"> caps have already been approved by FERC, a</w:t>
      </w:r>
      <w:r w:rsidR="00453E25">
        <w:rPr>
          <w:rFonts w:ascii="Palatino Linotype" w:hAnsi="Palatino Linotype" w:eastAsia="Palatino Linotype" w:cs="Times New Roman"/>
          <w:kern w:val="0"/>
          <w14:ligatures w14:val="none"/>
        </w:rPr>
        <w:t>cc</w:t>
      </w:r>
      <w:r w:rsidR="00065170">
        <w:rPr>
          <w:rFonts w:ascii="Palatino Linotype" w:hAnsi="Palatino Linotype" w:eastAsia="Palatino Linotype" w:cs="Times New Roman"/>
          <w:kern w:val="0"/>
          <w14:ligatures w14:val="none"/>
        </w:rPr>
        <w:t>ording to D</w:t>
      </w:r>
      <w:r w:rsidR="006860F0">
        <w:rPr>
          <w:rFonts w:ascii="Palatino Linotype" w:hAnsi="Palatino Linotype" w:eastAsia="Palatino Linotype" w:cs="Times New Roman"/>
          <w:kern w:val="0"/>
          <w14:ligatures w14:val="none"/>
        </w:rPr>
        <w:t xml:space="preserve">. </w:t>
      </w:r>
      <w:r w:rsidRPr="00065170" w:rsidR="00065170">
        <w:rPr>
          <w:rFonts w:ascii="Palatino Linotype" w:hAnsi="Palatino Linotype" w:eastAsia="Palatino Linotype" w:cs="Times New Roman"/>
          <w:kern w:val="0"/>
          <w14:ligatures w14:val="none"/>
        </w:rPr>
        <w:t>26</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03</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043</w:t>
      </w:r>
      <w:r w:rsidR="006860F0">
        <w:rPr>
          <w:rFonts w:ascii="Palatino Linotype" w:hAnsi="Palatino Linotype" w:eastAsia="Palatino Linotype" w:cs="Times New Roman"/>
          <w:kern w:val="0"/>
          <w14:ligatures w14:val="none"/>
        </w:rPr>
        <w:t>, which approved the Certificate of Public Convenience and Necessity</w:t>
      </w:r>
      <w:r w:rsidR="00292EEF">
        <w:rPr>
          <w:rFonts w:ascii="Palatino Linotype" w:hAnsi="Palatino Linotype" w:eastAsia="Palatino Linotype" w:cs="Times New Roman"/>
          <w:kern w:val="0"/>
          <w14:ligatures w14:val="none"/>
        </w:rPr>
        <w:t xml:space="preserve"> (CPCN)</w:t>
      </w:r>
      <w:r w:rsidR="006860F0">
        <w:rPr>
          <w:rFonts w:ascii="Palatino Linotype" w:hAnsi="Palatino Linotype" w:eastAsia="Palatino Linotype" w:cs="Times New Roman"/>
          <w:kern w:val="0"/>
          <w14:ligatures w14:val="none"/>
        </w:rPr>
        <w:t xml:space="preserve"> for the </w:t>
      </w:r>
      <w:r w:rsidR="000479D9">
        <w:rPr>
          <w:rFonts w:ascii="Palatino Linotype" w:hAnsi="Palatino Linotype" w:eastAsia="Palatino Linotype" w:cs="Times New Roman"/>
          <w:kern w:val="0"/>
          <w14:ligatures w14:val="none"/>
        </w:rPr>
        <w:t xml:space="preserve">Newark-NRS </w:t>
      </w:r>
      <w:r w:rsidR="006860F0">
        <w:rPr>
          <w:rFonts w:ascii="Palatino Linotype" w:hAnsi="Palatino Linotype" w:eastAsia="Palatino Linotype" w:cs="Times New Roman"/>
          <w:kern w:val="0"/>
          <w14:ligatures w14:val="none"/>
        </w:rPr>
        <w:t>project</w:t>
      </w:r>
      <w:r w:rsidR="001A5308">
        <w:rPr>
          <w:rFonts w:ascii="Palatino Linotype" w:hAnsi="Palatino Linotype" w:eastAsia="Palatino Linotype" w:cs="Times New Roman"/>
          <w:kern w:val="0"/>
          <w14:ligatures w14:val="none"/>
        </w:rPr>
        <w:t xml:space="preserve"> in March</w:t>
      </w:r>
      <w:r w:rsidR="00B929F4">
        <w:rPr>
          <w:rFonts w:ascii="Palatino Linotype" w:hAnsi="Palatino Linotype" w:eastAsia="Palatino Linotype" w:cs="Times New Roman"/>
          <w:kern w:val="0"/>
          <w14:ligatures w14:val="none"/>
        </w:rPr>
        <w:t>. That decision also capped the</w:t>
      </w:r>
      <w:r w:rsidR="002D127C">
        <w:rPr>
          <w:rFonts w:ascii="Palatino Linotype" w:hAnsi="Palatino Linotype" w:eastAsia="Palatino Linotype" w:cs="Times New Roman"/>
          <w:kern w:val="0"/>
          <w14:ligatures w14:val="none"/>
        </w:rPr>
        <w:t xml:space="preserve"> total cost for LS Power’s portion of the project at $813 million.</w:t>
      </w:r>
      <w:r w:rsidR="00C37C6C">
        <w:rPr>
          <w:rStyle w:val="FootnoteReference"/>
          <w:rFonts w:ascii="Palatino Linotype" w:hAnsi="Palatino Linotype" w:eastAsia="Palatino Linotype" w:cs="Times New Roman"/>
          <w:kern w:val="0"/>
          <w14:ligatures w14:val="none"/>
        </w:rPr>
        <w:footnoteReference w:id="9"/>
      </w:r>
      <w:r w:rsidR="00292EEF">
        <w:rPr>
          <w:rFonts w:ascii="Palatino Linotype" w:hAnsi="Palatino Linotype" w:eastAsia="Palatino Linotype" w:cs="Times New Roman"/>
          <w:kern w:val="0"/>
          <w14:ligatures w14:val="none"/>
        </w:rPr>
        <w:t xml:space="preserve"> In short, </w:t>
      </w:r>
      <w:r w:rsidR="00AC00F2">
        <w:rPr>
          <w:rFonts w:ascii="Palatino Linotype" w:hAnsi="Palatino Linotype" w:eastAsia="Palatino Linotype" w:cs="Times New Roman"/>
          <w:kern w:val="0"/>
          <w14:ligatures w14:val="none"/>
        </w:rPr>
        <w:t>the new Newark-NRS transmission line, which the proposed Google facility directly connects to and depends on, will have significant costs for ratepayers across the state.</w:t>
      </w:r>
      <w:r w:rsidR="003B2E27">
        <w:rPr>
          <w:rFonts w:ascii="Palatino Linotype" w:hAnsi="Palatino Linotype" w:eastAsia="Palatino Linotype" w:cs="Times New Roman"/>
          <w:kern w:val="0"/>
          <w14:ligatures w14:val="none"/>
        </w:rPr>
        <w:t xml:space="preserve"> </w:t>
      </w:r>
      <w:r w:rsidR="00281AA5">
        <w:rPr>
          <w:rFonts w:ascii="Palatino Linotype" w:hAnsi="Palatino Linotype" w:eastAsia="Palatino Linotype" w:cs="Times New Roman"/>
          <w:kern w:val="0"/>
          <w14:ligatures w14:val="none"/>
        </w:rPr>
        <w:t>In addition,</w:t>
      </w:r>
      <w:r w:rsidR="007A43D2">
        <w:rPr>
          <w:rFonts w:ascii="Palatino Linotype" w:hAnsi="Palatino Linotype" w:eastAsia="Palatino Linotype" w:cs="Times New Roman"/>
          <w:kern w:val="0"/>
          <w14:ligatures w14:val="none"/>
        </w:rPr>
        <w:t xml:space="preserve"> </w:t>
      </w:r>
      <w:r w:rsidR="00696095">
        <w:rPr>
          <w:rFonts w:ascii="Palatino Linotype" w:hAnsi="Palatino Linotype" w:eastAsia="Palatino Linotype" w:cs="Times New Roman"/>
          <w:kern w:val="0"/>
          <w14:ligatures w14:val="none"/>
        </w:rPr>
        <w:t xml:space="preserve">Energy Division data requests confirmed that </w:t>
      </w:r>
      <w:r w:rsidR="007A43D2">
        <w:rPr>
          <w:rFonts w:ascii="Palatino Linotype" w:hAnsi="Palatino Linotype" w:eastAsia="Palatino Linotype" w:cs="Times New Roman"/>
          <w:kern w:val="0"/>
          <w14:ligatures w14:val="none"/>
        </w:rPr>
        <w:t xml:space="preserve">Google’s new 250 MW load depends on more than </w:t>
      </w:r>
      <w:r w:rsidR="001F1FC2">
        <w:rPr>
          <w:rFonts w:ascii="Palatino Linotype" w:hAnsi="Palatino Linotype" w:eastAsia="Palatino Linotype" w:cs="Times New Roman"/>
          <w:kern w:val="0"/>
          <w14:ligatures w14:val="none"/>
        </w:rPr>
        <w:t xml:space="preserve">10 </w:t>
      </w:r>
      <w:r w:rsidR="00696095">
        <w:rPr>
          <w:rFonts w:ascii="Palatino Linotype" w:hAnsi="Palatino Linotype" w:eastAsia="Palatino Linotype" w:cs="Times New Roman"/>
          <w:kern w:val="0"/>
          <w14:ligatures w14:val="none"/>
        </w:rPr>
        <w:t xml:space="preserve">other significant transmission upgrades in the South Bay region. </w:t>
      </w:r>
      <w:r w:rsidR="00281AA5">
        <w:rPr>
          <w:rFonts w:ascii="Palatino Linotype" w:hAnsi="Palatino Linotype" w:eastAsia="Palatino Linotype" w:cs="Times New Roman"/>
          <w:kern w:val="0"/>
          <w14:ligatures w14:val="none"/>
        </w:rPr>
        <w:t xml:space="preserve">Although the specific information </w:t>
      </w:r>
      <w:r w:rsidR="003E6366">
        <w:rPr>
          <w:rFonts w:ascii="Palatino Linotype" w:hAnsi="Palatino Linotype" w:eastAsia="Palatino Linotype" w:cs="Times New Roman"/>
          <w:kern w:val="0"/>
          <w14:ligatures w14:val="none"/>
        </w:rPr>
        <w:t xml:space="preserve">on these dependencies </w:t>
      </w:r>
      <w:r w:rsidR="00281AA5">
        <w:rPr>
          <w:rFonts w:ascii="Palatino Linotype" w:hAnsi="Palatino Linotype" w:eastAsia="Palatino Linotype" w:cs="Times New Roman"/>
          <w:kern w:val="0"/>
          <w14:ligatures w14:val="none"/>
        </w:rPr>
        <w:t xml:space="preserve">was provided confidentially, many of these projects are likely to cost hundreds of millions of dollars </w:t>
      </w:r>
      <w:r w:rsidR="003E6366">
        <w:rPr>
          <w:rFonts w:ascii="Palatino Linotype" w:hAnsi="Palatino Linotype" w:eastAsia="Palatino Linotype" w:cs="Times New Roman"/>
          <w:kern w:val="0"/>
          <w14:ligatures w14:val="none"/>
        </w:rPr>
        <w:t>like</w:t>
      </w:r>
      <w:r w:rsidR="00281AA5">
        <w:rPr>
          <w:rFonts w:ascii="Palatino Linotype" w:hAnsi="Palatino Linotype" w:eastAsia="Palatino Linotype" w:cs="Times New Roman"/>
          <w:kern w:val="0"/>
          <w14:ligatures w14:val="none"/>
        </w:rPr>
        <w:t xml:space="preserve"> the Newark-NRS line.</w:t>
      </w:r>
    </w:p>
    <w:p w:rsidR="00281AA5" w:rsidP="00B36B2C" w:rsidRDefault="00281AA5" w14:paraId="69C1FF94" w14:textId="77777777">
      <w:pPr>
        <w:spacing w:after="0" w:line="240" w:lineRule="auto"/>
        <w:contextualSpacing/>
        <w:rPr>
          <w:rFonts w:ascii="Palatino Linotype" w:hAnsi="Palatino Linotype" w:eastAsia="Palatino Linotype" w:cs="Times New Roman"/>
          <w:kern w:val="0"/>
          <w14:ligatures w14:val="none"/>
        </w:rPr>
      </w:pPr>
    </w:p>
    <w:p w:rsidR="003F6D71" w:rsidP="00B36B2C" w:rsidRDefault="009B4A8D" w14:paraId="573E15C5" w14:textId="4C244AFB">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PG&amp;E notes in its reply, the 250 MW Google facility</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is neither the sole cause nor the trigger for the</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construction of the Newark-NRS project.</w:t>
      </w:r>
      <w:r w:rsidR="00846CDD">
        <w:rPr>
          <w:rStyle w:val="FootnoteReference"/>
          <w:rFonts w:ascii="Palatino Linotype" w:hAnsi="Palatino Linotype" w:eastAsia="Palatino Linotype" w:cs="Times New Roman"/>
          <w:kern w:val="0"/>
          <w14:ligatures w14:val="none"/>
        </w:rPr>
        <w:footnoteReference w:id="10"/>
      </w:r>
      <w:r w:rsidR="00D13E5C">
        <w:rPr>
          <w:rFonts w:ascii="Palatino Linotype" w:hAnsi="Palatino Linotype" w:eastAsia="Palatino Linotype" w:cs="Times New Roman"/>
          <w:kern w:val="0"/>
          <w14:ligatures w14:val="none"/>
        </w:rPr>
        <w:t xml:space="preserve"> </w:t>
      </w:r>
      <w:r w:rsidR="0037369E">
        <w:rPr>
          <w:rFonts w:ascii="Palatino Linotype" w:hAnsi="Palatino Linotype" w:eastAsia="Palatino Linotype" w:cs="Times New Roman"/>
          <w:kern w:val="0"/>
          <w14:ligatures w14:val="none"/>
        </w:rPr>
        <w:t>PG&amp;E argues that “the LS Power upgrades are moving</w:t>
      </w:r>
      <w:r w:rsidR="003012ED">
        <w:rPr>
          <w:rFonts w:ascii="Palatino Linotype" w:hAnsi="Palatino Linotype" w:eastAsia="Palatino Linotype" w:cs="Times New Roman"/>
          <w:kern w:val="0"/>
          <w14:ligatures w14:val="none"/>
        </w:rPr>
        <w:t xml:space="preserve"> forward with or without the proposed Google facility”, </w:t>
      </w:r>
      <w:r w:rsidR="007C78D7">
        <w:rPr>
          <w:rFonts w:ascii="Palatino Linotype" w:hAnsi="Palatino Linotype" w:eastAsia="Palatino Linotype" w:cs="Times New Roman"/>
          <w:kern w:val="0"/>
          <w14:ligatures w14:val="none"/>
        </w:rPr>
        <w:t xml:space="preserve">the upgrades </w:t>
      </w:r>
      <w:r w:rsidR="003012ED">
        <w:rPr>
          <w:rFonts w:ascii="Palatino Linotype" w:hAnsi="Palatino Linotype" w:eastAsia="Palatino Linotype" w:cs="Times New Roman"/>
          <w:kern w:val="0"/>
          <w14:ligatures w14:val="none"/>
        </w:rPr>
        <w:t>“have already been identifie</w:t>
      </w:r>
      <w:r w:rsidR="00083496">
        <w:rPr>
          <w:rFonts w:ascii="Palatino Linotype" w:hAnsi="Palatino Linotype" w:eastAsia="Palatino Linotype" w:cs="Times New Roman"/>
          <w:kern w:val="0"/>
          <w14:ligatures w14:val="none"/>
        </w:rPr>
        <w:t xml:space="preserve">d as necessary transmission upgrades” in CAISO plans, and </w:t>
      </w:r>
      <w:r w:rsidR="003807E0">
        <w:rPr>
          <w:rFonts w:ascii="Palatino Linotype" w:hAnsi="Palatino Linotype" w:eastAsia="Palatino Linotype" w:cs="Times New Roman"/>
          <w:kern w:val="0"/>
          <w14:ligatures w14:val="none"/>
        </w:rPr>
        <w:t xml:space="preserve">“thousands of residential and commercial customers” in the region will </w:t>
      </w:r>
      <w:r w:rsidR="003807E0">
        <w:rPr>
          <w:rFonts w:ascii="Palatino Linotype" w:hAnsi="Palatino Linotype" w:eastAsia="Palatino Linotype" w:cs="Times New Roman"/>
          <w:kern w:val="0"/>
          <w14:ligatures w14:val="none"/>
        </w:rPr>
        <w:lastRenderedPageBreak/>
        <w:t>benefit from these upgrades.</w:t>
      </w:r>
      <w:r w:rsidR="007C78D7">
        <w:rPr>
          <w:rStyle w:val="FootnoteReference"/>
          <w:rFonts w:ascii="Palatino Linotype" w:hAnsi="Palatino Linotype" w:eastAsia="Palatino Linotype" w:cs="Times New Roman"/>
          <w:kern w:val="0"/>
          <w14:ligatures w14:val="none"/>
        </w:rPr>
        <w:footnoteReference w:id="11"/>
      </w:r>
      <w:r w:rsidR="003807E0">
        <w:rPr>
          <w:rFonts w:ascii="Palatino Linotype" w:hAnsi="Palatino Linotype" w:eastAsia="Palatino Linotype" w:cs="Times New Roman"/>
          <w:kern w:val="0"/>
          <w14:ligatures w14:val="none"/>
        </w:rPr>
        <w:t xml:space="preserve"> </w:t>
      </w:r>
      <w:r w:rsidR="007C78D7">
        <w:rPr>
          <w:rFonts w:ascii="Palatino Linotype" w:hAnsi="Palatino Linotype" w:eastAsia="Palatino Linotype" w:cs="Times New Roman"/>
          <w:kern w:val="0"/>
          <w14:ligatures w14:val="none"/>
        </w:rPr>
        <w:t xml:space="preserve">Finally, PG&amp;E argues that there </w:t>
      </w:r>
      <w:r w:rsidR="004F1711">
        <w:rPr>
          <w:rFonts w:ascii="Palatino Linotype" w:hAnsi="Palatino Linotype" w:eastAsia="Palatino Linotype" w:cs="Times New Roman"/>
          <w:kern w:val="0"/>
          <w14:ligatures w14:val="none"/>
        </w:rPr>
        <w:t>“is no basis for arguing that a portion of these upgrade costs should be assigned explicitly or implicitly to a single ratepayer, Google.”</w:t>
      </w:r>
      <w:r w:rsidR="004F1711">
        <w:rPr>
          <w:rStyle w:val="FootnoteReference"/>
          <w:rFonts w:ascii="Palatino Linotype" w:hAnsi="Palatino Linotype" w:eastAsia="Palatino Linotype" w:cs="Times New Roman"/>
          <w:kern w:val="0"/>
          <w14:ligatures w14:val="none"/>
        </w:rPr>
        <w:footnoteReference w:id="12"/>
      </w:r>
      <w:r w:rsidR="00336394">
        <w:rPr>
          <w:rFonts w:ascii="Palatino Linotype" w:hAnsi="Palatino Linotype" w:eastAsia="Palatino Linotype" w:cs="Times New Roman"/>
          <w:kern w:val="0"/>
          <w14:ligatures w14:val="none"/>
        </w:rPr>
        <w:t xml:space="preserve"> </w:t>
      </w:r>
    </w:p>
    <w:p w:rsidR="003F6D71" w:rsidP="00B36B2C" w:rsidRDefault="003F6D71" w14:paraId="32A63350" w14:textId="77777777">
      <w:pPr>
        <w:spacing w:after="0" w:line="240" w:lineRule="auto"/>
        <w:contextualSpacing/>
        <w:rPr>
          <w:rFonts w:ascii="Palatino Linotype" w:hAnsi="Palatino Linotype" w:eastAsia="Palatino Linotype" w:cs="Times New Roman"/>
          <w:kern w:val="0"/>
          <w14:ligatures w14:val="none"/>
        </w:rPr>
      </w:pPr>
    </w:p>
    <w:p w:rsidR="00D82B87" w:rsidP="00B36B2C" w:rsidRDefault="0070304F" w14:paraId="7E0DBBD4" w14:textId="42CD7EB9">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However, w</w:t>
      </w:r>
      <w:r w:rsidRPr="00B36B2C">
        <w:rPr>
          <w:rFonts w:ascii="Palatino Linotype" w:hAnsi="Palatino Linotype" w:eastAsia="Palatino Linotype" w:cs="Times New Roman"/>
          <w:kern w:val="0"/>
          <w14:ligatures w14:val="none"/>
        </w:rPr>
        <w:t>e need not resolve causation or planning attribution</w:t>
      </w:r>
      <w:r>
        <w:rPr>
          <w:rFonts w:ascii="Palatino Linotype" w:hAnsi="Palatino Linotype" w:eastAsia="Palatino Linotype" w:cs="Times New Roman"/>
          <w:kern w:val="0"/>
          <w14:ligatures w14:val="none"/>
        </w:rPr>
        <w:t xml:space="preserve"> for this specific project</w:t>
      </w:r>
      <w:r w:rsidRPr="00B36B2C">
        <w:rPr>
          <w:rFonts w:ascii="Palatino Linotype" w:hAnsi="Palatino Linotype" w:eastAsia="Palatino Linotype" w:cs="Times New Roman"/>
          <w:kern w:val="0"/>
          <w14:ligatures w14:val="none"/>
        </w:rPr>
        <w:t xml:space="preserve"> to determine that additional </w:t>
      </w:r>
      <w:r w:rsidR="00634262">
        <w:rPr>
          <w:rFonts w:ascii="Palatino Linotype" w:hAnsi="Palatino Linotype" w:eastAsia="Palatino Linotype" w:cs="Times New Roman"/>
          <w:kern w:val="0"/>
          <w14:ligatures w14:val="none"/>
        </w:rPr>
        <w:t>ratepayer</w:t>
      </w:r>
      <w:r w:rsidRPr="00B36B2C">
        <w:rPr>
          <w:rFonts w:ascii="Palatino Linotype" w:hAnsi="Palatino Linotype" w:eastAsia="Palatino Linotype" w:cs="Times New Roman"/>
          <w:kern w:val="0"/>
          <w14:ligatures w14:val="none"/>
        </w:rPr>
        <w:t xml:space="preserve"> protection is reasonable here. </w:t>
      </w:r>
      <w:r w:rsidR="00425FB0">
        <w:rPr>
          <w:rFonts w:ascii="Palatino Linotype" w:hAnsi="Palatino Linotype" w:eastAsia="Palatino Linotype" w:cs="Times New Roman"/>
          <w:kern w:val="0"/>
          <w14:ligatures w14:val="none"/>
        </w:rPr>
        <w:t>T</w:t>
      </w:r>
      <w:r w:rsidRPr="00B36B2C">
        <w:rPr>
          <w:rFonts w:ascii="Palatino Linotype" w:hAnsi="Palatino Linotype" w:eastAsia="Palatino Linotype" w:cs="Times New Roman"/>
          <w:kern w:val="0"/>
          <w14:ligatures w14:val="none"/>
        </w:rPr>
        <w:t xml:space="preserve">he </w:t>
      </w:r>
      <w:r>
        <w:rPr>
          <w:rFonts w:ascii="Palatino Linotype" w:hAnsi="Palatino Linotype" w:eastAsia="Palatino Linotype" w:cs="Times New Roman"/>
          <w:kern w:val="0"/>
          <w14:ligatures w14:val="none"/>
        </w:rPr>
        <w:t>Advice Letter, protests and reply establish</w:t>
      </w:r>
      <w:r w:rsidRPr="00B36B2C">
        <w:rPr>
          <w:rFonts w:ascii="Palatino Linotype" w:hAnsi="Palatino Linotype" w:eastAsia="Palatino Linotype" w:cs="Times New Roman"/>
          <w:kern w:val="0"/>
          <w14:ligatures w14:val="none"/>
        </w:rPr>
        <w:t xml:space="preserve"> that this is a </w:t>
      </w:r>
      <w:r>
        <w:rPr>
          <w:rFonts w:ascii="Palatino Linotype" w:hAnsi="Palatino Linotype" w:eastAsia="Palatino Linotype" w:cs="Times New Roman"/>
          <w:kern w:val="0"/>
          <w14:ligatures w14:val="none"/>
        </w:rPr>
        <w:t>250 MW</w:t>
      </w:r>
      <w:r w:rsidRPr="00B36B2C">
        <w:rPr>
          <w:rFonts w:ascii="Palatino Linotype" w:hAnsi="Palatino Linotype" w:eastAsia="Palatino Linotype" w:cs="Times New Roman"/>
          <w:kern w:val="0"/>
          <w14:ligatures w14:val="none"/>
        </w:rPr>
        <w:t xml:space="preserve"> transmission-level load </w:t>
      </w:r>
      <w:r>
        <w:rPr>
          <w:rFonts w:ascii="Palatino Linotype" w:hAnsi="Palatino Linotype" w:eastAsia="Palatino Linotype" w:cs="Times New Roman"/>
          <w:kern w:val="0"/>
          <w14:ligatures w14:val="none"/>
        </w:rPr>
        <w:t>connecting to that new line, and as such represents a significant portion of that new line’s total capacity.</w:t>
      </w:r>
      <w:r w:rsidR="00F17055">
        <w:rPr>
          <w:rFonts w:ascii="Palatino Linotype" w:hAnsi="Palatino Linotype" w:eastAsia="Palatino Linotype" w:cs="Times New Roman"/>
          <w:kern w:val="0"/>
          <w14:ligatures w14:val="none"/>
        </w:rPr>
        <w:t xml:space="preserve"> PG&amp;E </w:t>
      </w:r>
      <w:r w:rsidR="000D79F5">
        <w:rPr>
          <w:rFonts w:ascii="Palatino Linotype" w:hAnsi="Palatino Linotype" w:eastAsia="Palatino Linotype" w:cs="Times New Roman"/>
          <w:kern w:val="0"/>
          <w14:ligatures w14:val="none"/>
        </w:rPr>
        <w:t>has confirmed</w:t>
      </w:r>
      <w:r w:rsidR="00F17055">
        <w:rPr>
          <w:rFonts w:ascii="Palatino Linotype" w:hAnsi="Palatino Linotype" w:eastAsia="Palatino Linotype" w:cs="Times New Roman"/>
          <w:kern w:val="0"/>
          <w14:ligatures w14:val="none"/>
        </w:rPr>
        <w:t xml:space="preserve"> that the new 250 MW Google facility depends on the Newark-NRS project and other regional transmission upgrades.</w:t>
      </w:r>
      <w:r>
        <w:rPr>
          <w:rFonts w:ascii="Palatino Linotype" w:hAnsi="Palatino Linotype" w:eastAsia="Palatino Linotype" w:cs="Times New Roman"/>
          <w:kern w:val="0"/>
          <w14:ligatures w14:val="none"/>
        </w:rPr>
        <w:t xml:space="preserve"> In addition</w:t>
      </w:r>
      <w:r w:rsidR="00555CBA">
        <w:rPr>
          <w:rFonts w:ascii="Palatino Linotype" w:hAnsi="Palatino Linotype" w:eastAsia="Palatino Linotype" w:cs="Times New Roman"/>
          <w:kern w:val="0"/>
          <w14:ligatures w14:val="none"/>
        </w:rPr>
        <w:t xml:space="preserve">, when CAISO approved modifications to the Newark-NRS project in </w:t>
      </w:r>
      <w:r w:rsidR="00E03DE3">
        <w:rPr>
          <w:rFonts w:ascii="Palatino Linotype" w:hAnsi="Palatino Linotype" w:eastAsia="Palatino Linotype" w:cs="Times New Roman"/>
          <w:kern w:val="0"/>
          <w14:ligatures w14:val="none"/>
        </w:rPr>
        <w:t xml:space="preserve">November of 2024, doubling the expected capacity of the </w:t>
      </w:r>
      <w:r w:rsidR="00F17055">
        <w:rPr>
          <w:rFonts w:ascii="Palatino Linotype" w:hAnsi="Palatino Linotype" w:eastAsia="Palatino Linotype" w:cs="Times New Roman"/>
          <w:kern w:val="0"/>
          <w14:ligatures w14:val="none"/>
        </w:rPr>
        <w:t>project</w:t>
      </w:r>
      <w:r w:rsidR="00E03DE3">
        <w:rPr>
          <w:rFonts w:ascii="Palatino Linotype" w:hAnsi="Palatino Linotype" w:eastAsia="Palatino Linotype" w:cs="Times New Roman"/>
          <w:kern w:val="0"/>
          <w14:ligatures w14:val="none"/>
        </w:rPr>
        <w:t xml:space="preserve">, it provided the following </w:t>
      </w:r>
      <w:r w:rsidR="00E215C4">
        <w:rPr>
          <w:rFonts w:ascii="Palatino Linotype" w:hAnsi="Palatino Linotype" w:eastAsia="Palatino Linotype" w:cs="Times New Roman"/>
          <w:kern w:val="0"/>
          <w14:ligatures w14:val="none"/>
        </w:rPr>
        <w:t>reasoning:</w:t>
      </w:r>
    </w:p>
    <w:p w:rsidR="007D78E5" w:rsidP="007059B2" w:rsidRDefault="00E215C4" w14:paraId="319459E4" w14:textId="2DFF1798">
      <w:pPr>
        <w:spacing w:after="0" w:line="240" w:lineRule="auto"/>
        <w:ind w:left="720" w:right="720"/>
        <w:contextualSpacing/>
        <w:rPr>
          <w:rFonts w:ascii="Palatino Linotype" w:hAnsi="Palatino Linotype" w:eastAsia="Palatino Linotype" w:cs="Times New Roman"/>
          <w:kern w:val="0"/>
          <w14:ligatures w14:val="none"/>
        </w:rPr>
      </w:pPr>
      <w:r w:rsidRPr="00E215C4">
        <w:rPr>
          <w:rFonts w:ascii="Palatino Linotype" w:hAnsi="Palatino Linotype" w:eastAsia="Palatino Linotype" w:cs="Times New Roman"/>
          <w:kern w:val="0"/>
          <w14:ligatures w14:val="none"/>
        </w:rPr>
        <w:t xml:space="preserve">Mostly driven by the datacenter load, the </w:t>
      </w:r>
      <w:proofErr w:type="gramStart"/>
      <w:r w:rsidRPr="00E215C4">
        <w:rPr>
          <w:rFonts w:ascii="Palatino Linotype" w:hAnsi="Palatino Linotype" w:eastAsia="Palatino Linotype" w:cs="Times New Roman"/>
          <w:kern w:val="0"/>
          <w14:ligatures w14:val="none"/>
        </w:rPr>
        <w:t>long term</w:t>
      </w:r>
      <w:proofErr w:type="gramEnd"/>
      <w:r w:rsidRPr="00E215C4">
        <w:rPr>
          <w:rFonts w:ascii="Palatino Linotype" w:hAnsi="Palatino Linotype" w:eastAsia="Palatino Linotype" w:cs="Times New Roman"/>
          <w:kern w:val="0"/>
          <w14:ligatures w14:val="none"/>
        </w:rPr>
        <w:t xml:space="preserve"> load forecast in the San Jose area has increased from 2,100 MW in the 2021-2022 Transmission Plan to around 3,400 MW in the base scenario and around 4,200 MW in the sensitivity scenario in the current 2024-2025 transmission planning studies</w:t>
      </w:r>
      <w:r w:rsidR="00A613C2">
        <w:rPr>
          <w:rFonts w:ascii="Palatino Linotype" w:hAnsi="Palatino Linotype" w:eastAsia="Palatino Linotype" w:cs="Times New Roman"/>
          <w:kern w:val="0"/>
          <w14:ligatures w14:val="none"/>
        </w:rPr>
        <w:t>.</w:t>
      </w:r>
      <w:r w:rsidR="00A613C2">
        <w:rPr>
          <w:rStyle w:val="FootnoteReference"/>
          <w:rFonts w:ascii="Palatino Linotype" w:hAnsi="Palatino Linotype" w:eastAsia="Palatino Linotype" w:cs="Times New Roman"/>
          <w:kern w:val="0"/>
          <w14:ligatures w14:val="none"/>
        </w:rPr>
        <w:footnoteReference w:id="13"/>
      </w:r>
    </w:p>
    <w:p w:rsidR="00404243" w:rsidP="000562FB" w:rsidRDefault="007F2983" w14:paraId="300EBB76" w14:textId="50D6801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Note that the 250 MW Google facility represents about </w:t>
      </w:r>
      <w:r w:rsidR="00C75BA7">
        <w:rPr>
          <w:rFonts w:ascii="Palatino Linotype" w:hAnsi="Palatino Linotype" w:eastAsia="Palatino Linotype" w:cs="Times New Roman"/>
          <w:kern w:val="0"/>
          <w14:ligatures w14:val="none"/>
        </w:rPr>
        <w:t xml:space="preserve">20 percent </w:t>
      </w:r>
      <w:r w:rsidR="0091055A">
        <w:rPr>
          <w:rFonts w:ascii="Palatino Linotype" w:hAnsi="Palatino Linotype" w:eastAsia="Palatino Linotype" w:cs="Times New Roman"/>
          <w:kern w:val="0"/>
          <w14:ligatures w14:val="none"/>
        </w:rPr>
        <w:t>of</w:t>
      </w:r>
      <w:r w:rsidR="00C75BA7">
        <w:rPr>
          <w:rFonts w:ascii="Palatino Linotype" w:hAnsi="Palatino Linotype" w:eastAsia="Palatino Linotype" w:cs="Times New Roman"/>
          <w:kern w:val="0"/>
          <w14:ligatures w14:val="none"/>
        </w:rPr>
        <w:t xml:space="preserve"> this overall </w:t>
      </w:r>
      <w:r w:rsidR="0030610D">
        <w:rPr>
          <w:rFonts w:ascii="Palatino Linotype" w:hAnsi="Palatino Linotype" w:eastAsia="Palatino Linotype" w:cs="Times New Roman"/>
          <w:kern w:val="0"/>
          <w14:ligatures w14:val="none"/>
        </w:rPr>
        <w:br/>
      </w:r>
      <w:r w:rsidR="0091055A">
        <w:rPr>
          <w:rFonts w:ascii="Palatino Linotype" w:hAnsi="Palatino Linotype" w:eastAsia="Palatino Linotype" w:cs="Times New Roman"/>
          <w:kern w:val="0"/>
          <w14:ligatures w14:val="none"/>
        </w:rPr>
        <w:t xml:space="preserve">1300 MW in </w:t>
      </w:r>
      <w:r w:rsidR="00C75BA7">
        <w:rPr>
          <w:rFonts w:ascii="Palatino Linotype" w:hAnsi="Palatino Linotype" w:eastAsia="Palatino Linotype" w:cs="Times New Roman"/>
          <w:kern w:val="0"/>
          <w14:ligatures w14:val="none"/>
        </w:rPr>
        <w:t>load growth</w:t>
      </w:r>
      <w:r w:rsidR="00EC7CCE">
        <w:rPr>
          <w:rFonts w:ascii="Palatino Linotype" w:hAnsi="Palatino Linotype" w:eastAsia="Palatino Linotype" w:cs="Times New Roman"/>
          <w:kern w:val="0"/>
          <w14:ligatures w14:val="none"/>
        </w:rPr>
        <w:t xml:space="preserve"> in the San Jose area</w:t>
      </w:r>
      <w:r w:rsidR="0091055A">
        <w:rPr>
          <w:rFonts w:ascii="Palatino Linotype" w:hAnsi="Palatino Linotype" w:eastAsia="Palatino Linotype" w:cs="Times New Roman"/>
          <w:kern w:val="0"/>
          <w14:ligatures w14:val="none"/>
        </w:rPr>
        <w:t xml:space="preserve">. </w:t>
      </w:r>
      <w:r w:rsidR="002E37C5">
        <w:rPr>
          <w:rFonts w:ascii="Palatino Linotype" w:hAnsi="Palatino Linotype" w:eastAsia="Palatino Linotype" w:cs="Times New Roman"/>
          <w:kern w:val="0"/>
          <w14:ligatures w14:val="none"/>
        </w:rPr>
        <w:t xml:space="preserve">Given the record in this Advice Letter, we find it reasonable to </w:t>
      </w:r>
      <w:r w:rsidR="0055118C">
        <w:rPr>
          <w:rFonts w:ascii="Palatino Linotype" w:hAnsi="Palatino Linotype" w:eastAsia="Palatino Linotype" w:cs="Times New Roman"/>
          <w:kern w:val="0"/>
          <w14:ligatures w14:val="none"/>
        </w:rPr>
        <w:t xml:space="preserve">require </w:t>
      </w:r>
      <w:r w:rsidR="000F760D">
        <w:rPr>
          <w:rFonts w:ascii="Palatino Linotype" w:hAnsi="Palatino Linotype" w:eastAsia="Palatino Linotype" w:cs="Times New Roman"/>
          <w:kern w:val="0"/>
          <w14:ligatures w14:val="none"/>
        </w:rPr>
        <w:t>additional ratepayer protections, specifically</w:t>
      </w:r>
      <w:r w:rsidR="000562FB">
        <w:rPr>
          <w:rFonts w:ascii="Palatino Linotype" w:hAnsi="Palatino Linotype" w:eastAsia="Palatino Linotype" w:cs="Times New Roman"/>
          <w:kern w:val="0"/>
          <w14:ligatures w14:val="none"/>
        </w:rPr>
        <w:t xml:space="preserve"> an additional customer advance from </w:t>
      </w:r>
      <w:r w:rsidR="00BE2967">
        <w:rPr>
          <w:rFonts w:ascii="Palatino Linotype" w:hAnsi="Palatino Linotype" w:eastAsia="Palatino Linotype" w:cs="Times New Roman"/>
          <w:kern w:val="0"/>
          <w14:ligatures w14:val="none"/>
        </w:rPr>
        <w:t>Google</w:t>
      </w:r>
      <w:r w:rsidR="000562FB">
        <w:rPr>
          <w:rFonts w:ascii="Palatino Linotype" w:hAnsi="Palatino Linotype" w:eastAsia="Palatino Linotype" w:cs="Times New Roman"/>
          <w:kern w:val="0"/>
          <w14:ligatures w14:val="none"/>
        </w:rPr>
        <w:t xml:space="preserve"> related to the costs of transmission upgrades </w:t>
      </w:r>
      <w:r w:rsidR="00BE2967">
        <w:rPr>
          <w:rFonts w:ascii="Palatino Linotype" w:hAnsi="Palatino Linotype" w:eastAsia="Palatino Linotype" w:cs="Times New Roman"/>
          <w:kern w:val="0"/>
          <w14:ligatures w14:val="none"/>
        </w:rPr>
        <w:t>that Google</w:t>
      </w:r>
      <w:r w:rsidR="000562FB">
        <w:rPr>
          <w:rFonts w:ascii="Palatino Linotype" w:hAnsi="Palatino Linotype" w:eastAsia="Palatino Linotype" w:cs="Times New Roman"/>
          <w:kern w:val="0"/>
          <w14:ligatures w14:val="none"/>
        </w:rPr>
        <w:t xml:space="preserve"> depend</w:t>
      </w:r>
      <w:r w:rsidR="00BE2967">
        <w:rPr>
          <w:rFonts w:ascii="Palatino Linotype" w:hAnsi="Palatino Linotype" w:eastAsia="Palatino Linotype" w:cs="Times New Roman"/>
          <w:kern w:val="0"/>
          <w14:ligatures w14:val="none"/>
        </w:rPr>
        <w:t>s</w:t>
      </w:r>
      <w:r w:rsidR="000562FB">
        <w:rPr>
          <w:rFonts w:ascii="Palatino Linotype" w:hAnsi="Palatino Linotype" w:eastAsia="Palatino Linotype" w:cs="Times New Roman"/>
          <w:kern w:val="0"/>
          <w14:ligatures w14:val="none"/>
        </w:rPr>
        <w:t xml:space="preserve"> on for </w:t>
      </w:r>
      <w:r w:rsidR="00BE2967">
        <w:rPr>
          <w:rFonts w:ascii="Palatino Linotype" w:hAnsi="Palatino Linotype" w:eastAsia="Palatino Linotype" w:cs="Times New Roman"/>
          <w:kern w:val="0"/>
          <w14:ligatures w14:val="none"/>
        </w:rPr>
        <w:t>its</w:t>
      </w:r>
      <w:r w:rsidR="000562FB">
        <w:rPr>
          <w:rFonts w:ascii="Palatino Linotype" w:hAnsi="Palatino Linotype" w:eastAsia="Palatino Linotype" w:cs="Times New Roman"/>
          <w:kern w:val="0"/>
          <w14:ligatures w14:val="none"/>
        </w:rPr>
        <w:t xml:space="preserve"> energization. </w:t>
      </w:r>
      <w:r w:rsidR="002214C8">
        <w:rPr>
          <w:rFonts w:ascii="Palatino Linotype" w:hAnsi="Palatino Linotype" w:eastAsia="Palatino Linotype" w:cs="Times New Roman"/>
          <w:kern w:val="0"/>
          <w14:ligatures w14:val="none"/>
        </w:rPr>
        <w:t>This</w:t>
      </w:r>
      <w:r w:rsidR="000562FB">
        <w:rPr>
          <w:rFonts w:ascii="Palatino Linotype" w:hAnsi="Palatino Linotype" w:eastAsia="Palatino Linotype" w:cs="Times New Roman"/>
          <w:kern w:val="0"/>
          <w14:ligatures w14:val="none"/>
        </w:rPr>
        <w:t xml:space="preserve"> additional capital advance could </w:t>
      </w:r>
      <w:r w:rsidR="00BC4B30">
        <w:rPr>
          <w:rFonts w:ascii="Palatino Linotype" w:hAnsi="Palatino Linotype" w:eastAsia="Palatino Linotype" w:cs="Times New Roman"/>
          <w:kern w:val="0"/>
          <w14:ligatures w14:val="none"/>
        </w:rPr>
        <w:t xml:space="preserve">later </w:t>
      </w:r>
      <w:r w:rsidR="000562FB">
        <w:rPr>
          <w:rFonts w:ascii="Palatino Linotype" w:hAnsi="Palatino Linotype" w:eastAsia="Palatino Linotype" w:cs="Times New Roman"/>
          <w:kern w:val="0"/>
          <w14:ligatures w14:val="none"/>
        </w:rPr>
        <w:t xml:space="preserve">be updated to correspond to </w:t>
      </w:r>
      <w:r w:rsidR="00940A0D">
        <w:rPr>
          <w:rFonts w:ascii="Palatino Linotype" w:hAnsi="Palatino Linotype" w:eastAsia="Palatino Linotype" w:cs="Times New Roman"/>
          <w:kern w:val="0"/>
          <w14:ligatures w14:val="none"/>
        </w:rPr>
        <w:t xml:space="preserve">the outcome in the </w:t>
      </w:r>
      <w:r w:rsidR="00345654">
        <w:rPr>
          <w:rFonts w:ascii="Palatino Linotype" w:hAnsi="Palatino Linotype" w:eastAsia="Palatino Linotype" w:cs="Times New Roman"/>
          <w:kern w:val="0"/>
          <w14:ligatures w14:val="none"/>
        </w:rPr>
        <w:t xml:space="preserve">Rule 30 </w:t>
      </w:r>
      <w:r w:rsidR="00BC4B30">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940A0D">
        <w:rPr>
          <w:rFonts w:ascii="Palatino Linotype" w:hAnsi="Palatino Linotype" w:eastAsia="Palatino Linotype" w:cs="Times New Roman"/>
          <w:kern w:val="0"/>
          <w14:ligatures w14:val="none"/>
        </w:rPr>
        <w:t xml:space="preserve">, A. 24-11-007. </w:t>
      </w:r>
    </w:p>
    <w:p w:rsidR="009E4BA2" w:rsidP="00194447" w:rsidRDefault="009E4BA2" w14:paraId="332123AD" w14:textId="77777777">
      <w:pPr>
        <w:spacing w:after="0" w:line="240" w:lineRule="auto"/>
        <w:contextualSpacing/>
        <w:rPr>
          <w:rFonts w:ascii="Palatino Linotype" w:hAnsi="Palatino Linotype" w:eastAsia="Palatino Linotype" w:cs="Times New Roman"/>
          <w:kern w:val="0"/>
          <w14:ligatures w14:val="none"/>
        </w:rPr>
      </w:pPr>
    </w:p>
    <w:p w:rsidR="009E4BA2" w:rsidP="005146AD" w:rsidRDefault="0059303D" w14:paraId="066C1719" w14:textId="7C2C603D">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protest,</w:t>
      </w:r>
      <w:r w:rsidR="009E4BA2">
        <w:rPr>
          <w:rFonts w:ascii="Palatino Linotype" w:hAnsi="Palatino Linotype" w:eastAsia="Palatino Linotype" w:cs="Times New Roman"/>
          <w:kern w:val="0"/>
          <w14:ligatures w14:val="none"/>
        </w:rPr>
        <w:t xml:space="preserve"> Cal Advocates does not explicitly argue for </w:t>
      </w:r>
      <w:r w:rsidR="00637A20">
        <w:rPr>
          <w:rFonts w:ascii="Palatino Linotype" w:hAnsi="Palatino Linotype" w:eastAsia="Palatino Linotype" w:cs="Times New Roman"/>
          <w:kern w:val="0"/>
          <w14:ligatures w14:val="none"/>
        </w:rPr>
        <w:t>this outcome</w:t>
      </w:r>
      <w:r w:rsidR="009E4BA2">
        <w:rPr>
          <w:rFonts w:ascii="Palatino Linotype" w:hAnsi="Palatino Linotype" w:eastAsia="Palatino Linotype" w:cs="Times New Roman"/>
          <w:kern w:val="0"/>
          <w14:ligatures w14:val="none"/>
        </w:rPr>
        <w:t xml:space="preserve">, </w:t>
      </w:r>
      <w:r w:rsidR="002408F0">
        <w:rPr>
          <w:rFonts w:ascii="Palatino Linotype" w:hAnsi="Palatino Linotype" w:eastAsia="Palatino Linotype" w:cs="Times New Roman"/>
          <w:kern w:val="0"/>
          <w14:ligatures w14:val="none"/>
        </w:rPr>
        <w:t xml:space="preserve">instead </w:t>
      </w:r>
      <w:r w:rsidR="008968F4">
        <w:rPr>
          <w:rFonts w:ascii="Palatino Linotype" w:hAnsi="Palatino Linotype" w:eastAsia="Palatino Linotype" w:cs="Times New Roman"/>
          <w:kern w:val="0"/>
          <w14:ligatures w14:val="none"/>
        </w:rPr>
        <w:t>arguing that the Commission should limit refunds to 75 percent of net revenues as it did in Resolution E-5420 and E-5439. As Cal Advocates notes, th</w:t>
      </w:r>
      <w:r w:rsidR="00CA22CA">
        <w:rPr>
          <w:rFonts w:ascii="Palatino Linotype" w:hAnsi="Palatino Linotype" w:eastAsia="Palatino Linotype" w:cs="Times New Roman"/>
          <w:kern w:val="0"/>
          <w14:ligatures w14:val="none"/>
        </w:rPr>
        <w:t xml:space="preserve">e modifications to the refund process “ensure that refunds are provided only to the extent that actual net revenues cover both the costs of energization and </w:t>
      </w:r>
      <w:r w:rsidRPr="00194447" w:rsidR="00CA22CA">
        <w:rPr>
          <w:rFonts w:ascii="Palatino Linotype" w:hAnsi="Palatino Linotype" w:eastAsia="Palatino Linotype" w:cs="Times New Roman"/>
          <w:i/>
          <w:iCs/>
          <w:kern w:val="0"/>
          <w14:ligatures w14:val="none"/>
        </w:rPr>
        <w:t>a portion of network upgrade costs</w:t>
      </w:r>
      <w:r w:rsidR="005972C2">
        <w:rPr>
          <w:rFonts w:ascii="Palatino Linotype" w:hAnsi="Palatino Linotype" w:eastAsia="Palatino Linotype" w:cs="Times New Roman"/>
          <w:kern w:val="0"/>
          <w14:ligatures w14:val="none"/>
        </w:rPr>
        <w:t>”</w:t>
      </w:r>
      <w:r w:rsidR="00804FC2">
        <w:rPr>
          <w:rFonts w:ascii="Palatino Linotype" w:hAnsi="Palatino Linotype" w:eastAsia="Palatino Linotype" w:cs="Times New Roman"/>
          <w:kern w:val="0"/>
          <w14:ligatures w14:val="none"/>
        </w:rPr>
        <w:t xml:space="preserve"> (emphasis added).</w:t>
      </w:r>
      <w:r w:rsidR="005972C2">
        <w:rPr>
          <w:rStyle w:val="FootnoteReference"/>
          <w:rFonts w:ascii="Palatino Linotype" w:hAnsi="Palatino Linotype" w:eastAsia="Palatino Linotype" w:cs="Times New Roman"/>
          <w:kern w:val="0"/>
          <w14:ligatures w14:val="none"/>
        </w:rPr>
        <w:footnoteReference w:id="14"/>
      </w:r>
      <w:r w:rsidR="005972C2">
        <w:rPr>
          <w:rFonts w:ascii="Palatino Linotype" w:hAnsi="Palatino Linotype" w:eastAsia="Palatino Linotype" w:cs="Times New Roman"/>
          <w:kern w:val="0"/>
          <w14:ligatures w14:val="none"/>
        </w:rPr>
        <w:t xml:space="preserve"> </w:t>
      </w:r>
      <w:r w:rsidR="009F0FB5">
        <w:rPr>
          <w:rFonts w:ascii="Palatino Linotype" w:hAnsi="Palatino Linotype" w:eastAsia="Palatino Linotype" w:cs="Times New Roman"/>
          <w:kern w:val="0"/>
          <w14:ligatures w14:val="none"/>
        </w:rPr>
        <w:t>The portion of network upgrade costs covered, however,</w:t>
      </w:r>
      <w:r w:rsidR="007658F7">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is always</w:t>
      </w:r>
      <w:r w:rsidR="009F0FB5">
        <w:rPr>
          <w:rFonts w:ascii="Palatino Linotype" w:hAnsi="Palatino Linotype" w:eastAsia="Palatino Linotype" w:cs="Times New Roman"/>
          <w:kern w:val="0"/>
          <w14:ligatures w14:val="none"/>
        </w:rPr>
        <w:t xml:space="preserve"> </w:t>
      </w:r>
      <w:r w:rsidRPr="00194447" w:rsidR="009F0FB5">
        <w:rPr>
          <w:rFonts w:ascii="Palatino Linotype" w:hAnsi="Palatino Linotype" w:eastAsia="Palatino Linotype" w:cs="Times New Roman"/>
          <w:i/>
          <w:iCs/>
          <w:kern w:val="0"/>
          <w14:ligatures w14:val="none"/>
        </w:rPr>
        <w:t xml:space="preserve">proportional </w:t>
      </w:r>
      <w:r w:rsidRPr="00194447" w:rsidR="009F0FB5">
        <w:rPr>
          <w:rFonts w:ascii="Palatino Linotype" w:hAnsi="Palatino Linotype" w:eastAsia="Palatino Linotype" w:cs="Times New Roman"/>
          <w:i/>
          <w:iCs/>
          <w:kern w:val="0"/>
          <w14:ligatures w14:val="none"/>
        </w:rPr>
        <w:lastRenderedPageBreak/>
        <w:t>to</w:t>
      </w:r>
      <w:r w:rsidR="009F0FB5">
        <w:rPr>
          <w:rFonts w:ascii="Palatino Linotype" w:hAnsi="Palatino Linotype" w:eastAsia="Palatino Linotype" w:cs="Times New Roman"/>
          <w:kern w:val="0"/>
          <w14:ligatures w14:val="none"/>
        </w:rPr>
        <w:t xml:space="preserve"> the </w:t>
      </w:r>
      <w:r w:rsidR="003E1B0B">
        <w:rPr>
          <w:rFonts w:ascii="Palatino Linotype" w:hAnsi="Palatino Linotype" w:eastAsia="Palatino Linotype" w:cs="Times New Roman"/>
          <w:kern w:val="0"/>
          <w14:ligatures w14:val="none"/>
        </w:rPr>
        <w:t xml:space="preserve">total </w:t>
      </w:r>
      <w:r w:rsidR="00A67BB5">
        <w:rPr>
          <w:rFonts w:ascii="Palatino Linotype" w:hAnsi="Palatino Linotype" w:eastAsia="Palatino Linotype" w:cs="Times New Roman"/>
          <w:kern w:val="0"/>
          <w14:ligatures w14:val="none"/>
        </w:rPr>
        <w:t>refund amoun</w:t>
      </w:r>
      <w:r w:rsidR="00DB3BED">
        <w:rPr>
          <w:rFonts w:ascii="Palatino Linotype" w:hAnsi="Palatino Linotype" w:eastAsia="Palatino Linotype" w:cs="Times New Roman"/>
          <w:kern w:val="0"/>
          <w14:ligatures w14:val="none"/>
        </w:rPr>
        <w:t>t</w:t>
      </w:r>
      <w:r w:rsidR="00A67BB5">
        <w:rPr>
          <w:rFonts w:ascii="Palatino Linotype" w:hAnsi="Palatino Linotype" w:eastAsia="Palatino Linotype" w:cs="Times New Roman"/>
          <w:kern w:val="0"/>
          <w14:ligatures w14:val="none"/>
        </w:rPr>
        <w:t>.</w:t>
      </w:r>
      <w:r w:rsidR="00DB3BED">
        <w:rPr>
          <w:rFonts w:ascii="Palatino Linotype" w:hAnsi="Palatino Linotype" w:eastAsia="Palatino Linotype" w:cs="Times New Roman"/>
          <w:kern w:val="0"/>
          <w14:ligatures w14:val="none"/>
        </w:rPr>
        <w:t xml:space="preserve"> The 75 percent limit </w:t>
      </w:r>
      <w:r w:rsidR="00BF378A">
        <w:rPr>
          <w:rFonts w:ascii="Palatino Linotype" w:hAnsi="Palatino Linotype" w:eastAsia="Palatino Linotype" w:cs="Times New Roman"/>
          <w:kern w:val="0"/>
          <w14:ligatures w14:val="none"/>
        </w:rPr>
        <w:t xml:space="preserve">slows the refund process for this total refund amount. </w:t>
      </w:r>
      <w:r w:rsidR="00425FB0">
        <w:rPr>
          <w:rFonts w:ascii="Palatino Linotype" w:hAnsi="Palatino Linotype" w:eastAsia="Palatino Linotype" w:cs="Times New Roman"/>
          <w:kern w:val="0"/>
          <w14:ligatures w14:val="none"/>
        </w:rPr>
        <w:t>I</w:t>
      </w:r>
      <w:r w:rsidR="00AB3A5A">
        <w:rPr>
          <w:rFonts w:ascii="Palatino Linotype" w:hAnsi="Palatino Linotype" w:eastAsia="Palatino Linotype" w:cs="Times New Roman"/>
          <w:kern w:val="0"/>
          <w14:ligatures w14:val="none"/>
        </w:rPr>
        <w:t xml:space="preserve">f that total </w:t>
      </w:r>
      <w:proofErr w:type="gramStart"/>
      <w:r w:rsidR="00AB3A5A">
        <w:rPr>
          <w:rFonts w:ascii="Palatino Linotype" w:hAnsi="Palatino Linotype" w:eastAsia="Palatino Linotype" w:cs="Times New Roman"/>
          <w:kern w:val="0"/>
          <w14:ligatures w14:val="none"/>
        </w:rPr>
        <w:t>refund amount</w:t>
      </w:r>
      <w:proofErr w:type="gramEnd"/>
      <w:r w:rsidR="00AB3A5A">
        <w:rPr>
          <w:rFonts w:ascii="Palatino Linotype" w:hAnsi="Palatino Linotype" w:eastAsia="Palatino Linotype" w:cs="Times New Roman"/>
          <w:kern w:val="0"/>
          <w14:ligatures w14:val="none"/>
        </w:rPr>
        <w:t xml:space="preserve"> is relatively low, the effect of the 75 percent limit </w:t>
      </w:r>
      <w:r w:rsidR="0046711C">
        <w:rPr>
          <w:rFonts w:ascii="Palatino Linotype" w:hAnsi="Palatino Linotype" w:eastAsia="Palatino Linotype" w:cs="Times New Roman"/>
          <w:kern w:val="0"/>
          <w14:ligatures w14:val="none"/>
        </w:rPr>
        <w:t xml:space="preserve">is also </w:t>
      </w:r>
      <w:r w:rsidR="00E532C1">
        <w:rPr>
          <w:rFonts w:ascii="Palatino Linotype" w:hAnsi="Palatino Linotype" w:eastAsia="Palatino Linotype" w:cs="Times New Roman"/>
          <w:kern w:val="0"/>
          <w14:ligatures w14:val="none"/>
        </w:rPr>
        <w:t>relatively low</w:t>
      </w:r>
      <w:r w:rsidR="0046711C">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 xml:space="preserve"> </w:t>
      </w:r>
      <w:r w:rsidR="00A67BB5">
        <w:rPr>
          <w:rFonts w:ascii="Palatino Linotype" w:hAnsi="Palatino Linotype" w:eastAsia="Palatino Linotype" w:cs="Times New Roman"/>
          <w:kern w:val="0"/>
          <w14:ligatures w14:val="none"/>
        </w:rPr>
        <w:t>In the</w:t>
      </w:r>
      <w:r>
        <w:rPr>
          <w:rFonts w:ascii="Palatino Linotype" w:hAnsi="Palatino Linotype" w:eastAsia="Palatino Linotype" w:cs="Times New Roman"/>
          <w:kern w:val="0"/>
          <w14:ligatures w14:val="none"/>
        </w:rPr>
        <w:t xml:space="preserve"> case considered here, the total refundable capital advance </w:t>
      </w:r>
      <w:r w:rsidR="00C451A6">
        <w:rPr>
          <w:rFonts w:ascii="Palatino Linotype" w:hAnsi="Palatino Linotype" w:eastAsia="Palatino Linotype" w:cs="Times New Roman"/>
          <w:kern w:val="0"/>
          <w14:ligatures w14:val="none"/>
        </w:rPr>
        <w:t>proposed in the Advice Letter is likely to be below $</w:t>
      </w:r>
      <w:r w:rsidR="006F61DE">
        <w:rPr>
          <w:rFonts w:ascii="Palatino Linotype" w:hAnsi="Palatino Linotype" w:eastAsia="Palatino Linotype" w:cs="Times New Roman"/>
          <w:kern w:val="0"/>
          <w14:ligatures w14:val="none"/>
        </w:rPr>
        <w:t>8</w:t>
      </w:r>
      <w:r w:rsidR="00C451A6">
        <w:rPr>
          <w:rFonts w:ascii="Palatino Linotype" w:hAnsi="Palatino Linotype" w:eastAsia="Palatino Linotype" w:cs="Times New Roman"/>
          <w:kern w:val="0"/>
          <w14:ligatures w14:val="none"/>
        </w:rPr>
        <w:t>0 million</w:t>
      </w:r>
      <w:r w:rsidR="008339E5">
        <w:rPr>
          <w:rFonts w:ascii="Palatino Linotype" w:hAnsi="Palatino Linotype" w:eastAsia="Palatino Linotype" w:cs="Times New Roman"/>
          <w:kern w:val="0"/>
          <w14:ligatures w14:val="none"/>
        </w:rPr>
        <w:t>, with the exact amount being confidential</w:t>
      </w:r>
      <w:r w:rsidR="003B2BA4">
        <w:rPr>
          <w:rFonts w:ascii="Palatino Linotype" w:hAnsi="Palatino Linotype" w:eastAsia="Palatino Linotype" w:cs="Times New Roman"/>
          <w:kern w:val="0"/>
          <w14:ligatures w14:val="none"/>
        </w:rPr>
        <w:t xml:space="preserve"> and dependent on actual costs</w:t>
      </w:r>
      <w:r w:rsidR="00C463C3">
        <w:rPr>
          <w:rFonts w:ascii="Palatino Linotype" w:hAnsi="Palatino Linotype" w:eastAsia="Palatino Linotype" w:cs="Times New Roman"/>
          <w:kern w:val="0"/>
          <w14:ligatures w14:val="none"/>
        </w:rPr>
        <w:t xml:space="preserve"> during construction</w:t>
      </w:r>
      <w:r w:rsidR="00C451A6">
        <w:rPr>
          <w:rFonts w:ascii="Palatino Linotype" w:hAnsi="Palatino Linotype" w:eastAsia="Palatino Linotype" w:cs="Times New Roman"/>
          <w:kern w:val="0"/>
          <w14:ligatures w14:val="none"/>
        </w:rPr>
        <w:t xml:space="preserve">. </w:t>
      </w:r>
      <w:r w:rsidR="008E2E80">
        <w:rPr>
          <w:rFonts w:ascii="Palatino Linotype" w:hAnsi="Palatino Linotype" w:eastAsia="Palatino Linotype" w:cs="Times New Roman"/>
          <w:kern w:val="0"/>
          <w14:ligatures w14:val="none"/>
        </w:rPr>
        <w:t>This is a relatively low amount compared to the 250 MW size of the load and the</w:t>
      </w:r>
      <w:r w:rsidR="00725434">
        <w:rPr>
          <w:rFonts w:ascii="Palatino Linotype" w:hAnsi="Palatino Linotype" w:eastAsia="Palatino Linotype" w:cs="Times New Roman"/>
          <w:kern w:val="0"/>
          <w14:ligatures w14:val="none"/>
        </w:rPr>
        <w:t xml:space="preserve"> cost of </w:t>
      </w:r>
      <w:r w:rsidR="00B0280E">
        <w:rPr>
          <w:rFonts w:ascii="Palatino Linotype" w:hAnsi="Palatino Linotype" w:eastAsia="Palatino Linotype" w:cs="Times New Roman"/>
          <w:kern w:val="0"/>
          <w14:ligatures w14:val="none"/>
        </w:rPr>
        <w:t>various transmission network upgrades the Google facility depends on.</w:t>
      </w:r>
      <w:r w:rsidR="00F046C7">
        <w:rPr>
          <w:rFonts w:ascii="Palatino Linotype" w:hAnsi="Palatino Linotype" w:eastAsia="Palatino Linotype" w:cs="Times New Roman"/>
          <w:kern w:val="0"/>
          <w14:ligatures w14:val="none"/>
        </w:rPr>
        <w:t xml:space="preserve"> </w:t>
      </w:r>
      <w:r w:rsidR="00EC7FD3">
        <w:rPr>
          <w:rFonts w:ascii="Palatino Linotype" w:hAnsi="Palatino Linotype" w:eastAsia="Palatino Linotype" w:cs="Times New Roman"/>
          <w:kern w:val="0"/>
          <w14:ligatures w14:val="none"/>
        </w:rPr>
        <w:t>B</w:t>
      </w:r>
      <w:r w:rsidR="00804FC2">
        <w:rPr>
          <w:rFonts w:ascii="Palatino Linotype" w:hAnsi="Palatino Linotype" w:eastAsia="Palatino Linotype" w:cs="Times New Roman"/>
          <w:kern w:val="0"/>
          <w14:ligatures w14:val="none"/>
        </w:rPr>
        <w:t xml:space="preserve">ecause </w:t>
      </w:r>
      <w:r w:rsidR="00C87375">
        <w:rPr>
          <w:rFonts w:ascii="Palatino Linotype" w:hAnsi="Palatino Linotype" w:eastAsia="Palatino Linotype" w:cs="Times New Roman"/>
          <w:kern w:val="0"/>
          <w14:ligatures w14:val="none"/>
        </w:rPr>
        <w:t>of th</w:t>
      </w:r>
      <w:r w:rsidR="000576A1">
        <w:rPr>
          <w:rFonts w:ascii="Palatino Linotype" w:hAnsi="Palatino Linotype" w:eastAsia="Palatino Linotype" w:cs="Times New Roman"/>
          <w:kern w:val="0"/>
          <w14:ligatures w14:val="none"/>
        </w:rPr>
        <w:t>e</w:t>
      </w:r>
      <w:r w:rsidR="00C87375">
        <w:rPr>
          <w:rFonts w:ascii="Palatino Linotype" w:hAnsi="Palatino Linotype" w:eastAsia="Palatino Linotype" w:cs="Times New Roman"/>
          <w:kern w:val="0"/>
          <w14:ligatures w14:val="none"/>
        </w:rPr>
        <w:t xml:space="preserve"> relatively low</w:t>
      </w:r>
      <w:r w:rsidR="00804FC2">
        <w:rPr>
          <w:rFonts w:ascii="Palatino Linotype" w:hAnsi="Palatino Linotype" w:eastAsia="Palatino Linotype" w:cs="Times New Roman"/>
          <w:kern w:val="0"/>
          <w14:ligatures w14:val="none"/>
        </w:rPr>
        <w:t xml:space="preserve"> initial </w:t>
      </w:r>
      <w:r w:rsidR="006F61DE">
        <w:rPr>
          <w:rFonts w:ascii="Palatino Linotype" w:hAnsi="Palatino Linotype" w:eastAsia="Palatino Linotype" w:cs="Times New Roman"/>
          <w:kern w:val="0"/>
          <w14:ligatures w14:val="none"/>
        </w:rPr>
        <w:t xml:space="preserve">refundable </w:t>
      </w:r>
      <w:r w:rsidR="00804FC2">
        <w:rPr>
          <w:rFonts w:ascii="Palatino Linotype" w:hAnsi="Palatino Linotype" w:eastAsia="Palatino Linotype" w:cs="Times New Roman"/>
          <w:kern w:val="0"/>
          <w14:ligatures w14:val="none"/>
        </w:rPr>
        <w:t xml:space="preserve">capital advance </w:t>
      </w:r>
      <w:r w:rsidR="003C63CC">
        <w:rPr>
          <w:rFonts w:ascii="Palatino Linotype" w:hAnsi="Palatino Linotype" w:eastAsia="Palatino Linotype" w:cs="Times New Roman"/>
          <w:kern w:val="0"/>
          <w14:ligatures w14:val="none"/>
        </w:rPr>
        <w:t>in this</w:t>
      </w:r>
      <w:r w:rsidR="000576A1">
        <w:rPr>
          <w:rFonts w:ascii="Palatino Linotype" w:hAnsi="Palatino Linotype" w:eastAsia="Palatino Linotype" w:cs="Times New Roman"/>
          <w:kern w:val="0"/>
          <w14:ligatures w14:val="none"/>
        </w:rPr>
        <w:t xml:space="preserve"> case</w:t>
      </w:r>
      <w:r w:rsidR="00172F1C">
        <w:rPr>
          <w:rFonts w:ascii="Palatino Linotype" w:hAnsi="Palatino Linotype" w:eastAsia="Palatino Linotype" w:cs="Times New Roman"/>
          <w:kern w:val="0"/>
          <w14:ligatures w14:val="none"/>
        </w:rPr>
        <w:t xml:space="preserve">, </w:t>
      </w:r>
      <w:r w:rsidR="006373F8">
        <w:rPr>
          <w:rFonts w:ascii="Palatino Linotype" w:hAnsi="Palatino Linotype" w:eastAsia="Palatino Linotype" w:cs="Times New Roman"/>
          <w:kern w:val="0"/>
          <w14:ligatures w14:val="none"/>
        </w:rPr>
        <w:t xml:space="preserve">the 75 percent refund limit does not adequately protect ratepayers from </w:t>
      </w:r>
      <w:r w:rsidR="00A82612">
        <w:rPr>
          <w:rFonts w:ascii="Palatino Linotype" w:hAnsi="Palatino Linotype" w:eastAsia="Palatino Linotype" w:cs="Times New Roman"/>
          <w:kern w:val="0"/>
          <w14:ligatures w14:val="none"/>
        </w:rPr>
        <w:t>the risk of stranded costs</w:t>
      </w:r>
      <w:r w:rsidR="00D97CF3">
        <w:rPr>
          <w:rFonts w:ascii="Palatino Linotype" w:hAnsi="Palatino Linotype" w:eastAsia="Palatino Linotype" w:cs="Times New Roman"/>
          <w:kern w:val="0"/>
          <w14:ligatures w14:val="none"/>
        </w:rPr>
        <w:t xml:space="preserve"> from network upgrades. </w:t>
      </w:r>
      <w:r w:rsidR="00EE7777">
        <w:rPr>
          <w:rFonts w:ascii="Palatino Linotype" w:hAnsi="Palatino Linotype" w:eastAsia="Palatino Linotype" w:cs="Times New Roman"/>
          <w:kern w:val="0"/>
          <w14:ligatures w14:val="none"/>
        </w:rPr>
        <w:t>Additional ratepayer protections are warranted</w:t>
      </w:r>
      <w:r w:rsidR="00C463C3">
        <w:rPr>
          <w:rFonts w:ascii="Palatino Linotype" w:hAnsi="Palatino Linotype" w:eastAsia="Palatino Linotype" w:cs="Times New Roman"/>
          <w:kern w:val="0"/>
          <w14:ligatures w14:val="none"/>
        </w:rPr>
        <w:t xml:space="preserve">. </w:t>
      </w:r>
      <w:r w:rsidR="00034C46">
        <w:rPr>
          <w:rFonts w:ascii="Palatino Linotype" w:hAnsi="Palatino Linotype" w:eastAsia="Palatino Linotype" w:cs="Times New Roman"/>
          <w:kern w:val="0"/>
          <w14:ligatures w14:val="none"/>
        </w:rPr>
        <w:t xml:space="preserve">In its Comments on the Draft Resolution, Cal Advocates </w:t>
      </w:r>
      <w:r w:rsidR="00D86452">
        <w:rPr>
          <w:rFonts w:ascii="Palatino Linotype" w:hAnsi="Palatino Linotype" w:eastAsia="Palatino Linotype" w:cs="Times New Roman"/>
          <w:kern w:val="0"/>
          <w14:ligatures w14:val="none"/>
        </w:rPr>
        <w:t>agrees with the argument here.</w:t>
      </w:r>
      <w:r w:rsidR="006D73B5">
        <w:rPr>
          <w:rStyle w:val="FootnoteReference"/>
          <w:rFonts w:ascii="Palatino Linotype" w:hAnsi="Palatino Linotype" w:eastAsia="Palatino Linotype" w:cs="Times New Roman"/>
          <w:kern w:val="0"/>
          <w14:ligatures w14:val="none"/>
        </w:rPr>
        <w:footnoteReference w:id="15"/>
      </w:r>
      <w:r w:rsidR="00D86452">
        <w:rPr>
          <w:rFonts w:ascii="Palatino Linotype" w:hAnsi="Palatino Linotype" w:eastAsia="Palatino Linotype" w:cs="Times New Roman"/>
          <w:kern w:val="0"/>
          <w14:ligatures w14:val="none"/>
        </w:rPr>
        <w:t xml:space="preserve"> </w:t>
      </w:r>
    </w:p>
    <w:p w:rsidR="00EE7777" w:rsidP="005146AD" w:rsidRDefault="00EE7777" w14:paraId="2F0739EB" w14:textId="77777777">
      <w:pPr>
        <w:spacing w:after="0" w:line="240" w:lineRule="auto"/>
        <w:contextualSpacing/>
        <w:rPr>
          <w:rFonts w:ascii="Palatino Linotype" w:hAnsi="Palatino Linotype" w:eastAsia="Palatino Linotype" w:cs="Times New Roman"/>
          <w:kern w:val="0"/>
          <w14:ligatures w14:val="none"/>
        </w:rPr>
      </w:pPr>
    </w:p>
    <w:p w:rsidR="00272D72" w:rsidP="005146AD" w:rsidRDefault="00C94E09" w14:paraId="256D0947" w14:textId="329DB5E2">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think it is needed, nor is it</w:t>
      </w:r>
      <w:r w:rsidR="00207726">
        <w:rPr>
          <w:rFonts w:ascii="Palatino Linotype" w:hAnsi="Palatino Linotype" w:eastAsia="Palatino Linotype" w:cs="Times New Roman"/>
          <w:kern w:val="0"/>
          <w14:ligatures w14:val="none"/>
        </w:rPr>
        <w:t xml:space="preserve"> reasonable</w:t>
      </w:r>
      <w:r>
        <w:rPr>
          <w:rFonts w:ascii="Palatino Linotype" w:hAnsi="Palatino Linotype" w:eastAsia="Palatino Linotype" w:cs="Times New Roman"/>
          <w:kern w:val="0"/>
          <w14:ligatures w14:val="none"/>
        </w:rPr>
        <w:t>,</w:t>
      </w:r>
      <w:r w:rsidR="00207726">
        <w:rPr>
          <w:rFonts w:ascii="Palatino Linotype" w:hAnsi="Palatino Linotype" w:eastAsia="Palatino Linotype" w:cs="Times New Roman"/>
          <w:kern w:val="0"/>
          <w14:ligatures w14:val="none"/>
        </w:rPr>
        <w:t xml:space="preserve"> to determine an exact method to account for </w:t>
      </w:r>
      <w:r w:rsidR="00BF0069">
        <w:rPr>
          <w:rFonts w:ascii="Palatino Linotype" w:hAnsi="Palatino Linotype" w:eastAsia="Palatino Linotype" w:cs="Times New Roman"/>
          <w:kern w:val="0"/>
          <w14:ligatures w14:val="none"/>
        </w:rPr>
        <w:t>these larger transmission network costs via a Commission Resolution in response to an exceptional case filing.</w:t>
      </w:r>
      <w:r w:rsidR="009563C3">
        <w:rPr>
          <w:rFonts w:ascii="Palatino Linotype" w:hAnsi="Palatino Linotype" w:eastAsia="Palatino Linotype" w:cs="Times New Roman"/>
          <w:kern w:val="0"/>
          <w14:ligatures w14:val="none"/>
        </w:rPr>
        <w:t xml:space="preserve"> As noted in the background section above, these issues are already being considered</w:t>
      </w:r>
      <w:r w:rsidR="006E1D58">
        <w:rPr>
          <w:rFonts w:ascii="Palatino Linotype" w:hAnsi="Palatino Linotype" w:eastAsia="Palatino Linotype" w:cs="Times New Roman"/>
          <w:kern w:val="0"/>
          <w14:ligatures w14:val="none"/>
        </w:rPr>
        <w:t xml:space="preserve"> more fully</w:t>
      </w:r>
      <w:r w:rsidR="009563C3">
        <w:rPr>
          <w:rFonts w:ascii="Palatino Linotype" w:hAnsi="Palatino Linotype" w:eastAsia="Palatino Linotype" w:cs="Times New Roman"/>
          <w:kern w:val="0"/>
          <w14:ligatures w14:val="none"/>
        </w:rPr>
        <w:t xml:space="preserve"> in a Commission proceeding, </w:t>
      </w:r>
      <w:r w:rsidR="0030610D">
        <w:rPr>
          <w:rFonts w:ascii="Palatino Linotype" w:hAnsi="Palatino Linotype" w:eastAsia="Palatino Linotype" w:cs="Times New Roman"/>
          <w:kern w:val="0"/>
          <w14:ligatures w14:val="none"/>
        </w:rPr>
        <w:br/>
      </w:r>
      <w:r w:rsidR="009563C3">
        <w:rPr>
          <w:rFonts w:ascii="Palatino Linotype" w:hAnsi="Palatino Linotype" w:eastAsia="Palatino Linotype" w:cs="Times New Roman"/>
          <w:kern w:val="0"/>
          <w14:ligatures w14:val="none"/>
        </w:rPr>
        <w:t xml:space="preserve">A. 24-11-007. </w:t>
      </w:r>
      <w:r w:rsidR="004E018B">
        <w:rPr>
          <w:rFonts w:ascii="Palatino Linotype" w:hAnsi="Palatino Linotype" w:eastAsia="Palatino Linotype" w:cs="Times New Roman"/>
          <w:kern w:val="0"/>
          <w14:ligatures w14:val="none"/>
        </w:rPr>
        <w:t>Instead, we find that an approximate method of accounting for transmission network upgrade costs is appropriate here.</w:t>
      </w:r>
      <w:r w:rsidR="008D1ACD">
        <w:rPr>
          <w:rFonts w:ascii="Palatino Linotype" w:hAnsi="Palatino Linotype" w:eastAsia="Palatino Linotype" w:cs="Times New Roman"/>
          <w:kern w:val="0"/>
          <w14:ligatures w14:val="none"/>
        </w:rPr>
        <w:t xml:space="preserve"> We also understand that parties prefer a </w:t>
      </w:r>
      <w:r w:rsidR="00857BC9">
        <w:rPr>
          <w:rFonts w:ascii="Palatino Linotype" w:hAnsi="Palatino Linotype" w:eastAsia="Palatino Linotype" w:cs="Times New Roman"/>
          <w:kern w:val="0"/>
          <w14:ligatures w14:val="none"/>
        </w:rPr>
        <w:t>method that avoids significant uncertaint</w:t>
      </w:r>
      <w:r w:rsidR="00AB0210">
        <w:rPr>
          <w:rFonts w:ascii="Palatino Linotype" w:hAnsi="Palatino Linotype" w:eastAsia="Palatino Linotype" w:cs="Times New Roman"/>
          <w:kern w:val="0"/>
          <w14:ligatures w14:val="none"/>
        </w:rPr>
        <w:t>y</w:t>
      </w:r>
      <w:r w:rsidR="0039132F">
        <w:rPr>
          <w:rFonts w:ascii="Palatino Linotype" w:hAnsi="Palatino Linotype" w:eastAsia="Palatino Linotype" w:cs="Times New Roman"/>
          <w:kern w:val="0"/>
          <w14:ligatures w14:val="none"/>
        </w:rPr>
        <w:t xml:space="preserve"> for large load customers seeking energization, and that uncertainty itself can deter development.</w:t>
      </w:r>
      <w:r w:rsidR="0039132F">
        <w:rPr>
          <w:rStyle w:val="FootnoteReference"/>
          <w:rFonts w:ascii="Palatino Linotype" w:hAnsi="Palatino Linotype" w:eastAsia="Palatino Linotype" w:cs="Times New Roman"/>
          <w:kern w:val="0"/>
          <w14:ligatures w14:val="none"/>
        </w:rPr>
        <w:footnoteReference w:id="16"/>
      </w:r>
    </w:p>
    <w:p w:rsidR="00272D72" w:rsidP="005146AD" w:rsidRDefault="00272D72" w14:paraId="047780D3" w14:textId="77777777">
      <w:pPr>
        <w:spacing w:after="0" w:line="240" w:lineRule="auto"/>
        <w:contextualSpacing/>
        <w:rPr>
          <w:rFonts w:ascii="Palatino Linotype" w:hAnsi="Palatino Linotype" w:eastAsia="Palatino Linotype" w:cs="Times New Roman"/>
          <w:kern w:val="0"/>
          <w14:ligatures w14:val="none"/>
        </w:rPr>
      </w:pPr>
    </w:p>
    <w:p w:rsidR="00C94E09" w:rsidP="005146AD" w:rsidRDefault="004D7FA8" w14:paraId="302E0CF6" w14:textId="6141BD0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Specifically, we find it reasonable to require Google to pay an additional capital advance</w:t>
      </w:r>
      <w:r w:rsidRPr="00C41B43" w:rsidR="00C41B43">
        <w:rPr>
          <w:rFonts w:ascii="Palatino Linotype" w:hAnsi="Palatino Linotype" w:eastAsia="Palatino Linotype" w:cs="Times New Roman"/>
          <w:kern w:val="0"/>
          <w14:ligatures w14:val="none"/>
        </w:rPr>
        <w:t xml:space="preserve"> </w:t>
      </w:r>
      <w:r w:rsidR="00C41B43">
        <w:rPr>
          <w:rFonts w:ascii="Palatino Linotype" w:hAnsi="Palatino Linotype" w:eastAsia="Palatino Linotype" w:cs="Times New Roman"/>
          <w:kern w:val="0"/>
          <w14:ligatures w14:val="none"/>
        </w:rPr>
        <w:t>of $600,000 per MW of requested capacity</w:t>
      </w:r>
      <w:r>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This provides</w:t>
      </w:r>
      <w:r w:rsidR="00717471">
        <w:rPr>
          <w:rFonts w:ascii="Palatino Linotype" w:hAnsi="Palatino Linotype" w:eastAsia="Palatino Linotype" w:cs="Times New Roman"/>
          <w:kern w:val="0"/>
          <w14:ligatures w14:val="none"/>
        </w:rPr>
        <w:t xml:space="preserve"> a level of certainty</w:t>
      </w:r>
      <w:r w:rsidR="00EF1221">
        <w:rPr>
          <w:rFonts w:ascii="Palatino Linotype" w:hAnsi="Palatino Linotype" w:eastAsia="Palatino Linotype" w:cs="Times New Roman"/>
          <w:kern w:val="0"/>
          <w14:ligatures w14:val="none"/>
        </w:rPr>
        <w:t xml:space="preserve"> to Google about the</w:t>
      </w:r>
      <w:r w:rsidR="00717471">
        <w:rPr>
          <w:rFonts w:ascii="Palatino Linotype" w:hAnsi="Palatino Linotype" w:eastAsia="Palatino Linotype" w:cs="Times New Roman"/>
          <w:kern w:val="0"/>
          <w14:ligatures w14:val="none"/>
        </w:rPr>
        <w:t xml:space="preserve"> costs of energization for its 250 MW load. However, </w:t>
      </w:r>
      <w:r w:rsidR="00553F14">
        <w:rPr>
          <w:rFonts w:ascii="Palatino Linotype" w:hAnsi="Palatino Linotype" w:eastAsia="Palatino Linotype" w:cs="Times New Roman"/>
          <w:kern w:val="0"/>
          <w14:ligatures w14:val="none"/>
        </w:rPr>
        <w:t>t</w:t>
      </w:r>
      <w:r w:rsidR="00C41B43">
        <w:rPr>
          <w:rFonts w:ascii="Palatino Linotype" w:hAnsi="Palatino Linotype" w:eastAsia="Palatino Linotype" w:cs="Times New Roman"/>
          <w:kern w:val="0"/>
          <w14:ligatures w14:val="none"/>
        </w:rPr>
        <w:t xml:space="preserve">his is an </w:t>
      </w:r>
      <w:r w:rsidR="00553F14">
        <w:rPr>
          <w:rFonts w:ascii="Palatino Linotype" w:hAnsi="Palatino Linotype" w:eastAsia="Palatino Linotype" w:cs="Times New Roman"/>
          <w:kern w:val="0"/>
          <w14:ligatures w14:val="none"/>
        </w:rPr>
        <w:t xml:space="preserve">approximate method used in an </w:t>
      </w:r>
      <w:r w:rsidR="00C41B43">
        <w:rPr>
          <w:rFonts w:ascii="Palatino Linotype" w:hAnsi="Palatino Linotype" w:eastAsia="Palatino Linotype" w:cs="Times New Roman"/>
          <w:kern w:val="0"/>
          <w14:ligatures w14:val="none"/>
        </w:rPr>
        <w:t>exceptional case filing, and we</w:t>
      </w:r>
      <w:r w:rsidR="00422F7E">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also </w:t>
      </w:r>
      <w:r w:rsidR="00422F7E">
        <w:rPr>
          <w:rFonts w:ascii="Palatino Linotype" w:hAnsi="Palatino Linotype" w:eastAsia="Palatino Linotype" w:cs="Times New Roman"/>
          <w:kern w:val="0"/>
          <w14:ligatures w14:val="none"/>
        </w:rPr>
        <w:t xml:space="preserve">find it reasonable </w:t>
      </w:r>
      <w:r w:rsidR="003C7F11">
        <w:rPr>
          <w:rFonts w:ascii="Palatino Linotype" w:hAnsi="Palatino Linotype" w:eastAsia="Palatino Linotype" w:cs="Times New Roman"/>
          <w:kern w:val="0"/>
          <w14:ligatures w14:val="none"/>
        </w:rPr>
        <w:t xml:space="preserve">to </w:t>
      </w:r>
      <w:r w:rsidR="00C41B43">
        <w:rPr>
          <w:rFonts w:ascii="Palatino Linotype" w:hAnsi="Palatino Linotype" w:eastAsia="Palatino Linotype" w:cs="Times New Roman"/>
          <w:kern w:val="0"/>
          <w14:ligatures w14:val="none"/>
        </w:rPr>
        <w:t xml:space="preserve">allow </w:t>
      </w:r>
      <w:r w:rsidR="003C7F11">
        <w:rPr>
          <w:rFonts w:ascii="Palatino Linotype" w:hAnsi="Palatino Linotype" w:eastAsia="Palatino Linotype" w:cs="Times New Roman"/>
          <w:kern w:val="0"/>
          <w14:ligatures w14:val="none"/>
        </w:rPr>
        <w:t xml:space="preserve">Google and PG&amp;E to </w:t>
      </w:r>
      <w:r w:rsidR="00C41B43">
        <w:rPr>
          <w:rFonts w:ascii="Palatino Linotype" w:hAnsi="Palatino Linotype" w:eastAsia="Palatino Linotype" w:cs="Times New Roman"/>
          <w:kern w:val="0"/>
          <w14:ligatures w14:val="none"/>
        </w:rPr>
        <w:t xml:space="preserve">update this </w:t>
      </w:r>
      <w:r w:rsidR="00C07F73">
        <w:rPr>
          <w:rFonts w:ascii="Palatino Linotype" w:hAnsi="Palatino Linotype" w:eastAsia="Palatino Linotype" w:cs="Times New Roman"/>
          <w:kern w:val="0"/>
          <w14:ligatures w14:val="none"/>
        </w:rPr>
        <w:t xml:space="preserve">additional </w:t>
      </w:r>
      <w:r w:rsidR="00C41B43">
        <w:rPr>
          <w:rFonts w:ascii="Palatino Linotype" w:hAnsi="Palatino Linotype" w:eastAsia="Palatino Linotype" w:cs="Times New Roman"/>
          <w:kern w:val="0"/>
          <w14:ligatures w14:val="none"/>
        </w:rPr>
        <w:t>capital advance amount</w:t>
      </w:r>
      <w:r w:rsidR="00DC6CBD">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to</w:t>
      </w:r>
      <w:r w:rsidR="00582DA1">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c</w:t>
      </w:r>
      <w:r w:rsidR="003C7F11">
        <w:rPr>
          <w:rFonts w:ascii="Palatino Linotype" w:hAnsi="Palatino Linotype" w:eastAsia="Palatino Linotype" w:cs="Times New Roman"/>
          <w:kern w:val="0"/>
          <w14:ligatures w14:val="none"/>
        </w:rPr>
        <w:t>orrespond</w:t>
      </w:r>
      <w:r w:rsidR="00DC6CBD">
        <w:rPr>
          <w:rFonts w:ascii="Palatino Linotype" w:hAnsi="Palatino Linotype" w:eastAsia="Palatino Linotype" w:cs="Times New Roman"/>
          <w:kern w:val="0"/>
          <w14:ligatures w14:val="none"/>
        </w:rPr>
        <w:t xml:space="preserve"> </w:t>
      </w:r>
      <w:r w:rsidR="00E91357">
        <w:rPr>
          <w:rFonts w:ascii="Palatino Linotype" w:hAnsi="Palatino Linotype" w:eastAsia="Palatino Linotype" w:cs="Times New Roman"/>
          <w:kern w:val="0"/>
          <w14:ligatures w14:val="none"/>
        </w:rPr>
        <w:t xml:space="preserve">to the outcome of the </w:t>
      </w:r>
      <w:r w:rsidR="00345654">
        <w:rPr>
          <w:rFonts w:ascii="Palatino Linotype" w:hAnsi="Palatino Linotype" w:eastAsia="Palatino Linotype" w:cs="Times New Roman"/>
          <w:kern w:val="0"/>
          <w14:ligatures w14:val="none"/>
        </w:rPr>
        <w:t xml:space="preserve">Rule 30 </w:t>
      </w:r>
      <w:r w:rsidR="00343BF7">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5E3082">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 xml:space="preserve">and how transmission network upgrade costs are handled there </w:t>
      </w:r>
      <w:r w:rsidR="005E3082">
        <w:rPr>
          <w:rFonts w:ascii="Palatino Linotype" w:hAnsi="Palatino Linotype" w:eastAsia="Palatino Linotype" w:cs="Times New Roman"/>
          <w:kern w:val="0"/>
          <w14:ligatures w14:val="none"/>
        </w:rPr>
        <w:t>(transmission network upgrades are called Type 4 Facilities in A. 24-11-007)</w:t>
      </w:r>
      <w:r w:rsidR="00E91357">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In brief, if </w:t>
      </w:r>
      <w:r w:rsidR="00343BF7">
        <w:rPr>
          <w:rFonts w:ascii="Palatino Linotype" w:hAnsi="Palatino Linotype" w:eastAsia="Palatino Linotype" w:cs="Times New Roman"/>
          <w:kern w:val="0"/>
          <w14:ligatures w14:val="none"/>
        </w:rPr>
        <w:t xml:space="preserve">Google and/or PG&amp;E prefer </w:t>
      </w:r>
      <w:r w:rsidR="00553F14">
        <w:rPr>
          <w:rFonts w:ascii="Palatino Linotype" w:hAnsi="Palatino Linotype" w:eastAsia="Palatino Linotype" w:cs="Times New Roman"/>
          <w:kern w:val="0"/>
          <w14:ligatures w14:val="none"/>
        </w:rPr>
        <w:t xml:space="preserve">the outcome in the Rule 30 proceeding </w:t>
      </w:r>
      <w:r w:rsidR="00343BF7">
        <w:rPr>
          <w:rFonts w:ascii="Palatino Linotype" w:hAnsi="Palatino Linotype" w:eastAsia="Palatino Linotype" w:cs="Times New Roman"/>
          <w:kern w:val="0"/>
          <w14:ligatures w14:val="none"/>
        </w:rPr>
        <w:t>to the outcome here, they are free to modify the current agreement to reflect the outcome in the Rule 30 Proceeding</w:t>
      </w:r>
      <w:r w:rsidR="00582DA1">
        <w:rPr>
          <w:rFonts w:ascii="Palatino Linotype" w:hAnsi="Palatino Linotype" w:eastAsia="Palatino Linotype" w:cs="Times New Roman"/>
          <w:kern w:val="0"/>
          <w14:ligatures w14:val="none"/>
        </w:rPr>
        <w:t xml:space="preserve">. </w:t>
      </w:r>
      <w:r w:rsidR="00F00411">
        <w:rPr>
          <w:rFonts w:ascii="Palatino Linotype" w:hAnsi="Palatino Linotype" w:eastAsia="Palatino Linotype" w:cs="Times New Roman"/>
          <w:kern w:val="0"/>
          <w14:ligatures w14:val="none"/>
        </w:rPr>
        <w:t xml:space="preserve">If </w:t>
      </w:r>
      <w:r w:rsidR="00582DA1">
        <w:rPr>
          <w:rFonts w:ascii="Palatino Linotype" w:hAnsi="Palatino Linotype" w:eastAsia="Palatino Linotype" w:cs="Times New Roman"/>
          <w:kern w:val="0"/>
          <w14:ligatures w14:val="none"/>
        </w:rPr>
        <w:t xml:space="preserve">PG&amp;E </w:t>
      </w:r>
      <w:r w:rsidR="00F00411">
        <w:rPr>
          <w:rFonts w:ascii="Palatino Linotype" w:hAnsi="Palatino Linotype" w:eastAsia="Palatino Linotype" w:cs="Times New Roman"/>
          <w:kern w:val="0"/>
          <w14:ligatures w14:val="none"/>
        </w:rPr>
        <w:t xml:space="preserve">exercises this option, it must file </w:t>
      </w:r>
      <w:r w:rsidR="00356E1F">
        <w:rPr>
          <w:rFonts w:ascii="Palatino Linotype" w:hAnsi="Palatino Linotype" w:eastAsia="Palatino Linotype" w:cs="Times New Roman"/>
          <w:kern w:val="0"/>
          <w14:ligatures w14:val="none"/>
        </w:rPr>
        <w:t>a Tier 2 Advice Letter</w:t>
      </w:r>
      <w:r w:rsidR="00C07F73">
        <w:rPr>
          <w:rFonts w:ascii="Palatino Linotype" w:hAnsi="Palatino Linotype" w:eastAsia="Palatino Linotype" w:cs="Times New Roman"/>
          <w:kern w:val="0"/>
          <w14:ligatures w14:val="none"/>
        </w:rPr>
        <w:t xml:space="preserve"> </w:t>
      </w:r>
      <w:r w:rsidR="005E3082">
        <w:rPr>
          <w:rFonts w:ascii="Palatino Linotype" w:hAnsi="Palatino Linotype" w:eastAsia="Palatino Linotype" w:cs="Times New Roman"/>
          <w:kern w:val="0"/>
          <w14:ligatures w14:val="none"/>
        </w:rPr>
        <w:t>within one year after the</w:t>
      </w:r>
      <w:r w:rsidR="00C07F73">
        <w:rPr>
          <w:rFonts w:ascii="Palatino Linotype" w:hAnsi="Palatino Linotype" w:eastAsia="Palatino Linotype" w:cs="Times New Roman"/>
          <w:kern w:val="0"/>
          <w14:ligatures w14:val="none"/>
        </w:rPr>
        <w:t xml:space="preserve"> relevant Decision is issued in </w:t>
      </w:r>
      <w:proofErr w:type="gramStart"/>
      <w:r w:rsidR="00C07F73">
        <w:rPr>
          <w:rFonts w:ascii="Palatino Linotype" w:hAnsi="Palatino Linotype" w:eastAsia="Palatino Linotype" w:cs="Times New Roman"/>
          <w:kern w:val="0"/>
          <w14:ligatures w14:val="none"/>
        </w:rPr>
        <w:t>th</w:t>
      </w:r>
      <w:r w:rsidR="005E3082">
        <w:rPr>
          <w:rFonts w:ascii="Palatino Linotype" w:hAnsi="Palatino Linotype" w:eastAsia="Palatino Linotype" w:cs="Times New Roman"/>
          <w:kern w:val="0"/>
          <w14:ligatures w14:val="none"/>
        </w:rPr>
        <w:t>e Rule</w:t>
      </w:r>
      <w:proofErr w:type="gramEnd"/>
      <w:r w:rsidR="005E3082">
        <w:rPr>
          <w:rFonts w:ascii="Palatino Linotype" w:hAnsi="Palatino Linotype" w:eastAsia="Palatino Linotype" w:cs="Times New Roman"/>
          <w:kern w:val="0"/>
          <w14:ligatures w14:val="none"/>
        </w:rPr>
        <w:t xml:space="preserve"> 30</w:t>
      </w:r>
      <w:r w:rsidR="00C07F73">
        <w:rPr>
          <w:rFonts w:ascii="Palatino Linotype" w:hAnsi="Palatino Linotype" w:eastAsia="Palatino Linotype" w:cs="Times New Roman"/>
          <w:kern w:val="0"/>
          <w14:ligatures w14:val="none"/>
        </w:rPr>
        <w:t xml:space="preserve"> </w:t>
      </w:r>
      <w:proofErr w:type="gramStart"/>
      <w:r w:rsidR="00C07F73">
        <w:rPr>
          <w:rFonts w:ascii="Palatino Linotype" w:hAnsi="Palatino Linotype" w:eastAsia="Palatino Linotype" w:cs="Times New Roman"/>
          <w:kern w:val="0"/>
          <w14:ligatures w14:val="none"/>
        </w:rPr>
        <w:t>proceeding</w:t>
      </w:r>
      <w:proofErr w:type="gramEnd"/>
      <w:r w:rsidR="00D125BB">
        <w:rPr>
          <w:rFonts w:ascii="Palatino Linotype" w:hAnsi="Palatino Linotype" w:eastAsia="Palatino Linotype" w:cs="Times New Roman"/>
          <w:kern w:val="0"/>
          <w14:ligatures w14:val="none"/>
        </w:rPr>
        <w:t xml:space="preserve">. </w:t>
      </w:r>
    </w:p>
    <w:p w:rsidR="00C94E09" w:rsidP="005146AD" w:rsidRDefault="00C94E09" w14:paraId="67D21FA4" w14:textId="77777777">
      <w:pPr>
        <w:spacing w:after="0" w:line="240" w:lineRule="auto"/>
        <w:contextualSpacing/>
        <w:rPr>
          <w:rFonts w:ascii="Palatino Linotype" w:hAnsi="Palatino Linotype" w:eastAsia="Palatino Linotype" w:cs="Times New Roman"/>
          <w:kern w:val="0"/>
          <w14:ligatures w14:val="none"/>
        </w:rPr>
      </w:pPr>
    </w:p>
    <w:p w:rsidR="00646CBC" w:rsidP="2DFF863A" w:rsidRDefault="00646CBC" w14:paraId="73CC684E" w14:textId="081C6140">
      <w:pPr>
        <w:spacing w:after="0" w:line="240" w:lineRule="auto"/>
        <w:contextualSpacing/>
        <w:rPr>
          <w:rFonts w:ascii="Palatino Linotype" w:hAnsi="Palatino Linotype" w:eastAsia="Palatino Linotype" w:cs="Times New Roman"/>
          <w:kern w:val="0"/>
          <w14:ligatures w14:val="none"/>
        </w:rPr>
      </w:pPr>
      <w:r w:rsidRPr="345BC483">
        <w:rPr>
          <w:rFonts w:ascii="Palatino Linotype" w:hAnsi="Palatino Linotype" w:eastAsia="Palatino Linotype" w:cs="Times New Roman"/>
        </w:rPr>
        <w:lastRenderedPageBreak/>
        <w:t>For context</w:t>
      </w:r>
      <w:r w:rsidR="005E3082">
        <w:rPr>
          <w:rFonts w:ascii="Palatino Linotype" w:hAnsi="Palatino Linotype" w:eastAsia="Palatino Linotype" w:cs="Times New Roman"/>
        </w:rPr>
        <w:t xml:space="preserve"> on the $600,000 per MW additional capital advance proposed here</w:t>
      </w:r>
      <w:r w:rsidRPr="345BC483">
        <w:rPr>
          <w:rFonts w:ascii="Palatino Linotype" w:hAnsi="Palatino Linotype" w:eastAsia="Palatino Linotype" w:cs="Times New Roman"/>
        </w:rPr>
        <w:t>, various methods could be pursued</w:t>
      </w:r>
      <w:r w:rsidR="00A738E8">
        <w:rPr>
          <w:rFonts w:ascii="Palatino Linotype" w:hAnsi="Palatino Linotype" w:eastAsia="Palatino Linotype" w:cs="Times New Roman"/>
          <w:kern w:val="0"/>
          <w14:ligatures w14:val="none"/>
        </w:rPr>
        <w:t xml:space="preserve"> </w:t>
      </w:r>
      <w:r w:rsidR="00377526">
        <w:rPr>
          <w:rFonts w:ascii="Palatino Linotype" w:hAnsi="Palatino Linotype" w:eastAsia="Palatino Linotype" w:cs="Times New Roman"/>
          <w:kern w:val="0"/>
          <w14:ligatures w14:val="none"/>
        </w:rPr>
        <w:t xml:space="preserve">to arrive at an approximate figure, </w:t>
      </w:r>
      <w:r w:rsidRPr="2DFF863A" w:rsidR="00A738E8">
        <w:rPr>
          <w:rFonts w:ascii="Palatino Linotype" w:hAnsi="Palatino Linotype" w:eastAsia="Palatino Linotype" w:cs="Times New Roman"/>
        </w:rPr>
        <w:t>including the following two</w:t>
      </w:r>
      <w:r w:rsidRPr="2DFF863A">
        <w:rPr>
          <w:rFonts w:ascii="Palatino Linotype" w:hAnsi="Palatino Linotype" w:eastAsia="Palatino Linotype" w:cs="Times New Roman"/>
        </w:rPr>
        <w:t>:</w:t>
      </w:r>
    </w:p>
    <w:p w:rsidR="00646CBC" w:rsidP="00194447" w:rsidRDefault="00646CBC" w14:paraId="5384936D" w14:textId="3DE0E0B2">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 xml:space="preserve">(1) Cal Advocates noted </w:t>
      </w:r>
      <w:r w:rsidR="00A738E8">
        <w:rPr>
          <w:rFonts w:ascii="Palatino Linotype" w:hAnsi="Palatino Linotype" w:eastAsia="Palatino Linotype" w:cs="Times New Roman"/>
          <w:kern w:val="0"/>
          <w14:ligatures w14:val="none"/>
        </w:rPr>
        <w:t xml:space="preserve">in its protest </w:t>
      </w:r>
      <w:r w:rsidRPr="00646CBC">
        <w:rPr>
          <w:rFonts w:ascii="Palatino Linotype" w:hAnsi="Palatino Linotype" w:eastAsia="Palatino Linotype" w:cs="Times New Roman"/>
          <w:kern w:val="0"/>
          <w14:ligatures w14:val="none"/>
        </w:rPr>
        <w:t xml:space="preserve">that the Newark-NRS line is a </w:t>
      </w:r>
      <w:r w:rsidR="0030610D">
        <w:rPr>
          <w:rFonts w:ascii="Palatino Linotype" w:hAnsi="Palatino Linotype" w:eastAsia="Palatino Linotype" w:cs="Times New Roman"/>
          <w:kern w:val="0"/>
          <w14:ligatures w14:val="none"/>
        </w:rPr>
        <w:br/>
      </w:r>
      <w:r w:rsidRPr="00646CBC">
        <w:rPr>
          <w:rFonts w:ascii="Palatino Linotype" w:hAnsi="Palatino Linotype" w:eastAsia="Palatino Linotype" w:cs="Times New Roman"/>
          <w:kern w:val="0"/>
          <w14:ligatures w14:val="none"/>
        </w:rPr>
        <w:t>$1 billion project, and Google’s 250 MW facility represents 25</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capacity of that line, thus indicating $1 million per MW</w:t>
      </w:r>
      <w:r w:rsidR="005A5C11">
        <w:rPr>
          <w:rFonts w:ascii="Palatino Linotype" w:hAnsi="Palatino Linotype" w:eastAsia="Palatino Linotype" w:cs="Times New Roman"/>
          <w:kern w:val="0"/>
          <w14:ligatures w14:val="none"/>
        </w:rPr>
        <w:t xml:space="preserve"> (of a 250 MW facility)</w:t>
      </w:r>
      <w:r w:rsidRPr="00646CBC">
        <w:rPr>
          <w:rFonts w:ascii="Palatino Linotype" w:hAnsi="Palatino Linotype" w:eastAsia="Palatino Linotype" w:cs="Times New Roman"/>
          <w:kern w:val="0"/>
          <w14:ligatures w14:val="none"/>
        </w:rPr>
        <w:t xml:space="preserve"> could be appropriate. </w:t>
      </w:r>
    </w:p>
    <w:p w:rsidR="00646CBC" w:rsidP="00194447" w:rsidRDefault="00646CBC" w14:paraId="36B8D2BD" w14:textId="139F3F01">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(2) Google’s facility represents about 20</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load growth noted in the CAISO San Jose Area Transmission Plan, and the approved cost cap from LS Power’s portion of the Newark-NRS line is $813 million, thus indicating $650,000 per MW </w:t>
      </w:r>
      <w:r w:rsidR="005A5C11">
        <w:rPr>
          <w:rFonts w:ascii="Palatino Linotype" w:hAnsi="Palatino Linotype" w:eastAsia="Palatino Linotype" w:cs="Times New Roman"/>
          <w:kern w:val="0"/>
          <w14:ligatures w14:val="none"/>
        </w:rPr>
        <w:t xml:space="preserve">(of a 250 MW facility) </w:t>
      </w:r>
      <w:r w:rsidRPr="00646CBC">
        <w:rPr>
          <w:rFonts w:ascii="Palatino Linotype" w:hAnsi="Palatino Linotype" w:eastAsia="Palatino Linotype" w:cs="Times New Roman"/>
          <w:kern w:val="0"/>
          <w14:ligatures w14:val="none"/>
        </w:rPr>
        <w:t xml:space="preserve">could be appropriate. </w:t>
      </w:r>
    </w:p>
    <w:p w:rsidR="00087C5A" w:rsidP="2DFF863A" w:rsidRDefault="00646CBC" w14:paraId="2FE55401" w14:textId="06D594F3">
      <w:pPr>
        <w:spacing w:after="0" w:line="240" w:lineRule="auto"/>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Neither of these estimates account for</w:t>
      </w:r>
      <w:r w:rsidR="005E1EDE">
        <w:rPr>
          <w:rFonts w:ascii="Palatino Linotype" w:hAnsi="Palatino Linotype" w:eastAsia="Palatino Linotype" w:cs="Times New Roman"/>
          <w:kern w:val="0"/>
          <w14:ligatures w14:val="none"/>
        </w:rPr>
        <w:t xml:space="preserve"> the</w:t>
      </w:r>
      <w:r w:rsidRPr="00646CBC">
        <w:rPr>
          <w:rFonts w:ascii="Palatino Linotype" w:hAnsi="Palatino Linotype" w:eastAsia="Palatino Linotype" w:cs="Times New Roman"/>
          <w:kern w:val="0"/>
          <w14:ligatures w14:val="none"/>
        </w:rPr>
        <w:t xml:space="preserve"> transmission upgrades that the Google facility depends o</w:t>
      </w:r>
      <w:r w:rsidR="005E1EDE">
        <w:rPr>
          <w:rFonts w:ascii="Palatino Linotype" w:hAnsi="Palatino Linotype" w:eastAsia="Palatino Linotype" w:cs="Times New Roman"/>
          <w:kern w:val="0"/>
          <w14:ligatures w14:val="none"/>
        </w:rPr>
        <w:t>n other than the Newark-NRS line</w:t>
      </w:r>
      <w:r w:rsidRPr="00646CBC">
        <w:rPr>
          <w:rFonts w:ascii="Palatino Linotype" w:hAnsi="Palatino Linotype" w:eastAsia="Palatino Linotype" w:cs="Times New Roman"/>
          <w:kern w:val="0"/>
          <w14:ligatures w14:val="none"/>
        </w:rPr>
        <w:t>.</w:t>
      </w:r>
      <w:r w:rsidR="00F53844">
        <w:rPr>
          <w:rFonts w:ascii="Palatino Linotype" w:hAnsi="Palatino Linotype" w:eastAsia="Palatino Linotype" w:cs="Times New Roman"/>
          <w:kern w:val="0"/>
          <w14:ligatures w14:val="none"/>
        </w:rPr>
        <w:t xml:space="preserve"> </w:t>
      </w:r>
      <w:r w:rsidR="0073448D">
        <w:rPr>
          <w:rFonts w:ascii="Palatino Linotype" w:hAnsi="Palatino Linotype" w:eastAsia="Palatino Linotype" w:cs="Times New Roman"/>
          <w:kern w:val="0"/>
          <w14:ligatures w14:val="none"/>
        </w:rPr>
        <w:t xml:space="preserve">We also understand that both Google and PG&amp;E are requesting quick </w:t>
      </w:r>
      <w:r w:rsidR="00087C5A">
        <w:rPr>
          <w:rFonts w:ascii="Palatino Linotype" w:hAnsi="Palatino Linotype" w:eastAsia="Palatino Linotype" w:cs="Times New Roman"/>
          <w:kern w:val="0"/>
          <w14:ligatures w14:val="none"/>
        </w:rPr>
        <w:t xml:space="preserve">and practical </w:t>
      </w:r>
      <w:r w:rsidR="0073448D">
        <w:rPr>
          <w:rFonts w:ascii="Palatino Linotype" w:hAnsi="Palatino Linotype" w:eastAsia="Palatino Linotype" w:cs="Times New Roman"/>
          <w:kern w:val="0"/>
          <w14:ligatures w14:val="none"/>
        </w:rPr>
        <w:t xml:space="preserve">action </w:t>
      </w:r>
      <w:r w:rsidR="00087C5A">
        <w:rPr>
          <w:rFonts w:ascii="Palatino Linotype" w:hAnsi="Palatino Linotype" w:eastAsia="Palatino Linotype" w:cs="Times New Roman"/>
          <w:kern w:val="0"/>
          <w14:ligatures w14:val="none"/>
        </w:rPr>
        <w:t>in this case</w:t>
      </w:r>
      <w:r w:rsidR="0073448D">
        <w:rPr>
          <w:rFonts w:ascii="Palatino Linotype" w:hAnsi="Palatino Linotype" w:eastAsia="Palatino Linotype" w:cs="Times New Roman"/>
          <w:kern w:val="0"/>
          <w14:ligatures w14:val="none"/>
        </w:rPr>
        <w:t xml:space="preserve">. </w:t>
      </w:r>
    </w:p>
    <w:p w:rsidR="00087C5A" w:rsidP="2DFF863A" w:rsidRDefault="00087C5A" w14:paraId="6F73D801" w14:textId="77777777">
      <w:pPr>
        <w:spacing w:after="0" w:line="240" w:lineRule="auto"/>
        <w:contextualSpacing/>
        <w:rPr>
          <w:rFonts w:ascii="Palatino Linotype" w:hAnsi="Palatino Linotype" w:eastAsia="Palatino Linotype" w:cs="Times New Roman"/>
          <w:kern w:val="0"/>
          <w14:ligatures w14:val="none"/>
        </w:rPr>
      </w:pPr>
    </w:p>
    <w:p w:rsidR="005E66A9" w:rsidP="2DFF863A" w:rsidRDefault="0073448D" w14:paraId="3D1D02B1" w14:textId="18E2E584">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Accordingly</w:t>
      </w:r>
      <w:r w:rsidRPr="00646CB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we find the $600,000 per MW figure to be an appropriate </w:t>
      </w:r>
      <w:r w:rsidR="00AE2B61">
        <w:rPr>
          <w:rFonts w:ascii="Palatino Linotype" w:hAnsi="Palatino Linotype" w:eastAsia="Palatino Linotype" w:cs="Times New Roman"/>
          <w:kern w:val="0"/>
          <w14:ligatures w14:val="none"/>
        </w:rPr>
        <w:t xml:space="preserve">amount to protect ratepayers from the general costs </w:t>
      </w:r>
      <w:r>
        <w:rPr>
          <w:rFonts w:ascii="Palatino Linotype" w:hAnsi="Palatino Linotype" w:eastAsia="Palatino Linotype" w:cs="Times New Roman"/>
          <w:kern w:val="0"/>
          <w14:ligatures w14:val="none"/>
        </w:rPr>
        <w:t>of transmission network upgrade</w:t>
      </w:r>
      <w:r w:rsidR="00AE2B6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w:t>
      </w:r>
      <w:r w:rsidR="00E65E58">
        <w:rPr>
          <w:rFonts w:ascii="Palatino Linotype" w:hAnsi="Palatino Linotype" w:eastAsia="Palatino Linotype" w:cs="Times New Roman"/>
          <w:kern w:val="0"/>
          <w14:ligatures w14:val="none"/>
        </w:rPr>
        <w:t xml:space="preserve">for a transmission-level, </w:t>
      </w:r>
      <w:r>
        <w:rPr>
          <w:rFonts w:ascii="Palatino Linotype" w:hAnsi="Palatino Linotype" w:eastAsia="Palatino Linotype" w:cs="Times New Roman"/>
          <w:kern w:val="0"/>
          <w14:ligatures w14:val="none"/>
        </w:rPr>
        <w:t xml:space="preserve">large load exceptional case filing, and direct PG&amp;E to modify its agreement to add this additional capital advance requirement. </w:t>
      </w:r>
      <w:r w:rsidR="00BE2967">
        <w:rPr>
          <w:rFonts w:ascii="Palatino Linotype" w:hAnsi="Palatino Linotype" w:eastAsia="Palatino Linotype" w:cs="Times New Roman"/>
          <w:kern w:val="0"/>
          <w14:ligatures w14:val="none"/>
        </w:rPr>
        <w:t>T</w:t>
      </w:r>
      <w:r w:rsidR="00875C1E">
        <w:rPr>
          <w:rFonts w:ascii="Palatino Linotype" w:hAnsi="Palatino Linotype" w:eastAsia="Palatino Linotype" w:cs="Times New Roman"/>
          <w:kern w:val="0"/>
          <w14:ligatures w14:val="none"/>
        </w:rPr>
        <w:t>he $600,000 per MW figure works as</w:t>
      </w:r>
      <w:r w:rsidR="00BC138B">
        <w:rPr>
          <w:rFonts w:ascii="Palatino Linotype" w:hAnsi="Palatino Linotype" w:eastAsia="Palatino Linotype" w:cs="Times New Roman"/>
          <w:kern w:val="0"/>
          <w14:ligatures w14:val="none"/>
        </w:rPr>
        <w:t xml:space="preserve"> an appropriate </w:t>
      </w:r>
      <w:r w:rsidR="00BC697F">
        <w:rPr>
          <w:rFonts w:ascii="Palatino Linotype" w:hAnsi="Palatino Linotype" w:eastAsia="Palatino Linotype" w:cs="Times New Roman"/>
          <w:kern w:val="0"/>
          <w14:ligatures w14:val="none"/>
        </w:rPr>
        <w:t xml:space="preserve">approximate method to account for </w:t>
      </w:r>
      <w:r w:rsidR="00AF47E2">
        <w:rPr>
          <w:rFonts w:ascii="Palatino Linotype" w:hAnsi="Palatino Linotype" w:eastAsia="Palatino Linotype" w:cs="Times New Roman"/>
          <w:kern w:val="0"/>
          <w14:ligatures w14:val="none"/>
        </w:rPr>
        <w:t>the general costs of transmission network upgrades for transmission-level large loads</w:t>
      </w:r>
      <w:r w:rsidR="00BC138B">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We note that this remains a refundable capital advance, and Google would still be expected to receive a full refund over time</w:t>
      </w:r>
      <w:r w:rsidR="00617C8C">
        <w:rPr>
          <w:rFonts w:ascii="Palatino Linotype" w:hAnsi="Palatino Linotype" w:eastAsia="Palatino Linotype" w:cs="Times New Roman"/>
          <w:kern w:val="0"/>
          <w14:ligatures w14:val="none"/>
        </w:rPr>
        <w:t xml:space="preserve"> as load materializes</w:t>
      </w:r>
      <w:r>
        <w:rPr>
          <w:rFonts w:ascii="Palatino Linotype" w:hAnsi="Palatino Linotype" w:eastAsia="Palatino Linotype" w:cs="Times New Roman"/>
          <w:kern w:val="0"/>
          <w14:ligatures w14:val="none"/>
        </w:rPr>
        <w:t>.</w:t>
      </w:r>
    </w:p>
    <w:p w:rsidR="00F51790" w:rsidP="2DFF863A" w:rsidRDefault="00F51790" w14:paraId="1CC767E5" w14:textId="77777777">
      <w:pPr>
        <w:spacing w:after="0" w:line="240" w:lineRule="auto"/>
        <w:contextualSpacing/>
        <w:rPr>
          <w:rFonts w:ascii="Palatino Linotype" w:hAnsi="Palatino Linotype" w:eastAsia="Palatino Linotype" w:cs="Times New Roman"/>
          <w:kern w:val="0"/>
          <w14:ligatures w14:val="none"/>
        </w:rPr>
      </w:pPr>
    </w:p>
    <w:p w:rsidR="00F51790" w:rsidP="2DFF863A" w:rsidRDefault="00F51790" w14:paraId="1EEC3F1B" w14:textId="57B7F23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Also, given that this is an advance per MW of capacity, it is reasonable for Google to provide the advance the year before </w:t>
      </w:r>
      <w:r w:rsidR="00E314DD">
        <w:rPr>
          <w:rFonts w:ascii="Palatino Linotype" w:hAnsi="Palatino Linotype" w:eastAsia="Palatino Linotype" w:cs="Times New Roman"/>
          <w:kern w:val="0"/>
          <w14:ligatures w14:val="none"/>
        </w:rPr>
        <w:t>that capacity is both</w:t>
      </w:r>
      <w:r>
        <w:rPr>
          <w:rFonts w:ascii="Palatino Linotype" w:hAnsi="Palatino Linotype" w:eastAsia="Palatino Linotype" w:cs="Times New Roman"/>
          <w:kern w:val="0"/>
          <w14:ligatures w14:val="none"/>
        </w:rPr>
        <w:t xml:space="preserve"> requested </w:t>
      </w:r>
      <w:r w:rsidR="00E314DD">
        <w:rPr>
          <w:rFonts w:ascii="Palatino Linotype" w:hAnsi="Palatino Linotype" w:eastAsia="Palatino Linotype" w:cs="Times New Roman"/>
          <w:kern w:val="0"/>
          <w14:ligatures w14:val="none"/>
        </w:rPr>
        <w:t>by Google</w:t>
      </w:r>
      <w:r>
        <w:rPr>
          <w:rFonts w:ascii="Palatino Linotype" w:hAnsi="Palatino Linotype" w:eastAsia="Palatino Linotype" w:cs="Times New Roman"/>
          <w:kern w:val="0"/>
          <w14:ligatures w14:val="none"/>
        </w:rPr>
        <w:t xml:space="preserve"> and </w:t>
      </w:r>
      <w:r w:rsidR="00E314DD">
        <w:rPr>
          <w:rFonts w:ascii="Palatino Linotype" w:hAnsi="Palatino Linotype" w:eastAsia="Palatino Linotype" w:cs="Times New Roman"/>
          <w:kern w:val="0"/>
          <w14:ligatures w14:val="none"/>
        </w:rPr>
        <w:t xml:space="preserve">deemed available by </w:t>
      </w:r>
      <w:r>
        <w:rPr>
          <w:rFonts w:ascii="Palatino Linotype" w:hAnsi="Palatino Linotype" w:eastAsia="Palatino Linotype" w:cs="Times New Roman"/>
          <w:kern w:val="0"/>
          <w14:ligatures w14:val="none"/>
        </w:rPr>
        <w:t>PG&amp;</w:t>
      </w:r>
      <w:r w:rsidR="00E314DD">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w:t>
      </w:r>
      <w:r>
        <w:rPr>
          <w:rStyle w:val="FootnoteReference"/>
          <w:rFonts w:ascii="Palatino Linotype" w:hAnsi="Palatino Linotype" w:eastAsia="Palatino Linotype" w:cs="Times New Roman"/>
          <w:kern w:val="0"/>
          <w14:ligatures w14:val="none"/>
        </w:rPr>
        <w:footnoteReference w:id="17"/>
      </w:r>
    </w:p>
    <w:p w:rsidR="005308B9" w:rsidP="005146AD" w:rsidRDefault="005308B9" w14:paraId="3204A743"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0D280D" w14:paraId="05E7C540" w14:textId="77777777">
      <w:pPr>
        <w:spacing w:after="0" w:line="240" w:lineRule="auto"/>
        <w:contextualSpacing/>
        <w:rPr>
          <w:rFonts w:ascii="Palatino Linotype" w:hAnsi="Palatino Linotype" w:eastAsia="Palatino Linotype" w:cs="Times New Roman"/>
          <w:b/>
          <w:bCs/>
          <w:kern w:val="0"/>
          <w14:ligatures w14:val="none"/>
        </w:rPr>
      </w:pPr>
    </w:p>
    <w:p w:rsidRPr="00717000" w:rsidR="00B36B2C" w:rsidP="00574E38" w:rsidRDefault="00B36B2C" w14:paraId="015E9201" w14:textId="27E9E390">
      <w:pPr>
        <w:keepNext/>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lastRenderedPageBreak/>
        <w:t xml:space="preserve">Refund Methodology: Annual Refunds Must Be Limited to </w:t>
      </w:r>
      <w:r w:rsidR="000A7E28">
        <w:rPr>
          <w:rFonts w:ascii="Palatino Linotype" w:hAnsi="Palatino Linotype" w:eastAsia="Palatino Linotype" w:cs="Times New Roman"/>
          <w:b/>
          <w:bCs/>
          <w:kern w:val="0"/>
          <w14:ligatures w14:val="none"/>
        </w:rPr>
        <w:t>100</w:t>
      </w:r>
      <w:r w:rsidRPr="00717000" w:rsidR="000A7E28">
        <w:rPr>
          <w:rFonts w:ascii="Palatino Linotype" w:hAnsi="Palatino Linotype" w:eastAsia="Palatino Linotype" w:cs="Times New Roman"/>
          <w:b/>
          <w:bCs/>
          <w:kern w:val="0"/>
          <w14:ligatures w14:val="none"/>
        </w:rPr>
        <w:t xml:space="preserve"> </w:t>
      </w:r>
      <w:r w:rsidRPr="00717000">
        <w:rPr>
          <w:rFonts w:ascii="Palatino Linotype" w:hAnsi="Palatino Linotype" w:eastAsia="Palatino Linotype" w:cs="Times New Roman"/>
          <w:b/>
          <w:bCs/>
          <w:kern w:val="0"/>
          <w14:ligatures w14:val="none"/>
        </w:rPr>
        <w:t>Percent of Annual Net Revenues</w:t>
      </w:r>
    </w:p>
    <w:p w:rsidRPr="00B36B2C" w:rsidR="00717000" w:rsidP="00574E38" w:rsidRDefault="00717000" w14:paraId="32080F21" w14:textId="77777777">
      <w:pPr>
        <w:keepNext/>
        <w:spacing w:after="0" w:line="240" w:lineRule="auto"/>
        <w:contextualSpacing/>
        <w:rPr>
          <w:rFonts w:ascii="Palatino Linotype" w:hAnsi="Palatino Linotype" w:eastAsia="Palatino Linotype" w:cs="Times New Roman"/>
          <w:kern w:val="0"/>
          <w14:ligatures w14:val="none"/>
        </w:rPr>
      </w:pPr>
    </w:p>
    <w:p w:rsidR="00B36B2C" w:rsidP="00574E38" w:rsidRDefault="00B36B2C" w14:paraId="2413EEC8" w14:textId="29293CCB">
      <w:pPr>
        <w:keepNext/>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0A7E28">
        <w:rPr>
          <w:rFonts w:ascii="Palatino Linotype" w:hAnsi="Palatino Linotype" w:eastAsia="Palatino Linotype" w:cs="Times New Roman"/>
          <w:kern w:val="0"/>
          <w14:ligatures w14:val="none"/>
        </w:rPr>
        <w:t xml:space="preserve">next </w:t>
      </w:r>
      <w:r w:rsidRPr="00B36B2C">
        <w:rPr>
          <w:rFonts w:ascii="Palatino Linotype" w:hAnsi="Palatino Linotype" w:eastAsia="Palatino Linotype" w:cs="Times New Roman"/>
          <w:kern w:val="0"/>
          <w14:ligatures w14:val="none"/>
        </w:rPr>
        <w:t xml:space="preserve">address whether the agreement’s use of the standard Base Annual Revenue Calculation (BARC) refund approach should be modified to provide additional ratepayer protection. Cal Advocates </w:t>
      </w:r>
      <w:proofErr w:type="gramStart"/>
      <w:r w:rsidRPr="00B36B2C">
        <w:rPr>
          <w:rFonts w:ascii="Palatino Linotype" w:hAnsi="Palatino Linotype" w:eastAsia="Palatino Linotype" w:cs="Times New Roman"/>
          <w:kern w:val="0"/>
          <w14:ligatures w14:val="none"/>
        </w:rPr>
        <w:t>argues</w:t>
      </w:r>
      <w:proofErr w:type="gramEnd"/>
      <w:r w:rsidRPr="00B36B2C">
        <w:rPr>
          <w:rFonts w:ascii="Palatino Linotype" w:hAnsi="Palatino Linotype" w:eastAsia="Palatino Linotype" w:cs="Times New Roman"/>
          <w:kern w:val="0"/>
          <w14:ligatures w14:val="none"/>
        </w:rPr>
        <w:t xml:space="preserve"> </w:t>
      </w:r>
      <w:r w:rsidR="005823C1">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 xml:space="preserve">the Commission should require modifications </w:t>
      </w:r>
      <w:proofErr w:type="gramStart"/>
      <w:r w:rsidRPr="00B36B2C">
        <w:rPr>
          <w:rFonts w:ascii="Palatino Linotype" w:hAnsi="Palatino Linotype" w:eastAsia="Palatino Linotype" w:cs="Times New Roman"/>
          <w:kern w:val="0"/>
          <w14:ligatures w14:val="none"/>
        </w:rPr>
        <w:t>similar to</w:t>
      </w:r>
      <w:proofErr w:type="gramEnd"/>
      <w:r w:rsidRPr="00B36B2C">
        <w:rPr>
          <w:rFonts w:ascii="Palatino Linotype" w:hAnsi="Palatino Linotype" w:eastAsia="Palatino Linotype" w:cs="Times New Roman"/>
          <w:kern w:val="0"/>
          <w14:ligatures w14:val="none"/>
        </w:rPr>
        <w:t xml:space="preserve"> those adopted in prior, substantially similar exceptional case</w:t>
      </w:r>
      <w:r w:rsidR="00CD47A0">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including limiting annual refunds to 75 percent of annual net revenues received from the customer. PG&amp;E argues that prior resolutions are expressly non-precedential and that the existing BARC process and agreement terms are sufficient.</w:t>
      </w:r>
    </w:p>
    <w:p w:rsidRPr="00B36B2C" w:rsidR="00D40DC3" w:rsidP="00B36B2C" w:rsidRDefault="00D40DC3" w14:paraId="22E88837" w14:textId="77777777">
      <w:pPr>
        <w:spacing w:after="0" w:line="240" w:lineRule="auto"/>
        <w:contextualSpacing/>
        <w:rPr>
          <w:rFonts w:ascii="Palatino Linotype" w:hAnsi="Palatino Linotype" w:eastAsia="Palatino Linotype" w:cs="Times New Roman"/>
          <w:kern w:val="0"/>
          <w14:ligatures w14:val="none"/>
        </w:rPr>
      </w:pPr>
    </w:p>
    <w:p w:rsidR="00036C6D" w:rsidP="00036C6D" w:rsidRDefault="00B36B2C" w14:paraId="7E678CDE" w14:textId="242AD57C">
      <w:pPr>
        <w:spacing w:line="240" w:lineRule="auto"/>
        <w:rPr>
          <w:rFonts w:ascii="Palatino Linotype" w:hAnsi="Palatino Linotype" w:eastAsia="Aptos" w:cs="Times New Roman"/>
        </w:rPr>
      </w:pPr>
      <w:r w:rsidRPr="00B36B2C">
        <w:rPr>
          <w:rFonts w:ascii="Palatino Linotype" w:hAnsi="Palatino Linotype" w:eastAsia="Palatino Linotype" w:cs="Times New Roman"/>
          <w:kern w:val="0"/>
          <w14:ligatures w14:val="none"/>
        </w:rPr>
        <w:t>The standard BARC framework</w:t>
      </w:r>
      <w:r w:rsidR="00D8129A">
        <w:rPr>
          <w:rFonts w:ascii="Palatino Linotype" w:hAnsi="Palatino Linotype" w:eastAsia="Palatino Linotype" w:cs="Times New Roman"/>
          <w:kern w:val="0"/>
          <w14:ligatures w14:val="none"/>
        </w:rPr>
        <w:t xml:space="preserve">, </w:t>
      </w:r>
      <w:r w:rsidR="008906AA">
        <w:rPr>
          <w:rFonts w:ascii="Palatino Linotype" w:hAnsi="Palatino Linotype" w:eastAsia="Palatino Linotype" w:cs="Times New Roman"/>
          <w:kern w:val="0"/>
          <w14:ligatures w14:val="none"/>
        </w:rPr>
        <w:t>described in the background section above,</w:t>
      </w:r>
      <w:r w:rsidRPr="00B36B2C">
        <w:rPr>
          <w:rFonts w:ascii="Palatino Linotype" w:hAnsi="Palatino Linotype" w:eastAsia="Palatino Linotype" w:cs="Times New Roman"/>
          <w:kern w:val="0"/>
          <w14:ligatures w14:val="none"/>
        </w:rPr>
        <w:t xml:space="preserve"> is designed to refund certain advanced energization costs over time </w:t>
      </w:r>
      <w:r w:rsidR="00D8129A">
        <w:rPr>
          <w:rFonts w:ascii="Palatino Linotype" w:hAnsi="Palatino Linotype" w:eastAsia="Palatino Linotype" w:cs="Times New Roman"/>
          <w:kern w:val="0"/>
          <w14:ligatures w14:val="none"/>
        </w:rPr>
        <w:t>based on the net revenue</w:t>
      </w:r>
      <w:r w:rsidR="008906AA">
        <w:rPr>
          <w:rFonts w:ascii="Palatino Linotype" w:hAnsi="Palatino Linotype" w:eastAsia="Palatino Linotype" w:cs="Times New Roman"/>
          <w:kern w:val="0"/>
          <w14:ligatures w14:val="none"/>
        </w:rPr>
        <w:t xml:space="preserve"> the</w:t>
      </w:r>
      <w:r w:rsidRPr="00B36B2C">
        <w:rPr>
          <w:rFonts w:ascii="Palatino Linotype" w:hAnsi="Palatino Linotype" w:eastAsia="Palatino Linotype" w:cs="Times New Roman"/>
          <w:kern w:val="0"/>
          <w14:ligatures w14:val="none"/>
        </w:rPr>
        <w:t xml:space="preserve"> utility receives </w:t>
      </w:r>
      <w:r w:rsidR="008906AA">
        <w:rPr>
          <w:rFonts w:ascii="Palatino Linotype" w:hAnsi="Palatino Linotype" w:eastAsia="Palatino Linotype" w:cs="Times New Roman"/>
          <w:kern w:val="0"/>
          <w14:ligatures w14:val="none"/>
        </w:rPr>
        <w:t>from</w:t>
      </w:r>
      <w:r w:rsidRPr="00B36B2C">
        <w:rPr>
          <w:rFonts w:ascii="Palatino Linotype" w:hAnsi="Palatino Linotype" w:eastAsia="Palatino Linotype" w:cs="Times New Roman"/>
          <w:kern w:val="0"/>
          <w14:ligatures w14:val="none"/>
        </w:rPr>
        <w:t xml:space="preserve"> the customer. </w:t>
      </w:r>
      <w:r w:rsidR="00EB1BAC">
        <w:rPr>
          <w:rFonts w:ascii="Palatino Linotype" w:hAnsi="Palatino Linotype" w:eastAsia="Aptos" w:cs="Times New Roman"/>
        </w:rPr>
        <w:t>This framework is</w:t>
      </w:r>
      <w:r w:rsidRPr="008D1A97" w:rsidR="00036C6D">
        <w:rPr>
          <w:rFonts w:ascii="Palatino Linotype" w:hAnsi="Palatino Linotype" w:eastAsia="Aptos" w:cs="Times New Roman"/>
        </w:rPr>
        <w:t xml:space="preserve"> intended to guide cost responsibility and refunds for distribution-level </w:t>
      </w:r>
      <w:r w:rsidR="00036C6D">
        <w:rPr>
          <w:rFonts w:ascii="Palatino Linotype" w:hAnsi="Palatino Linotype" w:eastAsia="Aptos" w:cs="Times New Roman"/>
        </w:rPr>
        <w:t>energization</w:t>
      </w:r>
      <w:r w:rsidRPr="409E471F" w:rsidR="00036C6D">
        <w:rPr>
          <w:rFonts w:ascii="Palatino Linotype" w:hAnsi="Palatino Linotype" w:eastAsia="Aptos" w:cs="Times New Roman"/>
        </w:rPr>
        <w:t>, and</w:t>
      </w:r>
      <w:r w:rsidR="00EB1BAC">
        <w:rPr>
          <w:rFonts w:ascii="Palatino Linotype" w:hAnsi="Palatino Linotype" w:eastAsia="Aptos" w:cs="Times New Roman"/>
        </w:rPr>
        <w:t xml:space="preserve"> it</w:t>
      </w:r>
      <w:r w:rsidRPr="008D1A97" w:rsidR="00036C6D">
        <w:rPr>
          <w:rFonts w:ascii="Palatino Linotype" w:hAnsi="Palatino Linotype" w:eastAsia="Aptos" w:cs="Times New Roman"/>
        </w:rPr>
        <w:t xml:space="preserve"> </w:t>
      </w:r>
      <w:r w:rsidRPr="409E471F" w:rsidR="00036C6D">
        <w:rPr>
          <w:rFonts w:ascii="Palatino Linotype" w:hAnsi="Palatino Linotype" w:eastAsia="Aptos" w:cs="Times New Roman"/>
        </w:rPr>
        <w:t>do</w:t>
      </w:r>
      <w:r w:rsidR="00EB1BAC">
        <w:rPr>
          <w:rFonts w:ascii="Palatino Linotype" w:hAnsi="Palatino Linotype" w:eastAsia="Aptos" w:cs="Times New Roman"/>
        </w:rPr>
        <w:t>es</w:t>
      </w:r>
      <w:r w:rsidRPr="409E471F" w:rsidR="00036C6D">
        <w:rPr>
          <w:rFonts w:ascii="Palatino Linotype" w:hAnsi="Palatino Linotype" w:eastAsia="Aptos" w:cs="Times New Roman"/>
        </w:rPr>
        <w:t xml:space="preserve"> </w:t>
      </w:r>
      <w:r w:rsidRPr="008D1A97" w:rsidR="00036C6D">
        <w:rPr>
          <w:rFonts w:ascii="Palatino Linotype" w:hAnsi="Palatino Linotype" w:eastAsia="Aptos" w:cs="Times New Roman"/>
        </w:rPr>
        <w:t>provide a workable framework for typical customer loads</w:t>
      </w:r>
      <w:r w:rsidRPr="409E471F" w:rsidR="00036C6D">
        <w:rPr>
          <w:rFonts w:ascii="Palatino Linotype" w:hAnsi="Palatino Linotype" w:eastAsia="Aptos" w:cs="Times New Roman"/>
        </w:rPr>
        <w:t>. However</w:t>
      </w:r>
      <w:r w:rsidRPr="008D1A97" w:rsidR="00036C6D">
        <w:rPr>
          <w:rFonts w:ascii="Palatino Linotype" w:hAnsi="Palatino Linotype" w:eastAsia="Aptos" w:cs="Times New Roman"/>
        </w:rPr>
        <w:t xml:space="preserve">, </w:t>
      </w:r>
      <w:r w:rsidR="00036C6D">
        <w:rPr>
          <w:rFonts w:ascii="Palatino Linotype" w:hAnsi="Palatino Linotype" w:eastAsia="Aptos" w:cs="Times New Roman"/>
        </w:rPr>
        <w:t xml:space="preserve">considering the size of </w:t>
      </w:r>
      <w:r w:rsidR="005C7802">
        <w:rPr>
          <w:rFonts w:ascii="Palatino Linotype" w:hAnsi="Palatino Linotype" w:eastAsia="Aptos" w:cs="Times New Roman"/>
        </w:rPr>
        <w:t>Google’s request</w:t>
      </w:r>
      <w:r w:rsidR="00036C6D">
        <w:rPr>
          <w:rFonts w:ascii="Palatino Linotype" w:hAnsi="Palatino Linotype" w:eastAsia="Aptos" w:cs="Times New Roman"/>
        </w:rPr>
        <w:t xml:space="preserve"> and scope of</w:t>
      </w:r>
      <w:r w:rsidRPr="008D1A97" w:rsidR="00036C6D">
        <w:rPr>
          <w:rFonts w:ascii="Palatino Linotype" w:hAnsi="Palatino Linotype" w:eastAsia="Aptos" w:cs="Times New Roman"/>
        </w:rPr>
        <w:t xml:space="preserve"> transmission-level </w:t>
      </w:r>
      <w:r w:rsidR="00036C6D">
        <w:rPr>
          <w:rFonts w:ascii="Palatino Linotype" w:hAnsi="Palatino Linotype" w:eastAsia="Aptos" w:cs="Times New Roman"/>
        </w:rPr>
        <w:t xml:space="preserve">work required to energize the </w:t>
      </w:r>
      <w:r w:rsidRPr="008D1A97" w:rsidR="00036C6D">
        <w:rPr>
          <w:rFonts w:ascii="Palatino Linotype" w:hAnsi="Palatino Linotype" w:eastAsia="Aptos" w:cs="Times New Roman"/>
        </w:rPr>
        <w:t>project</w:t>
      </w:r>
      <w:r w:rsidR="005C7802">
        <w:rPr>
          <w:rFonts w:ascii="Palatino Linotype" w:hAnsi="Palatino Linotype" w:eastAsia="Aptos" w:cs="Times New Roman"/>
        </w:rPr>
        <w:t>,</w:t>
      </w:r>
      <w:r w:rsidR="00036C6D">
        <w:rPr>
          <w:rFonts w:ascii="Palatino Linotype" w:hAnsi="Palatino Linotype" w:eastAsia="Aptos" w:cs="Times New Roman"/>
        </w:rPr>
        <w:t xml:space="preserve"> additional customer protection is necessary to avoid </w:t>
      </w:r>
      <w:r w:rsidR="00332E52">
        <w:rPr>
          <w:rFonts w:ascii="Palatino Linotype" w:hAnsi="Palatino Linotype" w:eastAsia="Aptos" w:cs="Times New Roman"/>
        </w:rPr>
        <w:t>risks</w:t>
      </w:r>
      <w:r w:rsidR="00036C6D">
        <w:rPr>
          <w:rFonts w:ascii="Palatino Linotype" w:hAnsi="Palatino Linotype" w:eastAsia="Aptos" w:cs="Times New Roman"/>
        </w:rPr>
        <w:t xml:space="preserve"> to ratepayers if the anticipated revenue for the project does not materialize</w:t>
      </w:r>
      <w:r w:rsidRPr="008D1A97" w:rsidR="00036C6D">
        <w:rPr>
          <w:rFonts w:ascii="Palatino Linotype" w:hAnsi="Palatino Linotype" w:eastAsia="Aptos" w:cs="Times New Roman"/>
        </w:rPr>
        <w:t>.</w:t>
      </w:r>
      <w:r w:rsidR="00036C6D">
        <w:rPr>
          <w:rFonts w:ascii="Palatino Linotype" w:hAnsi="Palatino Linotype" w:eastAsia="Aptos" w:cs="Times New Roman"/>
        </w:rPr>
        <w:t xml:space="preserve"> </w:t>
      </w:r>
    </w:p>
    <w:p w:rsidR="00036C6D" w:rsidP="00036C6D" w:rsidRDefault="00036C6D" w14:paraId="2C10CC5A" w14:textId="7718ECEF">
      <w:pPr>
        <w:spacing w:after="0" w:line="240" w:lineRule="auto"/>
        <w:contextualSpacing/>
        <w:rPr>
          <w:rFonts w:ascii="Palatino Linotype" w:hAnsi="Palatino Linotype" w:eastAsia="Palatino Linotype" w:cs="Times New Roman"/>
          <w:kern w:val="0"/>
          <w14:ligatures w14:val="none"/>
        </w:rPr>
      </w:pPr>
      <w:r w:rsidRPr="13F3B869">
        <w:rPr>
          <w:rFonts w:ascii="Palatino Linotype" w:hAnsi="Palatino Linotype" w:eastAsia="Aptos" w:cs="Times New Roman"/>
        </w:rPr>
        <w:t xml:space="preserve">As noted above, the BARC process provides the refunds based on expected future revenues from the customer, meaning PG&amp;E could refund </w:t>
      </w:r>
      <w:r w:rsidR="005C7802">
        <w:rPr>
          <w:rFonts w:ascii="Palatino Linotype" w:hAnsi="Palatino Linotype" w:eastAsia="Aptos" w:cs="Times New Roman"/>
        </w:rPr>
        <w:t>Google</w:t>
      </w:r>
      <w:r w:rsidRPr="13F3B869">
        <w:rPr>
          <w:rFonts w:ascii="Palatino Linotype" w:hAnsi="Palatino Linotype" w:eastAsia="Aptos" w:cs="Times New Roman"/>
        </w:rPr>
        <w:t xml:space="preserve"> for the costs of energization well before net revenues from </w:t>
      </w:r>
      <w:r w:rsidR="005C7802">
        <w:rPr>
          <w:rFonts w:ascii="Palatino Linotype" w:hAnsi="Palatino Linotype" w:eastAsia="Aptos" w:cs="Times New Roman"/>
        </w:rPr>
        <w:t>Google</w:t>
      </w:r>
      <w:r w:rsidRPr="13F3B869">
        <w:rPr>
          <w:rFonts w:ascii="Palatino Linotype" w:hAnsi="Palatino Linotype" w:eastAsia="Aptos" w:cs="Times New Roman"/>
        </w:rPr>
        <w:t xml:space="preserve"> </w:t>
      </w:r>
      <w:proofErr w:type="gramStart"/>
      <w:r w:rsidRPr="13F3B869">
        <w:rPr>
          <w:rFonts w:ascii="Palatino Linotype" w:hAnsi="Palatino Linotype" w:eastAsia="Aptos" w:cs="Times New Roman"/>
        </w:rPr>
        <w:t>actually cover</w:t>
      </w:r>
      <w:proofErr w:type="gramEnd"/>
      <w:r w:rsidRPr="13F3B869">
        <w:rPr>
          <w:rFonts w:ascii="Palatino Linotype" w:hAnsi="Palatino Linotype" w:eastAsia="Aptos" w:cs="Times New Roman"/>
        </w:rPr>
        <w:t xml:space="preserve"> th</w:t>
      </w:r>
      <w:r>
        <w:rPr>
          <w:rFonts w:ascii="Palatino Linotype" w:hAnsi="Palatino Linotype" w:eastAsia="Aptos" w:cs="Times New Roman"/>
        </w:rPr>
        <w:t>e</w:t>
      </w:r>
      <w:r w:rsidRPr="13F3B869">
        <w:rPr>
          <w:rFonts w:ascii="Palatino Linotype" w:hAnsi="Palatino Linotype" w:eastAsia="Aptos" w:cs="Times New Roman"/>
        </w:rPr>
        <w:t xml:space="preserve"> </w:t>
      </w:r>
      <w:r>
        <w:rPr>
          <w:rFonts w:ascii="Palatino Linotype" w:hAnsi="Palatino Linotype" w:eastAsia="Aptos" w:cs="Times New Roman"/>
        </w:rPr>
        <w:t xml:space="preserve">upfront </w:t>
      </w:r>
      <w:r w:rsidRPr="13F3B869">
        <w:rPr>
          <w:rFonts w:ascii="Palatino Linotype" w:hAnsi="Palatino Linotype" w:eastAsia="Aptos" w:cs="Times New Roman"/>
        </w:rPr>
        <w:t>costs</w:t>
      </w:r>
      <w:r>
        <w:rPr>
          <w:rFonts w:ascii="Palatino Linotype" w:hAnsi="Palatino Linotype" w:eastAsia="Aptos" w:cs="Times New Roman"/>
        </w:rPr>
        <w:t xml:space="preserve"> of</w:t>
      </w:r>
      <w:r w:rsidR="00332E52">
        <w:rPr>
          <w:rFonts w:ascii="Palatino Linotype" w:hAnsi="Palatino Linotype" w:eastAsia="Aptos" w:cs="Times New Roman"/>
        </w:rPr>
        <w:t xml:space="preserve"> its </w:t>
      </w:r>
      <w:r>
        <w:rPr>
          <w:rFonts w:ascii="Palatino Linotype" w:hAnsi="Palatino Linotype" w:eastAsia="Aptos" w:cs="Times New Roman"/>
        </w:rPr>
        <w:t>energiz</w:t>
      </w:r>
      <w:r w:rsidR="00332E52">
        <w:rPr>
          <w:rFonts w:ascii="Palatino Linotype" w:hAnsi="Palatino Linotype" w:eastAsia="Aptos" w:cs="Times New Roman"/>
        </w:rPr>
        <w:t>ation</w:t>
      </w:r>
      <w:r w:rsidRPr="13F3B869">
        <w:rPr>
          <w:rFonts w:ascii="Palatino Linotype" w:hAnsi="Palatino Linotype" w:eastAsia="Aptos" w:cs="Times New Roman"/>
        </w:rPr>
        <w:t xml:space="preserve">. In a typical distribution setting, this assumption of recovery is </w:t>
      </w:r>
      <w:r>
        <w:rPr>
          <w:rFonts w:ascii="Palatino Linotype" w:hAnsi="Palatino Linotype" w:eastAsia="Aptos" w:cs="Times New Roman"/>
        </w:rPr>
        <w:t>sufficient</w:t>
      </w:r>
      <w:r w:rsidRPr="13F3B869">
        <w:rPr>
          <w:rFonts w:ascii="Palatino Linotype" w:hAnsi="Palatino Linotype" w:eastAsia="Aptos" w:cs="Times New Roman"/>
        </w:rPr>
        <w:t xml:space="preserve">, as </w:t>
      </w:r>
      <w:r>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Pr>
          <w:rFonts w:ascii="Palatino Linotype" w:hAnsi="Palatino Linotype" w:eastAsia="Aptos" w:cs="Times New Roman"/>
        </w:rPr>
        <w:t xml:space="preserve">, (2) </w:t>
      </w:r>
      <w:r w:rsidRP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Pr>
          <w:rFonts w:ascii="Palatino Linotype" w:hAnsi="Palatino Linotype" w:eastAsia="Aptos" w:cs="Times New Roman"/>
        </w:rPr>
        <w:t xml:space="preserve"> (3) the expectations of future revenue are based on many years of experience with similar customers.</w:t>
      </w:r>
      <w:r w:rsidRPr="13F3B869">
        <w:rPr>
          <w:rFonts w:ascii="Palatino Linotype" w:hAnsi="Palatino Linotype" w:eastAsia="Aptos" w:cs="Times New Roman"/>
        </w:rPr>
        <w:t xml:space="preserve"> </w:t>
      </w:r>
      <w:r>
        <w:rPr>
          <w:rFonts w:ascii="Palatino Linotype" w:hAnsi="Palatino Linotype" w:eastAsia="Aptos" w:cs="Times New Roman"/>
        </w:rPr>
        <w:t xml:space="preserve">By contrast, in the case of </w:t>
      </w:r>
      <w:r w:rsidR="005C7802">
        <w:rPr>
          <w:rFonts w:ascii="Palatino Linotype" w:hAnsi="Palatino Linotype" w:eastAsia="Aptos" w:cs="Times New Roman"/>
        </w:rPr>
        <w:t>Google</w:t>
      </w:r>
      <w:r>
        <w:rPr>
          <w:rFonts w:ascii="Palatino Linotype" w:hAnsi="Palatino Linotype" w:eastAsia="Aptos" w:cs="Times New Roman"/>
        </w:rPr>
        <w:t xml:space="preserve">, </w:t>
      </w:r>
      <w:r w:rsidR="0030610D">
        <w:rPr>
          <w:rFonts w:ascii="Palatino Linotype" w:hAnsi="Palatino Linotype" w:eastAsia="Aptos" w:cs="Times New Roman"/>
        </w:rPr>
        <w:br/>
      </w:r>
      <w:r>
        <w:rPr>
          <w:rFonts w:ascii="Palatino Linotype" w:hAnsi="Palatino Linotype" w:eastAsia="Aptos" w:cs="Times New Roman"/>
        </w:rPr>
        <w:t xml:space="preserve">(1) the refundable amount is much larger, (2) </w:t>
      </w:r>
      <w:r w:rsidR="005C7802">
        <w:rPr>
          <w:rFonts w:ascii="Palatino Linotype" w:hAnsi="Palatino Linotype" w:eastAsia="Aptos" w:cs="Times New Roman"/>
        </w:rPr>
        <w:t>Google</w:t>
      </w:r>
      <w:r>
        <w:rPr>
          <w:rFonts w:ascii="Palatino Linotype" w:hAnsi="Palatino Linotype" w:eastAsia="Aptos" w:cs="Times New Roman"/>
        </w:rPr>
        <w:t xml:space="preserve"> as a customer is both large and unique enough that if sufficient revenue is not generated then it would present risk to ratepayers (in other words, there are not thousands of other similar customers to balance out </w:t>
      </w:r>
      <w:r w:rsidR="005C7802">
        <w:rPr>
          <w:rFonts w:ascii="Palatino Linotype" w:hAnsi="Palatino Linotype" w:eastAsia="Aptos" w:cs="Times New Roman"/>
        </w:rPr>
        <w:t>Google</w:t>
      </w:r>
      <w:r>
        <w:rPr>
          <w:rFonts w:ascii="Palatino Linotype" w:hAnsi="Palatino Linotype" w:eastAsia="Aptos" w:cs="Times New Roman"/>
        </w:rPr>
        <w:t xml:space="preserve">’s revenue deficit), and (3) expectations of future revenue are uncertain and based on little historical experience. Together, these differences indicate that the energization of </w:t>
      </w:r>
      <w:r w:rsidR="00DB54A8">
        <w:rPr>
          <w:rFonts w:ascii="Palatino Linotype" w:hAnsi="Palatino Linotype" w:eastAsia="Aptos" w:cs="Times New Roman"/>
        </w:rPr>
        <w:t>Google</w:t>
      </w:r>
      <w:r>
        <w:rPr>
          <w:rFonts w:ascii="Palatino Linotype" w:hAnsi="Palatino Linotype" w:eastAsia="Aptos" w:cs="Times New Roman"/>
        </w:rPr>
        <w:t xml:space="preserve"> presents a higher risk of stranded costs should revenue not materialize.</w:t>
      </w:r>
    </w:p>
    <w:p w:rsidR="00036C6D" w:rsidP="00B36B2C" w:rsidRDefault="00036C6D" w14:paraId="0E0F5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D399B38" w14:textId="6FD0B7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purposes of this </w:t>
      </w:r>
      <w:r w:rsidR="00DB54A8">
        <w:rPr>
          <w:rFonts w:ascii="Palatino Linotype" w:hAnsi="Palatino Linotype" w:eastAsia="Palatino Linotype" w:cs="Times New Roman"/>
          <w:kern w:val="0"/>
          <w14:ligatures w14:val="none"/>
        </w:rPr>
        <w:t>Resolution</w:t>
      </w:r>
      <w:r w:rsidRPr="00B36B2C">
        <w:rPr>
          <w:rFonts w:ascii="Palatino Linotype" w:hAnsi="Palatino Linotype" w:eastAsia="Palatino Linotype" w:cs="Times New Roman"/>
          <w:kern w:val="0"/>
          <w14:ligatures w14:val="none"/>
        </w:rPr>
        <w:t xml:space="preserve">, </w:t>
      </w:r>
      <w:r w:rsidR="003A06F1">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annual net revenues” means the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the customer associated with the transmission</w:t>
      </w:r>
      <w:r w:rsidR="003A06F1">
        <w:rPr>
          <w:rFonts w:ascii="Palatino Linotype" w:hAnsi="Palatino Linotype" w:eastAsia="Palatino Linotype" w:cs="Times New Roman"/>
          <w:kern w:val="0"/>
          <w14:ligatures w14:val="none"/>
        </w:rPr>
        <w:t xml:space="preserve"> component of the </w:t>
      </w:r>
      <w:r w:rsidR="003A06F1">
        <w:rPr>
          <w:rFonts w:ascii="Palatino Linotype" w:hAnsi="Palatino Linotype" w:eastAsia="Palatino Linotype" w:cs="Times New Roman"/>
          <w:kern w:val="0"/>
          <w14:ligatures w14:val="none"/>
        </w:rPr>
        <w:lastRenderedPageBreak/>
        <w:t>customer’s rates</w:t>
      </w:r>
      <w:r w:rsidRPr="00B36B2C">
        <w:rPr>
          <w:rFonts w:ascii="Palatino Linotype" w:hAnsi="Palatino Linotype" w:eastAsia="Palatino Linotype" w:cs="Times New Roman"/>
          <w:kern w:val="0"/>
          <w14:ligatures w14:val="none"/>
        </w:rPr>
        <w:t xml:space="preserve">. Limiting refunds to a percentage of annual net revenues ensures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 realized revenue, </w:t>
      </w:r>
      <w:r w:rsidR="003A06F1">
        <w:rPr>
          <w:rFonts w:ascii="Palatino Linotype" w:hAnsi="Palatino Linotype" w:eastAsia="Palatino Linotype" w:cs="Times New Roman"/>
          <w:kern w:val="0"/>
          <w14:ligatures w14:val="none"/>
        </w:rPr>
        <w:t>reducing risks for ratepayers</w:t>
      </w:r>
      <w:r w:rsidRPr="00B36B2C">
        <w:rPr>
          <w:rFonts w:ascii="Palatino Linotype" w:hAnsi="Palatino Linotype" w:eastAsia="Palatino Linotype" w:cs="Times New Roman"/>
          <w:kern w:val="0"/>
          <w14:ligatures w14:val="none"/>
        </w:rPr>
        <w:t>.</w:t>
      </w:r>
    </w:p>
    <w:p w:rsidR="003A06F1" w:rsidP="00B36B2C" w:rsidRDefault="003A06F1" w14:paraId="298AFE45" w14:textId="77777777">
      <w:pPr>
        <w:spacing w:after="0" w:line="240" w:lineRule="auto"/>
        <w:contextualSpacing/>
        <w:rPr>
          <w:rFonts w:ascii="Palatino Linotype" w:hAnsi="Palatino Linotype" w:eastAsia="Palatino Linotype" w:cs="Times New Roman"/>
          <w:kern w:val="0"/>
          <w14:ligatures w14:val="none"/>
        </w:rPr>
      </w:pPr>
    </w:p>
    <w:p w:rsidR="00B36B2C" w:rsidP="003F65C2" w:rsidRDefault="00B36B2C" w14:paraId="0A90245B" w14:textId="43CB96C9">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w:t>
      </w:r>
      <w:r w:rsidR="003A06F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argu</w:t>
      </w:r>
      <w:r w:rsidR="003A06F1">
        <w:rPr>
          <w:rFonts w:ascii="Palatino Linotype" w:hAnsi="Palatino Linotype" w:eastAsia="Palatino Linotype" w:cs="Times New Roman"/>
          <w:kern w:val="0"/>
          <w14:ligatures w14:val="none"/>
        </w:rPr>
        <w:t xml:space="preserve">es </w:t>
      </w:r>
      <w:r w:rsidRPr="00B36B2C">
        <w:rPr>
          <w:rFonts w:ascii="Palatino Linotype" w:hAnsi="Palatino Linotype" w:eastAsia="Palatino Linotype" w:cs="Times New Roman"/>
          <w:kern w:val="0"/>
          <w14:ligatures w14:val="none"/>
        </w:rPr>
        <w:t>that the refund methodology should recognize broader transmission system costs associated with connecting this new, very large transmission-level load</w:t>
      </w:r>
      <w:r w:rsidR="008F351A">
        <w:rPr>
          <w:rFonts w:ascii="Palatino Linotype" w:hAnsi="Palatino Linotype" w:eastAsia="Palatino Linotype" w:cs="Times New Roman"/>
          <w:kern w:val="0"/>
          <w14:ligatures w14:val="none"/>
        </w:rPr>
        <w:t>, such as</w:t>
      </w:r>
      <w:r w:rsidRPr="00B36B2C">
        <w:rPr>
          <w:rFonts w:ascii="Palatino Linotype" w:hAnsi="Palatino Linotype" w:eastAsia="Palatino Linotype" w:cs="Times New Roman"/>
          <w:kern w:val="0"/>
          <w14:ligatures w14:val="none"/>
        </w:rPr>
        <w:t xml:space="preserve"> LS Power’s Newark</w:t>
      </w:r>
      <w:r w:rsidR="00686221">
        <w:rPr>
          <w:rFonts w:ascii="Palatino Linotype" w:hAnsi="Palatino Linotype" w:eastAsia="Palatino Linotype" w:cs="Times New Roman"/>
          <w:kern w:val="0"/>
          <w14:ligatures w14:val="none"/>
        </w:rPr>
        <w:t>-NRS</w:t>
      </w:r>
      <w:r w:rsidRPr="00B36B2C">
        <w:rPr>
          <w:rFonts w:ascii="Palatino Linotype" w:hAnsi="Palatino Linotype" w:eastAsia="Palatino Linotype" w:cs="Times New Roman"/>
          <w:kern w:val="0"/>
          <w14:ligatures w14:val="none"/>
        </w:rPr>
        <w:t xml:space="preserve"> 230 kV transmission line</w:t>
      </w:r>
      <w:r w:rsidR="008F351A">
        <w:rPr>
          <w:rFonts w:ascii="Palatino Linotype" w:hAnsi="Palatino Linotype" w:eastAsia="Palatino Linotype" w:cs="Times New Roman"/>
          <w:kern w:val="0"/>
          <w14:ligatures w14:val="none"/>
        </w:rPr>
        <w:t xml:space="preserve"> discussed above.</w:t>
      </w:r>
      <w:r w:rsidR="004D5797">
        <w:rPr>
          <w:rFonts w:ascii="Palatino Linotype" w:hAnsi="Palatino Linotype" w:eastAsia="Palatino Linotype" w:cs="Times New Roman"/>
          <w:kern w:val="0"/>
          <w14:ligatures w14:val="none"/>
        </w:rPr>
        <w:t xml:space="preserve"> However, given the requirement </w:t>
      </w:r>
      <w:r w:rsidR="00D56F9C">
        <w:rPr>
          <w:rFonts w:ascii="Palatino Linotype" w:hAnsi="Palatino Linotype" w:eastAsia="Palatino Linotype" w:cs="Times New Roman"/>
          <w:kern w:val="0"/>
          <w14:ligatures w14:val="none"/>
        </w:rPr>
        <w:t xml:space="preserve">for </w:t>
      </w:r>
      <w:proofErr w:type="gramStart"/>
      <w:r w:rsidR="00DE55CA">
        <w:rPr>
          <w:rFonts w:ascii="Palatino Linotype" w:hAnsi="Palatino Linotype" w:eastAsia="Palatino Linotype" w:cs="Times New Roman"/>
          <w:kern w:val="0"/>
          <w14:ligatures w14:val="none"/>
        </w:rPr>
        <w:t>an additional</w:t>
      </w:r>
      <w:proofErr w:type="gramEnd"/>
      <w:r w:rsidR="00DE55CA">
        <w:rPr>
          <w:rFonts w:ascii="Palatino Linotype" w:hAnsi="Palatino Linotype" w:eastAsia="Palatino Linotype" w:cs="Times New Roman"/>
          <w:kern w:val="0"/>
          <w14:ligatures w14:val="none"/>
        </w:rPr>
        <w:t xml:space="preserve"> capital advance</w:t>
      </w:r>
      <w:r w:rsidR="003F65C2">
        <w:rPr>
          <w:rFonts w:ascii="Palatino Linotype" w:hAnsi="Palatino Linotype" w:eastAsia="Palatino Linotype" w:cs="Times New Roman"/>
          <w:kern w:val="0"/>
          <w14:ligatures w14:val="none"/>
        </w:rPr>
        <w:t xml:space="preserve">, </w:t>
      </w:r>
      <w:r w:rsidR="00E706F0">
        <w:rPr>
          <w:rFonts w:ascii="Palatino Linotype" w:hAnsi="Palatino Linotype" w:eastAsia="Palatino Linotype" w:cs="Times New Roman"/>
          <w:kern w:val="0"/>
          <w14:ligatures w14:val="none"/>
        </w:rPr>
        <w:t xml:space="preserve">there is not a need to </w:t>
      </w:r>
      <w:proofErr w:type="gramStart"/>
      <w:r w:rsidR="00E706F0">
        <w:rPr>
          <w:rFonts w:ascii="Palatino Linotype" w:hAnsi="Palatino Linotype" w:eastAsia="Palatino Linotype" w:cs="Times New Roman"/>
          <w:kern w:val="0"/>
          <w14:ligatures w14:val="none"/>
        </w:rPr>
        <w:t>further limit</w:t>
      </w:r>
      <w:proofErr w:type="gramEnd"/>
      <w:r w:rsidR="00E706F0">
        <w:rPr>
          <w:rFonts w:ascii="Palatino Linotype" w:hAnsi="Palatino Linotype" w:eastAsia="Palatino Linotype" w:cs="Times New Roman"/>
          <w:kern w:val="0"/>
          <w14:ligatures w14:val="none"/>
        </w:rPr>
        <w:t xml:space="preserve"> refunds </w:t>
      </w:r>
      <w:r w:rsidR="00C31B0C">
        <w:rPr>
          <w:rFonts w:ascii="Palatino Linotype" w:hAnsi="Palatino Linotype" w:eastAsia="Palatino Linotype" w:cs="Times New Roman"/>
          <w:kern w:val="0"/>
          <w14:ligatures w14:val="none"/>
        </w:rPr>
        <w:t>beyond the net revenue amount</w:t>
      </w:r>
      <w:r w:rsidR="002F5FB0">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r w:rsidR="00F52BB3">
        <w:rPr>
          <w:rStyle w:val="FootnoteReference"/>
          <w:rFonts w:ascii="Palatino Linotype" w:hAnsi="Palatino Linotype" w:eastAsia="Palatino Linotype" w:cs="Times New Roman"/>
          <w:kern w:val="0"/>
          <w14:ligatures w14:val="none"/>
        </w:rPr>
        <w:footnoteReference w:id="18"/>
      </w:r>
      <w:r w:rsidRPr="00B36B2C">
        <w:rPr>
          <w:rFonts w:ascii="Palatino Linotype" w:hAnsi="Palatino Linotype" w:eastAsia="Palatino Linotype" w:cs="Times New Roman"/>
          <w:kern w:val="0"/>
          <w14:ligatures w14:val="none"/>
        </w:rPr>
        <w:t xml:space="preserve"> </w:t>
      </w:r>
    </w:p>
    <w:p w:rsidRPr="00B36B2C" w:rsidR="00D40DC3" w:rsidP="00B36B2C" w:rsidRDefault="00D40DC3" w14:paraId="64A268C9"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AC62884" w14:textId="5F37A1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these reasons, limiting annual refunds to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of annual net revenues appropriately balances customer refund</w:t>
      </w:r>
      <w:r w:rsidR="00C56021">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xml:space="preserve"> with ratepayer protection. The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limit paces </w:t>
      </w:r>
      <w:proofErr w:type="gramStart"/>
      <w:r w:rsidRPr="00B36B2C">
        <w:rPr>
          <w:rFonts w:ascii="Palatino Linotype" w:hAnsi="Palatino Linotype" w:eastAsia="Palatino Linotype" w:cs="Times New Roman"/>
          <w:kern w:val="0"/>
          <w14:ligatures w14:val="none"/>
        </w:rPr>
        <w:t>refunds</w:t>
      </w:r>
      <w:proofErr w:type="gramEnd"/>
      <w:r w:rsidRPr="00B36B2C">
        <w:rPr>
          <w:rFonts w:ascii="Palatino Linotype" w:hAnsi="Palatino Linotype" w:eastAsia="Palatino Linotype" w:cs="Times New Roman"/>
          <w:kern w:val="0"/>
          <w14:ligatures w14:val="none"/>
        </w:rPr>
        <w:t xml:space="preserve"> to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—reducing stranded-cost risk if load drops materially after initial years of operation. </w:t>
      </w:r>
    </w:p>
    <w:p w:rsidRPr="00B36B2C" w:rsidR="00D40DC3" w:rsidP="00B36B2C" w:rsidRDefault="00D40DC3" w14:paraId="34C484E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31B0C" w14:paraId="7F0D2B36" w14:textId="7464823F">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w:t>
      </w:r>
      <w:r w:rsidRPr="00B36B2C" w:rsidR="00B36B2C">
        <w:rPr>
          <w:rFonts w:ascii="Palatino Linotype" w:hAnsi="Palatino Linotype" w:eastAsia="Palatino Linotype" w:cs="Times New Roman"/>
          <w:kern w:val="0"/>
          <w14:ligatures w14:val="none"/>
        </w:rPr>
        <w:t>he underlying risk and the policy concern</w:t>
      </w:r>
      <w:r w:rsidR="009C5A3F">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are substantially similar</w:t>
      </w:r>
      <w:r>
        <w:rPr>
          <w:rFonts w:ascii="Palatino Linotype" w:hAnsi="Palatino Linotype" w:eastAsia="Palatino Linotype" w:cs="Times New Roman"/>
          <w:kern w:val="0"/>
          <w14:ligatures w14:val="none"/>
        </w:rPr>
        <w:t xml:space="preserve"> to</w:t>
      </w:r>
      <w:r w:rsidR="009C5A3F">
        <w:rPr>
          <w:rFonts w:ascii="Palatino Linotype" w:hAnsi="Palatino Linotype" w:eastAsia="Palatino Linotype" w:cs="Times New Roman"/>
          <w:kern w:val="0"/>
          <w14:ligatures w14:val="none"/>
        </w:rPr>
        <w:t xml:space="preserve"> those in Resolutions E-5420 and E-5439</w:t>
      </w:r>
      <w:r w:rsidR="00003CD2">
        <w:rPr>
          <w:rFonts w:ascii="Palatino Linotype" w:hAnsi="Palatino Linotype" w:eastAsia="Palatino Linotype" w:cs="Times New Roman"/>
          <w:kern w:val="0"/>
          <w14:ligatures w14:val="none"/>
        </w:rPr>
        <w:t>. Given this similarity, brought up by Cal Advocates in its protest</w:t>
      </w:r>
      <w:r w:rsidRPr="00B36B2C" w:rsidR="00B36B2C">
        <w:rPr>
          <w:rFonts w:ascii="Palatino Linotype" w:hAnsi="Palatino Linotype" w:eastAsia="Palatino Linotype" w:cs="Times New Roman"/>
          <w:kern w:val="0"/>
          <w14:ligatures w14:val="none"/>
        </w:rPr>
        <w:t xml:space="preserve">, it is reasonable to apply similar ratepayer-protection logic to substantially similar facts. PG&amp;E’s “non-precedential” argument does not resolve the underlying policy concern that refunds based on the unmodified BARC approach may occur too quickly relative to net revenues </w:t>
      </w:r>
      <w:proofErr w:type="gramStart"/>
      <w:r w:rsidRPr="00B36B2C" w:rsidR="00B36B2C">
        <w:rPr>
          <w:rFonts w:ascii="Palatino Linotype" w:hAnsi="Palatino Linotype" w:eastAsia="Palatino Linotype" w:cs="Times New Roman"/>
          <w:kern w:val="0"/>
          <w14:ligatures w14:val="none"/>
        </w:rPr>
        <w:t>actually received</w:t>
      </w:r>
      <w:proofErr w:type="gramEnd"/>
      <w:r w:rsidRPr="00B36B2C" w:rsidR="00B36B2C">
        <w:rPr>
          <w:rFonts w:ascii="Palatino Linotype" w:hAnsi="Palatino Linotype" w:eastAsia="Palatino Linotype" w:cs="Times New Roman"/>
          <w:kern w:val="0"/>
          <w14:ligatures w14:val="none"/>
        </w:rPr>
        <w:t xml:space="preserve">, increasing ratepayer </w:t>
      </w:r>
      <w:r w:rsidR="00D8031C">
        <w:rPr>
          <w:rFonts w:ascii="Palatino Linotype" w:hAnsi="Palatino Linotype" w:eastAsia="Palatino Linotype" w:cs="Times New Roman"/>
          <w:kern w:val="0"/>
          <w14:ligatures w14:val="none"/>
        </w:rPr>
        <w:t>risks</w:t>
      </w:r>
      <w:r w:rsidRPr="00B36B2C" w:rsidR="00B36B2C">
        <w:rPr>
          <w:rFonts w:ascii="Palatino Linotype" w:hAnsi="Palatino Linotype" w:eastAsia="Palatino Linotype" w:cs="Times New Roman"/>
          <w:kern w:val="0"/>
          <w14:ligatures w14:val="none"/>
        </w:rPr>
        <w:t xml:space="preserve"> if load materially declines after initial years of operation. PG&amp;E argues that other protections are sufficient; nevertheless, we find that </w:t>
      </w:r>
      <w:r w:rsidR="008C1F32">
        <w:rPr>
          <w:rFonts w:ascii="Palatino Linotype" w:hAnsi="Palatino Linotype" w:eastAsia="Palatino Linotype" w:cs="Times New Roman"/>
          <w:kern w:val="0"/>
          <w14:ligatures w14:val="none"/>
        </w:rPr>
        <w:t xml:space="preserve">limiting the annual refund amount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 xml:space="preserve">100 </w:t>
      </w:r>
      <w:r w:rsidR="008C1F32">
        <w:rPr>
          <w:rFonts w:ascii="Palatino Linotype" w:hAnsi="Palatino Linotype" w:eastAsia="Palatino Linotype" w:cs="Times New Roman"/>
          <w:kern w:val="0"/>
          <w14:ligatures w14:val="none"/>
        </w:rPr>
        <w:t>percent of annual net revenues</w:t>
      </w:r>
      <w:r w:rsidRPr="00B36B2C" w:rsidR="00B36B2C">
        <w:rPr>
          <w:rFonts w:ascii="Palatino Linotype" w:hAnsi="Palatino Linotype" w:eastAsia="Palatino Linotype" w:cs="Times New Roman"/>
          <w:kern w:val="0"/>
          <w14:ligatures w14:val="none"/>
        </w:rPr>
        <w:t xml:space="preserve"> is reasonable and necessary given the scale of refundable costs and the risk profile of transmission-level energization for a 250 MW load.</w:t>
      </w:r>
      <w:r w:rsidR="00003CD2">
        <w:rPr>
          <w:rFonts w:ascii="Palatino Linotype" w:hAnsi="Palatino Linotype" w:eastAsia="Palatino Linotype" w:cs="Times New Roman"/>
          <w:kern w:val="0"/>
          <w14:ligatures w14:val="none"/>
        </w:rPr>
        <w:t xml:space="preserve"> As noted above, this is higher than the 75 percent limit from previous Resolutions because broader transmission system costs </w:t>
      </w:r>
      <w:r w:rsidR="00345654">
        <w:rPr>
          <w:rFonts w:ascii="Palatino Linotype" w:hAnsi="Palatino Linotype" w:eastAsia="Palatino Linotype" w:cs="Times New Roman"/>
          <w:kern w:val="0"/>
          <w14:ligatures w14:val="none"/>
        </w:rPr>
        <w:t>will be</w:t>
      </w:r>
      <w:r w:rsidR="00003CD2">
        <w:rPr>
          <w:rFonts w:ascii="Palatino Linotype" w:hAnsi="Palatino Linotype" w:eastAsia="Palatino Linotype" w:cs="Times New Roman"/>
          <w:kern w:val="0"/>
          <w14:ligatures w14:val="none"/>
        </w:rPr>
        <w:t xml:space="preserve"> accounted for </w:t>
      </w:r>
      <w:r w:rsidR="00507DAF">
        <w:rPr>
          <w:rFonts w:ascii="Palatino Linotype" w:hAnsi="Palatino Linotype" w:eastAsia="Palatino Linotype" w:cs="Times New Roman"/>
          <w:kern w:val="0"/>
          <w14:ligatures w14:val="none"/>
        </w:rPr>
        <w:t>through an additional capital advance</w:t>
      </w:r>
      <w:r w:rsidR="00003CD2">
        <w:rPr>
          <w:rFonts w:ascii="Palatino Linotype" w:hAnsi="Palatino Linotype" w:eastAsia="Palatino Linotype" w:cs="Times New Roman"/>
          <w:kern w:val="0"/>
          <w14:ligatures w14:val="none"/>
        </w:rPr>
        <w:t>.</w:t>
      </w:r>
    </w:p>
    <w:p w:rsidRPr="00B36B2C" w:rsidR="00FF0F18" w:rsidP="00B36B2C" w:rsidRDefault="00FF0F18" w14:paraId="09C3540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3FBFF6" w14:textId="4CAC18B6">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Accordingly, we direct PG&amp;E to modify the agreement to limit annual refunds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100</w:t>
      </w:r>
      <w:r w:rsidRPr="00B36B2C" w:rsidR="00003CD2">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of annual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Google. This modification does not change the total eligible refund amount; it </w:t>
      </w:r>
      <w:r w:rsidR="00636F87">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 xml:space="preserve">slows the timing of refunds </w:t>
      </w:r>
      <w:r w:rsidR="00A06950">
        <w:rPr>
          <w:rFonts w:ascii="Palatino Linotype" w:hAnsi="Palatino Linotype" w:eastAsia="Palatino Linotype" w:cs="Times New Roman"/>
          <w:kern w:val="0"/>
          <w14:ligatures w14:val="none"/>
        </w:rPr>
        <w:t xml:space="preserve">both </w:t>
      </w:r>
      <w:r w:rsidRPr="00B36B2C">
        <w:rPr>
          <w:rFonts w:ascii="Palatino Linotype" w:hAnsi="Palatino Linotype" w:eastAsia="Palatino Linotype" w:cs="Times New Roman"/>
          <w:kern w:val="0"/>
          <w14:ligatures w14:val="none"/>
        </w:rPr>
        <w:t>to better align with realized net revenues and to reduce ratepayer risk.</w:t>
      </w:r>
      <w:r w:rsidR="00636F87">
        <w:rPr>
          <w:rFonts w:ascii="Palatino Linotype" w:hAnsi="Palatino Linotype" w:eastAsia="Palatino Linotype" w:cs="Times New Roman"/>
          <w:kern w:val="0"/>
          <w14:ligatures w14:val="none"/>
        </w:rPr>
        <w:t xml:space="preserve"> </w:t>
      </w:r>
      <w:r w:rsidR="00A45172">
        <w:rPr>
          <w:rFonts w:ascii="Palatino Linotype" w:hAnsi="Palatino Linotype" w:eastAsia="Palatino Linotype" w:cs="Times New Roman"/>
          <w:kern w:val="0"/>
          <w14:ligatures w14:val="none"/>
        </w:rPr>
        <w:t xml:space="preserve">Based on Google’s expected load ramp, it would be expected to receive a full refund in about </w:t>
      </w:r>
      <w:r w:rsidR="002175D9">
        <w:rPr>
          <w:rFonts w:ascii="Palatino Linotype" w:hAnsi="Palatino Linotype" w:eastAsia="Palatino Linotype" w:cs="Times New Roman"/>
          <w:kern w:val="0"/>
          <w14:ligatures w14:val="none"/>
        </w:rPr>
        <w:br/>
      </w:r>
      <w:r w:rsidR="00A45172">
        <w:rPr>
          <w:rFonts w:ascii="Palatino Linotype" w:hAnsi="Palatino Linotype" w:eastAsia="Palatino Linotype" w:cs="Times New Roman"/>
          <w:kern w:val="0"/>
          <w14:ligatures w14:val="none"/>
        </w:rPr>
        <w:t>8 years.</w:t>
      </w:r>
    </w:p>
    <w:p w:rsidRPr="00B36B2C" w:rsidR="00FF0F18" w:rsidP="00B36B2C" w:rsidRDefault="00FF0F18" w14:paraId="303952C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3B41843" w14:textId="638E56E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Because the </w:t>
      </w:r>
      <w:r w:rsidR="003E01E6">
        <w:rPr>
          <w:rFonts w:ascii="Palatino Linotype" w:hAnsi="Palatino Linotype" w:eastAsia="Palatino Linotype" w:cs="Times New Roman"/>
          <w:kern w:val="0"/>
          <w14:ligatures w14:val="none"/>
        </w:rPr>
        <w:t>100</w:t>
      </w:r>
      <w:r w:rsidRPr="00B36B2C" w:rsidR="003E01E6">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annual refund limit may extend the time needed to provide full refunds under some operational scenarios, it is also reasonable to extend the refund eligibility period from 10 years to 15 years so that the customer may still receive a full refund over time, while annual refunds are paced to net revenues actually received. PG&amp;E may apply standard adjustments associated with the Income Tax Component of Contribution in implementing the modified refund process.</w:t>
      </w:r>
    </w:p>
    <w:p w:rsidR="0056244C" w:rsidP="00B36B2C" w:rsidRDefault="0056244C" w14:paraId="046A9BB4" w14:textId="77777777">
      <w:pPr>
        <w:spacing w:after="0" w:line="240" w:lineRule="auto"/>
        <w:contextualSpacing/>
        <w:rPr>
          <w:rFonts w:ascii="Palatino Linotype" w:hAnsi="Palatino Linotype" w:eastAsia="Palatino Linotype" w:cs="Times New Roman"/>
          <w:kern w:val="0"/>
          <w14:ligatures w14:val="none"/>
        </w:rPr>
      </w:pPr>
    </w:p>
    <w:p w:rsidR="0056244C" w:rsidP="00B36B2C" w:rsidRDefault="0056244C" w14:paraId="2C22D241" w14:textId="76B68AF6">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Aptos" w:cs="Times New Roman"/>
        </w:rPr>
        <w:t xml:space="preserve">We make one additional modification to the standard BARC process here. Under the standard process, if a customer’s expected future net revenues are not enough to justify the costs of their energization, they are charged an additional fee to cover PG&amp;E’s cost of ownership. </w:t>
      </w:r>
      <w:proofErr w:type="gramStart"/>
      <w:r>
        <w:rPr>
          <w:rFonts w:ascii="Palatino Linotype" w:hAnsi="Palatino Linotype" w:eastAsia="Aptos" w:cs="Times New Roman"/>
        </w:rPr>
        <w:t>In light of</w:t>
      </w:r>
      <w:proofErr w:type="gramEnd"/>
      <w:r>
        <w:rPr>
          <w:rFonts w:ascii="Palatino Linotype" w:hAnsi="Palatino Linotype" w:eastAsia="Aptos" w:cs="Times New Roman"/>
        </w:rPr>
        <w:t xml:space="preserve"> the </w:t>
      </w:r>
      <w:proofErr w:type="gramStart"/>
      <w:r>
        <w:rPr>
          <w:rFonts w:ascii="Palatino Linotype" w:hAnsi="Palatino Linotype" w:eastAsia="Aptos" w:cs="Times New Roman"/>
        </w:rPr>
        <w:t>modifications</w:t>
      </w:r>
      <w:proofErr w:type="gramEnd"/>
      <w:r>
        <w:rPr>
          <w:rFonts w:ascii="Palatino Linotype" w:hAnsi="Palatino Linotype" w:eastAsia="Aptos" w:cs="Times New Roman"/>
        </w:rPr>
        <w:t xml:space="preserve"> we </w:t>
      </w:r>
      <w:proofErr w:type="gramStart"/>
      <w:r>
        <w:rPr>
          <w:rFonts w:ascii="Palatino Linotype" w:hAnsi="Palatino Linotype" w:eastAsia="Aptos" w:cs="Times New Roman"/>
        </w:rPr>
        <w:t>adopt</w:t>
      </w:r>
      <w:proofErr w:type="gramEnd"/>
      <w:r>
        <w:rPr>
          <w:rFonts w:ascii="Palatino Linotype" w:hAnsi="Palatino Linotype" w:eastAsia="Aptos" w:cs="Times New Roman"/>
        </w:rPr>
        <w:t xml:space="preserve"> here intentionally </w:t>
      </w:r>
      <w:proofErr w:type="gramStart"/>
      <w:r>
        <w:rPr>
          <w:rFonts w:ascii="Palatino Linotype" w:hAnsi="Palatino Linotype" w:eastAsia="Aptos" w:cs="Times New Roman"/>
        </w:rPr>
        <w:t>limiting</w:t>
      </w:r>
      <w:proofErr w:type="gramEnd"/>
      <w:r>
        <w:rPr>
          <w:rFonts w:ascii="Palatino Linotype" w:hAnsi="Palatino Linotype" w:eastAsia="Aptos" w:cs="Times New Roman"/>
        </w:rPr>
        <w:t xml:space="preserve"> the annual refund amounts, it is not necessary to impose an additional customer</w:t>
      </w:r>
      <w:r w:rsidR="00A06950">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Pr="00B36B2C" w:rsidR="00406AF1" w:rsidP="00B36B2C" w:rsidRDefault="00406AF1" w14:paraId="53AD7EC8"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F13784A" w14:textId="37481052">
      <w:pPr>
        <w:spacing w:after="0" w:line="240" w:lineRule="auto"/>
        <w:contextualSpacing/>
        <w:rPr>
          <w:rFonts w:ascii="Palatino Linotype" w:hAnsi="Palatino Linotype" w:eastAsia="Palatino Linotype" w:cs="Times New Roman"/>
          <w:b/>
          <w:bCs/>
          <w:kern w:val="0"/>
          <w14:ligatures w14:val="none"/>
        </w:rPr>
      </w:pPr>
      <w:r w:rsidRPr="00FF0F18">
        <w:rPr>
          <w:rFonts w:ascii="Palatino Linotype" w:hAnsi="Palatino Linotype" w:eastAsia="Palatino Linotype" w:cs="Times New Roman"/>
          <w:b/>
          <w:bCs/>
          <w:kern w:val="0"/>
          <w14:ligatures w14:val="none"/>
        </w:rPr>
        <w:t>Binding Cost Estimate: Clarifications and Reporting Requirements Are Reasonable and Necessary</w:t>
      </w:r>
    </w:p>
    <w:p w:rsidRPr="00FF0F18" w:rsidR="00FF0F18" w:rsidP="00B36B2C" w:rsidRDefault="00FF0F18" w14:paraId="39F717FF" w14:textId="77777777">
      <w:pPr>
        <w:spacing w:after="0" w:line="240" w:lineRule="auto"/>
        <w:contextualSpacing/>
        <w:rPr>
          <w:rFonts w:ascii="Palatino Linotype" w:hAnsi="Palatino Linotype" w:eastAsia="Palatino Linotype" w:cs="Times New Roman"/>
          <w:b/>
          <w:bCs/>
          <w:kern w:val="0"/>
          <w14:ligatures w14:val="none"/>
        </w:rPr>
      </w:pPr>
    </w:p>
    <w:p w:rsidR="00B36B2C" w:rsidP="00B36B2C" w:rsidRDefault="00B36B2C" w14:paraId="38FA8055" w14:textId="2F675FE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next address the proposed binding cost estimate (binding cost cap) applicable to the applicant-build portion of the project. </w:t>
      </w:r>
      <w:r w:rsidR="003F5297">
        <w:rPr>
          <w:rFonts w:ascii="Palatino Linotype" w:hAnsi="Palatino Linotype" w:eastAsia="Palatino Linotype" w:cs="Times New Roman"/>
          <w:kern w:val="0"/>
          <w14:ligatures w14:val="none"/>
        </w:rPr>
        <w:t>According to the proposed agreement,</w:t>
      </w:r>
      <w:r w:rsidRPr="00B36B2C">
        <w:rPr>
          <w:rFonts w:ascii="Palatino Linotype" w:hAnsi="Palatino Linotype" w:eastAsia="Palatino Linotype" w:cs="Times New Roman"/>
          <w:kern w:val="0"/>
          <w14:ligatures w14:val="none"/>
        </w:rPr>
        <w:t xml:space="preserve"> Google will construct certain facilities (Applicant Work) and transfer them to PG&amp;E, and</w:t>
      </w:r>
      <w:r w:rsidR="003F5297">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Google </w:t>
      </w:r>
      <w:r w:rsidR="003F5297">
        <w:rPr>
          <w:rFonts w:ascii="Palatino Linotype" w:hAnsi="Palatino Linotype" w:eastAsia="Palatino Linotype" w:cs="Times New Roman"/>
          <w:kern w:val="0"/>
          <w14:ligatures w14:val="none"/>
        </w:rPr>
        <w:t xml:space="preserve">would then </w:t>
      </w:r>
      <w:r w:rsidRPr="00B36B2C">
        <w:rPr>
          <w:rFonts w:ascii="Palatino Linotype" w:hAnsi="Palatino Linotype" w:eastAsia="Palatino Linotype" w:cs="Times New Roman"/>
          <w:kern w:val="0"/>
          <w14:ligatures w14:val="none"/>
        </w:rPr>
        <w:t>be eligible for refunds of certain costs</w:t>
      </w:r>
      <w:r w:rsidR="00B313BE">
        <w:rPr>
          <w:rFonts w:ascii="Palatino Linotype" w:hAnsi="Palatino Linotype" w:eastAsia="Palatino Linotype" w:cs="Times New Roman"/>
          <w:kern w:val="0"/>
          <w14:ligatures w14:val="none"/>
        </w:rPr>
        <w:t xml:space="preserve"> associated with this work</w:t>
      </w:r>
      <w:r w:rsidRPr="00B36B2C">
        <w:rPr>
          <w:rFonts w:ascii="Palatino Linotype" w:hAnsi="Palatino Linotype" w:eastAsia="Palatino Linotype" w:cs="Times New Roman"/>
          <w:kern w:val="0"/>
          <w14:ligatures w14:val="none"/>
        </w:rPr>
        <w:t xml:space="preserve">. The binding cost estimate framework is intended to protect ratepayers by capping refundable exposure for </w:t>
      </w:r>
      <w:r w:rsidR="003F5297">
        <w:rPr>
          <w:rFonts w:ascii="Palatino Linotype" w:hAnsi="Palatino Linotype" w:eastAsia="Palatino Linotype" w:cs="Times New Roman"/>
          <w:kern w:val="0"/>
          <w14:ligatures w14:val="none"/>
        </w:rPr>
        <w:t xml:space="preserve">this </w:t>
      </w:r>
      <w:r w:rsidR="000278E2">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with refunds limited to the lower of the binding cost </w:t>
      </w:r>
      <w:r w:rsidR="000278E2">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or actual costs.</w:t>
      </w:r>
    </w:p>
    <w:p w:rsidRPr="00B36B2C" w:rsidR="00FF0F18" w:rsidP="00B36B2C" w:rsidRDefault="00FF0F18" w14:paraId="29279792"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7D1A015C" w14:textId="0DC8C56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Cal Advocates raises multiple concerns regarding the binding cost estimate, including treatment of contingencies, separation of Standard versus Special Facilities, and Commission visibility into the final binding cost estimate. PG&amp;E responds that the binding cost estimate will be finalized after </w:t>
      </w:r>
      <w:proofErr w:type="gramStart"/>
      <w:r w:rsidRPr="00B36B2C">
        <w:rPr>
          <w:rFonts w:ascii="Palatino Linotype" w:hAnsi="Palatino Linotype" w:eastAsia="Palatino Linotype" w:cs="Times New Roman"/>
          <w:kern w:val="0"/>
          <w14:ligatures w14:val="none"/>
        </w:rPr>
        <w:t>engineering</w:t>
      </w:r>
      <w:proofErr w:type="gramEnd"/>
      <w:r w:rsidR="000278E2">
        <w:rPr>
          <w:rFonts w:ascii="Palatino Linotype" w:hAnsi="Palatino Linotype" w:eastAsia="Palatino Linotype" w:cs="Times New Roman"/>
          <w:kern w:val="0"/>
          <w14:ligatures w14:val="none"/>
        </w:rPr>
        <w:t xml:space="preserve"> and design work</w:t>
      </w:r>
      <w:r w:rsidRPr="00B36B2C">
        <w:rPr>
          <w:rFonts w:ascii="Palatino Linotype" w:hAnsi="Palatino Linotype" w:eastAsia="Palatino Linotype" w:cs="Times New Roman"/>
          <w:kern w:val="0"/>
          <w14:ligatures w14:val="none"/>
        </w:rPr>
        <w:t xml:space="preserve"> progresses and indicates it does not object to providing the binding cost </w:t>
      </w:r>
      <w:r w:rsidR="00970F85">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in a Tier 1 </w:t>
      </w:r>
      <w:r w:rsidR="00970F85">
        <w:rPr>
          <w:rFonts w:ascii="Palatino Linotype" w:hAnsi="Palatino Linotype" w:eastAsia="Palatino Linotype" w:cs="Times New Roman"/>
          <w:kern w:val="0"/>
          <w14:ligatures w14:val="none"/>
        </w:rPr>
        <w:t>information-only A</w:t>
      </w:r>
      <w:r w:rsidRPr="00B36B2C">
        <w:rPr>
          <w:rFonts w:ascii="Palatino Linotype" w:hAnsi="Palatino Linotype" w:eastAsia="Palatino Linotype" w:cs="Times New Roman"/>
          <w:kern w:val="0"/>
          <w14:ligatures w14:val="none"/>
        </w:rPr>
        <w:t xml:space="preserve">dvice </w:t>
      </w:r>
      <w:r w:rsidR="00970F85">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FF0F18" w:rsidP="00B36B2C" w:rsidRDefault="00FF0F18" w14:paraId="50DC173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3275F" w14:textId="578120C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find it reasonable to approve </w:t>
      </w:r>
      <w:r w:rsidR="004B56A9">
        <w:rPr>
          <w:rFonts w:ascii="Palatino Linotype" w:hAnsi="Palatino Linotype" w:eastAsia="Palatino Linotype" w:cs="Times New Roman"/>
          <w:kern w:val="0"/>
          <w14:ligatures w14:val="none"/>
        </w:rPr>
        <w:t>PG&amp;E’s proposal of</w:t>
      </w:r>
      <w:r w:rsidRPr="00B36B2C">
        <w:rPr>
          <w:rFonts w:ascii="Palatino Linotype" w:hAnsi="Palatino Linotype" w:eastAsia="Palatino Linotype" w:cs="Times New Roman"/>
          <w:kern w:val="0"/>
          <w14:ligatures w14:val="none"/>
        </w:rPr>
        <w:t xml:space="preserve"> a binding cost estimate framework because it can cap refundable exposure for ratepayers. At the same time, additional clarifications are necessary to ensure the binding cost estimate functions as an effective cap on refundable costs and to ensure Commission visibility and enforceability without </w:t>
      </w:r>
      <w:r w:rsidR="00DA1C91">
        <w:rPr>
          <w:rFonts w:ascii="Palatino Linotype" w:hAnsi="Palatino Linotype" w:eastAsia="Palatino Linotype" w:cs="Times New Roman"/>
          <w:kern w:val="0"/>
          <w14:ligatures w14:val="none"/>
        </w:rPr>
        <w:t xml:space="preserve">unnecessary </w:t>
      </w:r>
      <w:r w:rsidRPr="00B36B2C">
        <w:rPr>
          <w:rFonts w:ascii="Palatino Linotype" w:hAnsi="Palatino Linotype" w:eastAsia="Palatino Linotype" w:cs="Times New Roman"/>
          <w:kern w:val="0"/>
          <w14:ligatures w14:val="none"/>
        </w:rPr>
        <w:t>delay</w:t>
      </w:r>
      <w:r w:rsidR="00DA1C91">
        <w:rPr>
          <w:rFonts w:ascii="Palatino Linotype" w:hAnsi="Palatino Linotype" w:eastAsia="Palatino Linotype" w:cs="Times New Roman"/>
          <w:kern w:val="0"/>
          <w14:ligatures w14:val="none"/>
        </w:rPr>
        <w:t>s</w:t>
      </w:r>
      <w:r w:rsidR="00341244">
        <w:rPr>
          <w:rFonts w:ascii="Palatino Linotype" w:hAnsi="Palatino Linotype" w:eastAsia="Palatino Linotype" w:cs="Times New Roman"/>
          <w:kern w:val="0"/>
          <w14:ligatures w14:val="none"/>
        </w:rPr>
        <w:t xml:space="preserve"> to</w:t>
      </w:r>
      <w:r w:rsidRPr="00B36B2C">
        <w:rPr>
          <w:rFonts w:ascii="Palatino Linotype" w:hAnsi="Palatino Linotype" w:eastAsia="Palatino Linotype" w:cs="Times New Roman"/>
          <w:kern w:val="0"/>
          <w14:ligatures w14:val="none"/>
        </w:rPr>
        <w:t xml:space="preserve"> project development.</w:t>
      </w:r>
    </w:p>
    <w:p w:rsidRPr="00B36B2C" w:rsidR="00FF0F18" w:rsidP="00B36B2C" w:rsidRDefault="00FF0F18" w14:paraId="33E0C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8FA5895" w14:textId="08E785A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First, we clarify that the binding cost estimate for refundable costs </w:t>
      </w:r>
      <w:r w:rsidR="004B56A9">
        <w:rPr>
          <w:rFonts w:ascii="Palatino Linotype" w:hAnsi="Palatino Linotype" w:eastAsia="Palatino Linotype" w:cs="Times New Roman"/>
          <w:kern w:val="0"/>
          <w14:ligatures w14:val="none"/>
        </w:rPr>
        <w:t>will</w:t>
      </w:r>
      <w:r w:rsidRPr="00B36B2C">
        <w:rPr>
          <w:rFonts w:ascii="Palatino Linotype" w:hAnsi="Palatino Linotype" w:eastAsia="Palatino Linotype" w:cs="Times New Roman"/>
          <w:kern w:val="0"/>
          <w14:ligatures w14:val="none"/>
        </w:rPr>
        <w:t xml:space="preserve"> include only one standard contingency</w:t>
      </w:r>
      <w:r w:rsidR="004B56A9">
        <w:rPr>
          <w:rFonts w:ascii="Palatino Linotype" w:hAnsi="Palatino Linotype" w:eastAsia="Palatino Linotype" w:cs="Times New Roman"/>
          <w:kern w:val="0"/>
          <w14:ligatures w14:val="none"/>
        </w:rPr>
        <w:t xml:space="preserve"> adjustment. </w:t>
      </w:r>
      <w:r w:rsidRPr="00B36B2C">
        <w:rPr>
          <w:rFonts w:ascii="Palatino Linotype" w:hAnsi="Palatino Linotype" w:eastAsia="Palatino Linotype" w:cs="Times New Roman"/>
          <w:kern w:val="0"/>
          <w14:ligatures w14:val="none"/>
        </w:rPr>
        <w:t>The binding cost estimate for refundable costs must be bounded such that the customer’s estimate used for the cap does not exceed PG&amp;E’s internal estimate for the same refundable scope plus a standard contingency</w:t>
      </w:r>
      <w:r w:rsidR="008B0AE8">
        <w:rPr>
          <w:rFonts w:ascii="Palatino Linotype" w:hAnsi="Palatino Linotype" w:eastAsia="Palatino Linotype" w:cs="Times New Roman"/>
          <w:kern w:val="0"/>
          <w14:ligatures w14:val="none"/>
        </w:rPr>
        <w:t>, as PG&amp;E describes in its reply</w:t>
      </w:r>
      <w:r w:rsidRPr="00B36B2C">
        <w:rPr>
          <w:rFonts w:ascii="Palatino Linotype" w:hAnsi="Palatino Linotype" w:eastAsia="Palatino Linotype" w:cs="Times New Roman"/>
          <w:kern w:val="0"/>
          <w14:ligatures w14:val="none"/>
        </w:rPr>
        <w:t>.</w:t>
      </w:r>
      <w:r w:rsidR="008B0AE8">
        <w:rPr>
          <w:rStyle w:val="FootnoteReference"/>
          <w:rFonts w:ascii="Palatino Linotype" w:hAnsi="Palatino Linotype" w:eastAsia="Palatino Linotype" w:cs="Times New Roman"/>
          <w:kern w:val="0"/>
          <w14:ligatures w14:val="none"/>
        </w:rPr>
        <w:footnoteReference w:id="19"/>
      </w:r>
      <w:r w:rsidRPr="00B36B2C">
        <w:rPr>
          <w:rFonts w:ascii="Palatino Linotype" w:hAnsi="Palatino Linotype" w:eastAsia="Palatino Linotype" w:cs="Times New Roman"/>
          <w:kern w:val="0"/>
          <w14:ligatures w14:val="none"/>
        </w:rPr>
        <w:t xml:space="preserve"> If the final binding cost estimate for refundable costs would exceed that bounded amount, or if material changes would otherwise increase ratepayer exposure beyond the parameters adopted in this Resolution, PG&amp;E must seek additional Commission approval</w:t>
      </w:r>
      <w:r w:rsidR="00601878">
        <w:rPr>
          <w:rFonts w:ascii="Palatino Linotype" w:hAnsi="Palatino Linotype" w:eastAsia="Palatino Linotype" w:cs="Times New Roman"/>
          <w:kern w:val="0"/>
          <w14:ligatures w14:val="none"/>
        </w:rPr>
        <w:t xml:space="preserve"> for a modified agreement</w:t>
      </w:r>
      <w:r w:rsidRPr="00B36B2C">
        <w:rPr>
          <w:rFonts w:ascii="Palatino Linotype" w:hAnsi="Palatino Linotype" w:eastAsia="Palatino Linotype" w:cs="Times New Roman"/>
          <w:kern w:val="0"/>
          <w14:ligatures w14:val="none"/>
        </w:rPr>
        <w:t xml:space="preserve"> through a new Tier 3 </w:t>
      </w:r>
      <w:r w:rsidR="00601878">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601878">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4D46CE" w:rsidP="00B36B2C" w:rsidRDefault="004D46CE" w14:paraId="4CDFEFD4"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7250346" w14:textId="4A6A70AC">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Second, we require that the binding cost estimate be calculated and presented separately for refundable versus non-refundable costs</w:t>
      </w:r>
      <w:r w:rsidR="00825685">
        <w:rPr>
          <w:rFonts w:ascii="Palatino Linotype" w:hAnsi="Palatino Linotype" w:eastAsia="Palatino Linotype" w:cs="Times New Roman"/>
          <w:kern w:val="0"/>
          <w14:ligatures w14:val="none"/>
        </w:rPr>
        <w:t>, as recommended by Cal Advocates</w:t>
      </w:r>
      <w:r w:rsidRPr="00B36B2C">
        <w:rPr>
          <w:rFonts w:ascii="Palatino Linotype" w:hAnsi="Palatino Linotype" w:eastAsia="Palatino Linotype" w:cs="Times New Roman"/>
          <w:kern w:val="0"/>
          <w14:ligatures w14:val="none"/>
        </w:rPr>
        <w:t>.</w:t>
      </w:r>
      <w:r w:rsidR="00601878">
        <w:rPr>
          <w:rStyle w:val="FootnoteReference"/>
          <w:rFonts w:ascii="Palatino Linotype" w:hAnsi="Palatino Linotype" w:eastAsia="Palatino Linotype" w:cs="Times New Roman"/>
          <w:kern w:val="0"/>
          <w14:ligatures w14:val="none"/>
        </w:rPr>
        <w:footnoteReference w:id="20"/>
      </w:r>
      <w:r w:rsidRPr="00B36B2C">
        <w:rPr>
          <w:rFonts w:ascii="Palatino Linotype" w:hAnsi="Palatino Linotype" w:eastAsia="Palatino Linotype" w:cs="Times New Roman"/>
          <w:kern w:val="0"/>
          <w14:ligatures w14:val="none"/>
        </w:rPr>
        <w:t xml:space="preserve"> Specifically, the binding cost estimate cap for refunds must apply to refundable Standard Facilities costs calculated separately from Special Facilities costs that are not eligible for refund. This separation </w:t>
      </w:r>
      <w:r w:rsidR="00825685">
        <w:rPr>
          <w:rFonts w:ascii="Palatino Linotype" w:hAnsi="Palatino Linotype" w:eastAsia="Palatino Linotype" w:cs="Times New Roman"/>
          <w:kern w:val="0"/>
          <w14:ligatures w14:val="none"/>
        </w:rPr>
        <w:t>ensures</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non-refundable costs do not inflate or obscure the refundable cost cap</w:t>
      </w:r>
      <w:r w:rsidR="001C00B2">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proofErr w:type="gramStart"/>
      <w:r w:rsidR="001C00B2">
        <w:rPr>
          <w:rFonts w:ascii="Palatino Linotype" w:hAnsi="Palatino Linotype" w:eastAsia="Palatino Linotype" w:cs="Times New Roman"/>
          <w:kern w:val="0"/>
          <w14:ligatures w14:val="none"/>
        </w:rPr>
        <w:t>in order</w:t>
      </w:r>
      <w:r w:rsidRPr="00B36B2C">
        <w:rPr>
          <w:rFonts w:ascii="Palatino Linotype" w:hAnsi="Palatino Linotype" w:eastAsia="Palatino Linotype" w:cs="Times New Roman"/>
          <w:kern w:val="0"/>
          <w14:ligatures w14:val="none"/>
        </w:rPr>
        <w:t xml:space="preserve"> to</w:t>
      </w:r>
      <w:proofErr w:type="gramEnd"/>
      <w:r w:rsidRPr="00B36B2C">
        <w:rPr>
          <w:rFonts w:ascii="Palatino Linotype" w:hAnsi="Palatino Linotype" w:eastAsia="Palatino Linotype" w:cs="Times New Roman"/>
          <w:kern w:val="0"/>
          <w14:ligatures w14:val="none"/>
        </w:rPr>
        <w:t xml:space="preserve"> make the cap transparent and enforceable.</w:t>
      </w:r>
    </w:p>
    <w:p w:rsidRPr="00B36B2C" w:rsidR="004D46CE" w:rsidP="00B36B2C" w:rsidRDefault="004D46CE" w14:paraId="1B13E51C" w14:textId="77777777">
      <w:pPr>
        <w:spacing w:after="0" w:line="240" w:lineRule="auto"/>
        <w:contextualSpacing/>
        <w:rPr>
          <w:rFonts w:ascii="Palatino Linotype" w:hAnsi="Palatino Linotype" w:eastAsia="Palatino Linotype" w:cs="Times New Roman"/>
          <w:kern w:val="0"/>
          <w14:ligatures w14:val="none"/>
        </w:rPr>
      </w:pPr>
    </w:p>
    <w:p w:rsidR="00A011EB" w:rsidP="00B36B2C" w:rsidRDefault="00B36B2C" w14:paraId="7F129C0B" w14:textId="0D53002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Third, we require PG&amp;E to submit an information-only Tier 1 </w:t>
      </w:r>
      <w:r w:rsidR="001C00B2">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1C00B2">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 xml:space="preserve">etter when the binding cost estimate for refundable Standard Facilities is finalized. The Tier 1 filing shall include attachments describing, in sufficient detail for Commission review: (a) the finalized binding cost estimate for refundable Standard Facilities; (b) the inputs, assumptions, and scope used to derive the estimate; (c) the </w:t>
      </w:r>
      <w:r w:rsidR="001F259A">
        <w:rPr>
          <w:rFonts w:ascii="Palatino Linotype" w:hAnsi="Palatino Linotype" w:eastAsia="Palatino Linotype" w:cs="Times New Roman"/>
          <w:kern w:val="0"/>
          <w14:ligatures w14:val="none"/>
        </w:rPr>
        <w:t>use of a</w:t>
      </w:r>
      <w:r w:rsidRPr="00B36B2C">
        <w:rPr>
          <w:rFonts w:ascii="Palatino Linotype" w:hAnsi="Palatino Linotype" w:eastAsia="Palatino Linotype" w:cs="Times New Roman"/>
          <w:kern w:val="0"/>
          <w14:ligatures w14:val="none"/>
        </w:rPr>
        <w:t xml:space="preserve"> single standard contingency</w:t>
      </w:r>
      <w:r w:rsidR="001F259A">
        <w:rPr>
          <w:rFonts w:ascii="Palatino Linotype" w:hAnsi="Palatino Linotype" w:eastAsia="Palatino Linotype" w:cs="Times New Roman"/>
          <w:kern w:val="0"/>
          <w14:ligatures w14:val="none"/>
        </w:rPr>
        <w:t xml:space="preserve"> adjustment</w:t>
      </w:r>
      <w:r w:rsidRPr="00B36B2C">
        <w:rPr>
          <w:rFonts w:ascii="Palatino Linotype" w:hAnsi="Palatino Linotype" w:eastAsia="Palatino Linotype" w:cs="Times New Roman"/>
          <w:kern w:val="0"/>
          <w14:ligatures w14:val="none"/>
        </w:rPr>
        <w:t xml:space="preserve">; (d) a clear separation of refundable Standard Facilities costs from non-refundable Special Facilities costs; and (e) the screening performed to ensure the refundable binding cost estimate excludes any overlapping oversight or supplemental costs addressed separately by PG&amp;E (as discussed below). </w:t>
      </w:r>
      <w:r w:rsidR="00EC2B9B">
        <w:rPr>
          <w:rFonts w:ascii="Palatino Linotype" w:hAnsi="Palatino Linotype" w:eastAsia="Palatino Linotype" w:cs="Times New Roman"/>
          <w:kern w:val="0"/>
          <w14:ligatures w14:val="none"/>
        </w:rPr>
        <w:t>T</w:t>
      </w:r>
      <w:r w:rsidR="006D056E">
        <w:rPr>
          <w:rFonts w:ascii="Palatino Linotype" w:hAnsi="Palatino Linotype" w:eastAsia="Palatino Linotype" w:cs="Times New Roman"/>
          <w:kern w:val="0"/>
          <w14:ligatures w14:val="none"/>
        </w:rPr>
        <w:t xml:space="preserve">hese attachments may be provided confidentially. </w:t>
      </w:r>
      <w:r w:rsidRPr="00B36B2C">
        <w:rPr>
          <w:rFonts w:ascii="Palatino Linotype" w:hAnsi="Palatino Linotype" w:eastAsia="Palatino Linotype" w:cs="Times New Roman"/>
          <w:kern w:val="0"/>
          <w14:ligatures w14:val="none"/>
        </w:rPr>
        <w:t xml:space="preserve">This Tier 1 filing is information-only because the Commission is </w:t>
      </w:r>
      <w:r w:rsidR="00C35801">
        <w:rPr>
          <w:rFonts w:ascii="Palatino Linotype" w:hAnsi="Palatino Linotype" w:eastAsia="Palatino Linotype" w:cs="Times New Roman"/>
          <w:kern w:val="0"/>
          <w14:ligatures w14:val="none"/>
        </w:rPr>
        <w:t>already approving the agreement between PG&amp;E and Google with modifications</w:t>
      </w:r>
      <w:r w:rsidRPr="00B36B2C">
        <w:rPr>
          <w:rFonts w:ascii="Palatino Linotype" w:hAnsi="Palatino Linotype" w:eastAsia="Palatino Linotype" w:cs="Times New Roman"/>
          <w:kern w:val="0"/>
          <w14:ligatures w14:val="none"/>
        </w:rPr>
        <w:t xml:space="preserve"> in this Resolution</w:t>
      </w:r>
      <w:r w:rsidR="001F72FA">
        <w:rPr>
          <w:rFonts w:ascii="Palatino Linotype" w:hAnsi="Palatino Linotype" w:eastAsia="Palatino Linotype" w:cs="Times New Roman"/>
          <w:kern w:val="0"/>
          <w14:ligatures w14:val="none"/>
        </w:rPr>
        <w:t>. T</w:t>
      </w:r>
      <w:r w:rsidRPr="00B36B2C">
        <w:rPr>
          <w:rFonts w:ascii="Palatino Linotype" w:hAnsi="Palatino Linotype" w:eastAsia="Palatino Linotype" w:cs="Times New Roman"/>
          <w:kern w:val="0"/>
          <w14:ligatures w14:val="none"/>
        </w:rPr>
        <w:t xml:space="preserve">he Tier 1 filing </w:t>
      </w:r>
      <w:r w:rsidR="001F72FA">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provides transparency and allows Energy Division to verify consistency with the guardrails</w:t>
      </w:r>
      <w:r w:rsidR="0002711B">
        <w:rPr>
          <w:rFonts w:ascii="Palatino Linotype" w:hAnsi="Palatino Linotype" w:eastAsia="Palatino Linotype" w:cs="Times New Roman"/>
          <w:kern w:val="0"/>
          <w14:ligatures w14:val="none"/>
        </w:rPr>
        <w:t xml:space="preserve"> </w:t>
      </w:r>
      <w:r w:rsidR="00011EA5">
        <w:rPr>
          <w:rFonts w:ascii="Palatino Linotype" w:hAnsi="Palatino Linotype" w:eastAsia="Palatino Linotype" w:cs="Times New Roman"/>
          <w:kern w:val="0"/>
          <w14:ligatures w14:val="none"/>
        </w:rPr>
        <w:t>established</w:t>
      </w:r>
      <w:r w:rsidR="0002711B">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p>
    <w:p w:rsidR="00A011EB" w:rsidP="00B36B2C" w:rsidRDefault="00A011EB" w14:paraId="016350D5"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5F137" w14:textId="75F28C03">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approve the binding cost estimate framework with the clarifications and reporting requirements described above.</w:t>
      </w:r>
    </w:p>
    <w:p w:rsidRPr="00B36B2C" w:rsidR="004D46CE" w:rsidP="00B36B2C" w:rsidRDefault="004D46CE" w14:paraId="4F96AAB4" w14:textId="77777777">
      <w:pPr>
        <w:spacing w:after="0" w:line="240" w:lineRule="auto"/>
        <w:contextualSpacing/>
        <w:rPr>
          <w:rFonts w:ascii="Palatino Linotype" w:hAnsi="Palatino Linotype" w:eastAsia="Palatino Linotype" w:cs="Times New Roman"/>
          <w:kern w:val="0"/>
          <w14:ligatures w14:val="none"/>
        </w:rPr>
      </w:pPr>
    </w:p>
    <w:p w:rsidRPr="004D46CE" w:rsidR="00B36B2C" w:rsidP="000C426A" w:rsidRDefault="00B36B2C" w14:paraId="03F3AB91" w14:textId="1DBB59C5">
      <w:pPr>
        <w:keepNext/>
        <w:spacing w:after="0" w:line="240" w:lineRule="auto"/>
        <w:contextualSpacing/>
        <w:rPr>
          <w:rFonts w:ascii="Palatino Linotype" w:hAnsi="Palatino Linotype" w:eastAsia="Palatino Linotype" w:cs="Times New Roman"/>
          <w:b/>
          <w:bCs/>
          <w:kern w:val="0"/>
          <w14:ligatures w14:val="none"/>
        </w:rPr>
      </w:pPr>
      <w:r w:rsidRPr="004D46CE">
        <w:rPr>
          <w:rFonts w:ascii="Palatino Linotype" w:hAnsi="Palatino Linotype" w:eastAsia="Palatino Linotype" w:cs="Times New Roman"/>
          <w:b/>
          <w:bCs/>
          <w:kern w:val="0"/>
          <w14:ligatures w14:val="none"/>
        </w:rPr>
        <w:lastRenderedPageBreak/>
        <w:t>Oversight and Supplemental Costs: Avoiding Overlap Is Reasonable</w:t>
      </w:r>
    </w:p>
    <w:p w:rsidRPr="00B36B2C" w:rsidR="004D46CE" w:rsidP="000C426A" w:rsidRDefault="004D46CE" w14:paraId="512FA50F" w14:textId="77777777">
      <w:pPr>
        <w:keepNext/>
        <w:spacing w:after="0" w:line="240" w:lineRule="auto"/>
        <w:contextualSpacing/>
        <w:rPr>
          <w:rFonts w:ascii="Palatino Linotype" w:hAnsi="Palatino Linotype" w:eastAsia="Palatino Linotype" w:cs="Times New Roman"/>
          <w:kern w:val="0"/>
          <w14:ligatures w14:val="none"/>
        </w:rPr>
      </w:pPr>
    </w:p>
    <w:p w:rsidR="00B36B2C" w:rsidP="000C426A" w:rsidRDefault="0014122F" w14:paraId="36099253" w14:textId="7425BCF4">
      <w:pPr>
        <w:keepNext/>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addition to the Applicant </w:t>
      </w:r>
      <w:r w:rsidR="000C37B7">
        <w:rPr>
          <w:rFonts w:ascii="Palatino Linotype" w:hAnsi="Palatino Linotype" w:eastAsia="Palatino Linotype" w:cs="Times New Roman"/>
          <w:kern w:val="0"/>
          <w14:ligatures w14:val="none"/>
        </w:rPr>
        <w:t>Work, the agreement between PG&amp;E and Google also includes work to be performed directly by PG&amp;E, including oversight and inspection costs.</w:t>
      </w:r>
      <w:r>
        <w:rPr>
          <w:rFonts w:ascii="Palatino Linotype" w:hAnsi="Palatino Linotype" w:eastAsia="Palatino Linotype" w:cs="Times New Roman"/>
          <w:kern w:val="0"/>
          <w14:ligatures w14:val="none"/>
        </w:rPr>
        <w:t xml:space="preserve"> </w:t>
      </w:r>
      <w:r w:rsidR="00B2293A">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argues </w:t>
      </w:r>
      <w:r w:rsidR="00B2293A">
        <w:rPr>
          <w:rFonts w:ascii="Palatino Linotype" w:hAnsi="Palatino Linotype" w:eastAsia="Palatino Linotype" w:cs="Times New Roman"/>
          <w:kern w:val="0"/>
          <w14:ligatures w14:val="none"/>
        </w:rPr>
        <w:t xml:space="preserve">that the costs </w:t>
      </w:r>
      <w:r w:rsidR="00F91BF5">
        <w:rPr>
          <w:rFonts w:ascii="Palatino Linotype" w:hAnsi="Palatino Linotype" w:eastAsia="Palatino Linotype" w:cs="Times New Roman"/>
          <w:kern w:val="0"/>
          <w14:ligatures w14:val="none"/>
        </w:rPr>
        <w:t xml:space="preserve">associated with </w:t>
      </w:r>
      <w:r w:rsidRPr="00B36B2C" w:rsidR="00B36B2C">
        <w:rPr>
          <w:rFonts w:ascii="Palatino Linotype" w:hAnsi="Palatino Linotype" w:eastAsia="Palatino Linotype" w:cs="Times New Roman"/>
          <w:kern w:val="0"/>
          <w14:ligatures w14:val="none"/>
        </w:rPr>
        <w:t>PG&amp;E</w:t>
      </w:r>
      <w:r w:rsidR="000C37B7">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w:t>
      </w:r>
      <w:r w:rsidR="00F91BF5">
        <w:rPr>
          <w:rFonts w:ascii="Palatino Linotype" w:hAnsi="Palatino Linotype" w:eastAsia="Palatino Linotype" w:cs="Times New Roman"/>
          <w:kern w:val="0"/>
          <w14:ligatures w14:val="none"/>
        </w:rPr>
        <w:t xml:space="preserve">work </w:t>
      </w:r>
      <w:r w:rsidRPr="00B36B2C" w:rsidR="00B36B2C">
        <w:rPr>
          <w:rFonts w:ascii="Palatino Linotype" w:hAnsi="Palatino Linotype" w:eastAsia="Palatino Linotype" w:cs="Times New Roman"/>
          <w:kern w:val="0"/>
          <w14:ligatures w14:val="none"/>
        </w:rPr>
        <w:t>should not be refundable. PG&amp;E argues</w:t>
      </w:r>
      <w:r w:rsidR="0054572F">
        <w:rPr>
          <w:rFonts w:ascii="Palatino Linotype" w:hAnsi="Palatino Linotype" w:eastAsia="Palatino Linotype" w:cs="Times New Roman"/>
          <w:kern w:val="0"/>
          <w14:ligatures w14:val="none"/>
        </w:rPr>
        <w:t xml:space="preserve"> that</w:t>
      </w:r>
      <w:r w:rsidRPr="00B36B2C" w:rsidR="00B36B2C">
        <w:rPr>
          <w:rFonts w:ascii="Palatino Linotype" w:hAnsi="Palatino Linotype" w:eastAsia="Palatino Linotype" w:cs="Times New Roman"/>
          <w:kern w:val="0"/>
          <w14:ligatures w14:val="none"/>
        </w:rPr>
        <w:t xml:space="preserve"> its oversight and supplemental costs are appropriate and do not overlap with Google’s </w:t>
      </w:r>
      <w:r w:rsidR="000C37B7">
        <w:rPr>
          <w:rFonts w:ascii="Palatino Linotype" w:hAnsi="Palatino Linotype" w:eastAsia="Palatino Linotype" w:cs="Times New Roman"/>
          <w:kern w:val="0"/>
          <w14:ligatures w14:val="none"/>
        </w:rPr>
        <w:t xml:space="preserve">Applicant Work </w:t>
      </w:r>
      <w:r w:rsidRPr="00B36B2C" w:rsidR="00B36B2C">
        <w:rPr>
          <w:rFonts w:ascii="Palatino Linotype" w:hAnsi="Palatino Linotype" w:eastAsia="Palatino Linotype" w:cs="Times New Roman"/>
          <w:kern w:val="0"/>
          <w14:ligatures w14:val="none"/>
        </w:rPr>
        <w:t>costs.</w:t>
      </w:r>
    </w:p>
    <w:p w:rsidRPr="00B36B2C" w:rsidR="004D46CE" w:rsidP="00B36B2C" w:rsidRDefault="004D46CE" w14:paraId="34FEF97C"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83F39EB" w14:textId="22EA8B6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agree that PG&amp;E will incur reasonable oversight and supplemental costs associated with reviewing, coordinating, and accepting facilities constructed by </w:t>
      </w:r>
      <w:r w:rsidR="009F1002">
        <w:rPr>
          <w:rFonts w:ascii="Palatino Linotype" w:hAnsi="Palatino Linotype" w:eastAsia="Palatino Linotype" w:cs="Times New Roman"/>
          <w:kern w:val="0"/>
          <w14:ligatures w14:val="none"/>
        </w:rPr>
        <w:t>Google</w:t>
      </w:r>
      <w:r w:rsidRPr="00B36B2C">
        <w:rPr>
          <w:rFonts w:ascii="Palatino Linotype" w:hAnsi="Palatino Linotype" w:eastAsia="Palatino Linotype" w:cs="Times New Roman"/>
          <w:kern w:val="0"/>
          <w14:ligatures w14:val="none"/>
        </w:rPr>
        <w:t xml:space="preserve"> for transfer to PG&amp;E, and that it can be reasonable for such costs to be </w:t>
      </w:r>
      <w:r w:rsidR="00A42E65">
        <w:rPr>
          <w:rFonts w:ascii="Palatino Linotype" w:hAnsi="Palatino Linotype" w:eastAsia="Palatino Linotype" w:cs="Times New Roman"/>
          <w:kern w:val="0"/>
          <w14:ligatures w14:val="none"/>
        </w:rPr>
        <w:t xml:space="preserve">refundable as </w:t>
      </w:r>
      <w:r w:rsidRPr="00B36B2C">
        <w:rPr>
          <w:rFonts w:ascii="Palatino Linotype" w:hAnsi="Palatino Linotype" w:eastAsia="Palatino Linotype" w:cs="Times New Roman"/>
          <w:kern w:val="0"/>
          <w14:ligatures w14:val="none"/>
        </w:rPr>
        <w:t xml:space="preserve">part of the overall cost responsibility structure for energizing a large transmission-level customer. We do not categorically exclude all PG&amp;E oversight and inspection costs from the </w:t>
      </w:r>
      <w:r w:rsidR="00A42E65">
        <w:rPr>
          <w:rFonts w:ascii="Palatino Linotype" w:hAnsi="Palatino Linotype" w:eastAsia="Palatino Linotype" w:cs="Times New Roman"/>
          <w:kern w:val="0"/>
          <w14:ligatures w14:val="none"/>
        </w:rPr>
        <w:t>refundable energization costs</w:t>
      </w:r>
      <w:r w:rsidRPr="00B36B2C">
        <w:rPr>
          <w:rFonts w:ascii="Palatino Linotype" w:hAnsi="Palatino Linotype" w:eastAsia="Palatino Linotype" w:cs="Times New Roman"/>
          <w:kern w:val="0"/>
          <w14:ligatures w14:val="none"/>
        </w:rPr>
        <w:t>.</w:t>
      </w:r>
    </w:p>
    <w:p w:rsidRPr="00B36B2C" w:rsidR="004D46CE" w:rsidP="00B36B2C" w:rsidRDefault="004D46CE" w14:paraId="3FDA99D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C9DB5F4" w14:textId="556C116E">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However, to ensure ratepayer protection and prevent duplicative refunds, we </w:t>
      </w:r>
      <w:r w:rsidR="00A42E65">
        <w:rPr>
          <w:rFonts w:ascii="Palatino Linotype" w:hAnsi="Palatino Linotype" w:eastAsia="Palatino Linotype" w:cs="Times New Roman"/>
          <w:kern w:val="0"/>
          <w14:ligatures w14:val="none"/>
        </w:rPr>
        <w:t xml:space="preserve">find it reasonable to </w:t>
      </w:r>
      <w:r w:rsidRPr="00B36B2C">
        <w:rPr>
          <w:rFonts w:ascii="Palatino Linotype" w:hAnsi="Palatino Linotype" w:eastAsia="Palatino Linotype" w:cs="Times New Roman"/>
          <w:kern w:val="0"/>
          <w14:ligatures w14:val="none"/>
        </w:rPr>
        <w:t xml:space="preserve">adopt a clear non-overlap </w:t>
      </w:r>
      <w:r w:rsidR="009F1002">
        <w:rPr>
          <w:rFonts w:ascii="Palatino Linotype" w:hAnsi="Palatino Linotype" w:eastAsia="Palatino Linotype" w:cs="Times New Roman"/>
          <w:kern w:val="0"/>
          <w14:ligatures w14:val="none"/>
        </w:rPr>
        <w:t>standard</w:t>
      </w:r>
      <w:r w:rsidRPr="00B36B2C">
        <w:rPr>
          <w:rFonts w:ascii="Palatino Linotype" w:hAnsi="Palatino Linotype" w:eastAsia="Palatino Linotype" w:cs="Times New Roman"/>
          <w:kern w:val="0"/>
          <w14:ligatures w14:val="none"/>
        </w:rPr>
        <w:t xml:space="preserve">: the binding cost estimate for </w:t>
      </w:r>
      <w:r w:rsidR="00A42E65">
        <w:rPr>
          <w:rFonts w:ascii="Palatino Linotype" w:hAnsi="Palatino Linotype" w:eastAsia="Palatino Linotype" w:cs="Times New Roman"/>
          <w:kern w:val="0"/>
          <w14:ligatures w14:val="none"/>
        </w:rPr>
        <w:t xml:space="preserve">Applicant Work associated with </w:t>
      </w:r>
      <w:r w:rsidRPr="00B36B2C">
        <w:rPr>
          <w:rFonts w:ascii="Palatino Linotype" w:hAnsi="Palatino Linotype" w:eastAsia="Palatino Linotype" w:cs="Times New Roman"/>
          <w:kern w:val="0"/>
          <w14:ligatures w14:val="none"/>
        </w:rPr>
        <w:t>refundable Standard Facilities must exclude any costs that overlap with PG&amp;E’s own oversight and supplemental cost items</w:t>
      </w:r>
      <w:r w:rsidR="00F4244D">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F4244D">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ny overlapping items </w:t>
      </w:r>
      <w:r w:rsidR="00F4244D">
        <w:rPr>
          <w:rFonts w:ascii="Palatino Linotype" w:hAnsi="Palatino Linotype" w:eastAsia="Palatino Linotype" w:cs="Times New Roman"/>
          <w:kern w:val="0"/>
          <w14:ligatures w14:val="none"/>
        </w:rPr>
        <w:t>should</w:t>
      </w:r>
      <w:r w:rsidRPr="00B36B2C">
        <w:rPr>
          <w:rFonts w:ascii="Palatino Linotype" w:hAnsi="Palatino Linotype" w:eastAsia="Palatino Linotype" w:cs="Times New Roman"/>
          <w:kern w:val="0"/>
          <w14:ligatures w14:val="none"/>
        </w:rPr>
        <w:t xml:space="preserve"> not</w:t>
      </w:r>
      <w:r w:rsidR="00F4244D">
        <w:rPr>
          <w:rFonts w:ascii="Palatino Linotype" w:hAnsi="Palatino Linotype" w:eastAsia="Palatino Linotype" w:cs="Times New Roman"/>
          <w:kern w:val="0"/>
          <w14:ligatures w14:val="none"/>
        </w:rPr>
        <w:t xml:space="preserve"> be</w:t>
      </w:r>
      <w:r w:rsidRPr="00B36B2C">
        <w:rPr>
          <w:rFonts w:ascii="Palatino Linotype" w:hAnsi="Palatino Linotype" w:eastAsia="Palatino Linotype" w:cs="Times New Roman"/>
          <w:kern w:val="0"/>
          <w14:ligatures w14:val="none"/>
        </w:rPr>
        <w:t xml:space="preserve"> refundable</w:t>
      </w:r>
      <w:r w:rsidR="009F1002">
        <w:rPr>
          <w:rFonts w:ascii="Palatino Linotype" w:hAnsi="Palatino Linotype" w:eastAsia="Palatino Linotype" w:cs="Times New Roman"/>
          <w:kern w:val="0"/>
          <w14:ligatures w14:val="none"/>
        </w:rPr>
        <w:t xml:space="preserve"> and th</w:t>
      </w:r>
      <w:r w:rsidR="0040576D">
        <w:rPr>
          <w:rFonts w:ascii="Palatino Linotype" w:hAnsi="Palatino Linotype" w:eastAsia="Palatino Linotype" w:cs="Times New Roman"/>
          <w:kern w:val="0"/>
          <w14:ligatures w14:val="none"/>
        </w:rPr>
        <w:t>u</w:t>
      </w:r>
      <w:r w:rsidR="009F1002">
        <w:rPr>
          <w:rFonts w:ascii="Palatino Linotype" w:hAnsi="Palatino Linotype" w:eastAsia="Palatino Linotype" w:cs="Times New Roman"/>
          <w:kern w:val="0"/>
          <w14:ligatures w14:val="none"/>
        </w:rPr>
        <w:t xml:space="preserve">s should not be included </w:t>
      </w:r>
      <w:r w:rsidR="0040576D">
        <w:rPr>
          <w:rFonts w:ascii="Palatino Linotype" w:hAnsi="Palatino Linotype" w:eastAsia="Palatino Linotype" w:cs="Times New Roman"/>
          <w:kern w:val="0"/>
          <w14:ligatures w14:val="none"/>
        </w:rPr>
        <w:t>in the binding cost cap</w:t>
      </w:r>
      <w:r w:rsidRPr="00B36B2C">
        <w:rPr>
          <w:rFonts w:ascii="Palatino Linotype" w:hAnsi="Palatino Linotype" w:eastAsia="Palatino Linotype" w:cs="Times New Roman"/>
          <w:kern w:val="0"/>
          <w14:ligatures w14:val="none"/>
        </w:rPr>
        <w:t xml:space="preserve">. This requirement ensures the binding cost estimate operates as a meaningful cap on refundable </w:t>
      </w:r>
      <w:r w:rsidR="0040576D">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and prevents the customer from receiving refunds for costs already accounted for through PG&amp;E’s separate </w:t>
      </w:r>
      <w:r w:rsidR="00F4244D">
        <w:rPr>
          <w:rFonts w:ascii="Palatino Linotype" w:hAnsi="Palatino Linotype" w:eastAsia="Palatino Linotype" w:cs="Times New Roman"/>
          <w:kern w:val="0"/>
          <w14:ligatures w14:val="none"/>
        </w:rPr>
        <w:t xml:space="preserve">accounting of its own </w:t>
      </w:r>
      <w:r w:rsidRPr="00B36B2C">
        <w:rPr>
          <w:rFonts w:ascii="Palatino Linotype" w:hAnsi="Palatino Linotype" w:eastAsia="Palatino Linotype" w:cs="Times New Roman"/>
          <w:kern w:val="0"/>
          <w14:ligatures w14:val="none"/>
        </w:rPr>
        <w:t>oversight and supplemental costs.</w:t>
      </w:r>
    </w:p>
    <w:p w:rsidRPr="00B36B2C" w:rsidR="004D46CE" w:rsidP="00B36B2C" w:rsidRDefault="004D46CE" w14:paraId="2CA6532A"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7B1A23" w14:paraId="695A135A" w14:textId="411B68C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B36B2C" w:rsidR="00B36B2C">
        <w:rPr>
          <w:rFonts w:ascii="Palatino Linotype" w:hAnsi="Palatino Linotype" w:eastAsia="Palatino Linotype" w:cs="Times New Roman"/>
          <w:kern w:val="0"/>
          <w14:ligatures w14:val="none"/>
        </w:rPr>
        <w:t xml:space="preserve">n the information-only Tier 1 </w:t>
      </w:r>
      <w:r>
        <w:rPr>
          <w:rFonts w:ascii="Palatino Linotype" w:hAnsi="Palatino Linotype" w:eastAsia="Palatino Linotype" w:cs="Times New Roman"/>
          <w:kern w:val="0"/>
          <w14:ligatures w14:val="none"/>
        </w:rPr>
        <w:t xml:space="preserve">Advice Letter </w:t>
      </w:r>
      <w:r w:rsidR="007668AB">
        <w:rPr>
          <w:rFonts w:ascii="Palatino Linotype" w:hAnsi="Palatino Linotype" w:eastAsia="Palatino Linotype" w:cs="Times New Roman"/>
          <w:kern w:val="0"/>
          <w14:ligatures w14:val="none"/>
        </w:rPr>
        <w:t>that includes the binding cost cap</w:t>
      </w:r>
      <w:r w:rsidRPr="00B36B2C" w:rsidR="00B36B2C">
        <w:rPr>
          <w:rFonts w:ascii="Palatino Linotype" w:hAnsi="Palatino Linotype" w:eastAsia="Palatino Linotype" w:cs="Times New Roman"/>
          <w:kern w:val="0"/>
          <w14:ligatures w14:val="none"/>
        </w:rPr>
        <w:t>,</w:t>
      </w:r>
      <w:r w:rsidR="007668AB">
        <w:rPr>
          <w:rFonts w:ascii="Palatino Linotype" w:hAnsi="Palatino Linotype" w:eastAsia="Palatino Linotype" w:cs="Times New Roman"/>
          <w:kern w:val="0"/>
          <w14:ligatures w14:val="none"/>
        </w:rPr>
        <w:t xml:space="preserve"> PG&amp;E must describe the logic and </w:t>
      </w:r>
      <w:r w:rsidRPr="00B36B2C" w:rsidR="007668AB">
        <w:rPr>
          <w:rFonts w:ascii="Palatino Linotype" w:hAnsi="Palatino Linotype" w:eastAsia="Palatino Linotype" w:cs="Times New Roman"/>
          <w:kern w:val="0"/>
          <w14:ligatures w14:val="none"/>
        </w:rPr>
        <w:t xml:space="preserve">screening </w:t>
      </w:r>
      <w:r w:rsidR="007668AB">
        <w:rPr>
          <w:rFonts w:ascii="Palatino Linotype" w:hAnsi="Palatino Linotype" w:eastAsia="Palatino Linotype" w:cs="Times New Roman"/>
          <w:kern w:val="0"/>
          <w14:ligatures w14:val="none"/>
        </w:rPr>
        <w:t>process used</w:t>
      </w:r>
      <w:r w:rsidRPr="00B36B2C" w:rsidR="007668AB">
        <w:rPr>
          <w:rFonts w:ascii="Palatino Linotype" w:hAnsi="Palatino Linotype" w:eastAsia="Palatino Linotype" w:cs="Times New Roman"/>
          <w:kern w:val="0"/>
          <w14:ligatures w14:val="none"/>
        </w:rPr>
        <w:t xml:space="preserve"> to ensure the refundable binding cost estimate </w:t>
      </w:r>
      <w:r w:rsidR="00A331B9">
        <w:rPr>
          <w:rFonts w:ascii="Palatino Linotype" w:hAnsi="Palatino Linotype" w:eastAsia="Palatino Linotype" w:cs="Times New Roman"/>
          <w:kern w:val="0"/>
          <w14:ligatures w14:val="none"/>
        </w:rPr>
        <w:t xml:space="preserve">for Applicant Work </w:t>
      </w:r>
      <w:r w:rsidRPr="00B36B2C" w:rsidR="007668AB">
        <w:rPr>
          <w:rFonts w:ascii="Palatino Linotype" w:hAnsi="Palatino Linotype" w:eastAsia="Palatino Linotype" w:cs="Times New Roman"/>
          <w:kern w:val="0"/>
          <w14:ligatures w14:val="none"/>
        </w:rPr>
        <w:t xml:space="preserve">excludes any </w:t>
      </w:r>
      <w:r w:rsidR="007668AB">
        <w:rPr>
          <w:rFonts w:ascii="Palatino Linotype" w:hAnsi="Palatino Linotype" w:eastAsia="Palatino Linotype" w:cs="Times New Roman"/>
          <w:kern w:val="0"/>
          <w14:ligatures w14:val="none"/>
        </w:rPr>
        <w:t xml:space="preserve">costs that </w:t>
      </w:r>
      <w:r w:rsidRPr="00B36B2C" w:rsidR="007668AB">
        <w:rPr>
          <w:rFonts w:ascii="Palatino Linotype" w:hAnsi="Palatino Linotype" w:eastAsia="Palatino Linotype" w:cs="Times New Roman"/>
          <w:kern w:val="0"/>
          <w14:ligatures w14:val="none"/>
        </w:rPr>
        <w:t>overlap</w:t>
      </w:r>
      <w:r w:rsidR="00EC2B9B">
        <w:rPr>
          <w:rFonts w:ascii="Palatino Linotype" w:hAnsi="Palatino Linotype" w:eastAsia="Palatino Linotype" w:cs="Times New Roman"/>
          <w:kern w:val="0"/>
          <w14:ligatures w14:val="none"/>
        </w:rPr>
        <w:t xml:space="preserve"> with </w:t>
      </w:r>
      <w:r w:rsidR="00A331B9">
        <w:rPr>
          <w:rFonts w:ascii="Palatino Linotype" w:hAnsi="Palatino Linotype" w:eastAsia="Palatino Linotype" w:cs="Times New Roman"/>
          <w:kern w:val="0"/>
          <w14:ligatures w14:val="none"/>
        </w:rPr>
        <w:t xml:space="preserve">the costs of </w:t>
      </w:r>
      <w:r w:rsidR="00EC2B9B">
        <w:rPr>
          <w:rFonts w:ascii="Palatino Linotype" w:hAnsi="Palatino Linotype" w:eastAsia="Palatino Linotype" w:cs="Times New Roman"/>
          <w:kern w:val="0"/>
          <w14:ligatures w14:val="none"/>
        </w:rPr>
        <w:t>PG&amp;E’s own</w:t>
      </w:r>
      <w:r w:rsidRPr="00B36B2C" w:rsidR="007668AB">
        <w:rPr>
          <w:rFonts w:ascii="Palatino Linotype" w:hAnsi="Palatino Linotype" w:eastAsia="Palatino Linotype" w:cs="Times New Roman"/>
          <w:kern w:val="0"/>
          <w14:ligatures w14:val="none"/>
        </w:rPr>
        <w:t xml:space="preserve"> </w:t>
      </w:r>
      <w:r w:rsidR="00A331B9">
        <w:rPr>
          <w:rFonts w:ascii="Palatino Linotype" w:hAnsi="Palatino Linotype" w:eastAsia="Palatino Linotype" w:cs="Times New Roman"/>
          <w:kern w:val="0"/>
          <w14:ligatures w14:val="none"/>
        </w:rPr>
        <w:t>work</w:t>
      </w:r>
      <w:r w:rsidR="00EC2B9B">
        <w:rPr>
          <w:rFonts w:ascii="Palatino Linotype" w:hAnsi="Palatino Linotype" w:eastAsia="Palatino Linotype" w:cs="Times New Roman"/>
          <w:kern w:val="0"/>
          <w14:ligatures w14:val="none"/>
        </w:rPr>
        <w:t xml:space="preserve">. </w:t>
      </w:r>
    </w:p>
    <w:p w:rsidRPr="00B36B2C" w:rsidR="008A32E7" w:rsidP="00B36B2C" w:rsidRDefault="008A32E7" w14:paraId="59C5A29D"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96A48" w14:paraId="3FA54900" w14:textId="07483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w:t>
      </w:r>
      <w:r w:rsidRPr="00B36B2C" w:rsidR="00B36B2C">
        <w:rPr>
          <w:rFonts w:ascii="Palatino Linotype" w:hAnsi="Palatino Linotype" w:eastAsia="Palatino Linotype" w:cs="Times New Roman"/>
          <w:kern w:val="0"/>
          <w14:ligatures w14:val="none"/>
        </w:rPr>
        <w:t xml:space="preserve">e approve PG&amp;E’s recovery of reasonable oversight and supplemental costs in </w:t>
      </w:r>
      <w:proofErr w:type="gramStart"/>
      <w:r w:rsidRPr="00B36B2C" w:rsidR="00B36B2C">
        <w:rPr>
          <w:rFonts w:ascii="Palatino Linotype" w:hAnsi="Palatino Linotype" w:eastAsia="Palatino Linotype" w:cs="Times New Roman"/>
          <w:kern w:val="0"/>
          <w14:ligatures w14:val="none"/>
        </w:rPr>
        <w:t>general, but</w:t>
      </w:r>
      <w:proofErr w:type="gramEnd"/>
      <w:r w:rsidRPr="00B36B2C" w:rsidR="00B36B2C">
        <w:rPr>
          <w:rFonts w:ascii="Palatino Linotype" w:hAnsi="Palatino Linotype" w:eastAsia="Palatino Linotype" w:cs="Times New Roman"/>
          <w:kern w:val="0"/>
          <w14:ligatures w14:val="none"/>
        </w:rPr>
        <w:t xml:space="preserve"> require the binding cost estimate for refundable Standard Facilities to exclude overlapping items.</w:t>
      </w:r>
    </w:p>
    <w:p w:rsidRPr="00B36B2C" w:rsidR="008A32E7" w:rsidP="00B36B2C" w:rsidRDefault="008A32E7" w14:paraId="216869AB"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42EE4EA8" w14:textId="1A3A880C">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Interim Electric Rule 30 Is Not Required for This Disposition</w:t>
      </w:r>
    </w:p>
    <w:p w:rsidRPr="00B36B2C" w:rsidR="008A32E7" w:rsidP="00B36B2C" w:rsidRDefault="008A32E7" w14:paraId="5ECCD5B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8A03FB" w14:paraId="4B4C4BB6" w14:textId="3E02C8C5">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w:t>
      </w:r>
      <w:r>
        <w:rPr>
          <w:rFonts w:ascii="Palatino Linotype" w:hAnsi="Palatino Linotype" w:eastAsia="Palatino Linotype" w:cs="Times New Roman"/>
          <w:kern w:val="0"/>
          <w14:ligatures w14:val="none"/>
        </w:rPr>
        <w:t>proposes</w:t>
      </w:r>
      <w:r w:rsidRPr="00B36B2C" w:rsidR="00B36B2C">
        <w:rPr>
          <w:rFonts w:ascii="Palatino Linotype" w:hAnsi="Palatino Linotype" w:eastAsia="Palatino Linotype" w:cs="Times New Roman"/>
          <w:kern w:val="0"/>
          <w14:ligatures w14:val="none"/>
        </w:rPr>
        <w:t xml:space="preserve"> that the Commission require PG&amp;E to resubmit this agreement under interim Electric Rule 30 implementation agreements</w:t>
      </w:r>
      <w:r>
        <w:rPr>
          <w:rFonts w:ascii="Palatino Linotype" w:hAnsi="Palatino Linotype" w:eastAsia="Palatino Linotype" w:cs="Times New Roman"/>
          <w:kern w:val="0"/>
          <w14:ligatures w14:val="none"/>
        </w:rPr>
        <w:t xml:space="preserve"> if we do not </w:t>
      </w:r>
      <w:r w:rsidR="00C9559A">
        <w:rPr>
          <w:rFonts w:ascii="Palatino Linotype" w:hAnsi="Palatino Linotype" w:eastAsia="Palatino Linotype" w:cs="Times New Roman"/>
          <w:kern w:val="0"/>
          <w14:ligatures w14:val="none"/>
        </w:rPr>
        <w:lastRenderedPageBreak/>
        <w:t>modify it to include additional ratepayer protections</w:t>
      </w:r>
      <w:r w:rsidRPr="00B36B2C" w:rsidR="00B36B2C">
        <w:rPr>
          <w:rFonts w:ascii="Palatino Linotype" w:hAnsi="Palatino Linotype" w:eastAsia="Palatino Linotype" w:cs="Times New Roman"/>
          <w:kern w:val="0"/>
          <w14:ligatures w14:val="none"/>
        </w:rPr>
        <w:t xml:space="preserve">. We decline to require interim Rule 30 implementation for this disposition because the record supports approving this exceptional case agreement under Electric Rules 2, 15, and 16 with targeted modifications that address the principal ratepayer protection concerns raised in the protests while allowing the parties to proceed on the project schedule described in the </w:t>
      </w:r>
      <w:r w:rsidR="000B66A8">
        <w:rPr>
          <w:rFonts w:ascii="Palatino Linotype" w:hAnsi="Palatino Linotype" w:eastAsia="Palatino Linotype" w:cs="Times New Roman"/>
          <w:kern w:val="0"/>
          <w14:ligatures w14:val="none"/>
        </w:rPr>
        <w:t>Advice Letter</w:t>
      </w:r>
      <w:r w:rsidRPr="00B36B2C" w:rsidR="00B36B2C">
        <w:rPr>
          <w:rFonts w:ascii="Palatino Linotype" w:hAnsi="Palatino Linotype" w:eastAsia="Palatino Linotype" w:cs="Times New Roman"/>
          <w:kern w:val="0"/>
          <w14:ligatures w14:val="none"/>
        </w:rPr>
        <w:t xml:space="preserve">. The Commission’s </w:t>
      </w:r>
      <w:r w:rsidR="00436D7F">
        <w:rPr>
          <w:rFonts w:ascii="Palatino Linotype" w:hAnsi="Palatino Linotype" w:eastAsia="Palatino Linotype" w:cs="Times New Roman"/>
          <w:kern w:val="0"/>
          <w14:ligatures w14:val="none"/>
        </w:rPr>
        <w:t>adoption of the additional capital advance</w:t>
      </w:r>
      <w:r w:rsidR="0019365A">
        <w:rPr>
          <w:rFonts w:ascii="Palatino Linotype" w:hAnsi="Palatino Linotype" w:eastAsia="Palatino Linotype" w:cs="Times New Roman"/>
          <w:kern w:val="0"/>
          <w14:ligatures w14:val="none"/>
        </w:rPr>
        <w:t xml:space="preserve"> </w:t>
      </w:r>
      <w:r w:rsidR="00602476">
        <w:rPr>
          <w:rFonts w:ascii="Palatino Linotype" w:hAnsi="Palatino Linotype" w:eastAsia="Palatino Linotype" w:cs="Times New Roman"/>
          <w:kern w:val="0"/>
          <w14:ligatures w14:val="none"/>
        </w:rPr>
        <w:t xml:space="preserve">and </w:t>
      </w:r>
      <w:r w:rsidRPr="00B36B2C" w:rsidR="00B36B2C">
        <w:rPr>
          <w:rFonts w:ascii="Palatino Linotype" w:hAnsi="Palatino Linotype" w:eastAsia="Palatino Linotype" w:cs="Times New Roman"/>
          <w:kern w:val="0"/>
          <w14:ligatures w14:val="none"/>
        </w:rPr>
        <w:t>limit</w:t>
      </w:r>
      <w:r w:rsidR="0019365A">
        <w:rPr>
          <w:rFonts w:ascii="Palatino Linotype" w:hAnsi="Palatino Linotype" w:eastAsia="Palatino Linotype" w:cs="Times New Roman"/>
          <w:kern w:val="0"/>
          <w14:ligatures w14:val="none"/>
        </w:rPr>
        <w:t>ation of</w:t>
      </w:r>
      <w:r w:rsidR="00602476">
        <w:rPr>
          <w:rFonts w:ascii="Palatino Linotype" w:hAnsi="Palatino Linotype" w:eastAsia="Palatino Linotype" w:cs="Times New Roman"/>
          <w:kern w:val="0"/>
          <w14:ligatures w14:val="none"/>
        </w:rPr>
        <w:t xml:space="preserve"> refunds to annual net revenues</w:t>
      </w:r>
      <w:r w:rsidR="00684A2A">
        <w:rPr>
          <w:rFonts w:ascii="Palatino Linotype" w:hAnsi="Palatino Linotype" w:eastAsia="Palatino Linotype" w:cs="Times New Roman"/>
          <w:kern w:val="0"/>
          <w14:ligatures w14:val="none"/>
        </w:rPr>
        <w:t>, as well as</w:t>
      </w:r>
      <w:r w:rsidRPr="00B36B2C" w:rsidR="00B36B2C">
        <w:rPr>
          <w:rFonts w:ascii="Palatino Linotype" w:hAnsi="Palatino Linotype" w:eastAsia="Palatino Linotype" w:cs="Times New Roman"/>
          <w:kern w:val="0"/>
          <w14:ligatures w14:val="none"/>
        </w:rPr>
        <w:t xml:space="preserve"> the binding cost estimate clarifications and reporting requirements</w:t>
      </w:r>
      <w:r w:rsidR="00684A2A">
        <w:rPr>
          <w:rFonts w:ascii="Palatino Linotype" w:hAnsi="Palatino Linotype" w:eastAsia="Palatino Linotype" w:cs="Times New Roman"/>
          <w:kern w:val="0"/>
          <w14:ligatures w14:val="none"/>
        </w:rPr>
        <w:t>,</w:t>
      </w:r>
      <w:r w:rsidRPr="00B36B2C" w:rsidR="00B36B2C">
        <w:rPr>
          <w:rFonts w:ascii="Palatino Linotype" w:hAnsi="Palatino Linotype" w:eastAsia="Palatino Linotype" w:cs="Times New Roman"/>
          <w:kern w:val="0"/>
          <w14:ligatures w14:val="none"/>
        </w:rPr>
        <w:t xml:space="preserve"> provide the specific </w:t>
      </w:r>
      <w:proofErr w:type="gramStart"/>
      <w:r w:rsidRPr="00B36B2C" w:rsidR="00B36B2C">
        <w:rPr>
          <w:rFonts w:ascii="Palatino Linotype" w:hAnsi="Palatino Linotype" w:eastAsia="Palatino Linotype" w:cs="Times New Roman"/>
          <w:kern w:val="0"/>
          <w14:ligatures w14:val="none"/>
        </w:rPr>
        <w:t>protections</w:t>
      </w:r>
      <w:proofErr w:type="gramEnd"/>
      <w:r w:rsidRPr="00B36B2C" w:rsidR="00B36B2C">
        <w:rPr>
          <w:rFonts w:ascii="Palatino Linotype" w:hAnsi="Palatino Linotype" w:eastAsia="Palatino Linotype" w:cs="Times New Roman"/>
          <w:kern w:val="0"/>
          <w14:ligatures w14:val="none"/>
        </w:rPr>
        <w:t xml:space="preserve"> needed for this exceptional case.</w:t>
      </w:r>
    </w:p>
    <w:p w:rsidRPr="00B36B2C" w:rsidR="008A32E7" w:rsidP="00B36B2C" w:rsidRDefault="008A32E7" w14:paraId="0327C983"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901664D"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This disposition is without prejudice to any broader Commission determinations regarding Electric Rule 30 and transmission-level energization agreements in other proceedings or future policy actions. Nothing in this Resolution should be construed as limiting the Commission’s ability to adopt different or additional requirements for future agreements through the appropriate procedural vehicle.</w:t>
      </w:r>
    </w:p>
    <w:p w:rsidRPr="00B36B2C" w:rsidR="008A32E7" w:rsidP="00B36B2C" w:rsidRDefault="008A32E7" w14:paraId="13A38921"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55BE6200" w14:textId="63216932">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Imel’s Protest Is Dismissed</w:t>
      </w:r>
    </w:p>
    <w:p w:rsidRPr="00B36B2C" w:rsidR="008A32E7" w:rsidP="00B36B2C" w:rsidRDefault="008A32E7" w14:paraId="5157B1F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9559A" w14:paraId="03C28587" w14:textId="6D79CA0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Imel requests that PG&amp;E provide a redacted version of the agreement and additional public </w:t>
      </w:r>
      <w:proofErr w:type="gramStart"/>
      <w:r w:rsidRPr="00B36B2C" w:rsidR="00B36B2C">
        <w:rPr>
          <w:rFonts w:ascii="Palatino Linotype" w:hAnsi="Palatino Linotype" w:eastAsia="Palatino Linotype" w:cs="Times New Roman"/>
          <w:kern w:val="0"/>
          <w14:ligatures w14:val="none"/>
        </w:rPr>
        <w:t>detail</w:t>
      </w:r>
      <w:proofErr w:type="gramEnd"/>
      <w:r w:rsidRPr="00B36B2C" w:rsidR="00B36B2C">
        <w:rPr>
          <w:rFonts w:ascii="Palatino Linotype" w:hAnsi="Palatino Linotype" w:eastAsia="Palatino Linotype" w:cs="Times New Roman"/>
          <w:kern w:val="0"/>
          <w14:ligatures w14:val="none"/>
        </w:rPr>
        <w:t xml:space="preserve"> regarding technical specifications, costs, and potential betterment. PG&amp;E responds that the agreement is confidential and proprietary and may include sensitive infrastructure information, and that the Commission can review necessary details confidentially.</w:t>
      </w:r>
    </w:p>
    <w:p w:rsidRPr="00B36B2C" w:rsidR="008A32E7" w:rsidP="00B36B2C" w:rsidRDefault="008A32E7" w14:paraId="072E7E6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8893241" w14:textId="762CB57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8A3D21">
        <w:rPr>
          <w:rFonts w:ascii="Palatino Linotype" w:hAnsi="Palatino Linotype" w:eastAsia="Palatino Linotype" w:cs="Times New Roman"/>
          <w:kern w:val="0"/>
          <w14:ligatures w14:val="none"/>
        </w:rPr>
        <w:t>do not agree with</w:t>
      </w:r>
      <w:r w:rsidRPr="00B36B2C">
        <w:rPr>
          <w:rFonts w:ascii="Palatino Linotype" w:hAnsi="Palatino Linotype" w:eastAsia="Palatino Linotype" w:cs="Times New Roman"/>
          <w:kern w:val="0"/>
          <w14:ligatures w14:val="none"/>
        </w:rPr>
        <w:t xml:space="preserve"> Imel’s </w:t>
      </w:r>
      <w:r w:rsidR="008A3D21">
        <w:rPr>
          <w:rFonts w:ascii="Palatino Linotype" w:hAnsi="Palatino Linotype" w:eastAsia="Palatino Linotype" w:cs="Times New Roman"/>
          <w:kern w:val="0"/>
          <w14:ligatures w14:val="none"/>
        </w:rPr>
        <w:t>request for</w:t>
      </w:r>
      <w:r w:rsidRPr="00B36B2C">
        <w:rPr>
          <w:rFonts w:ascii="Palatino Linotype" w:hAnsi="Palatino Linotype" w:eastAsia="Palatino Linotype" w:cs="Times New Roman"/>
          <w:kern w:val="0"/>
          <w14:ligatures w14:val="none"/>
        </w:rPr>
        <w:t xml:space="preserve"> public disclosure of confidential negotiated agreement provisions and associated technical and cost details. The agreement was submitted to the Commission as a confidential attachment</w:t>
      </w:r>
      <w:r w:rsidR="004427E6">
        <w:rPr>
          <w:rFonts w:ascii="Palatino Linotype" w:hAnsi="Palatino Linotype" w:eastAsia="Palatino Linotype" w:cs="Times New Roman"/>
          <w:kern w:val="0"/>
          <w14:ligatures w14:val="none"/>
        </w:rPr>
        <w:t xml:space="preserve"> in compliance with General Order 66-D</w:t>
      </w:r>
      <w:r w:rsidRPr="00B36B2C">
        <w:rPr>
          <w:rFonts w:ascii="Palatino Linotype" w:hAnsi="Palatino Linotype" w:eastAsia="Palatino Linotype" w:cs="Times New Roman"/>
          <w:kern w:val="0"/>
          <w14:ligatures w14:val="none"/>
        </w:rPr>
        <w:t xml:space="preserve">, and the Commission can review confidential materials as necessary to evaluate the reasonableness of the agreement and the modifications required by this Resolution. An </w:t>
      </w:r>
      <w:r w:rsidR="00E63257">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E63257">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disposition is not a vehicle for compelling public disclosure of confidential commercial terms or sensitive infrastructure information. To the extent Imel raises broader policy concerns regarding transparency, comparability across agreements, or betterment concepts, those concerns are governed by existing tariff rules and are more appropriately addressed through the Commission’s broader policy proceedings, rather than as a condition of this exceptional case approval.</w:t>
      </w:r>
    </w:p>
    <w:p w:rsidRPr="00B36B2C" w:rsidR="008A32E7" w:rsidP="00B36B2C" w:rsidRDefault="008A32E7" w14:paraId="437A8CE0"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B36B2C" w:rsidRDefault="00B36B2C" w14:paraId="785FD15A" w14:textId="2259D9E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dismiss Imel’s protest and approve AL 7785-E with the modifications described above.</w:t>
      </w: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Comments</w:t>
      </w:r>
    </w:p>
    <w:p w:rsidR="00A76F4A" w:rsidP="00A76F4A" w:rsidRDefault="008859F9" w14:paraId="73D79B48" w14:textId="32EA2768">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This Resolution was </w:t>
      </w:r>
      <w:r w:rsidR="00EB39E1">
        <w:rPr>
          <w:rFonts w:ascii="Palatino Linotype" w:hAnsi="Palatino Linotype" w:eastAsia="Palatino Linotype" w:cs="Times New Roman"/>
          <w:kern w:val="0"/>
          <w14:ligatures w14:val="none"/>
        </w:rPr>
        <w:t xml:space="preserve">mailed on </w:t>
      </w:r>
      <w:r w:rsidR="00432E12">
        <w:rPr>
          <w:rFonts w:ascii="Palatino Linotype" w:hAnsi="Palatino Linotype" w:eastAsia="Palatino Linotype" w:cs="Times New Roman"/>
          <w:kern w:val="0"/>
          <w14:ligatures w14:val="none"/>
        </w:rPr>
        <w:t xml:space="preserve">May 29, 2026. </w:t>
      </w:r>
      <w:r w:rsidR="0057402A">
        <w:rPr>
          <w:rFonts w:ascii="Palatino Linotype" w:hAnsi="Palatino Linotype" w:eastAsia="Palatino Linotype" w:cs="Times New Roman"/>
          <w:kern w:val="0"/>
          <w14:ligatures w14:val="none"/>
        </w:rPr>
        <w:t>Comments were timely filed on or before June 18, 202</w:t>
      </w:r>
      <w:r w:rsidR="00701102">
        <w:rPr>
          <w:rFonts w:ascii="Palatino Linotype" w:hAnsi="Palatino Linotype" w:eastAsia="Palatino Linotype" w:cs="Times New Roman"/>
          <w:kern w:val="0"/>
          <w14:ligatures w14:val="none"/>
        </w:rPr>
        <w:t>6</w:t>
      </w:r>
      <w:r w:rsidR="0057402A">
        <w:rPr>
          <w:rFonts w:ascii="Palatino Linotype" w:hAnsi="Palatino Linotype" w:eastAsia="Palatino Linotype" w:cs="Times New Roman"/>
          <w:kern w:val="0"/>
          <w14:ligatures w14:val="none"/>
        </w:rPr>
        <w:t xml:space="preserve"> by </w:t>
      </w:r>
      <w:r w:rsidRPr="0064194D" w:rsidR="0064194D">
        <w:rPr>
          <w:rFonts w:ascii="Palatino Linotype" w:hAnsi="Palatino Linotype" w:eastAsia="Palatino Linotype" w:cs="Times New Roman"/>
          <w:kern w:val="0"/>
          <w14:ligatures w14:val="none"/>
        </w:rPr>
        <w:t>Pacific Gas and Electric Company (PG&amp;E), the Public Advocates Office (Cal Advocates), Google, Southern California Edison</w:t>
      </w:r>
      <w:r w:rsidR="001D4311">
        <w:rPr>
          <w:rFonts w:ascii="Palatino Linotype" w:hAnsi="Palatino Linotype" w:eastAsia="Palatino Linotype" w:cs="Times New Roman"/>
          <w:kern w:val="0"/>
          <w14:ligatures w14:val="none"/>
        </w:rPr>
        <w:t xml:space="preserve"> Company</w:t>
      </w:r>
      <w:r w:rsidRPr="0064194D" w:rsidR="0064194D">
        <w:rPr>
          <w:rFonts w:ascii="Palatino Linotype" w:hAnsi="Palatino Linotype" w:eastAsia="Palatino Linotype" w:cs="Times New Roman"/>
          <w:kern w:val="0"/>
          <w14:ligatures w14:val="none"/>
        </w:rPr>
        <w:t xml:space="preserve"> (SCE), the Bay Area Council, the City of San José, the Direct Access Customer Coalition (DACC), Fifth Space, Orchard Partners, the Silicon Valley Leadership Group (SVLG), and Westbank.</w:t>
      </w:r>
      <w:r w:rsidR="0064194D">
        <w:rPr>
          <w:rFonts w:ascii="Palatino Linotype" w:hAnsi="Palatino Linotype" w:eastAsia="Palatino Linotype" w:cs="Times New Roman"/>
          <w:kern w:val="0"/>
          <w14:ligatures w14:val="none"/>
        </w:rPr>
        <w:t xml:space="preserve"> </w:t>
      </w:r>
      <w:r w:rsidR="00AB1539">
        <w:rPr>
          <w:rFonts w:ascii="Palatino Linotype" w:hAnsi="Palatino Linotype" w:eastAsia="Palatino Linotype" w:cs="Times New Roman"/>
          <w:kern w:val="0"/>
          <w14:ligatures w14:val="none"/>
        </w:rPr>
        <w:t>Menlo</w:t>
      </w:r>
      <w:r w:rsidR="000C4D9A">
        <w:rPr>
          <w:rFonts w:ascii="Palatino Linotype" w:hAnsi="Palatino Linotype" w:eastAsia="Palatino Linotype" w:cs="Times New Roman"/>
          <w:kern w:val="0"/>
          <w14:ligatures w14:val="none"/>
        </w:rPr>
        <w:t xml:space="preserve"> Equities</w:t>
      </w:r>
      <w:r w:rsidR="00AB1539">
        <w:rPr>
          <w:rFonts w:ascii="Palatino Linotype" w:hAnsi="Palatino Linotype" w:eastAsia="Palatino Linotype" w:cs="Times New Roman"/>
          <w:kern w:val="0"/>
          <w14:ligatures w14:val="none"/>
        </w:rPr>
        <w:t xml:space="preserve"> filed late comments</w:t>
      </w:r>
      <w:r w:rsidR="00701102">
        <w:rPr>
          <w:rFonts w:ascii="Palatino Linotype" w:hAnsi="Palatino Linotype" w:eastAsia="Palatino Linotype" w:cs="Times New Roman"/>
          <w:kern w:val="0"/>
          <w14:ligatures w14:val="none"/>
        </w:rPr>
        <w:t xml:space="preserve"> on June 19, 2026.</w:t>
      </w:r>
      <w:r w:rsidR="00AA2D23">
        <w:rPr>
          <w:rFonts w:ascii="Palatino Linotype" w:hAnsi="Palatino Linotype" w:eastAsia="Palatino Linotype" w:cs="Times New Roman"/>
          <w:kern w:val="0"/>
          <w14:ligatures w14:val="none"/>
        </w:rPr>
        <w:t xml:space="preserve"> We </w:t>
      </w:r>
      <w:r w:rsidR="003A03AF">
        <w:rPr>
          <w:rFonts w:ascii="Palatino Linotype" w:hAnsi="Palatino Linotype" w:eastAsia="Palatino Linotype" w:cs="Times New Roman"/>
          <w:kern w:val="0"/>
          <w14:ligatures w14:val="none"/>
        </w:rPr>
        <w:t>provide an overview of the various positions</w:t>
      </w:r>
      <w:r w:rsidR="00971C56">
        <w:rPr>
          <w:rFonts w:ascii="Palatino Linotype" w:hAnsi="Palatino Linotype" w:eastAsia="Palatino Linotype" w:cs="Times New Roman"/>
          <w:kern w:val="0"/>
          <w14:ligatures w14:val="none"/>
        </w:rPr>
        <w:t xml:space="preserve"> below </w:t>
      </w:r>
      <w:r w:rsidR="00EB4B58">
        <w:rPr>
          <w:rFonts w:ascii="Palatino Linotype" w:hAnsi="Palatino Linotype" w:eastAsia="Palatino Linotype" w:cs="Times New Roman"/>
          <w:kern w:val="0"/>
          <w14:ligatures w14:val="none"/>
        </w:rPr>
        <w:t>and discuss changes to the draft Resolution based on these comments. The changes are reflected in the original discussion section</w:t>
      </w:r>
      <w:r w:rsidR="000B27FA">
        <w:rPr>
          <w:rFonts w:ascii="Palatino Linotype" w:hAnsi="Palatino Linotype" w:eastAsia="Palatino Linotype" w:cs="Times New Roman"/>
          <w:kern w:val="0"/>
          <w14:ligatures w14:val="none"/>
        </w:rPr>
        <w:t xml:space="preserve"> above</w:t>
      </w:r>
      <w:r w:rsidR="00EB4B58">
        <w:rPr>
          <w:rFonts w:ascii="Palatino Linotype" w:hAnsi="Palatino Linotype" w:eastAsia="Palatino Linotype" w:cs="Times New Roman"/>
          <w:kern w:val="0"/>
          <w14:ligatures w14:val="none"/>
        </w:rPr>
        <w:t>, as well as being discussed here</w:t>
      </w:r>
      <w:r w:rsidR="00307EEC">
        <w:rPr>
          <w:rFonts w:ascii="Palatino Linotype" w:hAnsi="Palatino Linotype" w:eastAsia="Palatino Linotype" w:cs="Times New Roman"/>
          <w:kern w:val="0"/>
          <w14:ligatures w14:val="none"/>
        </w:rPr>
        <w:t>.</w:t>
      </w:r>
    </w:p>
    <w:p w:rsidR="00915A83" w:rsidP="00A76F4A" w:rsidRDefault="00915A83" w14:paraId="19981311"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6CDE5FAE" w14:textId="3ED84A2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Most commenting</w:t>
      </w:r>
      <w:r w:rsidRPr="007F77B4">
        <w:rPr>
          <w:rFonts w:ascii="Palatino Linotype" w:hAnsi="Palatino Linotype" w:eastAsia="Palatino Linotype" w:cs="Times New Roman"/>
          <w:kern w:val="0"/>
          <w14:ligatures w14:val="none"/>
        </w:rPr>
        <w:t xml:space="preserve"> parties—including </w:t>
      </w:r>
      <w:r>
        <w:rPr>
          <w:rFonts w:ascii="Palatino Linotype" w:hAnsi="Palatino Linotype" w:eastAsia="Palatino Linotype" w:cs="Times New Roman"/>
          <w:kern w:val="0"/>
          <w14:ligatures w14:val="none"/>
        </w:rPr>
        <w:t xml:space="preserve">Cal Advocates, </w:t>
      </w:r>
      <w:r w:rsidRPr="007F77B4">
        <w:rPr>
          <w:rFonts w:ascii="Palatino Linotype" w:hAnsi="Palatino Linotype" w:eastAsia="Palatino Linotype" w:cs="Times New Roman"/>
          <w:kern w:val="0"/>
          <w14:ligatures w14:val="none"/>
        </w:rPr>
        <w:t xml:space="preserve">PG&amp;E, Google, the Bay Area Council, the City of San José, </w:t>
      </w:r>
      <w:r>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 and Westbank— objected to the uncertainty created by </w:t>
      </w:r>
      <w:r w:rsidR="002168B3">
        <w:rPr>
          <w:rFonts w:ascii="Palatino Linotype" w:hAnsi="Palatino Linotype" w:eastAsia="Palatino Linotype" w:cs="Times New Roman"/>
          <w:kern w:val="0"/>
          <w14:ligatures w14:val="none"/>
        </w:rPr>
        <w:t xml:space="preserve">the draft Resolution </w:t>
      </w:r>
      <w:r w:rsidRPr="007F77B4">
        <w:rPr>
          <w:rFonts w:ascii="Palatino Linotype" w:hAnsi="Palatino Linotype" w:eastAsia="Palatino Linotype" w:cs="Times New Roman"/>
          <w:kern w:val="0"/>
          <w14:ligatures w14:val="none"/>
        </w:rPr>
        <w:t>deferring cost-allocation decisions to the outcome of the pending Rule 30 proceeding</w:t>
      </w:r>
      <w:r>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(A.24-11-007), which has no defined issuance date. </w:t>
      </w:r>
      <w:r w:rsidRPr="0059103F">
        <w:rPr>
          <w:rFonts w:ascii="Palatino Linotype" w:hAnsi="Palatino Linotype" w:eastAsia="Palatino Linotype" w:cs="Times New Roman"/>
          <w:kern w:val="0"/>
          <w14:ligatures w14:val="none"/>
        </w:rPr>
        <w:t xml:space="preserve">Commenters identified two distinct types of uncertainty for developers. </w:t>
      </w:r>
    </w:p>
    <w:p w:rsidR="002A5165" w:rsidP="00915A83" w:rsidRDefault="002A5165" w14:paraId="4C5AD826"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773367F7" w14:textId="028BD38F">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t>First, deferring key cost-allocation and refund decisions to the Rule 30 proceeding, which has no established issuance date, leaves developers</w:t>
      </w:r>
      <w:r w:rsidR="002A5165">
        <w:rPr>
          <w:rFonts w:ascii="Palatino Linotype" w:hAnsi="Palatino Linotype" w:eastAsia="Palatino Linotype" w:cs="Times New Roman"/>
          <w:kern w:val="0"/>
          <w14:ligatures w14:val="none"/>
        </w:rPr>
        <w:t xml:space="preserve"> and ratepayers</w:t>
      </w:r>
      <w:r w:rsidRPr="0059103F">
        <w:rPr>
          <w:rFonts w:ascii="Palatino Linotype" w:hAnsi="Palatino Linotype" w:eastAsia="Palatino Linotype" w:cs="Times New Roman"/>
          <w:kern w:val="0"/>
          <w14:ligatures w14:val="none"/>
        </w:rPr>
        <w:t xml:space="preserve"> without clarity on whether significant upfront payments will be required, in what amounts, and whether they would ever be refundable</w:t>
      </w:r>
      <w:r w:rsidR="002A5165">
        <w:rPr>
          <w:rFonts w:ascii="Palatino Linotype" w:hAnsi="Palatino Linotype" w:eastAsia="Palatino Linotype" w:cs="Times New Roman"/>
          <w:kern w:val="0"/>
          <w14:ligatures w14:val="none"/>
        </w:rPr>
        <w:t>. S</w:t>
      </w:r>
      <w:r w:rsidRPr="0059103F">
        <w:rPr>
          <w:rFonts w:ascii="Palatino Linotype" w:hAnsi="Palatino Linotype" w:eastAsia="Palatino Linotype" w:cs="Times New Roman"/>
          <w:kern w:val="0"/>
          <w14:ligatures w14:val="none"/>
        </w:rPr>
        <w:t xml:space="preserve">everal parties, including Westbank, the Bay Area Council, and SVLG, </w:t>
      </w:r>
      <w:r w:rsidRPr="0059103F" w:rsidR="00646A65">
        <w:rPr>
          <w:rFonts w:ascii="Palatino Linotype" w:hAnsi="Palatino Linotype" w:eastAsia="Palatino Linotype" w:cs="Times New Roman"/>
          <w:kern w:val="0"/>
          <w14:ligatures w14:val="none"/>
        </w:rPr>
        <w:t>state that</w:t>
      </w:r>
      <w:r w:rsidRPr="0059103F">
        <w:rPr>
          <w:rFonts w:ascii="Palatino Linotype" w:hAnsi="Palatino Linotype" w:eastAsia="Palatino Linotype" w:cs="Times New Roman"/>
          <w:kern w:val="0"/>
          <w14:ligatures w14:val="none"/>
        </w:rPr>
        <w:t xml:space="preserve"> this uncertainty makes projects difficult or impossible to finance and threatens investment decisions.</w:t>
      </w:r>
      <w:r w:rsidR="00CC4D57">
        <w:rPr>
          <w:rStyle w:val="FootnoteReference"/>
          <w:rFonts w:ascii="Palatino Linotype" w:hAnsi="Palatino Linotype" w:eastAsia="Palatino Linotype" w:cs="Times New Roman"/>
          <w:kern w:val="0"/>
          <w14:ligatures w14:val="none"/>
        </w:rPr>
        <w:footnoteReference w:id="21"/>
      </w:r>
      <w:r w:rsidRPr="0059103F">
        <w:rPr>
          <w:rFonts w:ascii="Palatino Linotype" w:hAnsi="Palatino Linotype" w:eastAsia="Palatino Linotype" w:cs="Times New Roman"/>
          <w:kern w:val="0"/>
          <w14:ligatures w14:val="none"/>
        </w:rPr>
        <w:t xml:space="preserve"> </w:t>
      </w:r>
      <w:r w:rsidRPr="00EA1F48" w:rsidR="00D12A46">
        <w:rPr>
          <w:rFonts w:ascii="Palatino Linotype" w:hAnsi="Palatino Linotype" w:eastAsia="Palatino Linotype" w:cs="Times New Roman"/>
          <w:kern w:val="0"/>
          <w14:ligatures w14:val="none"/>
        </w:rPr>
        <w:t>Cal Advocates argues that the Resolution errs in deferring key cost-responsibility and refund protections to future proceedings rather than adopting them in the agreement itself.</w:t>
      </w:r>
      <w:r w:rsidR="00BA5595">
        <w:rPr>
          <w:rStyle w:val="FootnoteReference"/>
          <w:rFonts w:ascii="Palatino Linotype" w:hAnsi="Palatino Linotype" w:eastAsia="Palatino Linotype" w:cs="Times New Roman"/>
          <w:kern w:val="0"/>
          <w14:ligatures w14:val="none"/>
        </w:rPr>
        <w:footnoteReference w:id="22"/>
      </w:r>
      <w:r w:rsidRPr="00EA1F48" w:rsidR="00D12A46">
        <w:rPr>
          <w:rFonts w:ascii="Palatino Linotype" w:hAnsi="Palatino Linotype" w:eastAsia="Palatino Linotype" w:cs="Times New Roman"/>
          <w:kern w:val="0"/>
          <w14:ligatures w14:val="none"/>
        </w:rPr>
        <w:t xml:space="preserve"> </w:t>
      </w:r>
      <w:r w:rsidR="002A5165">
        <w:rPr>
          <w:rFonts w:ascii="Palatino Linotype" w:hAnsi="Palatino Linotype" w:eastAsia="Palatino Linotype" w:cs="Times New Roman"/>
          <w:kern w:val="0"/>
          <w14:ligatures w14:val="none"/>
        </w:rPr>
        <w:t>Parties are correct that uncertainty can itself become a barrier to new development and investment.</w:t>
      </w:r>
      <w:r w:rsidR="000F1449">
        <w:rPr>
          <w:rFonts w:ascii="Palatino Linotype" w:hAnsi="Palatino Linotype" w:eastAsia="Palatino Linotype" w:cs="Times New Roman"/>
          <w:kern w:val="0"/>
          <w14:ligatures w14:val="none"/>
        </w:rPr>
        <w:t xml:space="preserve"> </w:t>
      </w:r>
      <w:r w:rsidR="00473A06">
        <w:rPr>
          <w:rFonts w:ascii="Palatino Linotype" w:hAnsi="Palatino Linotype" w:eastAsia="Palatino Linotype" w:cs="Times New Roman"/>
          <w:kern w:val="0"/>
          <w14:ligatures w14:val="none"/>
        </w:rPr>
        <w:t xml:space="preserve">We also recognize that most commenting parties objected to this uncertainty, and no party supported it. </w:t>
      </w:r>
      <w:r w:rsidR="002A5165">
        <w:rPr>
          <w:rFonts w:ascii="Palatino Linotype" w:hAnsi="Palatino Linotype" w:eastAsia="Palatino Linotype" w:cs="Times New Roman"/>
          <w:kern w:val="0"/>
          <w14:ligatures w14:val="none"/>
        </w:rPr>
        <w:t xml:space="preserve">Accordingly, we </w:t>
      </w:r>
      <w:r w:rsidR="000F1449">
        <w:rPr>
          <w:rFonts w:ascii="Palatino Linotype" w:hAnsi="Palatino Linotype" w:eastAsia="Palatino Linotype" w:cs="Times New Roman"/>
          <w:kern w:val="0"/>
          <w14:ligatures w14:val="none"/>
        </w:rPr>
        <w:t xml:space="preserve">agree it is reasonable to </w:t>
      </w:r>
      <w:r w:rsidR="006B27C0">
        <w:rPr>
          <w:rFonts w:ascii="Palatino Linotype" w:hAnsi="Palatino Linotype" w:eastAsia="Palatino Linotype" w:cs="Times New Roman"/>
          <w:kern w:val="0"/>
          <w14:ligatures w14:val="none"/>
        </w:rPr>
        <w:t xml:space="preserve">provide a concrete and practical requirement in this Resolution rather than </w:t>
      </w:r>
      <w:r w:rsidR="00C507E8">
        <w:rPr>
          <w:rFonts w:ascii="Palatino Linotype" w:hAnsi="Palatino Linotype" w:eastAsia="Palatino Linotype" w:cs="Times New Roman"/>
          <w:kern w:val="0"/>
          <w14:ligatures w14:val="none"/>
        </w:rPr>
        <w:t xml:space="preserve">fully </w:t>
      </w:r>
      <w:r w:rsidR="006B27C0">
        <w:rPr>
          <w:rFonts w:ascii="Palatino Linotype" w:hAnsi="Palatino Linotype" w:eastAsia="Palatino Linotype" w:cs="Times New Roman"/>
          <w:kern w:val="0"/>
          <w14:ligatures w14:val="none"/>
        </w:rPr>
        <w:t xml:space="preserve">defer to the </w:t>
      </w:r>
      <w:r w:rsidR="001C66A3">
        <w:rPr>
          <w:rFonts w:ascii="Palatino Linotype" w:hAnsi="Palatino Linotype" w:eastAsia="Palatino Linotype" w:cs="Times New Roman"/>
          <w:kern w:val="0"/>
          <w14:ligatures w14:val="none"/>
        </w:rPr>
        <w:t>outcome in the Rule 30 Proceeding</w:t>
      </w:r>
      <w:r w:rsidR="001470D0">
        <w:rPr>
          <w:rFonts w:ascii="Palatino Linotype" w:hAnsi="Palatino Linotype" w:eastAsia="Palatino Linotype" w:cs="Times New Roman"/>
          <w:kern w:val="0"/>
          <w14:ligatures w14:val="none"/>
        </w:rPr>
        <w:t xml:space="preserve">, and we </w:t>
      </w:r>
      <w:r w:rsidR="00435923">
        <w:rPr>
          <w:rFonts w:ascii="Palatino Linotype" w:hAnsi="Palatino Linotype" w:eastAsia="Palatino Linotype" w:cs="Times New Roman"/>
          <w:kern w:val="0"/>
          <w14:ligatures w14:val="none"/>
        </w:rPr>
        <w:t>direct PG&amp;E to require an additional capital advance of $600,000 per MW</w:t>
      </w:r>
      <w:r w:rsidR="00FF3D6D">
        <w:rPr>
          <w:rFonts w:ascii="Palatino Linotype" w:hAnsi="Palatino Linotype" w:eastAsia="Palatino Linotype" w:cs="Times New Roman"/>
          <w:kern w:val="0"/>
          <w14:ligatures w14:val="none"/>
        </w:rPr>
        <w:t xml:space="preserve"> as </w:t>
      </w:r>
      <w:r w:rsidR="004831AF">
        <w:rPr>
          <w:rFonts w:ascii="Palatino Linotype" w:hAnsi="Palatino Linotype" w:eastAsia="Palatino Linotype" w:cs="Times New Roman"/>
          <w:kern w:val="0"/>
          <w14:ligatures w14:val="none"/>
        </w:rPr>
        <w:t xml:space="preserve">just such </w:t>
      </w:r>
      <w:r w:rsidR="00FF3D6D">
        <w:rPr>
          <w:rFonts w:ascii="Palatino Linotype" w:hAnsi="Palatino Linotype" w:eastAsia="Palatino Linotype" w:cs="Times New Roman"/>
          <w:kern w:val="0"/>
          <w14:ligatures w14:val="none"/>
        </w:rPr>
        <w:t xml:space="preserve">a concrete and practical </w:t>
      </w:r>
      <w:r w:rsidR="002A60A9">
        <w:rPr>
          <w:rFonts w:ascii="Palatino Linotype" w:hAnsi="Palatino Linotype" w:eastAsia="Palatino Linotype" w:cs="Times New Roman"/>
          <w:kern w:val="0"/>
          <w14:ligatures w14:val="none"/>
        </w:rPr>
        <w:t>ratepayer protection</w:t>
      </w:r>
      <w:r w:rsidR="00435923">
        <w:rPr>
          <w:rFonts w:ascii="Palatino Linotype" w:hAnsi="Palatino Linotype" w:eastAsia="Palatino Linotype" w:cs="Times New Roman"/>
          <w:kern w:val="0"/>
          <w14:ligatures w14:val="none"/>
        </w:rPr>
        <w:t>.</w:t>
      </w:r>
      <w:r w:rsidR="002A60A9">
        <w:rPr>
          <w:rFonts w:ascii="Palatino Linotype" w:hAnsi="Palatino Linotype" w:eastAsia="Palatino Linotype" w:cs="Times New Roman"/>
          <w:kern w:val="0"/>
          <w14:ligatures w14:val="none"/>
        </w:rPr>
        <w:t xml:space="preserve"> However, we still allow Google and PG&amp;E the option to modify their agreement so </w:t>
      </w:r>
      <w:r w:rsidR="00C507E8">
        <w:rPr>
          <w:rFonts w:ascii="Palatino Linotype" w:hAnsi="Palatino Linotype" w:eastAsia="Palatino Linotype" w:cs="Times New Roman"/>
          <w:kern w:val="0"/>
          <w14:ligatures w14:val="none"/>
        </w:rPr>
        <w:t xml:space="preserve">that </w:t>
      </w:r>
      <w:r w:rsidR="002A60A9">
        <w:rPr>
          <w:rFonts w:ascii="Palatino Linotype" w:hAnsi="Palatino Linotype" w:eastAsia="Palatino Linotype" w:cs="Times New Roman"/>
          <w:kern w:val="0"/>
          <w14:ligatures w14:val="none"/>
        </w:rPr>
        <w:t xml:space="preserve">it corresponds with the outcome in </w:t>
      </w:r>
      <w:proofErr w:type="gramStart"/>
      <w:r w:rsidR="002A60A9">
        <w:rPr>
          <w:rFonts w:ascii="Palatino Linotype" w:hAnsi="Palatino Linotype" w:eastAsia="Palatino Linotype" w:cs="Times New Roman"/>
          <w:kern w:val="0"/>
          <w14:ligatures w14:val="none"/>
        </w:rPr>
        <w:t>the Rule</w:t>
      </w:r>
      <w:proofErr w:type="gramEnd"/>
      <w:r w:rsidR="002A60A9">
        <w:rPr>
          <w:rFonts w:ascii="Palatino Linotype" w:hAnsi="Palatino Linotype" w:eastAsia="Palatino Linotype" w:cs="Times New Roman"/>
          <w:kern w:val="0"/>
          <w14:ligatures w14:val="none"/>
        </w:rPr>
        <w:t xml:space="preserve"> 30 Proceeding</w:t>
      </w:r>
      <w:r w:rsidR="001D4311">
        <w:rPr>
          <w:rFonts w:ascii="Palatino Linotype" w:hAnsi="Palatino Linotype" w:eastAsia="Palatino Linotype" w:cs="Times New Roman"/>
          <w:kern w:val="0"/>
          <w14:ligatures w14:val="none"/>
        </w:rPr>
        <w:t xml:space="preserve"> and submit it to the Commission for approval via </w:t>
      </w:r>
      <w:proofErr w:type="gramStart"/>
      <w:r w:rsidR="001D4311">
        <w:rPr>
          <w:rFonts w:ascii="Palatino Linotype" w:hAnsi="Palatino Linotype" w:eastAsia="Palatino Linotype" w:cs="Times New Roman"/>
          <w:kern w:val="0"/>
          <w14:ligatures w14:val="none"/>
        </w:rPr>
        <w:t>a Tier</w:t>
      </w:r>
      <w:proofErr w:type="gramEnd"/>
      <w:r w:rsidR="001D4311">
        <w:rPr>
          <w:rFonts w:ascii="Palatino Linotype" w:hAnsi="Palatino Linotype" w:eastAsia="Palatino Linotype" w:cs="Times New Roman"/>
          <w:kern w:val="0"/>
          <w14:ligatures w14:val="none"/>
        </w:rPr>
        <w:t xml:space="preserve"> 2 AL</w:t>
      </w:r>
      <w:r w:rsidR="002A60A9">
        <w:rPr>
          <w:rFonts w:ascii="Palatino Linotype" w:hAnsi="Palatino Linotype" w:eastAsia="Palatino Linotype" w:cs="Times New Roman"/>
          <w:kern w:val="0"/>
          <w14:ligatures w14:val="none"/>
        </w:rPr>
        <w:t xml:space="preserve">, if they </w:t>
      </w:r>
      <w:r w:rsidR="00127FF5">
        <w:rPr>
          <w:rFonts w:ascii="Palatino Linotype" w:hAnsi="Palatino Linotype" w:eastAsia="Palatino Linotype" w:cs="Times New Roman"/>
          <w:kern w:val="0"/>
          <w14:ligatures w14:val="none"/>
        </w:rPr>
        <w:t>prefer that outcome</w:t>
      </w:r>
      <w:r w:rsidR="002A60A9">
        <w:rPr>
          <w:rFonts w:ascii="Palatino Linotype" w:hAnsi="Palatino Linotype" w:eastAsia="Palatino Linotype" w:cs="Times New Roman"/>
          <w:kern w:val="0"/>
          <w14:ligatures w14:val="none"/>
        </w:rPr>
        <w:t>.</w:t>
      </w:r>
    </w:p>
    <w:p w:rsidR="002A5165" w:rsidP="00915A83" w:rsidRDefault="002A5165" w14:paraId="4ADE87E3" w14:textId="77777777">
      <w:pPr>
        <w:spacing w:after="0" w:line="240" w:lineRule="auto"/>
        <w:rPr>
          <w:rFonts w:ascii="Palatino Linotype" w:hAnsi="Palatino Linotype" w:eastAsia="Palatino Linotype" w:cs="Times New Roman"/>
          <w:kern w:val="0"/>
          <w14:ligatures w14:val="none"/>
        </w:rPr>
      </w:pPr>
    </w:p>
    <w:p w:rsidRPr="007F77B4" w:rsidR="00C507E8" w:rsidP="00915A83" w:rsidRDefault="00915A83" w14:paraId="79BFE572" w14:textId="793D1ED7">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lastRenderedPageBreak/>
        <w:t>Second, the comments highlight the absence of a clear, transparent methodology by which a developer could predict the size of any additional capital advance, with PG&amp;E, SCE, and others arguing that the Resolution's illustrative allocation methods are unsupported by any causation analysis linking the customer's load to specific network upgrade costs.</w:t>
      </w:r>
      <w:r>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believe a $600,000 per MW figure strikes a balance between protecting ratepayers and providing certainty based on available data</w:t>
      </w:r>
      <w:r w:rsidR="001D4311">
        <w:rPr>
          <w:rFonts w:ascii="Palatino Linotype" w:hAnsi="Palatino Linotype" w:eastAsia="Palatino Linotype" w:cs="Times New Roman"/>
          <w:kern w:val="0"/>
          <w14:ligatures w14:val="none"/>
        </w:rPr>
        <w:t xml:space="preserve"> for this specific contract</w:t>
      </w:r>
      <w:r w:rsidR="00617C8C">
        <w:rPr>
          <w:rFonts w:ascii="Palatino Linotype" w:hAnsi="Palatino Linotype" w:eastAsia="Palatino Linotype" w:cs="Times New Roman"/>
          <w:kern w:val="0"/>
          <w14:ligatures w14:val="none"/>
        </w:rPr>
        <w:t>. T</w:t>
      </w:r>
      <w:r w:rsidR="00C507E8">
        <w:rPr>
          <w:rFonts w:ascii="Palatino Linotype" w:hAnsi="Palatino Linotype" w:eastAsia="Palatino Linotype" w:cs="Times New Roman"/>
          <w:kern w:val="0"/>
          <w14:ligatures w14:val="none"/>
        </w:rPr>
        <w:t xml:space="preserve">he $600,000 per MW figure </w:t>
      </w:r>
      <w:r w:rsidR="00810939">
        <w:rPr>
          <w:rFonts w:ascii="Palatino Linotype" w:hAnsi="Palatino Linotype" w:eastAsia="Palatino Linotype" w:cs="Times New Roman"/>
          <w:kern w:val="0"/>
          <w14:ligatures w14:val="none"/>
        </w:rPr>
        <w:t>is</w:t>
      </w:r>
      <w:r w:rsidR="00C507E8">
        <w:rPr>
          <w:rFonts w:ascii="Palatino Linotype" w:hAnsi="Palatino Linotype" w:eastAsia="Palatino Linotype" w:cs="Times New Roman"/>
          <w:kern w:val="0"/>
          <w14:ligatures w14:val="none"/>
        </w:rPr>
        <w:t xml:space="preserve"> an appropriate approximate method to account for the general costs of transmission network upgrades for transmission-level large loads. </w:t>
      </w:r>
    </w:p>
    <w:p w:rsidR="00701102" w:rsidP="00A76F4A" w:rsidRDefault="00701102" w14:paraId="6C2100BE" w14:textId="77777777">
      <w:pPr>
        <w:spacing w:after="0" w:line="240" w:lineRule="auto"/>
        <w:rPr>
          <w:rFonts w:ascii="Palatino Linotype" w:hAnsi="Palatino Linotype" w:eastAsia="Palatino Linotype" w:cs="Times New Roman"/>
          <w:kern w:val="0"/>
          <w14:ligatures w14:val="none"/>
        </w:rPr>
      </w:pPr>
    </w:p>
    <w:p w:rsidR="001D2402" w:rsidP="007F77B4" w:rsidRDefault="007F77B4" w14:paraId="4B624A75" w14:textId="547F35DA">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PG&amp;E, Google, SCE, the Bay Area Council, the City of San José, </w:t>
      </w:r>
      <w:r w:rsidR="00903473">
        <w:rPr>
          <w:rFonts w:ascii="Palatino Linotype" w:hAnsi="Palatino Linotype" w:eastAsia="Palatino Linotype" w:cs="Times New Roman"/>
          <w:kern w:val="0"/>
          <w14:ligatures w14:val="none"/>
        </w:rPr>
        <w:t>SVLC</w:t>
      </w:r>
      <w:r w:rsidRPr="007F77B4">
        <w:rPr>
          <w:rFonts w:ascii="Palatino Linotype" w:hAnsi="Palatino Linotype" w:eastAsia="Palatino Linotype" w:cs="Times New Roman"/>
          <w:kern w:val="0"/>
          <w14:ligatures w14:val="none"/>
        </w:rPr>
        <w:t xml:space="preserve">, </w:t>
      </w:r>
      <w:r w:rsidR="00903473">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Fifth Space, Menlo Equities, and Westbank argue that the </w:t>
      </w:r>
      <w:r w:rsidR="0046160E">
        <w:rPr>
          <w:rFonts w:ascii="Palatino Linotype" w:hAnsi="Palatino Linotype" w:eastAsia="Palatino Linotype" w:cs="Times New Roman"/>
          <w:kern w:val="0"/>
          <w14:ligatures w14:val="none"/>
        </w:rPr>
        <w:t xml:space="preserve">transmission network </w:t>
      </w:r>
      <w:r w:rsidRPr="007F77B4">
        <w:rPr>
          <w:rFonts w:ascii="Palatino Linotype" w:hAnsi="Palatino Linotype" w:eastAsia="Palatino Linotype" w:cs="Times New Roman"/>
          <w:kern w:val="0"/>
          <w14:ligatures w14:val="none"/>
        </w:rPr>
        <w:t>upgrades</w:t>
      </w:r>
      <w:r w:rsidR="0046160E">
        <w:rPr>
          <w:rFonts w:ascii="Palatino Linotype" w:hAnsi="Palatino Linotype" w:eastAsia="Palatino Linotype" w:cs="Times New Roman"/>
          <w:kern w:val="0"/>
          <w14:ligatures w14:val="none"/>
        </w:rPr>
        <w:t xml:space="preserve"> identified in the draft Resolution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such as the CAISO-approved Newark-NRS 230 kV line</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were planned for regional reliability, </w:t>
      </w:r>
      <w:r w:rsidR="0050552C">
        <w:rPr>
          <w:rFonts w:ascii="Palatino Linotype" w:hAnsi="Palatino Linotype" w:eastAsia="Palatino Linotype" w:cs="Times New Roman"/>
          <w:kern w:val="0"/>
          <w14:ligatures w14:val="none"/>
        </w:rPr>
        <w:t>provide broad</w:t>
      </w:r>
      <w:r w:rsidRPr="007F77B4">
        <w:rPr>
          <w:rFonts w:ascii="Palatino Linotype" w:hAnsi="Palatino Linotype" w:eastAsia="Palatino Linotype" w:cs="Times New Roman"/>
          <w:kern w:val="0"/>
          <w14:ligatures w14:val="none"/>
        </w:rPr>
        <w:t xml:space="preserve"> ratepayer</w:t>
      </w:r>
      <w:r w:rsidR="0050552C">
        <w:rPr>
          <w:rFonts w:ascii="Palatino Linotype" w:hAnsi="Palatino Linotype" w:eastAsia="Palatino Linotype" w:cs="Times New Roman"/>
          <w:kern w:val="0"/>
          <w14:ligatures w14:val="none"/>
        </w:rPr>
        <w:t xml:space="preserve"> benefits</w:t>
      </w:r>
      <w:r w:rsidRPr="007F77B4">
        <w:rPr>
          <w:rFonts w:ascii="Palatino Linotype" w:hAnsi="Palatino Linotype" w:eastAsia="Palatino Linotype" w:cs="Times New Roman"/>
          <w:kern w:val="0"/>
          <w14:ligatures w14:val="none"/>
        </w:rPr>
        <w:t xml:space="preserve">, and have traditionally been recovered through established transmission rates. </w:t>
      </w:r>
      <w:r w:rsidR="00617C8C">
        <w:rPr>
          <w:rFonts w:ascii="Palatino Linotype" w:hAnsi="Palatino Linotype" w:eastAsia="Palatino Linotype" w:cs="Times New Roman"/>
          <w:kern w:val="0"/>
          <w14:ligatures w14:val="none"/>
        </w:rPr>
        <w:t>We note that t</w:t>
      </w:r>
      <w:r w:rsidR="00EE19BA">
        <w:rPr>
          <w:rFonts w:ascii="Palatino Linotype" w:hAnsi="Palatino Linotype" w:eastAsia="Palatino Linotype" w:cs="Times New Roman"/>
          <w:kern w:val="0"/>
          <w14:ligatures w14:val="none"/>
        </w:rPr>
        <w:t>he additional capital advance</w:t>
      </w:r>
      <w:r w:rsidR="00617C8C">
        <w:rPr>
          <w:rFonts w:ascii="Palatino Linotype" w:hAnsi="Palatino Linotype" w:eastAsia="Palatino Linotype" w:cs="Times New Roman"/>
          <w:kern w:val="0"/>
          <w14:ligatures w14:val="none"/>
        </w:rPr>
        <w:t xml:space="preserve"> is</w:t>
      </w:r>
      <w:r w:rsidR="00EE19BA">
        <w:rPr>
          <w:rFonts w:ascii="Palatino Linotype" w:hAnsi="Palatino Linotype" w:eastAsia="Palatino Linotype" w:cs="Times New Roman"/>
          <w:kern w:val="0"/>
          <w14:ligatures w14:val="none"/>
        </w:rPr>
        <w:t xml:space="preserve"> refundable, and thus the costs would ultimately </w:t>
      </w:r>
      <w:proofErr w:type="gramStart"/>
      <w:r w:rsidR="00EE19BA">
        <w:rPr>
          <w:rFonts w:ascii="Palatino Linotype" w:hAnsi="Palatino Linotype" w:eastAsia="Palatino Linotype" w:cs="Times New Roman"/>
          <w:kern w:val="0"/>
          <w14:ligatures w14:val="none"/>
        </w:rPr>
        <w:t>be recovered</w:t>
      </w:r>
      <w:proofErr w:type="gramEnd"/>
      <w:r w:rsidR="00EE19BA">
        <w:rPr>
          <w:rFonts w:ascii="Palatino Linotype" w:hAnsi="Palatino Linotype" w:eastAsia="Palatino Linotype" w:cs="Times New Roman"/>
          <w:kern w:val="0"/>
          <w14:ligatures w14:val="none"/>
        </w:rPr>
        <w:t xml:space="preserve"> through established transmission rates</w:t>
      </w:r>
      <w:r w:rsidR="00961254">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per the standard process.</w:t>
      </w:r>
      <w:r w:rsidR="00EF6324">
        <w:rPr>
          <w:rFonts w:ascii="Palatino Linotype" w:hAnsi="Palatino Linotype" w:eastAsia="Palatino Linotype" w:cs="Times New Roman"/>
          <w:kern w:val="0"/>
          <w14:ligatures w14:val="none"/>
        </w:rPr>
        <w:t xml:space="preserve"> </w:t>
      </w:r>
    </w:p>
    <w:p w:rsidR="001D2402" w:rsidP="007F77B4" w:rsidRDefault="001D2402" w14:paraId="2521C72B" w14:textId="77777777">
      <w:pPr>
        <w:spacing w:after="0" w:line="240" w:lineRule="auto"/>
        <w:rPr>
          <w:rFonts w:ascii="Palatino Linotype" w:hAnsi="Palatino Linotype" w:eastAsia="Palatino Linotype" w:cs="Times New Roman"/>
          <w:kern w:val="0"/>
          <w14:ligatures w14:val="none"/>
        </w:rPr>
      </w:pPr>
    </w:p>
    <w:p w:rsidR="008007A2" w:rsidP="007F77B4" w:rsidRDefault="007F77B4" w14:paraId="240C035E" w14:textId="23F34FB9">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PG&amp;E and SCE additionally raised concerns about potential conflict with federal jurisdiction over interstate transmission.</w:t>
      </w:r>
      <w:r w:rsidR="00724713">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note t</w:t>
      </w:r>
      <w:r w:rsidR="00A507AD">
        <w:rPr>
          <w:rFonts w:ascii="Palatino Linotype" w:hAnsi="Palatino Linotype" w:eastAsia="Palatino Linotype" w:cs="Times New Roman"/>
          <w:kern w:val="0"/>
          <w14:ligatures w14:val="none"/>
        </w:rPr>
        <w:t>his Resolution</w:t>
      </w:r>
      <w:r w:rsidR="00617C8C">
        <w:rPr>
          <w:rFonts w:ascii="Palatino Linotype" w:hAnsi="Palatino Linotype" w:eastAsia="Palatino Linotype" w:cs="Times New Roman"/>
          <w:kern w:val="0"/>
          <w14:ligatures w14:val="none"/>
        </w:rPr>
        <w:t xml:space="preserve"> is </w:t>
      </w:r>
      <w:r w:rsidR="00206061">
        <w:rPr>
          <w:rFonts w:ascii="Palatino Linotype" w:hAnsi="Palatino Linotype" w:eastAsia="Palatino Linotype" w:cs="Times New Roman"/>
          <w:kern w:val="0"/>
          <w14:ligatures w14:val="none"/>
        </w:rPr>
        <w:t xml:space="preserve">an exceptional case filing in which the customer, and many other parties, have specifically requested a concrete and practical </w:t>
      </w:r>
      <w:r w:rsidR="002F0CBF">
        <w:rPr>
          <w:rFonts w:ascii="Palatino Linotype" w:hAnsi="Palatino Linotype" w:eastAsia="Palatino Linotype" w:cs="Times New Roman"/>
          <w:kern w:val="0"/>
          <w14:ligatures w14:val="none"/>
        </w:rPr>
        <w:t xml:space="preserve">resolution. In this case, </w:t>
      </w:r>
      <w:r w:rsidR="00617C8C">
        <w:rPr>
          <w:rFonts w:ascii="Palatino Linotype" w:hAnsi="Palatino Linotype" w:eastAsia="Palatino Linotype" w:cs="Times New Roman"/>
          <w:kern w:val="0"/>
          <w14:ligatures w14:val="none"/>
        </w:rPr>
        <w:t xml:space="preserve">we deem </w:t>
      </w:r>
      <w:r w:rsidR="002F0CBF">
        <w:rPr>
          <w:rFonts w:ascii="Palatino Linotype" w:hAnsi="Palatino Linotype" w:eastAsia="Palatino Linotype" w:cs="Times New Roman"/>
          <w:kern w:val="0"/>
          <w14:ligatures w14:val="none"/>
        </w:rPr>
        <w:t xml:space="preserve">requiring a flat additional capital advance of $600,000 per MW as a condition of energization </w:t>
      </w:r>
      <w:r w:rsidR="00617C8C">
        <w:rPr>
          <w:rFonts w:ascii="Palatino Linotype" w:hAnsi="Palatino Linotype" w:eastAsia="Palatino Linotype" w:cs="Times New Roman"/>
          <w:kern w:val="0"/>
          <w14:ligatures w14:val="none"/>
        </w:rPr>
        <w:t>to be</w:t>
      </w:r>
      <w:r w:rsidR="002F0CBF">
        <w:rPr>
          <w:rFonts w:ascii="Palatino Linotype" w:hAnsi="Palatino Linotype" w:eastAsia="Palatino Linotype" w:cs="Times New Roman"/>
          <w:kern w:val="0"/>
          <w14:ligatures w14:val="none"/>
        </w:rPr>
        <w:t xml:space="preserve"> reasonable, and </w:t>
      </w:r>
      <w:r w:rsidR="00AF621E">
        <w:rPr>
          <w:rFonts w:ascii="Palatino Linotype" w:hAnsi="Palatino Linotype" w:eastAsia="Palatino Linotype" w:cs="Times New Roman"/>
          <w:kern w:val="0"/>
          <w14:ligatures w14:val="none"/>
        </w:rPr>
        <w:t>PG&amp;E and the customer retain the</w:t>
      </w:r>
      <w:r w:rsidR="002F0CBF">
        <w:rPr>
          <w:rFonts w:ascii="Palatino Linotype" w:hAnsi="Palatino Linotype" w:eastAsia="Palatino Linotype" w:cs="Times New Roman"/>
          <w:kern w:val="0"/>
          <w14:ligatures w14:val="none"/>
        </w:rPr>
        <w:t xml:space="preserve"> option to modify this </w:t>
      </w:r>
      <w:r w:rsidR="00617C8C">
        <w:rPr>
          <w:rFonts w:ascii="Palatino Linotype" w:hAnsi="Palatino Linotype" w:eastAsia="Palatino Linotype" w:cs="Times New Roman"/>
          <w:kern w:val="0"/>
          <w14:ligatures w14:val="none"/>
        </w:rPr>
        <w:t>amount</w:t>
      </w:r>
      <w:r w:rsidR="002F0CBF">
        <w:rPr>
          <w:rFonts w:ascii="Palatino Linotype" w:hAnsi="Palatino Linotype" w:eastAsia="Palatino Linotype" w:cs="Times New Roman"/>
          <w:kern w:val="0"/>
          <w14:ligatures w14:val="none"/>
        </w:rPr>
        <w:t xml:space="preserve"> to match the outcome in the Rule 30 proceeding</w:t>
      </w:r>
      <w:r w:rsidR="00AF621E">
        <w:rPr>
          <w:rFonts w:ascii="Palatino Linotype" w:hAnsi="Palatino Linotype" w:eastAsia="Palatino Linotype" w:cs="Times New Roman"/>
          <w:kern w:val="0"/>
          <w14:ligatures w14:val="none"/>
        </w:rPr>
        <w:t xml:space="preserve"> if </w:t>
      </w:r>
      <w:proofErr w:type="gramStart"/>
      <w:r w:rsidR="00AF621E">
        <w:rPr>
          <w:rFonts w:ascii="Palatino Linotype" w:hAnsi="Palatino Linotype" w:eastAsia="Palatino Linotype" w:cs="Times New Roman"/>
          <w:kern w:val="0"/>
          <w14:ligatures w14:val="none"/>
        </w:rPr>
        <w:t>they so</w:t>
      </w:r>
      <w:proofErr w:type="gramEnd"/>
      <w:r w:rsidR="00AF621E">
        <w:rPr>
          <w:rFonts w:ascii="Palatino Linotype" w:hAnsi="Palatino Linotype" w:eastAsia="Palatino Linotype" w:cs="Times New Roman"/>
          <w:kern w:val="0"/>
          <w14:ligatures w14:val="none"/>
        </w:rPr>
        <w:t xml:space="preserve"> choose. </w:t>
      </w:r>
    </w:p>
    <w:p w:rsidR="008007A2" w:rsidP="007F77B4" w:rsidRDefault="008007A2" w14:paraId="59C5047B" w14:textId="77777777">
      <w:pPr>
        <w:spacing w:after="0" w:line="240" w:lineRule="auto"/>
        <w:rPr>
          <w:rFonts w:ascii="Palatino Linotype" w:hAnsi="Palatino Linotype" w:eastAsia="Palatino Linotype" w:cs="Times New Roman"/>
          <w:kern w:val="0"/>
          <w14:ligatures w14:val="none"/>
        </w:rPr>
      </w:pPr>
    </w:p>
    <w:p w:rsidR="00612C6B" w:rsidP="007F77B4" w:rsidRDefault="0050173A" w14:paraId="64E63D74" w14:textId="3F8D5CCD">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w:t>
      </w:r>
      <w:r w:rsidR="00193898">
        <w:rPr>
          <w:rFonts w:ascii="Palatino Linotype" w:hAnsi="Palatino Linotype" w:eastAsia="Palatino Linotype" w:cs="Times New Roman"/>
          <w:kern w:val="0"/>
          <w14:ligatures w14:val="none"/>
        </w:rPr>
        <w:t xml:space="preserve"> </w:t>
      </w:r>
      <w:r w:rsidR="00EB013B">
        <w:rPr>
          <w:rFonts w:ascii="Palatino Linotype" w:hAnsi="Palatino Linotype" w:eastAsia="Palatino Linotype" w:cs="Times New Roman"/>
          <w:kern w:val="0"/>
          <w14:ligatures w14:val="none"/>
        </w:rPr>
        <w:t xml:space="preserve">strongly </w:t>
      </w:r>
      <w:r w:rsidR="00193898">
        <w:rPr>
          <w:rFonts w:ascii="Palatino Linotype" w:hAnsi="Palatino Linotype" w:eastAsia="Palatino Linotype" w:cs="Times New Roman"/>
          <w:kern w:val="0"/>
          <w14:ligatures w14:val="none"/>
        </w:rPr>
        <w:t xml:space="preserve">recommends </w:t>
      </w:r>
      <w:r w:rsidRPr="00EA1F48">
        <w:rPr>
          <w:rFonts w:ascii="Palatino Linotype" w:hAnsi="Palatino Linotype" w:eastAsia="Palatino Linotype" w:cs="Times New Roman"/>
          <w:kern w:val="0"/>
          <w14:ligatures w14:val="none"/>
        </w:rPr>
        <w:t xml:space="preserve">that the Commission impose an additional upfront capital advance. </w:t>
      </w:r>
      <w:r w:rsidR="00041524">
        <w:rPr>
          <w:rFonts w:ascii="Palatino Linotype" w:hAnsi="Palatino Linotype" w:eastAsia="Palatino Linotype" w:cs="Times New Roman"/>
          <w:kern w:val="0"/>
          <w14:ligatures w14:val="none"/>
        </w:rPr>
        <w:t xml:space="preserve">Cal Advocates supports the Resolution’s finding that additional ratepayer protections are </w:t>
      </w:r>
      <w:proofErr w:type="gramStart"/>
      <w:r w:rsidR="00041524">
        <w:rPr>
          <w:rFonts w:ascii="Palatino Linotype" w:hAnsi="Palatino Linotype" w:eastAsia="Palatino Linotype" w:cs="Times New Roman"/>
          <w:kern w:val="0"/>
          <w14:ligatures w14:val="none"/>
        </w:rPr>
        <w:t>necessary</w:t>
      </w:r>
      <w:r w:rsidR="00D53CEC">
        <w:rPr>
          <w:rFonts w:ascii="Palatino Linotype" w:hAnsi="Palatino Linotype" w:eastAsia="Palatino Linotype" w:cs="Times New Roman"/>
          <w:kern w:val="0"/>
          <w14:ligatures w14:val="none"/>
        </w:rPr>
        <w:t>, and</w:t>
      </w:r>
      <w:proofErr w:type="gramEnd"/>
      <w:r w:rsidR="00D53CEC">
        <w:rPr>
          <w:rFonts w:ascii="Palatino Linotype" w:hAnsi="Palatino Linotype" w:eastAsia="Palatino Linotype" w:cs="Times New Roman"/>
          <w:kern w:val="0"/>
          <w14:ligatures w14:val="none"/>
        </w:rPr>
        <w:t xml:space="preserve"> </w:t>
      </w:r>
      <w:r w:rsidRPr="00EA1F48">
        <w:rPr>
          <w:rFonts w:ascii="Palatino Linotype" w:hAnsi="Palatino Linotype" w:eastAsia="Palatino Linotype" w:cs="Times New Roman"/>
          <w:kern w:val="0"/>
          <w14:ligatures w14:val="none"/>
        </w:rPr>
        <w:t xml:space="preserve">recommends requiring Google to provide an upfront advance for broader transmission network upgrade costs as a condition of </w:t>
      </w:r>
      <w:r w:rsidR="00587F38">
        <w:rPr>
          <w:rFonts w:ascii="Palatino Linotype" w:hAnsi="Palatino Linotype" w:eastAsia="Palatino Linotype" w:cs="Times New Roman"/>
          <w:kern w:val="0"/>
          <w14:ligatures w14:val="none"/>
        </w:rPr>
        <w:t>the approval of its en</w:t>
      </w:r>
      <w:r w:rsidR="007A6037">
        <w:rPr>
          <w:rFonts w:ascii="Palatino Linotype" w:hAnsi="Palatino Linotype" w:eastAsia="Palatino Linotype" w:cs="Times New Roman"/>
          <w:kern w:val="0"/>
          <w14:ligatures w14:val="none"/>
        </w:rPr>
        <w:t>ergization</w:t>
      </w:r>
      <w:r w:rsidR="00587F38">
        <w:rPr>
          <w:rFonts w:ascii="Palatino Linotype" w:hAnsi="Palatino Linotype" w:eastAsia="Palatino Linotype" w:cs="Times New Roman"/>
          <w:kern w:val="0"/>
          <w14:ligatures w14:val="none"/>
        </w:rPr>
        <w:t xml:space="preserve"> agreement. Cal Advocates</w:t>
      </w:r>
      <w:r w:rsidRPr="00EA1F48">
        <w:rPr>
          <w:rFonts w:ascii="Palatino Linotype" w:hAnsi="Palatino Linotype" w:eastAsia="Palatino Linotype" w:cs="Times New Roman"/>
          <w:kern w:val="0"/>
          <w14:ligatures w14:val="none"/>
        </w:rPr>
        <w:t xml:space="preserve"> recommend</w:t>
      </w:r>
      <w:r w:rsidR="00587F38">
        <w:rPr>
          <w:rFonts w:ascii="Palatino Linotype" w:hAnsi="Palatino Linotype" w:eastAsia="Palatino Linotype" w:cs="Times New Roman"/>
          <w:kern w:val="0"/>
          <w14:ligatures w14:val="none"/>
        </w:rPr>
        <w:t>s</w:t>
      </w:r>
      <w:r w:rsidRPr="00EA1F48">
        <w:rPr>
          <w:rFonts w:ascii="Palatino Linotype" w:hAnsi="Palatino Linotype" w:eastAsia="Palatino Linotype" w:cs="Times New Roman"/>
          <w:kern w:val="0"/>
          <w14:ligatures w14:val="none"/>
        </w:rPr>
        <w:t xml:space="preserve"> one of the two methods identified in the Resolution</w:t>
      </w:r>
      <w:r w:rsidR="00587F38">
        <w:rPr>
          <w:rFonts w:ascii="Palatino Linotype" w:hAnsi="Palatino Linotype" w:eastAsia="Palatino Linotype" w:cs="Times New Roman"/>
          <w:kern w:val="0"/>
          <w14:ligatures w14:val="none"/>
        </w:rPr>
        <w:t xml:space="preserve"> to determine the additional capital advance amount</w:t>
      </w:r>
      <w:r w:rsidRPr="00EA1F48">
        <w:rPr>
          <w:rFonts w:ascii="Palatino Linotype" w:hAnsi="Palatino Linotype" w:eastAsia="Palatino Linotype" w:cs="Times New Roman"/>
          <w:kern w:val="0"/>
          <w14:ligatures w14:val="none"/>
        </w:rPr>
        <w:t xml:space="preserve">: approximately $250 million, based on Google's 25 percent capacity share of the roughly $1 billion Newark-NRS line, or approximately $163 million, based on </w:t>
      </w:r>
      <w:r w:rsidR="00260D67">
        <w:rPr>
          <w:rFonts w:ascii="Palatino Linotype" w:hAnsi="Palatino Linotype" w:eastAsia="Palatino Linotype" w:cs="Times New Roman"/>
          <w:kern w:val="0"/>
          <w14:ligatures w14:val="none"/>
        </w:rPr>
        <w:t xml:space="preserve">Google’s 20 percent capacity share in South Bay load growth leading to the need for </w:t>
      </w:r>
      <w:r w:rsidR="00E40C2D">
        <w:rPr>
          <w:rFonts w:ascii="Palatino Linotype" w:hAnsi="Palatino Linotype" w:eastAsia="Palatino Linotype" w:cs="Times New Roman"/>
          <w:kern w:val="0"/>
          <w14:ligatures w14:val="none"/>
        </w:rPr>
        <w:t>modifications</w:t>
      </w:r>
      <w:r w:rsidR="00041524">
        <w:rPr>
          <w:rFonts w:ascii="Palatino Linotype" w:hAnsi="Palatino Linotype" w:eastAsia="Palatino Linotype" w:cs="Times New Roman"/>
          <w:kern w:val="0"/>
          <w14:ligatures w14:val="none"/>
        </w:rPr>
        <w:t xml:space="preserve"> to the </w:t>
      </w:r>
      <w:r w:rsidR="00E40C2D">
        <w:rPr>
          <w:rFonts w:ascii="Palatino Linotype" w:hAnsi="Palatino Linotype" w:eastAsia="Palatino Linotype" w:cs="Times New Roman"/>
          <w:kern w:val="0"/>
          <w14:ligatures w14:val="none"/>
        </w:rPr>
        <w:t xml:space="preserve">plan for the </w:t>
      </w:r>
      <w:r w:rsidRPr="00EA1F48" w:rsidR="00041524">
        <w:rPr>
          <w:rFonts w:ascii="Palatino Linotype" w:hAnsi="Palatino Linotype" w:eastAsia="Palatino Linotype" w:cs="Times New Roman"/>
          <w:kern w:val="0"/>
          <w14:ligatures w14:val="none"/>
        </w:rPr>
        <w:t>Newark-NRS</w:t>
      </w:r>
      <w:r w:rsidR="00041524">
        <w:rPr>
          <w:rFonts w:ascii="Palatino Linotype" w:hAnsi="Palatino Linotype" w:eastAsia="Palatino Linotype" w:cs="Times New Roman"/>
          <w:kern w:val="0"/>
          <w14:ligatures w14:val="none"/>
        </w:rPr>
        <w:t xml:space="preserve"> line</w:t>
      </w:r>
      <w:r w:rsidR="00260D67">
        <w:rPr>
          <w:rFonts w:ascii="Palatino Linotype" w:hAnsi="Palatino Linotype" w:eastAsia="Palatino Linotype" w:cs="Times New Roman"/>
          <w:kern w:val="0"/>
          <w14:ligatures w14:val="none"/>
        </w:rPr>
        <w:t xml:space="preserve"> and the approved </w:t>
      </w:r>
      <w:r w:rsidR="00B01234">
        <w:rPr>
          <w:rFonts w:ascii="Palatino Linotype" w:hAnsi="Palatino Linotype" w:eastAsia="Palatino Linotype" w:cs="Times New Roman"/>
          <w:kern w:val="0"/>
          <w14:ligatures w14:val="none"/>
        </w:rPr>
        <w:t xml:space="preserve">$813 million </w:t>
      </w:r>
      <w:r w:rsidR="00E40C2D">
        <w:rPr>
          <w:rFonts w:ascii="Palatino Linotype" w:hAnsi="Palatino Linotype" w:eastAsia="Palatino Linotype" w:cs="Times New Roman"/>
          <w:kern w:val="0"/>
          <w14:ligatures w14:val="none"/>
        </w:rPr>
        <w:t>cost</w:t>
      </w:r>
      <w:r w:rsidRPr="00EA1F48">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p>
    <w:p w:rsidR="00612C6B" w:rsidP="007F77B4" w:rsidRDefault="00612C6B" w14:paraId="2B9BC1E1" w14:textId="77777777">
      <w:pPr>
        <w:spacing w:after="0" w:line="240" w:lineRule="auto"/>
        <w:rPr>
          <w:rFonts w:ascii="Palatino Linotype" w:hAnsi="Palatino Linotype" w:eastAsia="Palatino Linotype" w:cs="Times New Roman"/>
          <w:kern w:val="0"/>
          <w14:ligatures w14:val="none"/>
        </w:rPr>
      </w:pPr>
    </w:p>
    <w:p w:rsidR="00931789" w:rsidP="007F77B4" w:rsidRDefault="00A334F6" w14:paraId="1823610E" w14:textId="0EAB56AB">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As noted </w:t>
      </w:r>
      <w:r w:rsidR="004E5D3D">
        <w:rPr>
          <w:rFonts w:ascii="Palatino Linotype" w:hAnsi="Palatino Linotype" w:eastAsia="Palatino Linotype" w:cs="Times New Roman"/>
          <w:kern w:val="0"/>
          <w14:ligatures w14:val="none"/>
        </w:rPr>
        <w:t xml:space="preserve">in the Discussion section </w:t>
      </w:r>
      <w:r>
        <w:rPr>
          <w:rFonts w:ascii="Palatino Linotype" w:hAnsi="Palatino Linotype" w:eastAsia="Palatino Linotype" w:cs="Times New Roman"/>
          <w:kern w:val="0"/>
          <w14:ligatures w14:val="none"/>
        </w:rPr>
        <w:t xml:space="preserve">above, we </w:t>
      </w:r>
      <w:r w:rsidR="0067043A">
        <w:rPr>
          <w:rFonts w:ascii="Palatino Linotype" w:hAnsi="Palatino Linotype" w:eastAsia="Palatino Linotype" w:cs="Times New Roman"/>
          <w:kern w:val="0"/>
          <w14:ligatures w14:val="none"/>
        </w:rPr>
        <w:t xml:space="preserve">agree with Cal Advocates that </w:t>
      </w:r>
      <w:r w:rsidR="00931DB9">
        <w:rPr>
          <w:rFonts w:ascii="Palatino Linotype" w:hAnsi="Palatino Linotype" w:eastAsia="Palatino Linotype" w:cs="Times New Roman"/>
          <w:kern w:val="0"/>
          <w14:ligatures w14:val="none"/>
        </w:rPr>
        <w:t>additional ratepayer protections are required here</w:t>
      </w:r>
      <w:r w:rsidR="00947EC4">
        <w:rPr>
          <w:rFonts w:ascii="Palatino Linotype" w:hAnsi="Palatino Linotype" w:eastAsia="Palatino Linotype" w:cs="Times New Roman"/>
          <w:kern w:val="0"/>
          <w14:ligatures w14:val="none"/>
        </w:rPr>
        <w:t xml:space="preserve"> given </w:t>
      </w:r>
      <w:r w:rsidR="0067043A">
        <w:rPr>
          <w:rFonts w:ascii="Palatino Linotype" w:hAnsi="Palatino Linotype" w:eastAsia="Palatino Linotype" w:cs="Times New Roman"/>
          <w:kern w:val="0"/>
          <w14:ligatures w14:val="none"/>
        </w:rPr>
        <w:t xml:space="preserve">that (1) </w:t>
      </w:r>
      <w:r w:rsidR="00947EC4">
        <w:rPr>
          <w:rFonts w:ascii="Palatino Linotype" w:hAnsi="Palatino Linotype" w:eastAsia="Aptos" w:cs="Times New Roman"/>
        </w:rPr>
        <w:t xml:space="preserve">the scale of required upgrades for large load customers seeking transmission-level energization is much larger than would be typical for a distribution-level customer, and </w:t>
      </w:r>
      <w:r w:rsidR="0067043A">
        <w:rPr>
          <w:rFonts w:ascii="Palatino Linotype" w:hAnsi="Palatino Linotype" w:eastAsia="Aptos" w:cs="Times New Roman"/>
        </w:rPr>
        <w:t xml:space="preserve">(2) </w:t>
      </w:r>
      <w:r w:rsidR="00947EC4">
        <w:rPr>
          <w:rFonts w:ascii="Palatino Linotype" w:hAnsi="Palatino Linotype" w:eastAsia="Aptos" w:cs="Times New Roman"/>
        </w:rPr>
        <w:t>these customers present novel risks of substantial stranded costs.</w:t>
      </w:r>
      <w:r w:rsidR="00CD4021">
        <w:rPr>
          <w:rFonts w:ascii="Palatino Linotype" w:hAnsi="Palatino Linotype" w:eastAsia="Aptos" w:cs="Times New Roman"/>
        </w:rPr>
        <w:t xml:space="preserve"> </w:t>
      </w:r>
      <w:r w:rsidR="00A33890">
        <w:rPr>
          <w:rFonts w:ascii="Palatino Linotype" w:hAnsi="Palatino Linotype" w:eastAsia="Palatino Linotype" w:cs="Times New Roman"/>
          <w:kern w:val="0"/>
          <w14:ligatures w14:val="none"/>
        </w:rPr>
        <w:t xml:space="preserve">The Resolution proposes a simple modification to the </w:t>
      </w:r>
      <w:r w:rsidR="0067043A">
        <w:rPr>
          <w:rFonts w:ascii="Palatino Linotype" w:hAnsi="Palatino Linotype" w:eastAsia="Palatino Linotype" w:cs="Times New Roman"/>
          <w:kern w:val="0"/>
          <w14:ligatures w14:val="none"/>
        </w:rPr>
        <w:t>proposed capital advance and BARC process</w:t>
      </w:r>
      <w:r w:rsidR="00A33890">
        <w:rPr>
          <w:rFonts w:ascii="Palatino Linotype" w:hAnsi="Palatino Linotype" w:eastAsia="Palatino Linotype" w:cs="Times New Roman"/>
          <w:kern w:val="0"/>
          <w14:ligatures w14:val="none"/>
        </w:rPr>
        <w:t xml:space="preserve"> in response to these unique risks posed to ratepayers: limiting annual refunds to </w:t>
      </w:r>
      <w:r w:rsidR="0067043A">
        <w:rPr>
          <w:rFonts w:ascii="Palatino Linotype" w:hAnsi="Palatino Linotype" w:eastAsia="Palatino Linotype" w:cs="Times New Roman"/>
          <w:kern w:val="0"/>
          <w14:ligatures w14:val="none"/>
        </w:rPr>
        <w:t>100</w:t>
      </w:r>
      <w:r w:rsidR="00A33890">
        <w:rPr>
          <w:rFonts w:ascii="Palatino Linotype" w:hAnsi="Palatino Linotype" w:eastAsia="Palatino Linotype" w:cs="Times New Roman"/>
          <w:kern w:val="0"/>
          <w14:ligatures w14:val="none"/>
        </w:rPr>
        <w:t xml:space="preserve"> percent of the annual net revenues received from the customer</w:t>
      </w:r>
      <w:r w:rsidR="0067043A">
        <w:rPr>
          <w:rFonts w:ascii="Palatino Linotype" w:hAnsi="Palatino Linotype" w:eastAsia="Palatino Linotype" w:cs="Times New Roman"/>
          <w:kern w:val="0"/>
          <w14:ligatures w14:val="none"/>
        </w:rPr>
        <w:t xml:space="preserve"> and requiring an additional capital advance of $600,000 per MW</w:t>
      </w:r>
      <w:r w:rsidR="00A33890">
        <w:rPr>
          <w:rFonts w:ascii="Palatino Linotype" w:hAnsi="Palatino Linotype" w:eastAsia="Palatino Linotype" w:cs="Times New Roman"/>
          <w:kern w:val="0"/>
          <w14:ligatures w14:val="none"/>
        </w:rPr>
        <w:t xml:space="preserve">. </w:t>
      </w:r>
      <w:r w:rsidR="008D08C6">
        <w:rPr>
          <w:rFonts w:ascii="Palatino Linotype" w:hAnsi="Palatino Linotype" w:eastAsia="Palatino Linotype" w:cs="Times New Roman"/>
          <w:kern w:val="0"/>
          <w14:ligatures w14:val="none"/>
        </w:rPr>
        <w:t xml:space="preserve">The proposed modification is relatively simple and corresponds to the preexisting logic of basing refunds on net revenues and requiring capital advances to roughly cover the costs of infrastructure needed for customer energization. </w:t>
      </w:r>
      <w:r w:rsidR="000B4184">
        <w:rPr>
          <w:rFonts w:ascii="Palatino Linotype" w:hAnsi="Palatino Linotype" w:eastAsia="Palatino Linotype" w:cs="Times New Roman"/>
          <w:kern w:val="0"/>
          <w14:ligatures w14:val="none"/>
        </w:rPr>
        <w:t xml:space="preserve">We note that the $600,000 per MW figure is below both </w:t>
      </w:r>
      <w:r w:rsidR="00612C6B">
        <w:rPr>
          <w:rFonts w:ascii="Palatino Linotype" w:hAnsi="Palatino Linotype" w:eastAsia="Palatino Linotype" w:cs="Times New Roman"/>
          <w:kern w:val="0"/>
          <w14:ligatures w14:val="none"/>
        </w:rPr>
        <w:t>the figures</w:t>
      </w:r>
      <w:r w:rsidR="000B4184">
        <w:rPr>
          <w:rFonts w:ascii="Palatino Linotype" w:hAnsi="Palatino Linotype" w:eastAsia="Palatino Linotype" w:cs="Times New Roman"/>
          <w:kern w:val="0"/>
          <w14:ligatures w14:val="none"/>
        </w:rPr>
        <w:t xml:space="preserve"> originally proposed in the Resolution and supported by Cal Advocates</w:t>
      </w:r>
      <w:r w:rsidR="000172B2">
        <w:rPr>
          <w:rFonts w:ascii="Palatino Linotype" w:hAnsi="Palatino Linotype" w:eastAsia="Palatino Linotype" w:cs="Times New Roman"/>
          <w:kern w:val="0"/>
          <w14:ligatures w14:val="none"/>
        </w:rPr>
        <w:t>.</w:t>
      </w:r>
    </w:p>
    <w:p w:rsidR="00931789" w:rsidP="007F77B4" w:rsidRDefault="00931789" w14:paraId="12BE9008" w14:textId="77777777">
      <w:pPr>
        <w:spacing w:after="0" w:line="240" w:lineRule="auto"/>
        <w:rPr>
          <w:rFonts w:ascii="Palatino Linotype" w:hAnsi="Palatino Linotype" w:eastAsia="Palatino Linotype" w:cs="Times New Roman"/>
          <w:kern w:val="0"/>
          <w14:ligatures w14:val="none"/>
        </w:rPr>
      </w:pPr>
    </w:p>
    <w:p w:rsidRPr="007F77B4" w:rsidR="00931789" w:rsidP="00931789" w:rsidRDefault="007F77B4" w14:paraId="6E5B8E1B" w14:textId="5262727B">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A subset of the parties—including Google, Westbank, and </w:t>
      </w:r>
      <w:r w:rsidR="009942DA">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—recommended instead following the framework of Resolutions E-5420, E-5433, and E-5439, limiting annual refunds to 75 percent of annual net revenues while leaving network upgrade costs in rate base. </w:t>
      </w:r>
      <w:r w:rsidRPr="007F77B4" w:rsidR="00454337">
        <w:rPr>
          <w:rFonts w:ascii="Palatino Linotype" w:hAnsi="Palatino Linotype" w:eastAsia="Palatino Linotype" w:cs="Times New Roman"/>
          <w:kern w:val="0"/>
          <w14:ligatures w14:val="none"/>
        </w:rPr>
        <w:t>PG&amp;E likewise endorsed a 75 percent refund limit, but only as a fallback position if the Commission departs from the standard BARC process, which PG&amp;E continues to advocate.</w:t>
      </w:r>
      <w:r w:rsidR="00A47838">
        <w:rPr>
          <w:rStyle w:val="FootnoteReference"/>
          <w:rFonts w:ascii="Palatino Linotype" w:hAnsi="Palatino Linotype" w:eastAsia="Palatino Linotype" w:cs="Times New Roman"/>
          <w:kern w:val="0"/>
          <w14:ligatures w14:val="none"/>
        </w:rPr>
        <w:footnoteReference w:id="23"/>
      </w:r>
      <w:r w:rsidR="00454337">
        <w:rPr>
          <w:rFonts w:ascii="Palatino Linotype" w:hAnsi="Palatino Linotype" w:eastAsia="Palatino Linotype" w:cs="Times New Roman"/>
          <w:kern w:val="0"/>
          <w14:ligatures w14:val="none"/>
        </w:rPr>
        <w:t xml:space="preserve"> In these previous exceptional cases, we choose to l</w:t>
      </w:r>
      <w:r w:rsidR="00862A63">
        <w:rPr>
          <w:rFonts w:ascii="Palatino Linotype" w:hAnsi="Palatino Linotype" w:eastAsia="Palatino Linotype" w:cs="Times New Roman"/>
          <w:kern w:val="0"/>
          <w14:ligatures w14:val="none"/>
        </w:rPr>
        <w:t xml:space="preserve">imit refunds to 75 percent of annual net revenues </w:t>
      </w:r>
      <w:r w:rsidR="00454337">
        <w:rPr>
          <w:rFonts w:ascii="Palatino Linotype" w:hAnsi="Palatino Linotype" w:eastAsia="Palatino Linotype" w:cs="Times New Roman"/>
          <w:kern w:val="0"/>
          <w14:ligatures w14:val="none"/>
        </w:rPr>
        <w:t xml:space="preserve">in order to </w:t>
      </w:r>
      <w:r w:rsidR="00862A63">
        <w:rPr>
          <w:rFonts w:ascii="Palatino Linotype" w:hAnsi="Palatino Linotype" w:eastAsia="Palatino Linotype" w:cs="Times New Roman"/>
          <w:kern w:val="0"/>
          <w14:ligatures w14:val="none"/>
        </w:rPr>
        <w:t>leave a portion of net revenues to cover transmission network upgrades and broader transmission system costs.</w:t>
      </w:r>
      <w:r w:rsidR="00454337">
        <w:rPr>
          <w:rFonts w:ascii="Palatino Linotype" w:hAnsi="Palatino Linotype" w:eastAsia="Palatino Linotype" w:cs="Times New Roman"/>
          <w:kern w:val="0"/>
          <w14:ligatures w14:val="none"/>
        </w:rPr>
        <w:t xml:space="preserve"> In the Discussion section above, we discuss why the 75 percent limit does not offer adequate ratepayer protection in the case of Google’s requested 250 MW energization.</w:t>
      </w:r>
      <w:r w:rsidR="00862A63">
        <w:rPr>
          <w:rFonts w:ascii="Palatino Linotype" w:hAnsi="Palatino Linotype" w:eastAsia="Palatino Linotype" w:cs="Times New Roman"/>
          <w:kern w:val="0"/>
          <w14:ligatures w14:val="none"/>
        </w:rPr>
        <w:t xml:space="preserve"> </w:t>
      </w:r>
      <w:r w:rsidR="00454337">
        <w:rPr>
          <w:rFonts w:ascii="Palatino Linotype" w:hAnsi="Palatino Linotype" w:eastAsia="Palatino Linotype" w:cs="Times New Roman"/>
          <w:kern w:val="0"/>
          <w14:ligatures w14:val="none"/>
        </w:rPr>
        <w:t>N</w:t>
      </w:r>
      <w:r w:rsidR="00B04AD1">
        <w:rPr>
          <w:rFonts w:ascii="Palatino Linotype" w:hAnsi="Palatino Linotype" w:eastAsia="Palatino Linotype" w:cs="Times New Roman"/>
          <w:kern w:val="0"/>
          <w14:ligatures w14:val="none"/>
        </w:rPr>
        <w:t xml:space="preserve">one of these parties convincingly refute </w:t>
      </w:r>
      <w:r w:rsidR="007A3C23">
        <w:rPr>
          <w:rFonts w:ascii="Palatino Linotype" w:hAnsi="Palatino Linotype" w:eastAsia="Palatino Linotype" w:cs="Times New Roman"/>
          <w:kern w:val="0"/>
          <w14:ligatures w14:val="none"/>
        </w:rPr>
        <w:t xml:space="preserve">that limiting refunds to 75 percent of net revenues </w:t>
      </w:r>
      <w:r w:rsidR="00B3317E">
        <w:rPr>
          <w:rFonts w:ascii="Palatino Linotype" w:hAnsi="Palatino Linotype" w:eastAsia="Palatino Linotype" w:cs="Times New Roman"/>
          <w:kern w:val="0"/>
          <w14:ligatures w14:val="none"/>
        </w:rPr>
        <w:t xml:space="preserve">does not adequately protect ratepayers </w:t>
      </w:r>
      <w:r w:rsidR="000B0DC3">
        <w:rPr>
          <w:rFonts w:ascii="Palatino Linotype" w:hAnsi="Palatino Linotype" w:eastAsia="Palatino Linotype" w:cs="Times New Roman"/>
          <w:kern w:val="0"/>
          <w14:ligatures w14:val="none"/>
        </w:rPr>
        <w:t xml:space="preserve">from the risk of stranded costs from network upgrades </w:t>
      </w:r>
      <w:r w:rsidR="00862A63">
        <w:rPr>
          <w:rFonts w:ascii="Palatino Linotype" w:hAnsi="Palatino Linotype" w:eastAsia="Palatino Linotype" w:cs="Times New Roman"/>
          <w:kern w:val="0"/>
          <w14:ligatures w14:val="none"/>
        </w:rPr>
        <w:t>in the case where</w:t>
      </w:r>
      <w:r w:rsidR="000B0DC3">
        <w:rPr>
          <w:rFonts w:ascii="Palatino Linotype" w:hAnsi="Palatino Linotype" w:eastAsia="Palatino Linotype" w:cs="Times New Roman"/>
          <w:kern w:val="0"/>
          <w14:ligatures w14:val="none"/>
        </w:rPr>
        <w:t xml:space="preserve"> the refundable advance is relatively low compared to the size of the load</w:t>
      </w:r>
      <w:r w:rsidR="00454337">
        <w:rPr>
          <w:rFonts w:ascii="Palatino Linotype" w:hAnsi="Palatino Linotype" w:eastAsia="Palatino Linotype" w:cs="Times New Roman"/>
          <w:kern w:val="0"/>
          <w14:ligatures w14:val="none"/>
        </w:rPr>
        <w:t xml:space="preserve"> seeking energization</w:t>
      </w:r>
      <w:r w:rsidR="000B0DC3">
        <w:rPr>
          <w:rFonts w:ascii="Palatino Linotype" w:hAnsi="Palatino Linotype" w:eastAsia="Palatino Linotype" w:cs="Times New Roman"/>
          <w:kern w:val="0"/>
          <w14:ligatures w14:val="none"/>
        </w:rPr>
        <w:t>.</w:t>
      </w:r>
      <w:r w:rsidR="00141017">
        <w:rPr>
          <w:rFonts w:ascii="Palatino Linotype" w:hAnsi="Palatino Linotype" w:eastAsia="Palatino Linotype" w:cs="Times New Roman"/>
          <w:kern w:val="0"/>
          <w14:ligatures w14:val="none"/>
        </w:rPr>
        <w:t xml:space="preserve"> </w:t>
      </w:r>
    </w:p>
    <w:p w:rsidR="00931789" w:rsidP="007F77B4" w:rsidRDefault="00931789" w14:paraId="7FA815DC" w14:textId="77777777">
      <w:pPr>
        <w:spacing w:after="0" w:line="240" w:lineRule="auto"/>
        <w:rPr>
          <w:rFonts w:ascii="Palatino Linotype" w:hAnsi="Palatino Linotype" w:eastAsia="Palatino Linotype" w:cs="Times New Roman"/>
          <w:kern w:val="0"/>
          <w14:ligatures w14:val="none"/>
        </w:rPr>
      </w:pPr>
    </w:p>
    <w:p w:rsidR="001C23EE" w:rsidP="007F77B4" w:rsidRDefault="00B07D57" w14:paraId="013F63E1" w14:textId="130E7E1B">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 also recommends limiting annual refunds to 75 percent of annual net revenues rather than the 100 percent limit adopted in the Resolution</w:t>
      </w:r>
      <w:r w:rsidR="0089420C">
        <w:rPr>
          <w:rFonts w:ascii="Palatino Linotype" w:hAnsi="Palatino Linotype" w:eastAsia="Palatino Linotype" w:cs="Times New Roman"/>
          <w:kern w:val="0"/>
          <w14:ligatures w14:val="none"/>
        </w:rPr>
        <w:t xml:space="preserve">, </w:t>
      </w:r>
      <w:r w:rsidR="0009541F">
        <w:rPr>
          <w:rFonts w:ascii="Palatino Linotype" w:hAnsi="Palatino Linotype" w:eastAsia="Palatino Linotype" w:cs="Times New Roman"/>
          <w:kern w:val="0"/>
          <w14:ligatures w14:val="none"/>
        </w:rPr>
        <w:t xml:space="preserve">but Cal Advocates recommends this </w:t>
      </w:r>
      <w:r w:rsidRPr="0009541F" w:rsidR="0089420C">
        <w:rPr>
          <w:rFonts w:ascii="Palatino Linotype" w:hAnsi="Palatino Linotype" w:eastAsia="Palatino Linotype" w:cs="Times New Roman"/>
          <w:i/>
          <w:iCs/>
          <w:kern w:val="0"/>
          <w14:ligatures w14:val="none"/>
        </w:rPr>
        <w:t>alongside</w:t>
      </w:r>
      <w:r w:rsidR="0089420C">
        <w:rPr>
          <w:rFonts w:ascii="Palatino Linotype" w:hAnsi="Palatino Linotype" w:eastAsia="Palatino Linotype" w:cs="Times New Roman"/>
          <w:kern w:val="0"/>
          <w14:ligatures w14:val="none"/>
        </w:rPr>
        <w:t xml:space="preserve"> the additional capital advance</w:t>
      </w:r>
      <w:r w:rsidR="00141017">
        <w:rPr>
          <w:rFonts w:ascii="Palatino Linotype" w:hAnsi="Palatino Linotype" w:eastAsia="Palatino Linotype" w:cs="Times New Roman"/>
          <w:kern w:val="0"/>
          <w14:ligatures w14:val="none"/>
        </w:rPr>
        <w:t>. However</w:t>
      </w:r>
      <w:r w:rsidR="00454337">
        <w:rPr>
          <w:rFonts w:ascii="Palatino Linotype" w:hAnsi="Palatino Linotype" w:eastAsia="Palatino Linotype" w:cs="Times New Roman"/>
          <w:kern w:val="0"/>
          <w14:ligatures w14:val="none"/>
        </w:rPr>
        <w:t>, we do not see</w:t>
      </w:r>
      <w:r w:rsidR="00121572">
        <w:rPr>
          <w:rFonts w:ascii="Palatino Linotype" w:hAnsi="Palatino Linotype" w:eastAsia="Palatino Linotype" w:cs="Times New Roman"/>
          <w:kern w:val="0"/>
          <w14:ligatures w14:val="none"/>
        </w:rPr>
        <w:t xml:space="preserve"> a clear need to limit refunds to 75 percent (versus 100 percent) of net revenue</w:t>
      </w:r>
      <w:r w:rsidR="00862A63">
        <w:rPr>
          <w:rFonts w:ascii="Palatino Linotype" w:hAnsi="Palatino Linotype" w:eastAsia="Palatino Linotype" w:cs="Times New Roman"/>
          <w:kern w:val="0"/>
          <w14:ligatures w14:val="none"/>
        </w:rPr>
        <w:t>s</w:t>
      </w:r>
      <w:r w:rsidR="00454337">
        <w:rPr>
          <w:rFonts w:ascii="Palatino Linotype" w:hAnsi="Palatino Linotype" w:eastAsia="Palatino Linotype" w:cs="Times New Roman"/>
          <w:kern w:val="0"/>
          <w14:ligatures w14:val="none"/>
        </w:rPr>
        <w:t xml:space="preserve"> if the customer is already providing an additional capital advance related to transmission network upgrade costs</w:t>
      </w:r>
      <w:r w:rsidR="00121572">
        <w:rPr>
          <w:rFonts w:ascii="Palatino Linotype" w:hAnsi="Palatino Linotype" w:eastAsia="Palatino Linotype" w:cs="Times New Roman"/>
          <w:kern w:val="0"/>
          <w14:ligatures w14:val="none"/>
        </w:rPr>
        <w:t>.</w:t>
      </w:r>
    </w:p>
    <w:p w:rsidR="002E6BBB" w:rsidP="007F77B4" w:rsidRDefault="002E6BBB" w14:paraId="2F9CDEE3" w14:textId="77777777">
      <w:pPr>
        <w:spacing w:after="0" w:line="240" w:lineRule="auto"/>
        <w:rPr>
          <w:rFonts w:ascii="Palatino Linotype" w:hAnsi="Palatino Linotype" w:eastAsia="Palatino Linotype" w:cs="Times New Roman"/>
          <w:kern w:val="0"/>
          <w14:ligatures w14:val="none"/>
        </w:rPr>
      </w:pPr>
    </w:p>
    <w:p w:rsidR="005D78E8" w:rsidP="007F77B4" w:rsidRDefault="002E6BBB" w14:paraId="02CC09F8" w14:textId="5FE8807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lastRenderedPageBreak/>
        <w:t xml:space="preserve">Several parties raised technical objections and questions about how an additional capital advance would work in practice. </w:t>
      </w:r>
      <w:r w:rsidR="00B50954">
        <w:rPr>
          <w:rFonts w:ascii="Palatino Linotype" w:hAnsi="Palatino Linotype" w:eastAsia="Palatino Linotype" w:cs="Times New Roman"/>
          <w:kern w:val="0"/>
          <w14:ligatures w14:val="none"/>
        </w:rPr>
        <w:t xml:space="preserve">PG&amp;E, </w:t>
      </w:r>
      <w:r w:rsidR="00951DC2">
        <w:rPr>
          <w:rFonts w:ascii="Palatino Linotype" w:hAnsi="Palatino Linotype" w:eastAsia="Palatino Linotype" w:cs="Times New Roman"/>
          <w:kern w:val="0"/>
          <w14:ligatures w14:val="none"/>
        </w:rPr>
        <w:t>or</w:t>
      </w:r>
      <w:r w:rsidR="00B50954">
        <w:rPr>
          <w:rFonts w:ascii="Palatino Linotype" w:hAnsi="Palatino Linotype" w:eastAsia="Palatino Linotype" w:cs="Times New Roman"/>
          <w:kern w:val="0"/>
          <w14:ligatures w14:val="none"/>
        </w:rPr>
        <w:t xml:space="preserve"> any regulated utility, should be familiar with acceptin</w:t>
      </w:r>
      <w:r w:rsidR="00983406">
        <w:rPr>
          <w:rFonts w:ascii="Palatino Linotype" w:hAnsi="Palatino Linotype" w:eastAsia="Palatino Linotype" w:cs="Times New Roman"/>
          <w:kern w:val="0"/>
          <w14:ligatures w14:val="none"/>
        </w:rPr>
        <w:t xml:space="preserve">g </w:t>
      </w:r>
      <w:r w:rsidR="00951DC2">
        <w:rPr>
          <w:rFonts w:ascii="Palatino Linotype" w:hAnsi="Palatino Linotype" w:eastAsia="Palatino Linotype" w:cs="Times New Roman"/>
          <w:kern w:val="0"/>
          <w14:ligatures w14:val="none"/>
        </w:rPr>
        <w:t>c</w:t>
      </w:r>
      <w:r w:rsidR="00983406">
        <w:rPr>
          <w:rFonts w:ascii="Palatino Linotype" w:hAnsi="Palatino Linotype" w:eastAsia="Palatino Linotype" w:cs="Times New Roman"/>
          <w:kern w:val="0"/>
          <w14:ligatures w14:val="none"/>
        </w:rPr>
        <w:t xml:space="preserve">ustomer </w:t>
      </w:r>
      <w:r w:rsidR="00951DC2">
        <w:rPr>
          <w:rFonts w:ascii="Palatino Linotype" w:hAnsi="Palatino Linotype" w:eastAsia="Palatino Linotype" w:cs="Times New Roman"/>
          <w:kern w:val="0"/>
          <w14:ligatures w14:val="none"/>
        </w:rPr>
        <w:t>a</w:t>
      </w:r>
      <w:r w:rsidR="00983406">
        <w:rPr>
          <w:rFonts w:ascii="Palatino Linotype" w:hAnsi="Palatino Linotype" w:eastAsia="Palatino Linotype" w:cs="Times New Roman"/>
          <w:kern w:val="0"/>
          <w14:ligatures w14:val="none"/>
        </w:rPr>
        <w:t xml:space="preserve">dvances and </w:t>
      </w:r>
      <w:r w:rsidR="0013205A">
        <w:rPr>
          <w:rFonts w:ascii="Palatino Linotype" w:hAnsi="Palatino Linotype" w:eastAsia="Palatino Linotype" w:cs="Times New Roman"/>
          <w:kern w:val="0"/>
          <w14:ligatures w14:val="none"/>
        </w:rPr>
        <w:t>adding them as an offset to the appropriate account in their rate base.</w:t>
      </w:r>
      <w:r w:rsidR="00951DC2">
        <w:rPr>
          <w:rFonts w:ascii="Palatino Linotype" w:hAnsi="Palatino Linotype" w:eastAsia="Palatino Linotype" w:cs="Times New Roman"/>
          <w:kern w:val="0"/>
          <w14:ligatures w14:val="none"/>
        </w:rPr>
        <w:t xml:space="preserve"> </w:t>
      </w:r>
      <w:r w:rsidR="00DA1BC3">
        <w:rPr>
          <w:rFonts w:ascii="Palatino Linotype" w:hAnsi="Palatino Linotype" w:eastAsia="Palatino Linotype" w:cs="Times New Roman"/>
          <w:kern w:val="0"/>
          <w14:ligatures w14:val="none"/>
        </w:rPr>
        <w:t>T</w:t>
      </w:r>
      <w:r w:rsidR="0062302D">
        <w:rPr>
          <w:rFonts w:ascii="Palatino Linotype" w:hAnsi="Palatino Linotype" w:eastAsia="Palatino Linotype" w:cs="Times New Roman"/>
          <w:kern w:val="0"/>
          <w14:ligatures w14:val="none"/>
        </w:rPr>
        <w:t xml:space="preserve">he original agreement proposed here already includes capital advances that are handled in this way. </w:t>
      </w:r>
      <w:r w:rsidR="00005464">
        <w:rPr>
          <w:rFonts w:ascii="Palatino Linotype" w:hAnsi="Palatino Linotype" w:eastAsia="Palatino Linotype" w:cs="Times New Roman"/>
          <w:kern w:val="0"/>
          <w14:ligatures w14:val="none"/>
        </w:rPr>
        <w:t>We expect that any additional capital advance be treated as an offset in the appropriate PG&amp;E account, thus reducing general transmission rates until th</w:t>
      </w:r>
      <w:r w:rsidR="00864EB4">
        <w:rPr>
          <w:rFonts w:ascii="Palatino Linotype" w:hAnsi="Palatino Linotype" w:eastAsia="Palatino Linotype" w:cs="Times New Roman"/>
          <w:kern w:val="0"/>
          <w14:ligatures w14:val="none"/>
        </w:rPr>
        <w:t>at</w:t>
      </w:r>
      <w:r w:rsidR="00005464">
        <w:rPr>
          <w:rFonts w:ascii="Palatino Linotype" w:hAnsi="Palatino Linotype" w:eastAsia="Palatino Linotype" w:cs="Times New Roman"/>
          <w:kern w:val="0"/>
          <w14:ligatures w14:val="none"/>
        </w:rPr>
        <w:t xml:space="preserve"> advance is refunded. </w:t>
      </w:r>
      <w:r w:rsidR="00DA1BC3">
        <w:rPr>
          <w:rFonts w:ascii="Palatino Linotype" w:hAnsi="Palatino Linotype" w:eastAsia="Palatino Linotype" w:cs="Times New Roman"/>
          <w:kern w:val="0"/>
          <w14:ligatures w14:val="none"/>
        </w:rPr>
        <w:t>A</w:t>
      </w:r>
      <w:r w:rsidR="00005464">
        <w:rPr>
          <w:rFonts w:ascii="Palatino Linotype" w:hAnsi="Palatino Linotype" w:eastAsia="Palatino Linotype" w:cs="Times New Roman"/>
          <w:kern w:val="0"/>
          <w14:ligatures w14:val="none"/>
        </w:rPr>
        <w:t xml:space="preserve">ny additional capital advance would </w:t>
      </w:r>
      <w:r w:rsidR="0056090C">
        <w:rPr>
          <w:rFonts w:ascii="Palatino Linotype" w:hAnsi="Palatino Linotype" w:eastAsia="Palatino Linotype" w:cs="Times New Roman"/>
          <w:kern w:val="0"/>
          <w14:ligatures w14:val="none"/>
        </w:rPr>
        <w:t>affect standard transmission rates</w:t>
      </w:r>
      <w:r w:rsidR="00454337">
        <w:rPr>
          <w:rFonts w:ascii="Palatino Linotype" w:hAnsi="Palatino Linotype" w:eastAsia="Palatino Linotype" w:cs="Times New Roman"/>
          <w:kern w:val="0"/>
          <w14:ligatures w14:val="none"/>
        </w:rPr>
        <w:t>, and thus some parties</w:t>
      </w:r>
      <w:r w:rsidR="00201A8B">
        <w:rPr>
          <w:rFonts w:ascii="Palatino Linotype" w:hAnsi="Palatino Linotype" w:eastAsia="Palatino Linotype" w:cs="Times New Roman"/>
          <w:kern w:val="0"/>
          <w14:ligatures w14:val="none"/>
        </w:rPr>
        <w:t>’</w:t>
      </w:r>
      <w:r w:rsidR="00454337">
        <w:rPr>
          <w:rFonts w:ascii="Palatino Linotype" w:hAnsi="Palatino Linotype" w:eastAsia="Palatino Linotype" w:cs="Times New Roman"/>
          <w:kern w:val="0"/>
          <w14:ligatures w14:val="none"/>
        </w:rPr>
        <w:t xml:space="preserve"> </w:t>
      </w:r>
      <w:r w:rsidR="0056090C">
        <w:rPr>
          <w:rFonts w:ascii="Palatino Linotype" w:hAnsi="Palatino Linotype" w:eastAsia="Palatino Linotype" w:cs="Times New Roman"/>
          <w:kern w:val="0"/>
          <w14:ligatures w14:val="none"/>
        </w:rPr>
        <w:t>concerns about double recovery would be avoided.</w:t>
      </w:r>
      <w:r w:rsidR="00864EB4">
        <w:rPr>
          <w:rFonts w:ascii="Palatino Linotype" w:hAnsi="Palatino Linotype" w:eastAsia="Palatino Linotype" w:cs="Times New Roman"/>
          <w:kern w:val="0"/>
          <w14:ligatures w14:val="none"/>
        </w:rPr>
        <w:t xml:space="preserve"> </w:t>
      </w:r>
      <w:r w:rsidRPr="002E6BBB" w:rsidR="00951DC2">
        <w:rPr>
          <w:rFonts w:ascii="Palatino Linotype" w:hAnsi="Palatino Linotype" w:eastAsia="Palatino Linotype" w:cs="Times New Roman"/>
          <w:kern w:val="0"/>
          <w14:ligatures w14:val="none"/>
        </w:rPr>
        <w:t xml:space="preserve">SCE </w:t>
      </w:r>
      <w:r w:rsidR="00951DC2">
        <w:rPr>
          <w:rFonts w:ascii="Palatino Linotype" w:hAnsi="Palatino Linotype" w:eastAsia="Palatino Linotype" w:cs="Times New Roman"/>
          <w:kern w:val="0"/>
          <w14:ligatures w14:val="none"/>
        </w:rPr>
        <w:t xml:space="preserve">also </w:t>
      </w:r>
      <w:r w:rsidRPr="002E6BBB" w:rsidR="00951DC2">
        <w:rPr>
          <w:rFonts w:ascii="Palatino Linotype" w:hAnsi="Palatino Linotype" w:eastAsia="Palatino Linotype" w:cs="Times New Roman"/>
          <w:kern w:val="0"/>
          <w14:ligatures w14:val="none"/>
        </w:rPr>
        <w:t>questions the practicality of collecting an advance wh</w:t>
      </w:r>
      <w:r w:rsidR="00864EB4">
        <w:rPr>
          <w:rFonts w:ascii="Palatino Linotype" w:hAnsi="Palatino Linotype" w:eastAsia="Palatino Linotype" w:cs="Times New Roman"/>
          <w:kern w:val="0"/>
          <w14:ligatures w14:val="none"/>
        </w:rPr>
        <w:t>en</w:t>
      </w:r>
      <w:r w:rsidRPr="002E6BBB" w:rsidR="00951DC2">
        <w:rPr>
          <w:rFonts w:ascii="Palatino Linotype" w:hAnsi="Palatino Linotype" w:eastAsia="Palatino Linotype" w:cs="Times New Roman"/>
          <w:kern w:val="0"/>
          <w14:ligatures w14:val="none"/>
        </w:rPr>
        <w:t xml:space="preserve"> the </w:t>
      </w:r>
      <w:r w:rsidR="00864EB4">
        <w:rPr>
          <w:rFonts w:ascii="Palatino Linotype" w:hAnsi="Palatino Linotype" w:eastAsia="Palatino Linotype" w:cs="Times New Roman"/>
          <w:kern w:val="0"/>
          <w14:ligatures w14:val="none"/>
        </w:rPr>
        <w:t>related transmission line</w:t>
      </w:r>
      <w:r w:rsidRPr="002E6BBB" w:rsidR="00951DC2">
        <w:rPr>
          <w:rFonts w:ascii="Palatino Linotype" w:hAnsi="Palatino Linotype" w:eastAsia="Palatino Linotype" w:cs="Times New Roman"/>
          <w:kern w:val="0"/>
          <w14:ligatures w14:val="none"/>
        </w:rPr>
        <w:t xml:space="preserve"> is being constructed by a third party such as LS Power</w:t>
      </w:r>
      <w:r w:rsidR="00951DC2">
        <w:rPr>
          <w:rFonts w:ascii="Palatino Linotype" w:hAnsi="Palatino Linotype" w:eastAsia="Palatino Linotype" w:cs="Times New Roman"/>
          <w:kern w:val="0"/>
          <w14:ligatures w14:val="none"/>
        </w:rPr>
        <w:t>.</w:t>
      </w:r>
      <w:r w:rsidRPr="002E6BBB" w:rsidR="00951DC2">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However,</w:t>
      </w:r>
      <w:r w:rsidR="00DA1BC3">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the proposed advance does not relate to any specific transmission network upgrade</w:t>
      </w:r>
      <w:r w:rsidR="00864EB4">
        <w:rPr>
          <w:rFonts w:ascii="Palatino Linotype" w:hAnsi="Palatino Linotype" w:eastAsia="Palatino Linotype" w:cs="Times New Roman"/>
          <w:kern w:val="0"/>
          <w14:ligatures w14:val="none"/>
        </w:rPr>
        <w:t>s</w:t>
      </w:r>
      <w:r w:rsidR="00951DC2">
        <w:rPr>
          <w:rFonts w:ascii="Palatino Linotype" w:hAnsi="Palatino Linotype" w:eastAsia="Palatino Linotype" w:cs="Times New Roman"/>
          <w:kern w:val="0"/>
          <w14:ligatures w14:val="none"/>
        </w:rPr>
        <w:t xml:space="preserve">. Instead, it is a flat fee that reflects and mitigates the </w:t>
      </w:r>
      <w:r w:rsidR="00864EB4">
        <w:rPr>
          <w:rFonts w:ascii="Palatino Linotype" w:hAnsi="Palatino Linotype" w:eastAsia="Palatino Linotype" w:cs="Times New Roman"/>
          <w:kern w:val="0"/>
          <w14:ligatures w14:val="none"/>
        </w:rPr>
        <w:t xml:space="preserve">general </w:t>
      </w:r>
      <w:r w:rsidR="00810939">
        <w:rPr>
          <w:rFonts w:ascii="Palatino Linotype" w:hAnsi="Palatino Linotype" w:eastAsia="Palatino Linotype" w:cs="Times New Roman"/>
          <w:kern w:val="0"/>
          <w14:ligatures w14:val="none"/>
        </w:rPr>
        <w:t xml:space="preserve">retail </w:t>
      </w:r>
      <w:r w:rsidR="00951DC2">
        <w:rPr>
          <w:rFonts w:ascii="Palatino Linotype" w:hAnsi="Palatino Linotype" w:eastAsia="Palatino Linotype" w:cs="Times New Roman"/>
          <w:kern w:val="0"/>
          <w14:ligatures w14:val="none"/>
        </w:rPr>
        <w:t>ratepayer risks raised by the transmission network upgrades related to transmission-level, large load energization.</w:t>
      </w:r>
    </w:p>
    <w:p w:rsidR="005D78E8" w:rsidP="007F77B4" w:rsidRDefault="005D78E8" w14:paraId="6D1D0146" w14:textId="77777777">
      <w:pPr>
        <w:spacing w:after="0" w:line="240" w:lineRule="auto"/>
        <w:rPr>
          <w:rFonts w:ascii="Palatino Linotype" w:hAnsi="Palatino Linotype" w:eastAsia="Palatino Linotype" w:cs="Times New Roman"/>
          <w:kern w:val="0"/>
          <w14:ligatures w14:val="none"/>
        </w:rPr>
      </w:pPr>
    </w:p>
    <w:p w:rsidR="00862A63" w:rsidP="007F77B4" w:rsidRDefault="002E6BBB" w14:paraId="2D33212D" w14:textId="2C4F0B33">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Menlo Equities </w:t>
      </w:r>
      <w:r w:rsidR="00DA1BC3">
        <w:rPr>
          <w:rFonts w:ascii="Palatino Linotype" w:hAnsi="Palatino Linotype" w:eastAsia="Palatino Linotype" w:cs="Times New Roman"/>
          <w:kern w:val="0"/>
          <w14:ligatures w14:val="none"/>
        </w:rPr>
        <w:t>argues that</w:t>
      </w:r>
      <w:r w:rsidRPr="002E6BBB">
        <w:rPr>
          <w:rFonts w:ascii="Palatino Linotype" w:hAnsi="Palatino Linotype" w:eastAsia="Palatino Linotype" w:cs="Times New Roman"/>
          <w:kern w:val="0"/>
          <w14:ligatures w14:val="none"/>
        </w:rPr>
        <w:t xml:space="preserve"> the accounting practicalities of tracking costs and credits across an integrated regional grid present significant administrative impracticality, while Orchard Partners cautions that bespoke payback mechanisms for deep-grid upgrades would create an "endless maze of administrative complexity" whose overhead would ultimately be borne by ratepayers.</w:t>
      </w:r>
      <w:r w:rsidR="00F067C0">
        <w:rPr>
          <w:rStyle w:val="FootnoteReference"/>
          <w:rFonts w:ascii="Palatino Linotype" w:hAnsi="Palatino Linotype" w:eastAsia="Palatino Linotype" w:cs="Times New Roman"/>
          <w:kern w:val="0"/>
          <w14:ligatures w14:val="none"/>
        </w:rPr>
        <w:footnoteReference w:id="24"/>
      </w:r>
      <w:r w:rsidR="00D9161D">
        <w:rPr>
          <w:rFonts w:ascii="Palatino Linotype" w:hAnsi="Palatino Linotype" w:eastAsia="Palatino Linotype" w:cs="Times New Roman"/>
          <w:kern w:val="0"/>
          <w14:ligatures w14:val="none"/>
        </w:rPr>
        <w:t xml:space="preserve"> </w:t>
      </w:r>
      <w:r w:rsidRPr="00E80DE8" w:rsidR="00D9161D">
        <w:rPr>
          <w:rFonts w:ascii="Palatino Linotype" w:hAnsi="Palatino Linotype" w:eastAsia="Palatino Linotype" w:cs="Times New Roman"/>
          <w:kern w:val="0"/>
          <w14:ligatures w14:val="none"/>
        </w:rPr>
        <w:t xml:space="preserve">The Bay Area Council and SVLG contend that no established allocation methodology exists for assigning these system-level costs to individual customers. </w:t>
      </w:r>
      <w:r w:rsidR="00864EB4">
        <w:rPr>
          <w:rFonts w:ascii="Palatino Linotype" w:hAnsi="Palatino Linotype" w:eastAsia="Palatino Linotype" w:cs="Times New Roman"/>
          <w:kern w:val="0"/>
          <w14:ligatures w14:val="none"/>
        </w:rPr>
        <w:t>However, the $600,000 per MW fee proposed here avoids th</w:t>
      </w:r>
      <w:r w:rsidR="00CB51BF">
        <w:rPr>
          <w:rFonts w:ascii="Palatino Linotype" w:hAnsi="Palatino Linotype" w:eastAsia="Palatino Linotype" w:cs="Times New Roman"/>
          <w:kern w:val="0"/>
          <w14:ligatures w14:val="none"/>
        </w:rPr>
        <w:t>ese issues with tracking and complexity</w:t>
      </w:r>
      <w:r w:rsidR="00FA26D6">
        <w:rPr>
          <w:rFonts w:ascii="Palatino Linotype" w:hAnsi="Palatino Linotype" w:eastAsia="Palatino Linotype" w:cs="Times New Roman"/>
          <w:kern w:val="0"/>
          <w14:ligatures w14:val="none"/>
        </w:rPr>
        <w:t xml:space="preserve"> and</w:t>
      </w:r>
      <w:r w:rsidR="00D22A61">
        <w:rPr>
          <w:rFonts w:ascii="Palatino Linotype" w:hAnsi="Palatino Linotype" w:eastAsia="Palatino Linotype" w:cs="Times New Roman"/>
          <w:kern w:val="0"/>
          <w14:ligatures w14:val="none"/>
        </w:rPr>
        <w:t xml:space="preserve"> does not assign </w:t>
      </w:r>
      <w:r w:rsidR="00FA26D6">
        <w:rPr>
          <w:rFonts w:ascii="Palatino Linotype" w:hAnsi="Palatino Linotype" w:eastAsia="Palatino Linotype" w:cs="Times New Roman"/>
          <w:kern w:val="0"/>
          <w14:ligatures w14:val="none"/>
        </w:rPr>
        <w:t>specific system-level costs to individual customers</w:t>
      </w:r>
      <w:r w:rsidR="00CB51BF">
        <w:rPr>
          <w:rFonts w:ascii="Palatino Linotype" w:hAnsi="Palatino Linotype" w:eastAsia="Palatino Linotype" w:cs="Times New Roman"/>
          <w:kern w:val="0"/>
          <w14:ligatures w14:val="none"/>
        </w:rPr>
        <w:t xml:space="preserve">. </w:t>
      </w:r>
      <w:r w:rsidR="009E4302">
        <w:rPr>
          <w:rFonts w:ascii="Palatino Linotype" w:hAnsi="Palatino Linotype" w:eastAsia="Palatino Linotype" w:cs="Times New Roman"/>
          <w:kern w:val="0"/>
          <w14:ligatures w14:val="none"/>
        </w:rPr>
        <w:t xml:space="preserve">The fee works based on the capacity that </w:t>
      </w:r>
      <w:proofErr w:type="gramStart"/>
      <w:r w:rsidR="009E4302">
        <w:rPr>
          <w:rFonts w:ascii="Palatino Linotype" w:hAnsi="Palatino Linotype" w:eastAsia="Palatino Linotype" w:cs="Times New Roman"/>
          <w:kern w:val="0"/>
          <w14:ligatures w14:val="none"/>
        </w:rPr>
        <w:t>is both</w:t>
      </w:r>
      <w:proofErr w:type="gramEnd"/>
      <w:r w:rsidR="009E4302">
        <w:rPr>
          <w:rFonts w:ascii="Palatino Linotype" w:hAnsi="Palatino Linotype" w:eastAsia="Palatino Linotype" w:cs="Times New Roman"/>
          <w:kern w:val="0"/>
          <w14:ligatures w14:val="none"/>
        </w:rPr>
        <w:t xml:space="preserve"> requested by the customer and available for use, requiring </w:t>
      </w:r>
      <w:r w:rsidR="00D40F04">
        <w:rPr>
          <w:rFonts w:ascii="Palatino Linotype" w:hAnsi="Palatino Linotype" w:eastAsia="Palatino Linotype" w:cs="Times New Roman"/>
          <w:kern w:val="0"/>
          <w14:ligatures w14:val="none"/>
        </w:rPr>
        <w:t xml:space="preserve">the customer to pay the $600,000 fee the year before this requested capacity is available for use. </w:t>
      </w:r>
      <w:r w:rsidR="00FA26D6">
        <w:rPr>
          <w:rFonts w:ascii="Palatino Linotype" w:hAnsi="Palatino Linotype" w:eastAsia="Palatino Linotype" w:cs="Times New Roman"/>
          <w:kern w:val="0"/>
          <w14:ligatures w14:val="none"/>
        </w:rPr>
        <w:t>The $600,000 per MW fee</w:t>
      </w:r>
      <w:r w:rsidR="00CB51BF">
        <w:rPr>
          <w:rFonts w:ascii="Palatino Linotype" w:hAnsi="Palatino Linotype" w:eastAsia="Palatino Linotype" w:cs="Times New Roman"/>
          <w:kern w:val="0"/>
          <w14:ligatures w14:val="none"/>
        </w:rPr>
        <w:t xml:space="preserve"> would work similarly for any </w:t>
      </w:r>
      <w:proofErr w:type="gramStart"/>
      <w:r w:rsidR="00CB51BF">
        <w:rPr>
          <w:rFonts w:ascii="Palatino Linotype" w:hAnsi="Palatino Linotype" w:eastAsia="Palatino Linotype" w:cs="Times New Roman"/>
          <w:kern w:val="0"/>
          <w14:ligatures w14:val="none"/>
        </w:rPr>
        <w:t xml:space="preserve">customer, </w:t>
      </w:r>
      <w:r w:rsidR="00FA26D6">
        <w:rPr>
          <w:rFonts w:ascii="Palatino Linotype" w:hAnsi="Palatino Linotype" w:eastAsia="Palatino Linotype" w:cs="Times New Roman"/>
          <w:kern w:val="0"/>
          <w14:ligatures w14:val="none"/>
        </w:rPr>
        <w:t>and</w:t>
      </w:r>
      <w:proofErr w:type="gramEnd"/>
      <w:r w:rsidR="00FA26D6">
        <w:rPr>
          <w:rFonts w:ascii="Palatino Linotype" w:hAnsi="Palatino Linotype" w:eastAsia="Palatino Linotype" w:cs="Times New Roman"/>
          <w:kern w:val="0"/>
          <w14:ligatures w14:val="none"/>
        </w:rPr>
        <w:t xml:space="preserve"> thus would not be a</w:t>
      </w:r>
      <w:r w:rsidR="00D22A61">
        <w:rPr>
          <w:rFonts w:ascii="Palatino Linotype" w:hAnsi="Palatino Linotype" w:eastAsia="Palatino Linotype" w:cs="Times New Roman"/>
          <w:kern w:val="0"/>
          <w14:ligatures w14:val="none"/>
        </w:rPr>
        <w:t xml:space="preserve"> bespoke payback mechanism.</w:t>
      </w:r>
      <w:r w:rsidR="006327AC">
        <w:rPr>
          <w:rFonts w:ascii="Palatino Linotype" w:hAnsi="Palatino Linotype" w:eastAsia="Palatino Linotype" w:cs="Times New Roman"/>
          <w:kern w:val="0"/>
          <w14:ligatures w14:val="none"/>
        </w:rPr>
        <w:t xml:space="preserve"> </w:t>
      </w:r>
      <w:r w:rsidR="00D22A61">
        <w:rPr>
          <w:rFonts w:ascii="Palatino Linotype" w:hAnsi="Palatino Linotype" w:eastAsia="Palatino Linotype" w:cs="Times New Roman"/>
          <w:kern w:val="0"/>
          <w14:ligatures w14:val="none"/>
        </w:rPr>
        <w:t xml:space="preserve"> </w:t>
      </w:r>
      <w:r w:rsidRPr="00097016" w:rsidR="009C563A">
        <w:rPr>
          <w:rFonts w:ascii="Palatino Linotype" w:hAnsi="Palatino Linotype" w:eastAsia="Palatino Linotype" w:cs="Times New Roman"/>
          <w:kern w:val="0"/>
          <w14:ligatures w14:val="none"/>
        </w:rPr>
        <w:t xml:space="preserve">Regarding the structure of any advance, Cal Advocates endorsed </w:t>
      </w:r>
      <w:proofErr w:type="gramStart"/>
      <w:r w:rsidRPr="00097016" w:rsidR="009C563A">
        <w:rPr>
          <w:rFonts w:ascii="Palatino Linotype" w:hAnsi="Palatino Linotype" w:eastAsia="Palatino Linotype" w:cs="Times New Roman"/>
          <w:kern w:val="0"/>
          <w14:ligatures w14:val="none"/>
        </w:rPr>
        <w:t>a defined</w:t>
      </w:r>
      <w:proofErr w:type="gramEnd"/>
      <w:r w:rsidRPr="00097016" w:rsidR="009C563A">
        <w:rPr>
          <w:rFonts w:ascii="Palatino Linotype" w:hAnsi="Palatino Linotype" w:eastAsia="Palatino Linotype" w:cs="Times New Roman"/>
          <w:kern w:val="0"/>
          <w14:ligatures w14:val="none"/>
        </w:rPr>
        <w:t xml:space="preserve">, quantifiable amount </w:t>
      </w:r>
      <w:r w:rsidR="006F6459">
        <w:rPr>
          <w:rFonts w:ascii="Palatino Linotype" w:hAnsi="Palatino Linotype" w:eastAsia="Palatino Linotype" w:cs="Times New Roman"/>
          <w:kern w:val="0"/>
          <w14:ligatures w14:val="none"/>
        </w:rPr>
        <w:t>frames as either</w:t>
      </w:r>
      <w:r w:rsidRPr="00097016" w:rsidR="009C563A">
        <w:rPr>
          <w:rFonts w:ascii="Palatino Linotype" w:hAnsi="Palatino Linotype" w:eastAsia="Palatino Linotype" w:cs="Times New Roman"/>
          <w:kern w:val="0"/>
          <w14:ligatures w14:val="none"/>
        </w:rPr>
        <w:t xml:space="preserve"> a capacity-share percentage or a per-</w:t>
      </w:r>
      <w:r w:rsidR="009C563A">
        <w:rPr>
          <w:rFonts w:ascii="Palatino Linotype" w:hAnsi="Palatino Linotype" w:eastAsia="Palatino Linotype" w:cs="Times New Roman"/>
          <w:kern w:val="0"/>
          <w14:ligatures w14:val="none"/>
        </w:rPr>
        <w:t>M</w:t>
      </w:r>
      <w:r w:rsidRPr="00097016" w:rsidR="009C563A">
        <w:rPr>
          <w:rFonts w:ascii="Palatino Linotype" w:hAnsi="Palatino Linotype" w:eastAsia="Palatino Linotype" w:cs="Times New Roman"/>
          <w:kern w:val="0"/>
          <w14:ligatures w14:val="none"/>
        </w:rPr>
        <w:t>W fee</w:t>
      </w:r>
      <w:r w:rsidR="009C563A">
        <w:rPr>
          <w:rFonts w:ascii="Palatino Linotype" w:hAnsi="Palatino Linotype" w:eastAsia="Palatino Linotype" w:cs="Times New Roman"/>
          <w:kern w:val="0"/>
          <w14:ligatures w14:val="none"/>
        </w:rPr>
        <w:t>.</w:t>
      </w:r>
      <w:r w:rsidR="006F6459">
        <w:rPr>
          <w:rStyle w:val="FootnoteReference"/>
          <w:rFonts w:ascii="Palatino Linotype" w:hAnsi="Palatino Linotype" w:eastAsia="Palatino Linotype" w:cs="Times New Roman"/>
          <w:kern w:val="0"/>
          <w14:ligatures w14:val="none"/>
        </w:rPr>
        <w:footnoteReference w:id="25"/>
      </w:r>
      <w:r w:rsidR="009C563A">
        <w:rPr>
          <w:rFonts w:ascii="Palatino Linotype" w:hAnsi="Palatino Linotype" w:eastAsia="Palatino Linotype" w:cs="Times New Roman"/>
          <w:kern w:val="0"/>
          <w14:ligatures w14:val="none"/>
        </w:rPr>
        <w:t xml:space="preserve"> </w:t>
      </w:r>
    </w:p>
    <w:p w:rsidR="008F39F6" w:rsidP="007F77B4" w:rsidRDefault="008F39F6" w14:paraId="3031E7DB" w14:textId="77777777">
      <w:pPr>
        <w:spacing w:after="0" w:line="240" w:lineRule="auto"/>
        <w:rPr>
          <w:rFonts w:ascii="Palatino Linotype" w:hAnsi="Palatino Linotype" w:eastAsia="Palatino Linotype" w:cs="Times New Roman"/>
          <w:kern w:val="0"/>
          <w14:ligatures w14:val="none"/>
        </w:rPr>
      </w:pPr>
    </w:p>
    <w:p w:rsidR="00E21AF3" w:rsidP="007F77B4" w:rsidRDefault="002E6BBB" w14:paraId="109605D4" w14:textId="6C3C2DFE">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Both </w:t>
      </w:r>
      <w:r w:rsidR="008F39F6">
        <w:rPr>
          <w:rFonts w:ascii="Palatino Linotype" w:hAnsi="Palatino Linotype" w:eastAsia="Palatino Linotype" w:cs="Times New Roman"/>
          <w:kern w:val="0"/>
          <w14:ligatures w14:val="none"/>
        </w:rPr>
        <w:t xml:space="preserve">Menlo Equities and Orchard Partners also </w:t>
      </w:r>
      <w:r w:rsidRPr="002E6BBB">
        <w:rPr>
          <w:rFonts w:ascii="Palatino Linotype" w:hAnsi="Palatino Linotype" w:eastAsia="Palatino Linotype" w:cs="Times New Roman"/>
          <w:kern w:val="0"/>
          <w14:ligatures w14:val="none"/>
        </w:rPr>
        <w:t>request that any assigned Type 4 costs remain refundable under the same unified, revenue-tied methodology applied to local costs (e.g., a 15-year payback capped at 75</w:t>
      </w:r>
      <w:r>
        <w:rPr>
          <w:rFonts w:ascii="Palatino Linotype" w:hAnsi="Palatino Linotype" w:eastAsia="Palatino Linotype" w:cs="Times New Roman"/>
          <w:kern w:val="0"/>
          <w14:ligatures w14:val="none"/>
        </w:rPr>
        <w:t xml:space="preserve"> or 100</w:t>
      </w:r>
      <w:r w:rsidRPr="002E6BBB">
        <w:rPr>
          <w:rFonts w:ascii="Palatino Linotype" w:hAnsi="Palatino Linotype" w:eastAsia="Palatino Linotype" w:cs="Times New Roman"/>
          <w:kern w:val="0"/>
          <w14:ligatures w14:val="none"/>
        </w:rPr>
        <w:t xml:space="preserve"> percent of net revenues).</w:t>
      </w:r>
      <w:r w:rsidR="0097189A">
        <w:rPr>
          <w:rStyle w:val="FootnoteReference"/>
          <w:rFonts w:ascii="Palatino Linotype" w:hAnsi="Palatino Linotype" w:eastAsia="Palatino Linotype" w:cs="Times New Roman"/>
          <w:kern w:val="0"/>
          <w14:ligatures w14:val="none"/>
        </w:rPr>
        <w:footnoteReference w:id="26"/>
      </w:r>
      <w:r w:rsidRPr="002E6BBB">
        <w:rPr>
          <w:rFonts w:ascii="Palatino Linotype" w:hAnsi="Palatino Linotype" w:eastAsia="Palatino Linotype" w:cs="Times New Roman"/>
          <w:kern w:val="0"/>
          <w14:ligatures w14:val="none"/>
        </w:rPr>
        <w:t xml:space="preserve"> </w:t>
      </w:r>
      <w:r w:rsidR="000357BB">
        <w:rPr>
          <w:rFonts w:ascii="Palatino Linotype" w:hAnsi="Palatino Linotype" w:eastAsia="Palatino Linotype" w:cs="Times New Roman"/>
          <w:kern w:val="0"/>
          <w14:ligatures w14:val="none"/>
        </w:rPr>
        <w:t xml:space="preserve">We follow the recommendations from Menlo Equities and Orchard Partners here, and </w:t>
      </w:r>
      <w:r w:rsidR="00515D93">
        <w:rPr>
          <w:rFonts w:ascii="Palatino Linotype" w:hAnsi="Palatino Linotype" w:eastAsia="Palatino Linotype" w:cs="Times New Roman"/>
          <w:kern w:val="0"/>
          <w14:ligatures w14:val="none"/>
        </w:rPr>
        <w:t xml:space="preserve">treat the original and additional capital advance amounts as one total advance, which should be </w:t>
      </w:r>
      <w:r w:rsidR="00515D93">
        <w:rPr>
          <w:rFonts w:ascii="Palatino Linotype" w:hAnsi="Palatino Linotype" w:eastAsia="Palatino Linotype" w:cs="Times New Roman"/>
          <w:kern w:val="0"/>
          <w14:ligatures w14:val="none"/>
        </w:rPr>
        <w:lastRenderedPageBreak/>
        <w:t xml:space="preserve">refunded under the same methodology, in this case a 15-year payback capped at </w:t>
      </w:r>
      <w:r w:rsidR="00CE3BCA">
        <w:rPr>
          <w:rFonts w:ascii="Palatino Linotype" w:hAnsi="Palatino Linotype" w:eastAsia="Palatino Linotype" w:cs="Times New Roman"/>
          <w:kern w:val="0"/>
          <w14:ligatures w14:val="none"/>
        </w:rPr>
        <w:br/>
      </w:r>
      <w:r w:rsidR="00515D93">
        <w:rPr>
          <w:rFonts w:ascii="Palatino Linotype" w:hAnsi="Palatino Linotype" w:eastAsia="Palatino Linotype" w:cs="Times New Roman"/>
          <w:kern w:val="0"/>
          <w14:ligatures w14:val="none"/>
        </w:rPr>
        <w:t>100 percent of net revenues.</w:t>
      </w:r>
    </w:p>
    <w:p w:rsidR="00E21AF3" w:rsidP="007F77B4" w:rsidRDefault="00E21AF3" w14:paraId="1941398A" w14:textId="77777777">
      <w:pPr>
        <w:spacing w:after="0" w:line="240" w:lineRule="auto"/>
        <w:rPr>
          <w:rFonts w:ascii="Palatino Linotype" w:hAnsi="Palatino Linotype" w:eastAsia="Palatino Linotype" w:cs="Times New Roman"/>
          <w:kern w:val="0"/>
          <w14:ligatures w14:val="none"/>
        </w:rPr>
      </w:pPr>
    </w:p>
    <w:p w:rsidR="002E6BBB" w:rsidP="007F77B4" w:rsidRDefault="002E6BBB" w14:paraId="3F9FE9FF" w14:textId="15BC6BD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Orchard Partners further urges the Commission to distinguish advanced manufacturing loads from data centers to preserve predictable refund timelines for industrial customers.</w:t>
      </w:r>
      <w:r w:rsidR="00D9161D">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This comment is beyond the scope of this Advice Letter and Resolution, which specifically relates to Google’s 250 MW energization request for a data center project.</w:t>
      </w:r>
    </w:p>
    <w:p w:rsidR="002E6BBB" w:rsidP="007F77B4" w:rsidRDefault="002E6BBB" w14:paraId="76FDD9DC" w14:textId="77777777">
      <w:pPr>
        <w:spacing w:after="0" w:line="240" w:lineRule="auto"/>
        <w:rPr>
          <w:rFonts w:ascii="Palatino Linotype" w:hAnsi="Palatino Linotype" w:eastAsia="Palatino Linotype" w:cs="Times New Roman"/>
          <w:kern w:val="0"/>
          <w14:ligatures w14:val="none"/>
        </w:rPr>
      </w:pPr>
    </w:p>
    <w:p w:rsidR="0088525D" w:rsidP="0088525D" w:rsidRDefault="00E80DE8" w14:paraId="38E10286" w14:textId="06C240D2">
      <w:pPr>
        <w:spacing w:after="0" w:line="240" w:lineRule="auto"/>
        <w:rPr>
          <w:rFonts w:ascii="Palatino Linotype" w:hAnsi="Palatino Linotype" w:eastAsia="Palatino Linotype" w:cs="Times New Roman"/>
          <w:kern w:val="0"/>
          <w14:ligatures w14:val="none"/>
        </w:rPr>
      </w:pPr>
      <w:r w:rsidRPr="00E80DE8">
        <w:rPr>
          <w:rFonts w:ascii="Palatino Linotype" w:hAnsi="Palatino Linotype" w:eastAsia="Palatino Linotype" w:cs="Times New Roman"/>
          <w:kern w:val="0"/>
          <w14:ligatures w14:val="none"/>
        </w:rPr>
        <w:t>Several parties, including PG&amp;E, SCE, and SVLG, requested that broad policy questions on transmission cost allocation and rate design be resolved through comprehensive, stakeholder-driven proceedings—such as Rule 30 or Advanced Electric Rate Design —rather than through project-specific determinations.</w:t>
      </w:r>
      <w:r w:rsidR="0042398D">
        <w:rPr>
          <w:rFonts w:ascii="Palatino Linotype" w:hAnsi="Palatino Linotype" w:eastAsia="Palatino Linotype" w:cs="Times New Roman"/>
          <w:kern w:val="0"/>
          <w14:ligatures w14:val="none"/>
        </w:rPr>
        <w:t xml:space="preserve"> </w:t>
      </w:r>
      <w:r w:rsidRPr="007F77B4" w:rsidR="0042398D">
        <w:rPr>
          <w:rFonts w:ascii="Palatino Linotype" w:hAnsi="Palatino Linotype" w:eastAsia="Palatino Linotype" w:cs="Times New Roman"/>
          <w:kern w:val="0"/>
          <w14:ligatures w14:val="none"/>
        </w:rPr>
        <w:t xml:space="preserve">SCE suggested </w:t>
      </w:r>
      <w:r w:rsidRPr="002E6BBB" w:rsidR="0042398D">
        <w:rPr>
          <w:rFonts w:ascii="Palatino Linotype" w:hAnsi="Palatino Linotype" w:eastAsia="Palatino Linotype" w:cs="Times New Roman"/>
          <w:kern w:val="0"/>
          <w14:ligatures w14:val="none"/>
        </w:rPr>
        <w:t>that ratepayer protections are better achieved through retail rate structures—including long-term contracts, minimum billing, and credit support—where the Commission has clear jurisdiction.</w:t>
      </w:r>
      <w:r w:rsidR="00145EE1">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 xml:space="preserve">We do </w:t>
      </w:r>
      <w:r w:rsidR="00145EE1">
        <w:rPr>
          <w:rFonts w:ascii="Palatino Linotype" w:hAnsi="Palatino Linotype" w:eastAsia="Palatino Linotype" w:cs="Times New Roman"/>
          <w:kern w:val="0"/>
          <w14:ligatures w14:val="none"/>
        </w:rPr>
        <w:t xml:space="preserve">not </w:t>
      </w:r>
      <w:r w:rsidR="00515D93">
        <w:rPr>
          <w:rFonts w:ascii="Palatino Linotype" w:hAnsi="Palatino Linotype" w:eastAsia="Palatino Linotype" w:cs="Times New Roman"/>
          <w:kern w:val="0"/>
          <w14:ligatures w14:val="none"/>
        </w:rPr>
        <w:t>make any decision</w:t>
      </w:r>
      <w:r w:rsidR="00046B79">
        <w:rPr>
          <w:rFonts w:ascii="Palatino Linotype" w:hAnsi="Palatino Linotype" w:eastAsia="Palatino Linotype" w:cs="Times New Roman"/>
          <w:kern w:val="0"/>
          <w14:ligatures w14:val="none"/>
        </w:rPr>
        <w:t xml:space="preserve">s on broad policy questions here. Instead, we respond to </w:t>
      </w:r>
      <w:r w:rsidR="00413025">
        <w:rPr>
          <w:rFonts w:ascii="Palatino Linotype" w:hAnsi="Palatino Linotype" w:eastAsia="Palatino Linotype" w:cs="Times New Roman"/>
          <w:kern w:val="0"/>
          <w14:ligatures w14:val="none"/>
        </w:rPr>
        <w:t>an</w:t>
      </w:r>
      <w:r w:rsidR="00046B79">
        <w:rPr>
          <w:rFonts w:ascii="Palatino Linotype" w:hAnsi="Palatino Linotype" w:eastAsia="Palatino Linotype" w:cs="Times New Roman"/>
          <w:kern w:val="0"/>
          <w14:ligatures w14:val="none"/>
        </w:rPr>
        <w:t xml:space="preserve"> exceptional case filing</w:t>
      </w:r>
      <w:r w:rsidR="00145EE1">
        <w:rPr>
          <w:rFonts w:ascii="Palatino Linotype" w:hAnsi="Palatino Linotype" w:eastAsia="Palatino Linotype" w:cs="Times New Roman"/>
          <w:kern w:val="0"/>
          <w14:ligatures w14:val="none"/>
        </w:rPr>
        <w:t>.</w:t>
      </w:r>
      <w:r w:rsidR="00046B79">
        <w:rPr>
          <w:rFonts w:ascii="Palatino Linotype" w:hAnsi="Palatino Linotype" w:eastAsia="Palatino Linotype" w:cs="Times New Roman"/>
          <w:kern w:val="0"/>
          <w14:ligatures w14:val="none"/>
        </w:rPr>
        <w:t xml:space="preserve"> The decision here </w:t>
      </w:r>
      <w:r w:rsidR="00AB0872">
        <w:rPr>
          <w:rFonts w:ascii="Palatino Linotype" w:hAnsi="Palatino Linotype" w:eastAsia="Palatino Linotype" w:cs="Times New Roman"/>
          <w:kern w:val="0"/>
          <w14:ligatures w14:val="none"/>
        </w:rPr>
        <w:t xml:space="preserve">does </w:t>
      </w:r>
      <w:r w:rsidR="00046B79">
        <w:rPr>
          <w:rFonts w:ascii="Palatino Linotype" w:hAnsi="Palatino Linotype" w:eastAsia="Palatino Linotype" w:cs="Times New Roman"/>
          <w:kern w:val="0"/>
          <w14:ligatures w14:val="none"/>
        </w:rPr>
        <w:t>not prejudice the outcome in the Rule 30 or Advanced Electric Rate Design Proceedings in any way.</w:t>
      </w:r>
      <w:r w:rsidRPr="0088525D" w:rsidR="0088525D">
        <w:rPr>
          <w:rFonts w:ascii="Palatino Linotype" w:hAnsi="Palatino Linotype" w:eastAsia="Palatino Linotype" w:cs="Times New Roman"/>
          <w:kern w:val="0"/>
          <w14:ligatures w14:val="none"/>
        </w:rPr>
        <w:t xml:space="preserve"> </w:t>
      </w:r>
    </w:p>
    <w:p w:rsidR="00D6699B" w:rsidP="007F77B4" w:rsidRDefault="00D6699B" w14:paraId="1E3B06AF" w14:textId="77777777">
      <w:pPr>
        <w:spacing w:after="0" w:line="240" w:lineRule="auto"/>
        <w:rPr>
          <w:rFonts w:ascii="Palatino Linotype" w:hAnsi="Palatino Linotype" w:eastAsia="Palatino Linotype" w:cs="Times New Roman"/>
          <w:kern w:val="0"/>
          <w14:ligatures w14:val="none"/>
        </w:rPr>
      </w:pPr>
    </w:p>
    <w:p w:rsidR="00FC5ECF" w:rsidP="00141017" w:rsidRDefault="009E45D9" w14:paraId="1D389FE7" w14:textId="3000F87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Last</w:t>
      </w:r>
      <w:r w:rsidR="001A52AA">
        <w:rPr>
          <w:rFonts w:ascii="Palatino Linotype" w:hAnsi="Palatino Linotype" w:eastAsia="Palatino Linotype" w:cs="Times New Roman"/>
          <w:kern w:val="0"/>
          <w14:ligatures w14:val="none"/>
        </w:rPr>
        <w:t xml:space="preserve">, we address some </w:t>
      </w:r>
      <w:r w:rsidR="0088525D">
        <w:rPr>
          <w:rFonts w:ascii="Palatino Linotype" w:hAnsi="Palatino Linotype" w:eastAsia="Palatino Linotype" w:cs="Times New Roman"/>
          <w:kern w:val="0"/>
          <w14:ligatures w14:val="none"/>
        </w:rPr>
        <w:t>arguments from the Comments that do not relate to the additional capital advance</w:t>
      </w:r>
      <w:r w:rsidR="00D454B6">
        <w:rPr>
          <w:rFonts w:ascii="Palatino Linotype" w:hAnsi="Palatino Linotype" w:eastAsia="Palatino Linotype" w:cs="Times New Roman"/>
          <w:kern w:val="0"/>
          <w14:ligatures w14:val="none"/>
        </w:rPr>
        <w:t xml:space="preserve">. </w:t>
      </w:r>
    </w:p>
    <w:p w:rsidR="00FC5ECF" w:rsidP="00141017" w:rsidRDefault="00FC5ECF" w14:paraId="63D099D7" w14:textId="77777777">
      <w:pPr>
        <w:spacing w:after="0" w:line="240" w:lineRule="auto"/>
        <w:rPr>
          <w:rFonts w:ascii="Palatino Linotype" w:hAnsi="Palatino Linotype" w:eastAsia="Palatino Linotype" w:cs="Times New Roman"/>
          <w:kern w:val="0"/>
          <w14:ligatures w14:val="none"/>
        </w:rPr>
      </w:pPr>
    </w:p>
    <w:p w:rsidR="008A1D0C" w:rsidP="00141017" w:rsidRDefault="00D454B6" w14:paraId="651D1CD3" w14:textId="149D26BE">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First</w:t>
      </w:r>
      <w:r w:rsidR="006B4B84">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 xml:space="preserve">in relation to refunds for Applicant Build work: </w:t>
      </w:r>
      <w:r w:rsidRPr="006B4B84" w:rsidR="006B4B84">
        <w:rPr>
          <w:rFonts w:ascii="Palatino Linotype" w:hAnsi="Palatino Linotype" w:eastAsia="Palatino Linotype" w:cs="Times New Roman"/>
          <w:kern w:val="0"/>
          <w14:ligatures w14:val="none"/>
        </w:rPr>
        <w:t>PG&amp;E stated that it does not object to the Resolution's procedures regarding the binding cost estimate and oversight costs.</w:t>
      </w:r>
      <w:r w:rsidR="00C41589">
        <w:rPr>
          <w:rStyle w:val="FootnoteReference"/>
          <w:rFonts w:ascii="Palatino Linotype" w:hAnsi="Palatino Linotype" w:eastAsia="Palatino Linotype" w:cs="Times New Roman"/>
          <w:kern w:val="0"/>
          <w14:ligatures w14:val="none"/>
        </w:rPr>
        <w:footnoteReference w:id="27"/>
      </w:r>
      <w:r w:rsidRPr="006B4B84" w:rsidR="006B4B84">
        <w:rPr>
          <w:rFonts w:ascii="Palatino Linotype" w:hAnsi="Palatino Linotype" w:eastAsia="Palatino Linotype" w:cs="Times New Roman"/>
          <w:kern w:val="0"/>
          <w14:ligatures w14:val="none"/>
        </w:rPr>
        <w:t xml:space="preserve"> </w:t>
      </w:r>
      <w:r w:rsidRPr="00EA1F48" w:rsidR="00141017">
        <w:rPr>
          <w:rFonts w:ascii="Palatino Linotype" w:hAnsi="Palatino Linotype" w:eastAsia="Palatino Linotype" w:cs="Times New Roman"/>
          <w:kern w:val="0"/>
          <w14:ligatures w14:val="none"/>
        </w:rPr>
        <w:t>Cal Advocates</w:t>
      </w:r>
      <w:r>
        <w:rPr>
          <w:rFonts w:ascii="Palatino Linotype" w:hAnsi="Palatino Linotype" w:eastAsia="Palatino Linotype" w:cs="Times New Roman"/>
          <w:kern w:val="0"/>
          <w14:ligatures w14:val="none"/>
        </w:rPr>
        <w:t xml:space="preserve">, however, </w:t>
      </w:r>
      <w:r w:rsidRPr="00EA1F48" w:rsidR="00141017">
        <w:rPr>
          <w:rFonts w:ascii="Palatino Linotype" w:hAnsi="Palatino Linotype" w:eastAsia="Palatino Linotype" w:cs="Times New Roman"/>
          <w:kern w:val="0"/>
          <w14:ligatures w14:val="none"/>
        </w:rPr>
        <w:t>recommends capping refundable applicant-build costs at the lower of PG&amp;E's or Google's cost estimate</w:t>
      </w:r>
      <w:r>
        <w:rPr>
          <w:rFonts w:ascii="Palatino Linotype" w:hAnsi="Palatino Linotype" w:eastAsia="Palatino Linotype" w:cs="Times New Roman"/>
          <w:kern w:val="0"/>
          <w14:ligatures w14:val="none"/>
        </w:rPr>
        <w:t>. We agree with PG&amp;E that the Resolution’s procedures are adequate here</w:t>
      </w:r>
      <w:r w:rsidR="008A1D0C">
        <w:rPr>
          <w:rFonts w:ascii="Palatino Linotype" w:hAnsi="Palatino Linotype" w:eastAsia="Palatino Linotype" w:cs="Times New Roman"/>
          <w:kern w:val="0"/>
          <w14:ligatures w14:val="none"/>
        </w:rPr>
        <w:t>, and do not need further modification</w:t>
      </w:r>
      <w:r>
        <w:rPr>
          <w:rFonts w:ascii="Palatino Linotype" w:hAnsi="Palatino Linotype" w:eastAsia="Palatino Linotype" w:cs="Times New Roman"/>
          <w:kern w:val="0"/>
          <w14:ligatures w14:val="none"/>
        </w:rPr>
        <w:t>.</w:t>
      </w:r>
      <w:r w:rsidR="00C51AD9">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We also clarify, at the request of Cal Advocates, that PG&amp;E may use a single standard contingency in establishing the binding cost estimate</w:t>
      </w:r>
      <w:r w:rsidR="008A1D0C">
        <w:rPr>
          <w:rFonts w:ascii="Palatino Linotype" w:hAnsi="Palatino Linotype" w:eastAsia="Palatino Linotype" w:cs="Times New Roman"/>
          <w:kern w:val="0"/>
          <w14:ligatures w14:val="none"/>
        </w:rPr>
        <w:t>,</w:t>
      </w:r>
      <w:r w:rsidR="00FC5ECF">
        <w:rPr>
          <w:rFonts w:ascii="Palatino Linotype" w:hAnsi="Palatino Linotype" w:eastAsia="Palatino Linotype" w:cs="Times New Roman"/>
          <w:kern w:val="0"/>
          <w14:ligatures w14:val="none"/>
        </w:rPr>
        <w:t xml:space="preserve"> but refunds would remain limited to actual costs incurred.</w:t>
      </w:r>
      <w:r>
        <w:rPr>
          <w:rFonts w:ascii="Palatino Linotype" w:hAnsi="Palatino Linotype" w:eastAsia="Palatino Linotype" w:cs="Times New Roman"/>
          <w:kern w:val="0"/>
          <w14:ligatures w14:val="none"/>
        </w:rPr>
        <w:t xml:space="preserve"> </w:t>
      </w:r>
    </w:p>
    <w:p w:rsidR="008A1D0C" w:rsidP="00141017" w:rsidRDefault="008A1D0C" w14:paraId="5DF6B565" w14:textId="77777777">
      <w:pPr>
        <w:spacing w:after="0" w:line="240" w:lineRule="auto"/>
        <w:rPr>
          <w:rFonts w:ascii="Palatino Linotype" w:hAnsi="Palatino Linotype" w:eastAsia="Palatino Linotype" w:cs="Times New Roman"/>
          <w:kern w:val="0"/>
          <w14:ligatures w14:val="none"/>
        </w:rPr>
      </w:pPr>
    </w:p>
    <w:p w:rsidR="00B53C9C" w:rsidP="00141017" w:rsidRDefault="00D454B6" w14:paraId="34569959" w14:textId="4754928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Second, </w:t>
      </w:r>
      <w:r w:rsidR="008A1D0C">
        <w:rPr>
          <w:rFonts w:ascii="Palatino Linotype" w:hAnsi="Palatino Linotype" w:eastAsia="Palatino Linotype" w:cs="Times New Roman"/>
          <w:kern w:val="0"/>
          <w14:ligatures w14:val="none"/>
        </w:rPr>
        <w:t xml:space="preserve">in relation to the BARC process: </w:t>
      </w:r>
      <w:r>
        <w:rPr>
          <w:rFonts w:ascii="Palatino Linotype" w:hAnsi="Palatino Linotype" w:eastAsia="Palatino Linotype" w:cs="Times New Roman"/>
          <w:kern w:val="0"/>
          <w14:ligatures w14:val="none"/>
        </w:rPr>
        <w:t xml:space="preserve">Cal Advocates </w:t>
      </w:r>
      <w:r w:rsidR="00253363">
        <w:rPr>
          <w:rFonts w:ascii="Palatino Linotype" w:hAnsi="Palatino Linotype" w:eastAsia="Palatino Linotype" w:cs="Times New Roman"/>
          <w:kern w:val="0"/>
          <w14:ligatures w14:val="none"/>
        </w:rPr>
        <w:t xml:space="preserve">argues that </w:t>
      </w:r>
      <w:r w:rsidRPr="00EA1F48" w:rsidR="00141017">
        <w:rPr>
          <w:rFonts w:ascii="Palatino Linotype" w:hAnsi="Palatino Linotype" w:eastAsia="Palatino Linotype" w:cs="Times New Roman"/>
          <w:kern w:val="0"/>
          <w14:ligatures w14:val="none"/>
        </w:rPr>
        <w:t>total refunds over the 15-year eligibility period</w:t>
      </w:r>
      <w:r w:rsidR="00253363">
        <w:rPr>
          <w:rFonts w:ascii="Palatino Linotype" w:hAnsi="Palatino Linotype" w:eastAsia="Palatino Linotype" w:cs="Times New Roman"/>
          <w:kern w:val="0"/>
          <w14:ligatures w14:val="none"/>
        </w:rPr>
        <w:t xml:space="preserve"> should be limited</w:t>
      </w:r>
      <w:r w:rsidRPr="00EA1F48" w:rsidR="00141017">
        <w:rPr>
          <w:rFonts w:ascii="Palatino Linotype" w:hAnsi="Palatino Linotype" w:eastAsia="Palatino Linotype" w:cs="Times New Roman"/>
          <w:kern w:val="0"/>
          <w14:ligatures w14:val="none"/>
        </w:rPr>
        <w:t xml:space="preserve"> to the BARC Formula amount</w:t>
      </w:r>
      <w:r w:rsidR="00253363">
        <w:rPr>
          <w:rFonts w:ascii="Palatino Linotype" w:hAnsi="Palatino Linotype" w:eastAsia="Palatino Linotype" w:cs="Times New Roman"/>
          <w:kern w:val="0"/>
          <w14:ligatures w14:val="none"/>
        </w:rPr>
        <w:t xml:space="preserve">, as was the case in previous exceptional cases. We agree with Cal </w:t>
      </w:r>
      <w:proofErr w:type="gramStart"/>
      <w:r w:rsidR="00253363">
        <w:rPr>
          <w:rFonts w:ascii="Palatino Linotype" w:hAnsi="Palatino Linotype" w:eastAsia="Palatino Linotype" w:cs="Times New Roman"/>
          <w:kern w:val="0"/>
          <w14:ligatures w14:val="none"/>
        </w:rPr>
        <w:t>Advocates, and</w:t>
      </w:r>
      <w:proofErr w:type="gramEnd"/>
      <w:r w:rsidR="00253363">
        <w:rPr>
          <w:rFonts w:ascii="Palatino Linotype" w:hAnsi="Palatino Linotype" w:eastAsia="Palatino Linotype" w:cs="Times New Roman"/>
          <w:kern w:val="0"/>
          <w14:ligatures w14:val="none"/>
        </w:rPr>
        <w:t xml:space="preserve"> clarify here that </w:t>
      </w:r>
      <w:r w:rsidR="00703A3C">
        <w:rPr>
          <w:rFonts w:ascii="Palatino Linotype" w:hAnsi="Palatino Linotype" w:eastAsia="Palatino Linotype" w:cs="Times New Roman"/>
          <w:kern w:val="0"/>
          <w14:ligatures w14:val="none"/>
        </w:rPr>
        <w:t>the</w:t>
      </w:r>
      <w:r w:rsidR="0030737B">
        <w:rPr>
          <w:rFonts w:ascii="Palatino Linotype" w:hAnsi="Palatino Linotype" w:eastAsia="Palatino Linotype" w:cs="Times New Roman"/>
          <w:kern w:val="0"/>
          <w14:ligatures w14:val="none"/>
        </w:rPr>
        <w:t xml:space="preserve"> total refund </w:t>
      </w:r>
      <w:r w:rsidR="00703A3C">
        <w:rPr>
          <w:rFonts w:ascii="Palatino Linotype" w:hAnsi="Palatino Linotype" w:eastAsia="Palatino Linotype" w:cs="Times New Roman"/>
          <w:kern w:val="0"/>
          <w14:ligatures w14:val="none"/>
        </w:rPr>
        <w:t xml:space="preserve">received by a customer </w:t>
      </w:r>
      <w:r w:rsidR="00B53C9C">
        <w:rPr>
          <w:rFonts w:ascii="Palatino Linotype" w:hAnsi="Palatino Linotype" w:eastAsia="Palatino Linotype" w:cs="Times New Roman"/>
          <w:kern w:val="0"/>
          <w14:ligatures w14:val="none"/>
        </w:rPr>
        <w:t xml:space="preserve">should </w:t>
      </w:r>
      <w:r w:rsidR="00703A3C">
        <w:rPr>
          <w:rFonts w:ascii="Palatino Linotype" w:hAnsi="Palatino Linotype" w:eastAsia="Palatino Linotype" w:cs="Times New Roman"/>
          <w:kern w:val="0"/>
          <w14:ligatures w14:val="none"/>
        </w:rPr>
        <w:t xml:space="preserve">still be </w:t>
      </w:r>
      <w:r w:rsidR="00B53C9C">
        <w:rPr>
          <w:rFonts w:ascii="Palatino Linotype" w:hAnsi="Palatino Linotype" w:eastAsia="Palatino Linotype" w:cs="Times New Roman"/>
          <w:kern w:val="0"/>
          <w14:ligatures w14:val="none"/>
        </w:rPr>
        <w:t xml:space="preserve">limited </w:t>
      </w:r>
      <w:r w:rsidR="00703A3C">
        <w:rPr>
          <w:rFonts w:ascii="Palatino Linotype" w:hAnsi="Palatino Linotype" w:eastAsia="Palatino Linotype" w:cs="Times New Roman"/>
          <w:kern w:val="0"/>
          <w14:ligatures w14:val="none"/>
        </w:rPr>
        <w:t>by</w:t>
      </w:r>
      <w:r w:rsidR="0030737B">
        <w:rPr>
          <w:rFonts w:ascii="Palatino Linotype" w:hAnsi="Palatino Linotype" w:eastAsia="Palatino Linotype" w:cs="Times New Roman"/>
          <w:kern w:val="0"/>
          <w14:ligatures w14:val="none"/>
        </w:rPr>
        <w:t xml:space="preserve"> </w:t>
      </w:r>
      <w:r w:rsidR="00B53C9C">
        <w:rPr>
          <w:rFonts w:ascii="Palatino Linotype" w:hAnsi="Palatino Linotype" w:eastAsia="Palatino Linotype" w:cs="Times New Roman"/>
          <w:kern w:val="0"/>
          <w14:ligatures w14:val="none"/>
        </w:rPr>
        <w:t>the BARC Formula amount</w:t>
      </w:r>
      <w:r w:rsidR="00703A3C">
        <w:rPr>
          <w:rFonts w:ascii="Palatino Linotype" w:hAnsi="Palatino Linotype" w:eastAsia="Palatino Linotype" w:cs="Times New Roman"/>
          <w:kern w:val="0"/>
          <w14:ligatures w14:val="none"/>
        </w:rPr>
        <w:t xml:space="preserve"> in any given year</w:t>
      </w:r>
      <w:r w:rsidR="00B53C9C">
        <w:rPr>
          <w:rFonts w:ascii="Palatino Linotype" w:hAnsi="Palatino Linotype" w:eastAsia="Palatino Linotype" w:cs="Times New Roman"/>
          <w:kern w:val="0"/>
          <w14:ligatures w14:val="none"/>
        </w:rPr>
        <w:t xml:space="preserve">, regardless of the annual net revenue </w:t>
      </w:r>
      <w:r w:rsidR="00703A3C">
        <w:rPr>
          <w:rFonts w:ascii="Palatino Linotype" w:hAnsi="Palatino Linotype" w:eastAsia="Palatino Linotype" w:cs="Times New Roman"/>
          <w:kern w:val="0"/>
          <w14:ligatures w14:val="none"/>
        </w:rPr>
        <w:t>for that year</w:t>
      </w:r>
      <w:r w:rsidR="00B53C9C">
        <w:rPr>
          <w:rFonts w:ascii="Palatino Linotype" w:hAnsi="Palatino Linotype" w:eastAsia="Palatino Linotype" w:cs="Times New Roman"/>
          <w:kern w:val="0"/>
          <w14:ligatures w14:val="none"/>
        </w:rPr>
        <w:t>.</w:t>
      </w:r>
    </w:p>
    <w:p w:rsidR="00B53C9C" w:rsidP="00141017" w:rsidRDefault="00B53C9C" w14:paraId="0328CBFD" w14:textId="77777777">
      <w:pPr>
        <w:spacing w:after="0" w:line="240" w:lineRule="auto"/>
        <w:rPr>
          <w:rFonts w:ascii="Palatino Linotype" w:hAnsi="Palatino Linotype" w:eastAsia="Palatino Linotype" w:cs="Times New Roman"/>
          <w:kern w:val="0"/>
          <w14:ligatures w14:val="none"/>
        </w:rPr>
      </w:pPr>
    </w:p>
    <w:p w:rsidR="00141017" w:rsidP="00141017" w:rsidRDefault="00B53C9C" w14:paraId="0147D36E" w14:textId="28445F9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Third</w:t>
      </w:r>
      <w:r w:rsidR="00723648">
        <w:rPr>
          <w:rFonts w:ascii="Palatino Linotype" w:hAnsi="Palatino Linotype" w:eastAsia="Palatino Linotype" w:cs="Times New Roman"/>
          <w:kern w:val="0"/>
          <w14:ligatures w14:val="none"/>
        </w:rPr>
        <w:t xml:space="preserve">, in relation to the Tier 1 Advice Letter </w:t>
      </w:r>
      <w:r w:rsidR="00D000A1">
        <w:rPr>
          <w:rFonts w:ascii="Palatino Linotype" w:hAnsi="Palatino Linotype" w:eastAsia="Palatino Linotype" w:cs="Times New Roman"/>
          <w:kern w:val="0"/>
          <w14:ligatures w14:val="none"/>
        </w:rPr>
        <w:t>seeking approval for the modified agreement between PG&amp;E and Google: Cal Advocates request that the Commission specif</w:t>
      </w:r>
      <w:r w:rsidR="00541F3A">
        <w:rPr>
          <w:rFonts w:ascii="Palatino Linotype" w:hAnsi="Palatino Linotype" w:eastAsia="Palatino Linotype" w:cs="Times New Roman"/>
          <w:kern w:val="0"/>
          <w14:ligatures w14:val="none"/>
        </w:rPr>
        <w:t xml:space="preserve">y that the modified agreement </w:t>
      </w:r>
      <w:r w:rsidR="006119A1">
        <w:rPr>
          <w:rFonts w:ascii="Palatino Linotype" w:hAnsi="Palatino Linotype" w:eastAsia="Palatino Linotype" w:cs="Times New Roman"/>
          <w:kern w:val="0"/>
          <w14:ligatures w14:val="none"/>
        </w:rPr>
        <w:t>incorporates</w:t>
      </w:r>
      <w:r w:rsidR="00541F3A">
        <w:rPr>
          <w:rFonts w:ascii="Palatino Linotype" w:hAnsi="Palatino Linotype" w:eastAsia="Palatino Linotype" w:cs="Times New Roman"/>
          <w:kern w:val="0"/>
          <w14:ligatures w14:val="none"/>
        </w:rPr>
        <w:t xml:space="preserve"> all </w:t>
      </w:r>
      <w:r w:rsidRPr="00EA1F48" w:rsidR="00141017">
        <w:rPr>
          <w:rFonts w:ascii="Palatino Linotype" w:hAnsi="Palatino Linotype" w:eastAsia="Palatino Linotype" w:cs="Times New Roman"/>
          <w:kern w:val="0"/>
          <w14:ligatures w14:val="none"/>
        </w:rPr>
        <w:t>modifications adopted in the final Resolution.</w:t>
      </w:r>
      <w:r w:rsidR="00541F3A">
        <w:rPr>
          <w:rFonts w:ascii="Palatino Linotype" w:hAnsi="Palatino Linotype" w:eastAsia="Palatino Linotype" w:cs="Times New Roman"/>
          <w:kern w:val="0"/>
          <w14:ligatures w14:val="none"/>
        </w:rPr>
        <w:t xml:space="preserve"> </w:t>
      </w:r>
      <w:r w:rsidR="00F600F1">
        <w:rPr>
          <w:rFonts w:ascii="Palatino Linotype" w:hAnsi="Palatino Linotype" w:eastAsia="Palatino Linotype" w:cs="Times New Roman"/>
          <w:kern w:val="0"/>
          <w14:ligatures w14:val="none"/>
        </w:rPr>
        <w:t xml:space="preserve">We agree with Cal Advocates that the modifications </w:t>
      </w:r>
      <w:r w:rsidR="00B86063">
        <w:rPr>
          <w:rFonts w:ascii="Palatino Linotype" w:hAnsi="Palatino Linotype" w:eastAsia="Palatino Linotype" w:cs="Times New Roman"/>
          <w:kern w:val="0"/>
          <w14:ligatures w14:val="none"/>
        </w:rPr>
        <w:t>order</w:t>
      </w:r>
      <w:r w:rsidR="00F600F1">
        <w:rPr>
          <w:rFonts w:ascii="Palatino Linotype" w:hAnsi="Palatino Linotype" w:eastAsia="Palatino Linotype" w:cs="Times New Roman"/>
          <w:kern w:val="0"/>
          <w14:ligatures w14:val="none"/>
        </w:rPr>
        <w:t xml:space="preserve">ed here should be incorporated by PG&amp;E into </w:t>
      </w:r>
      <w:r w:rsidR="00B86063">
        <w:rPr>
          <w:rFonts w:ascii="Palatino Linotype" w:hAnsi="Palatino Linotype" w:eastAsia="Palatino Linotype" w:cs="Times New Roman"/>
          <w:kern w:val="0"/>
          <w14:ligatures w14:val="none"/>
        </w:rPr>
        <w:t>the agreement with Google, but we do not think additional direction is needed</w:t>
      </w:r>
      <w:r w:rsidR="006119A1">
        <w:rPr>
          <w:rFonts w:ascii="Palatino Linotype" w:hAnsi="Palatino Linotype" w:eastAsia="Palatino Linotype" w:cs="Times New Roman"/>
          <w:kern w:val="0"/>
          <w14:ligatures w14:val="none"/>
        </w:rPr>
        <w:t xml:space="preserve"> in the Ordering Paragraphs</w:t>
      </w:r>
      <w:r w:rsidR="00B86063">
        <w:rPr>
          <w:rFonts w:ascii="Palatino Linotype" w:hAnsi="Palatino Linotype" w:eastAsia="Palatino Linotype" w:cs="Times New Roman"/>
          <w:kern w:val="0"/>
          <w14:ligatures w14:val="none"/>
        </w:rPr>
        <w:t>.</w:t>
      </w:r>
    </w:p>
    <w:p w:rsidR="00931789" w:rsidP="007F77B4" w:rsidRDefault="00931789" w14:paraId="76BB930E"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DB2C1C" w:rsidR="00DB2C1C" w:rsidP="00BB5FE9" w:rsidRDefault="00DB2C1C" w14:paraId="3DAD6A01" w14:textId="7777777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PG&amp;E filed Advice Letter (AL) 7785-E on December 18, 2025, requesting Commission approval of an agreement with Google LLC (Google) to energize a new </w:t>
      </w:r>
      <w:proofErr w:type="gramStart"/>
      <w:r w:rsidRPr="00DB2C1C">
        <w:rPr>
          <w:rFonts w:ascii="Palatino Linotype" w:hAnsi="Palatino Linotype" w:eastAsia="Palatino Linotype" w:cs="Times New Roman"/>
          <w:kern w:val="0"/>
          <w14:ligatures w14:val="none"/>
        </w:rPr>
        <w:t>250 megawatt</w:t>
      </w:r>
      <w:proofErr w:type="gramEnd"/>
      <w:r w:rsidRPr="00DB2C1C">
        <w:rPr>
          <w:rFonts w:ascii="Palatino Linotype" w:hAnsi="Palatino Linotype" w:eastAsia="Palatino Linotype" w:cs="Times New Roman"/>
          <w:kern w:val="0"/>
          <w14:ligatures w14:val="none"/>
        </w:rPr>
        <w:t xml:space="preserve"> (MW) transmission-level retail electric load at 230 kilovolts (kV) in San Jose, California.</w:t>
      </w:r>
    </w:p>
    <w:p w:rsidRPr="00DB2C1C" w:rsidR="00DB2C1C" w:rsidP="00BB5FE9" w:rsidRDefault="00DB2C1C" w14:paraId="203BE02B" w14:textId="65E2060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approve AL 7785-E with modifications to provide additional ratepayer protection</w:t>
      </w:r>
      <w:r w:rsidR="000B21E4">
        <w:rPr>
          <w:rFonts w:ascii="Palatino Linotype" w:hAnsi="Palatino Linotype" w:eastAsia="Palatino Linotype" w:cs="Times New Roman"/>
          <w:kern w:val="0"/>
          <w14:ligatures w14:val="none"/>
        </w:rPr>
        <w:t>s</w:t>
      </w:r>
      <w:r w:rsidRPr="00DB2C1C">
        <w:rPr>
          <w:rFonts w:ascii="Palatino Linotype" w:hAnsi="Palatino Linotype" w:eastAsia="Palatino Linotype" w:cs="Times New Roman"/>
          <w:kern w:val="0"/>
          <w14:ligatures w14:val="none"/>
        </w:rPr>
        <w:t xml:space="preserve"> for transmission-level energization of a very large load.</w:t>
      </w:r>
    </w:p>
    <w:p w:rsidRPr="00831C64" w:rsidR="00AD74F2" w:rsidP="00BB5FE9" w:rsidRDefault="00AD74F2" w14:paraId="4D4EFD9D" w14:textId="77777777">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The scale of required upgrades for large load customers seeking transmission-level energization is much larger than would be typical for a distribution-level customer, and these customers present novel risks of substantial stranded costs.</w:t>
      </w:r>
    </w:p>
    <w:p w:rsidRPr="00280E65" w:rsidR="00462CA3" w:rsidP="00BB5FE9" w:rsidRDefault="00462CA3" w14:paraId="1D15A054" w14:textId="4BC6AD22">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w:t>
      </w:r>
      <w:r w:rsidR="009A0CDD">
        <w:rPr>
          <w:rFonts w:ascii="Palatino Linotype" w:hAnsi="Palatino Linotype" w:eastAsia="Aptos" w:cs="Times New Roman"/>
        </w:rPr>
        <w:t>Google</w:t>
      </w:r>
      <w:r>
        <w:rPr>
          <w:rFonts w:ascii="Palatino Linotype" w:hAnsi="Palatino Linotype" w:eastAsia="Aptos" w:cs="Times New Roman"/>
        </w:rPr>
        <w:t xml:space="preserve"> relies on the continued operation and maintenance of existing transmission infrastructure. </w:t>
      </w:r>
    </w:p>
    <w:p w:rsidR="00B46903" w:rsidP="00BB5FE9" w:rsidRDefault="00B46903" w14:paraId="0F451003" w14:textId="6344A2A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w:t>
      </w:r>
      <w:r w:rsidR="009A0CDD">
        <w:rPr>
          <w:rFonts w:ascii="Palatino Linotype" w:hAnsi="Palatino Linotype" w:eastAsia="Aptos" w:cs="Times New Roman"/>
        </w:rPr>
        <w:t>Google</w:t>
      </w:r>
      <w:r>
        <w:rPr>
          <w:rFonts w:ascii="Palatino Linotype" w:hAnsi="Palatino Linotype" w:eastAsia="Aptos" w:cs="Times New Roman"/>
        </w:rPr>
        <w:t xml:space="preserve"> for the costs of energization well before net revenues from </w:t>
      </w:r>
      <w:r w:rsidR="009A0CDD">
        <w:rPr>
          <w:rFonts w:ascii="Palatino Linotype" w:hAnsi="Palatino Linotype" w:eastAsia="Aptos" w:cs="Times New Roman"/>
        </w:rPr>
        <w:t>Google</w:t>
      </w:r>
      <w:r>
        <w:rPr>
          <w:rFonts w:ascii="Palatino Linotype" w:hAnsi="Palatino Linotype" w:eastAsia="Aptos" w:cs="Times New Roman"/>
        </w:rPr>
        <w:t xml:space="preserve"> </w:t>
      </w:r>
      <w:proofErr w:type="gramStart"/>
      <w:r>
        <w:rPr>
          <w:rFonts w:ascii="Palatino Linotype" w:hAnsi="Palatino Linotype" w:eastAsia="Aptos" w:cs="Times New Roman"/>
        </w:rPr>
        <w:t>actually cover</w:t>
      </w:r>
      <w:proofErr w:type="gramEnd"/>
      <w:r>
        <w:rPr>
          <w:rFonts w:ascii="Palatino Linotype" w:hAnsi="Palatino Linotype" w:eastAsia="Aptos" w:cs="Times New Roman"/>
        </w:rPr>
        <w:t xml:space="preserve"> those costs</w:t>
      </w:r>
      <w:r>
        <w:rPr>
          <w:rFonts w:ascii="Palatino Linotype" w:hAnsi="Palatino Linotype" w:eastAsia="Palatino Linotype" w:cs="Times New Roman"/>
          <w:kern w:val="0"/>
          <w14:ligatures w14:val="none"/>
        </w:rPr>
        <w:t>.</w:t>
      </w:r>
    </w:p>
    <w:p w:rsidR="00F93855" w:rsidP="00BB5FE9" w:rsidRDefault="00F93855" w14:paraId="1BC0D2C4" w14:textId="1B45B42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sidR="001316D3">
        <w:rPr>
          <w:rFonts w:ascii="Palatino Linotype" w:hAnsi="Palatino Linotype" w:eastAsia="Palatino Linotype" w:cs="Times New Roman"/>
          <w:kern w:val="0"/>
          <w14:ligatures w14:val="none"/>
        </w:rPr>
        <w:t xml:space="preserve">new </w:t>
      </w:r>
      <w:r w:rsidR="00167E2F">
        <w:rPr>
          <w:rFonts w:ascii="Palatino Linotype" w:hAnsi="Palatino Linotype" w:eastAsia="Palatino Linotype" w:cs="Times New Roman"/>
          <w:kern w:val="0"/>
          <w14:ligatures w14:val="none"/>
        </w:rPr>
        <w:t xml:space="preserve">250 MW </w:t>
      </w:r>
      <w:r w:rsidR="001316D3">
        <w:rPr>
          <w:rFonts w:ascii="Palatino Linotype" w:hAnsi="Palatino Linotype" w:eastAsia="Palatino Linotype" w:cs="Times New Roman"/>
          <w:kern w:val="0"/>
          <w14:ligatures w14:val="none"/>
        </w:rPr>
        <w:t>load would connect directly to</w:t>
      </w:r>
      <w:r w:rsidR="00E76558">
        <w:rPr>
          <w:rFonts w:ascii="Palatino Linotype" w:hAnsi="Palatino Linotype" w:eastAsia="Palatino Linotype" w:cs="Times New Roman"/>
          <w:kern w:val="0"/>
          <w14:ligatures w14:val="none"/>
        </w:rPr>
        <w:t xml:space="preserve"> and depend on</w:t>
      </w:r>
      <w:r w:rsidR="001316D3">
        <w:rPr>
          <w:rFonts w:ascii="Palatino Linotype" w:hAnsi="Palatino Linotype" w:eastAsia="Palatino Linotype" w:cs="Times New Roman"/>
          <w:kern w:val="0"/>
          <w14:ligatures w14:val="none"/>
        </w:rPr>
        <w:t xml:space="preserve"> the new Newark</w:t>
      </w:r>
      <w:r w:rsidR="00686221">
        <w:rPr>
          <w:rFonts w:ascii="Palatino Linotype" w:hAnsi="Palatino Linotype" w:eastAsia="Palatino Linotype" w:cs="Times New Roman"/>
          <w:kern w:val="0"/>
          <w14:ligatures w14:val="none"/>
        </w:rPr>
        <w:t xml:space="preserve">-NRS 230 kV transmission line, </w:t>
      </w:r>
      <w:r w:rsidR="00167E2F">
        <w:rPr>
          <w:rFonts w:ascii="Palatino Linotype" w:hAnsi="Palatino Linotype" w:eastAsia="Palatino Linotype" w:cs="Times New Roman"/>
          <w:kern w:val="0"/>
          <w14:ligatures w14:val="none"/>
        </w:rPr>
        <w:t>expected to be operational in 2028, representing a significant portion of that new line’s total capacity.</w:t>
      </w:r>
    </w:p>
    <w:p w:rsidR="0017555B" w:rsidP="00BB5FE9" w:rsidRDefault="00591DC9" w14:paraId="2AD4056D" w14:textId="410995A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Determining an exact method to account for the </w:t>
      </w:r>
      <w:r w:rsidR="00B92335">
        <w:rPr>
          <w:rFonts w:ascii="Palatino Linotype" w:hAnsi="Palatino Linotype" w:eastAsia="Palatino Linotype" w:cs="Times New Roman"/>
          <w:kern w:val="0"/>
          <w14:ligatures w14:val="none"/>
        </w:rPr>
        <w:t>broad</w:t>
      </w:r>
      <w:r>
        <w:rPr>
          <w:rFonts w:ascii="Palatino Linotype" w:hAnsi="Palatino Linotype" w:eastAsia="Palatino Linotype" w:cs="Times New Roman"/>
          <w:kern w:val="0"/>
          <w14:ligatures w14:val="none"/>
        </w:rPr>
        <w:t>er transmission network costs via a Commission Resolution in response to an exceptional case filing is neither necessary nor reasonable.</w:t>
      </w:r>
      <w:r w:rsidR="00363C97">
        <w:rPr>
          <w:rFonts w:ascii="Palatino Linotype" w:hAnsi="Palatino Linotype" w:eastAsia="Palatino Linotype" w:cs="Times New Roman"/>
          <w:kern w:val="0"/>
          <w14:ligatures w14:val="none"/>
        </w:rPr>
        <w:t xml:space="preserve"> A</w:t>
      </w:r>
      <w:r w:rsidRPr="00363C97" w:rsidR="00363C97">
        <w:rPr>
          <w:rFonts w:ascii="Palatino Linotype" w:hAnsi="Palatino Linotype" w:eastAsia="Palatino Linotype" w:cs="Times New Roman"/>
          <w:kern w:val="0"/>
          <w14:ligatures w14:val="none"/>
        </w:rPr>
        <w:t>n approximate method of accounting for transmission network upgrade costs is appropriate here</w:t>
      </w:r>
      <w:r w:rsidR="00363C97">
        <w:rPr>
          <w:rFonts w:ascii="Palatino Linotype" w:hAnsi="Palatino Linotype" w:eastAsia="Palatino Linotype" w:cs="Times New Roman"/>
          <w:kern w:val="0"/>
          <w14:ligatures w14:val="none"/>
        </w:rPr>
        <w:t>.</w:t>
      </w:r>
    </w:p>
    <w:p w:rsidR="001A2002" w:rsidP="00BB5FE9" w:rsidRDefault="001A2002" w14:paraId="23D27D28" w14:textId="056B4C7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Both Google and PG&amp;E are requesting quick and practical action in this case.</w:t>
      </w:r>
    </w:p>
    <w:p w:rsidR="00BB63E2" w:rsidP="00BB5FE9" w:rsidRDefault="00CD42CC" w14:paraId="06760F7D" w14:textId="5F5AE14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CD42CC">
        <w:rPr>
          <w:rFonts w:ascii="Palatino Linotype" w:hAnsi="Palatino Linotype" w:eastAsia="Palatino Linotype" w:cs="Times New Roman"/>
          <w:kern w:val="0"/>
          <w14:ligatures w14:val="none"/>
        </w:rPr>
        <w:t xml:space="preserve">t </w:t>
      </w:r>
      <w:r w:rsidR="004C2DE0">
        <w:rPr>
          <w:rFonts w:ascii="Palatino Linotype" w:hAnsi="Palatino Linotype" w:eastAsia="Palatino Linotype" w:cs="Times New Roman"/>
          <w:kern w:val="0"/>
          <w14:ligatures w14:val="none"/>
        </w:rPr>
        <w:t xml:space="preserve">is </w:t>
      </w:r>
      <w:r w:rsidRPr="00CD42CC">
        <w:rPr>
          <w:rFonts w:ascii="Palatino Linotype" w:hAnsi="Palatino Linotype" w:eastAsia="Palatino Linotype" w:cs="Times New Roman"/>
          <w:kern w:val="0"/>
          <w14:ligatures w14:val="none"/>
        </w:rPr>
        <w:t>reasonable to require Google to pay an additional capital advance of $600,000 per MW of requested capacity</w:t>
      </w:r>
      <w:r w:rsidR="00DB4EBF">
        <w:rPr>
          <w:rFonts w:ascii="Palatino Linotype" w:hAnsi="Palatino Linotype" w:eastAsia="Palatino Linotype" w:cs="Times New Roman"/>
          <w:kern w:val="0"/>
          <w14:ligatures w14:val="none"/>
        </w:rPr>
        <w:t>, to be paid</w:t>
      </w:r>
      <w:r w:rsidR="00DA5D8A">
        <w:rPr>
          <w:rFonts w:ascii="Palatino Linotype" w:hAnsi="Palatino Linotype" w:eastAsia="Palatino Linotype" w:cs="Times New Roman"/>
          <w:kern w:val="0"/>
          <w14:ligatures w14:val="none"/>
        </w:rPr>
        <w:t xml:space="preserve"> the year before that capacity is both requested and available</w:t>
      </w:r>
      <w:r>
        <w:rPr>
          <w:rFonts w:ascii="Palatino Linotype" w:hAnsi="Palatino Linotype" w:eastAsia="Palatino Linotype" w:cs="Times New Roman"/>
          <w:kern w:val="0"/>
          <w14:ligatures w14:val="none"/>
        </w:rPr>
        <w:t>.</w:t>
      </w:r>
      <w:r w:rsidR="00A55F1B">
        <w:rPr>
          <w:rFonts w:ascii="Palatino Linotype" w:hAnsi="Palatino Linotype" w:eastAsia="Palatino Linotype" w:cs="Times New Roman"/>
          <w:kern w:val="0"/>
          <w14:ligatures w14:val="none"/>
        </w:rPr>
        <w:t xml:space="preserve"> </w:t>
      </w:r>
    </w:p>
    <w:p w:rsidR="001A2002" w:rsidP="00BB5FE9" w:rsidRDefault="002B6235" w14:paraId="179956F0" w14:textId="6285D308">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w:t>
      </w:r>
      <w:r w:rsidRPr="002B6235">
        <w:rPr>
          <w:rFonts w:ascii="Palatino Linotype" w:hAnsi="Palatino Linotype" w:eastAsia="Palatino Linotype" w:cs="Times New Roman"/>
          <w:kern w:val="0"/>
          <w14:ligatures w14:val="none"/>
        </w:rPr>
        <w:t xml:space="preserve">he $600,000 per MW figure </w:t>
      </w:r>
      <w:r>
        <w:rPr>
          <w:rFonts w:ascii="Palatino Linotype" w:hAnsi="Palatino Linotype" w:eastAsia="Palatino Linotype" w:cs="Times New Roman"/>
          <w:kern w:val="0"/>
          <w14:ligatures w14:val="none"/>
        </w:rPr>
        <w:t>is</w:t>
      </w:r>
      <w:r w:rsidR="001E591C">
        <w:rPr>
          <w:rFonts w:ascii="Palatino Linotype" w:hAnsi="Palatino Linotype" w:eastAsia="Palatino Linotype" w:cs="Times New Roman"/>
          <w:kern w:val="0"/>
          <w14:ligatures w14:val="none"/>
        </w:rPr>
        <w:t xml:space="preserve"> </w:t>
      </w:r>
      <w:r w:rsidRPr="002B6235">
        <w:rPr>
          <w:rFonts w:ascii="Palatino Linotype" w:hAnsi="Palatino Linotype" w:eastAsia="Palatino Linotype" w:cs="Times New Roman"/>
          <w:kern w:val="0"/>
          <w14:ligatures w14:val="none"/>
        </w:rPr>
        <w:t xml:space="preserve">appropriate to protect ratepayers from the general costs of transmission network upgrades </w:t>
      </w:r>
      <w:r>
        <w:rPr>
          <w:rFonts w:ascii="Palatino Linotype" w:hAnsi="Palatino Linotype" w:eastAsia="Palatino Linotype" w:cs="Times New Roman"/>
          <w:kern w:val="0"/>
          <w14:ligatures w14:val="none"/>
        </w:rPr>
        <w:t>associated with</w:t>
      </w:r>
      <w:r w:rsidRPr="002B6235">
        <w:rPr>
          <w:rFonts w:ascii="Palatino Linotype" w:hAnsi="Palatino Linotype" w:eastAsia="Palatino Linotype" w:cs="Times New Roman"/>
          <w:kern w:val="0"/>
          <w14:ligatures w14:val="none"/>
        </w:rPr>
        <w:t xml:space="preserve"> a transmission-level, large load </w:t>
      </w:r>
      <w:r w:rsidR="001E591C">
        <w:rPr>
          <w:rFonts w:ascii="Palatino Linotype" w:hAnsi="Palatino Linotype" w:eastAsia="Palatino Linotype" w:cs="Times New Roman"/>
          <w:kern w:val="0"/>
          <w14:ligatures w14:val="none"/>
        </w:rPr>
        <w:t xml:space="preserve">customer </w:t>
      </w:r>
      <w:r>
        <w:rPr>
          <w:rFonts w:ascii="Palatino Linotype" w:hAnsi="Palatino Linotype" w:eastAsia="Palatino Linotype" w:cs="Times New Roman"/>
          <w:kern w:val="0"/>
          <w14:ligatures w14:val="none"/>
        </w:rPr>
        <w:t xml:space="preserve">seeking energization through an </w:t>
      </w:r>
      <w:r w:rsidRPr="002B6235">
        <w:rPr>
          <w:rFonts w:ascii="Palatino Linotype" w:hAnsi="Palatino Linotype" w:eastAsia="Palatino Linotype" w:cs="Times New Roman"/>
          <w:kern w:val="0"/>
          <w14:ligatures w14:val="none"/>
        </w:rPr>
        <w:t>exceptional case filing</w:t>
      </w:r>
      <w:r>
        <w:rPr>
          <w:rFonts w:ascii="Palatino Linotype" w:hAnsi="Palatino Linotype" w:eastAsia="Palatino Linotype" w:cs="Times New Roman"/>
          <w:kern w:val="0"/>
          <w14:ligatures w14:val="none"/>
        </w:rPr>
        <w:t>.</w:t>
      </w:r>
    </w:p>
    <w:p w:rsidR="004D6A05" w:rsidP="00BB5FE9" w:rsidRDefault="004C2DE0" w14:paraId="0BF8308B" w14:textId="49DD697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4C2DE0">
        <w:rPr>
          <w:rFonts w:ascii="Palatino Linotype" w:hAnsi="Palatino Linotype" w:eastAsia="Palatino Linotype" w:cs="Times New Roman"/>
          <w:kern w:val="0"/>
          <w14:ligatures w14:val="none"/>
        </w:rPr>
        <w:t>t</w:t>
      </w:r>
      <w:r>
        <w:rPr>
          <w:rFonts w:ascii="Palatino Linotype" w:hAnsi="Palatino Linotype" w:eastAsia="Palatino Linotype" w:cs="Times New Roman"/>
          <w:kern w:val="0"/>
          <w14:ligatures w14:val="none"/>
        </w:rPr>
        <w:t xml:space="preserve"> is</w:t>
      </w:r>
      <w:r w:rsidRPr="004C2DE0">
        <w:rPr>
          <w:rFonts w:ascii="Palatino Linotype" w:hAnsi="Palatino Linotype" w:eastAsia="Palatino Linotype" w:cs="Times New Roman"/>
          <w:kern w:val="0"/>
          <w14:ligatures w14:val="none"/>
        </w:rPr>
        <w:t xml:space="preserve"> reasonable to allow Google and PG&amp;E </w:t>
      </w:r>
      <w:r>
        <w:rPr>
          <w:rFonts w:ascii="Palatino Linotype" w:hAnsi="Palatino Linotype" w:eastAsia="Palatino Linotype" w:cs="Times New Roman"/>
          <w:kern w:val="0"/>
          <w14:ligatures w14:val="none"/>
        </w:rPr>
        <w:t xml:space="preserve">the option </w:t>
      </w:r>
      <w:r w:rsidRPr="004C2DE0">
        <w:rPr>
          <w:rFonts w:ascii="Palatino Linotype" w:hAnsi="Palatino Linotype" w:eastAsia="Palatino Linotype" w:cs="Times New Roman"/>
          <w:kern w:val="0"/>
          <w14:ligatures w14:val="none"/>
        </w:rPr>
        <w:t xml:space="preserve">to </w:t>
      </w:r>
      <w:r w:rsidR="00201A8B">
        <w:rPr>
          <w:rFonts w:ascii="Palatino Linotype" w:hAnsi="Palatino Linotype" w:eastAsia="Palatino Linotype" w:cs="Times New Roman"/>
          <w:kern w:val="0"/>
          <w14:ligatures w14:val="none"/>
        </w:rPr>
        <w:t xml:space="preserve">modify the </w:t>
      </w:r>
      <w:r w:rsidRPr="004C2DE0">
        <w:rPr>
          <w:rFonts w:ascii="Palatino Linotype" w:hAnsi="Palatino Linotype" w:eastAsia="Palatino Linotype" w:cs="Times New Roman"/>
          <w:kern w:val="0"/>
          <w14:ligatures w14:val="none"/>
        </w:rPr>
        <w:t xml:space="preserve">additional capital advance </w:t>
      </w:r>
      <w:r w:rsidR="00311206">
        <w:rPr>
          <w:rFonts w:ascii="Palatino Linotype" w:hAnsi="Palatino Linotype" w:eastAsia="Palatino Linotype" w:cs="Times New Roman"/>
          <w:kern w:val="0"/>
          <w14:ligatures w14:val="none"/>
        </w:rPr>
        <w:t xml:space="preserve">requirement </w:t>
      </w:r>
      <w:r w:rsidR="00201A8B">
        <w:rPr>
          <w:rFonts w:ascii="Palatino Linotype" w:hAnsi="Palatino Linotype" w:eastAsia="Palatino Linotype" w:cs="Times New Roman"/>
          <w:kern w:val="0"/>
          <w14:ligatures w14:val="none"/>
        </w:rPr>
        <w:t xml:space="preserve">to correspond to the outcome of </w:t>
      </w:r>
      <w:proofErr w:type="gramStart"/>
      <w:r w:rsidR="00201A8B">
        <w:rPr>
          <w:rFonts w:ascii="Palatino Linotype" w:hAnsi="Palatino Linotype" w:eastAsia="Palatino Linotype" w:cs="Times New Roman"/>
          <w:kern w:val="0"/>
          <w14:ligatures w14:val="none"/>
        </w:rPr>
        <w:t>the Rule</w:t>
      </w:r>
      <w:proofErr w:type="gramEnd"/>
      <w:r w:rsidR="00201A8B">
        <w:rPr>
          <w:rFonts w:ascii="Palatino Linotype" w:hAnsi="Palatino Linotype" w:eastAsia="Palatino Linotype" w:cs="Times New Roman"/>
          <w:kern w:val="0"/>
          <w14:ligatures w14:val="none"/>
        </w:rPr>
        <w:t xml:space="preserve"> 30 Proceeding</w:t>
      </w:r>
      <w:r w:rsidR="001A7A73">
        <w:rPr>
          <w:rFonts w:ascii="Palatino Linotype" w:hAnsi="Palatino Linotype" w:eastAsia="Palatino Linotype" w:cs="Times New Roman"/>
          <w:kern w:val="0"/>
          <w14:ligatures w14:val="none"/>
        </w:rPr>
        <w:t>,</w:t>
      </w:r>
      <w:r w:rsidR="00201A8B">
        <w:rPr>
          <w:rFonts w:ascii="Palatino Linotype" w:hAnsi="Palatino Linotype" w:eastAsia="Palatino Linotype" w:cs="Times New Roman"/>
          <w:kern w:val="0"/>
          <w14:ligatures w14:val="none"/>
        </w:rPr>
        <w:t xml:space="preserve"> and how transmission network upgrade costs are handled </w:t>
      </w:r>
      <w:r w:rsidR="001A7A73">
        <w:rPr>
          <w:rFonts w:ascii="Palatino Linotype" w:hAnsi="Palatino Linotype" w:eastAsia="Palatino Linotype" w:cs="Times New Roman"/>
          <w:kern w:val="0"/>
          <w14:ligatures w14:val="none"/>
        </w:rPr>
        <w:t>in that proceeding</w:t>
      </w:r>
      <w:r>
        <w:rPr>
          <w:rFonts w:ascii="Palatino Linotype" w:hAnsi="Palatino Linotype" w:eastAsia="Palatino Linotype" w:cs="Times New Roman"/>
          <w:kern w:val="0"/>
          <w14:ligatures w14:val="none"/>
        </w:rPr>
        <w:t>.</w:t>
      </w:r>
    </w:p>
    <w:p w:rsidRPr="00A55F1B" w:rsidR="00A55F1B" w:rsidP="00125B0D" w:rsidRDefault="00A55F1B" w14:paraId="344692F7" w14:textId="575F00D1">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Aptos" w:cs="Times New Roman"/>
        </w:rPr>
        <w:t xml:space="preserve">It is reasonable for PG&amp;E to submit </w:t>
      </w:r>
      <w:r>
        <w:rPr>
          <w:rFonts w:ascii="Palatino Linotype" w:hAnsi="Palatino Linotype" w:eastAsia="Aptos" w:cs="Times New Roman"/>
        </w:rPr>
        <w:t xml:space="preserve">an </w:t>
      </w:r>
      <w:r w:rsidRPr="00A55F1B">
        <w:rPr>
          <w:rFonts w:ascii="Palatino Linotype" w:hAnsi="Palatino Linotype" w:eastAsia="Aptos" w:cs="Times New Roman"/>
        </w:rPr>
        <w:t>agreement</w:t>
      </w:r>
      <w:r w:rsidR="00E13D2C">
        <w:rPr>
          <w:rFonts w:ascii="Palatino Linotype" w:hAnsi="Palatino Linotype" w:eastAsia="Aptos" w:cs="Times New Roman"/>
        </w:rPr>
        <w:t xml:space="preserve"> </w:t>
      </w:r>
      <w:r w:rsidR="00201A8B">
        <w:rPr>
          <w:rFonts w:ascii="Palatino Linotype" w:hAnsi="Palatino Linotype" w:eastAsia="Aptos" w:cs="Times New Roman"/>
        </w:rPr>
        <w:t xml:space="preserve">with an updated additional capital advance </w:t>
      </w:r>
      <w:r w:rsidR="000F1B1C">
        <w:rPr>
          <w:rFonts w:ascii="Palatino Linotype" w:hAnsi="Palatino Linotype" w:eastAsia="Aptos" w:cs="Times New Roman"/>
        </w:rPr>
        <w:t>re</w:t>
      </w:r>
      <w:r w:rsidR="00460774">
        <w:rPr>
          <w:rFonts w:ascii="Palatino Linotype" w:hAnsi="Palatino Linotype" w:eastAsia="Aptos" w:cs="Times New Roman"/>
        </w:rPr>
        <w:t>quirement</w:t>
      </w:r>
      <w:r w:rsidR="00201A8B">
        <w:rPr>
          <w:rFonts w:ascii="Palatino Linotype" w:hAnsi="Palatino Linotype" w:eastAsia="Aptos" w:cs="Times New Roman"/>
        </w:rPr>
        <w:t xml:space="preserve"> </w:t>
      </w:r>
      <w:r w:rsidRPr="00A55F1B" w:rsidR="00E13D2C">
        <w:rPr>
          <w:rFonts w:ascii="Palatino Linotype" w:hAnsi="Palatino Linotype" w:eastAsia="Aptos" w:cs="Times New Roman"/>
        </w:rPr>
        <w:t xml:space="preserve">through a Tier </w:t>
      </w:r>
      <w:r w:rsidR="00E13D2C">
        <w:rPr>
          <w:rFonts w:ascii="Palatino Linotype" w:hAnsi="Palatino Linotype" w:eastAsia="Aptos" w:cs="Times New Roman"/>
        </w:rPr>
        <w:t>2</w:t>
      </w:r>
      <w:r w:rsidRPr="00A55F1B" w:rsidR="00E13D2C">
        <w:rPr>
          <w:rFonts w:ascii="Palatino Linotype" w:hAnsi="Palatino Linotype" w:eastAsia="Aptos" w:cs="Times New Roman"/>
        </w:rPr>
        <w:t xml:space="preserve"> Advice Letter</w:t>
      </w:r>
      <w:r w:rsidRPr="00A55F1B">
        <w:rPr>
          <w:rFonts w:ascii="Palatino Linotype" w:hAnsi="Palatino Linotype" w:eastAsia="Aptos" w:cs="Times New Roman"/>
        </w:rPr>
        <w:t xml:space="preserve"> </w:t>
      </w:r>
      <w:r w:rsidR="00460D36">
        <w:rPr>
          <w:rFonts w:ascii="Palatino Linotype" w:hAnsi="Palatino Linotype" w:eastAsia="Aptos" w:cs="Times New Roman"/>
        </w:rPr>
        <w:t>that</w:t>
      </w:r>
      <w:r w:rsidR="00416E24">
        <w:rPr>
          <w:rFonts w:ascii="Palatino Linotype" w:hAnsi="Palatino Linotype" w:eastAsia="Aptos" w:cs="Times New Roman"/>
        </w:rPr>
        <w:t xml:space="preserve"> modifies or adds provisions related to</w:t>
      </w:r>
      <w:r w:rsidR="001E75DC">
        <w:rPr>
          <w:rFonts w:ascii="Palatino Linotype" w:hAnsi="Palatino Linotype" w:eastAsia="Aptos" w:cs="Times New Roman"/>
        </w:rPr>
        <w:t xml:space="preserve"> larger transmission network </w:t>
      </w:r>
      <w:r w:rsidR="00416E24">
        <w:rPr>
          <w:rFonts w:ascii="Palatino Linotype" w:hAnsi="Palatino Linotype" w:eastAsia="Aptos" w:cs="Times New Roman"/>
        </w:rPr>
        <w:t xml:space="preserve">upgrade </w:t>
      </w:r>
      <w:r w:rsidR="001E75DC">
        <w:rPr>
          <w:rFonts w:ascii="Palatino Linotype" w:hAnsi="Palatino Linotype" w:eastAsia="Aptos" w:cs="Times New Roman"/>
        </w:rPr>
        <w:t>costs in a manner that</w:t>
      </w:r>
      <w:r>
        <w:rPr>
          <w:rFonts w:ascii="Palatino Linotype" w:hAnsi="Palatino Linotype" w:eastAsia="Aptos" w:cs="Times New Roman"/>
        </w:rPr>
        <w:t xml:space="preserve"> corresponds to the outcome of the Rule 30 proceeding</w:t>
      </w:r>
      <w:r w:rsidR="001E75DC">
        <w:rPr>
          <w:rFonts w:ascii="Palatino Linotype" w:hAnsi="Palatino Linotype" w:eastAsia="Aptos" w:cs="Times New Roman"/>
        </w:rPr>
        <w:t xml:space="preserve">, after </w:t>
      </w:r>
      <w:r w:rsidR="00E13D2C">
        <w:rPr>
          <w:rFonts w:ascii="Palatino Linotype" w:hAnsi="Palatino Linotype" w:eastAsia="Aptos" w:cs="Times New Roman"/>
        </w:rPr>
        <w:t>that outcome is established via a Decision</w:t>
      </w:r>
      <w:r w:rsidRPr="00A55F1B">
        <w:rPr>
          <w:rFonts w:ascii="Palatino Linotype" w:hAnsi="Palatino Linotype" w:eastAsia="Aptos" w:cs="Times New Roman"/>
        </w:rPr>
        <w:t>.</w:t>
      </w:r>
    </w:p>
    <w:p w:rsidRPr="00A55F1B" w:rsidR="00DB2C1C" w:rsidP="00125B0D" w:rsidRDefault="00DB2C1C" w14:paraId="6A48040E" w14:textId="0CD3CC0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Palatino Linotype" w:cs="Times New Roman"/>
          <w:kern w:val="0"/>
          <w14:ligatures w14:val="none"/>
        </w:rPr>
        <w:t xml:space="preserve">It is reasonable to require PG&amp;E to modify the refund methodology in this exceptional case to limit annual refunds of refundable energization-related costs to </w:t>
      </w:r>
      <w:r w:rsidRPr="00A55F1B" w:rsidR="00C2162B">
        <w:rPr>
          <w:rFonts w:ascii="Palatino Linotype" w:hAnsi="Palatino Linotype" w:eastAsia="Palatino Linotype" w:cs="Times New Roman"/>
          <w:kern w:val="0"/>
          <w14:ligatures w14:val="none"/>
        </w:rPr>
        <w:t>the</w:t>
      </w:r>
      <w:r w:rsidRPr="00A55F1B">
        <w:rPr>
          <w:rFonts w:ascii="Palatino Linotype" w:hAnsi="Palatino Linotype" w:eastAsia="Palatino Linotype" w:cs="Times New Roman"/>
          <w:kern w:val="0"/>
          <w14:ligatures w14:val="none"/>
        </w:rPr>
        <w:t xml:space="preserve"> annual net revenues </w:t>
      </w:r>
      <w:proofErr w:type="gramStart"/>
      <w:r w:rsidRPr="00A55F1B">
        <w:rPr>
          <w:rFonts w:ascii="Palatino Linotype" w:hAnsi="Palatino Linotype" w:eastAsia="Palatino Linotype" w:cs="Times New Roman"/>
          <w:kern w:val="0"/>
          <w14:ligatures w14:val="none"/>
        </w:rPr>
        <w:t>actually received</w:t>
      </w:r>
      <w:proofErr w:type="gramEnd"/>
      <w:r w:rsidRPr="00A55F1B">
        <w:rPr>
          <w:rFonts w:ascii="Palatino Linotype" w:hAnsi="Palatino Linotype" w:eastAsia="Palatino Linotype" w:cs="Times New Roman"/>
          <w:kern w:val="0"/>
          <w14:ligatures w14:val="none"/>
        </w:rPr>
        <w:t xml:space="preserve"> from Google.</w:t>
      </w:r>
    </w:p>
    <w:p w:rsidR="00DB2C1C" w:rsidP="00BB5FE9" w:rsidRDefault="00DB2C1C" w14:paraId="67D08186" w14:textId="3F68C2A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allow standard adjustments associated with the Income Tax Component of Contribution</w:t>
      </w:r>
      <w:r w:rsidR="00684A2A">
        <w:rPr>
          <w:rFonts w:ascii="Palatino Linotype" w:hAnsi="Palatino Linotype" w:eastAsia="Palatino Linotype" w:cs="Times New Roman"/>
          <w:kern w:val="0"/>
          <w14:ligatures w14:val="none"/>
        </w:rPr>
        <w:t xml:space="preserve"> (ITCC)</w:t>
      </w:r>
      <w:r w:rsidRPr="00DB2C1C">
        <w:rPr>
          <w:rFonts w:ascii="Palatino Linotype" w:hAnsi="Palatino Linotype" w:eastAsia="Palatino Linotype" w:cs="Times New Roman"/>
          <w:kern w:val="0"/>
          <w14:ligatures w14:val="none"/>
        </w:rPr>
        <w:t xml:space="preserve"> </w:t>
      </w:r>
      <w:proofErr w:type="gramStart"/>
      <w:r w:rsidRPr="00DB2C1C">
        <w:rPr>
          <w:rFonts w:ascii="Palatino Linotype" w:hAnsi="Palatino Linotype" w:eastAsia="Palatino Linotype" w:cs="Times New Roman"/>
          <w:kern w:val="0"/>
          <w14:ligatures w14:val="none"/>
        </w:rPr>
        <w:t>in implementing</w:t>
      </w:r>
      <w:proofErr w:type="gramEnd"/>
      <w:r w:rsidRPr="00DB2C1C">
        <w:rPr>
          <w:rFonts w:ascii="Palatino Linotype" w:hAnsi="Palatino Linotype" w:eastAsia="Palatino Linotype" w:cs="Times New Roman"/>
          <w:kern w:val="0"/>
          <w14:ligatures w14:val="none"/>
        </w:rPr>
        <w:t xml:space="preserve"> refunds and to extend the refund eligibility period from 10 years to 15 years so that the customer may still receive a full refund over time while annual refunds are </w:t>
      </w:r>
      <w:proofErr w:type="gramStart"/>
      <w:r w:rsidRPr="00DB2C1C">
        <w:rPr>
          <w:rFonts w:ascii="Palatino Linotype" w:hAnsi="Palatino Linotype" w:eastAsia="Palatino Linotype" w:cs="Times New Roman"/>
          <w:kern w:val="0"/>
          <w14:ligatures w14:val="none"/>
        </w:rPr>
        <w:t>paced</w:t>
      </w:r>
      <w:proofErr w:type="gramEnd"/>
      <w:r w:rsidRPr="00DB2C1C">
        <w:rPr>
          <w:rFonts w:ascii="Palatino Linotype" w:hAnsi="Palatino Linotype" w:eastAsia="Palatino Linotype" w:cs="Times New Roman"/>
          <w:kern w:val="0"/>
          <w14:ligatures w14:val="none"/>
        </w:rPr>
        <w:t xml:space="preserve"> to net revenues </w:t>
      </w:r>
      <w:proofErr w:type="gramStart"/>
      <w:r w:rsidRPr="00DB2C1C">
        <w:rPr>
          <w:rFonts w:ascii="Palatino Linotype" w:hAnsi="Palatino Linotype" w:eastAsia="Palatino Linotype" w:cs="Times New Roman"/>
          <w:kern w:val="0"/>
          <w14:ligatures w14:val="none"/>
        </w:rPr>
        <w:t>actually received</w:t>
      </w:r>
      <w:proofErr w:type="gramEnd"/>
      <w:r w:rsidRPr="00DB2C1C">
        <w:rPr>
          <w:rFonts w:ascii="Palatino Linotype" w:hAnsi="Palatino Linotype" w:eastAsia="Palatino Linotype" w:cs="Times New Roman"/>
          <w:kern w:val="0"/>
          <w14:ligatures w14:val="none"/>
        </w:rPr>
        <w:t>.</w:t>
      </w:r>
    </w:p>
    <w:p w:rsidRPr="00457076" w:rsidR="00244183" w:rsidP="00BB5FE9" w:rsidRDefault="00457076" w14:paraId="0E33B741" w14:textId="5E9914EF">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 also reasonable to disregard the customer</w:t>
      </w:r>
      <w:r w:rsidR="002B5BEE">
        <w:rPr>
          <w:rFonts w:ascii="Palatino Linotype" w:hAnsi="Palatino Linotype" w:eastAsia="Aptos" w:cs="Times New Roman"/>
        </w:rPr>
        <w:t>-</w:t>
      </w:r>
      <w:r>
        <w:rPr>
          <w:rFonts w:ascii="Palatino Linotype" w:hAnsi="Palatino Linotype" w:eastAsia="Aptos" w:cs="Times New Roman"/>
        </w:rPr>
        <w:t>financed cost of ownership in this case.</w:t>
      </w:r>
    </w:p>
    <w:p w:rsidRPr="00DB2C1C" w:rsidR="00DB2C1C" w:rsidP="00BB5FE9" w:rsidRDefault="00DB2C1C" w14:paraId="4505D5DC" w14:textId="140AFAE4">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The proposed binding cost </w:t>
      </w:r>
      <w:r w:rsidR="00D826E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framework</w:t>
      </w:r>
      <w:r w:rsidR="000C6C70">
        <w:rPr>
          <w:rFonts w:ascii="Palatino Linotype" w:hAnsi="Palatino Linotype" w:eastAsia="Palatino Linotype" w:cs="Times New Roman"/>
          <w:kern w:val="0"/>
          <w14:ligatures w14:val="none"/>
        </w:rPr>
        <w:t xml:space="preserve"> for </w:t>
      </w:r>
      <w:r w:rsidR="00D826EB">
        <w:rPr>
          <w:rFonts w:ascii="Palatino Linotype" w:hAnsi="Palatino Linotype" w:eastAsia="Palatino Linotype" w:cs="Times New Roman"/>
          <w:kern w:val="0"/>
          <w14:ligatures w14:val="none"/>
        </w:rPr>
        <w:t>the</w:t>
      </w:r>
      <w:r w:rsidR="008D2A91">
        <w:rPr>
          <w:rFonts w:ascii="Palatino Linotype" w:hAnsi="Palatino Linotype" w:eastAsia="Palatino Linotype" w:cs="Times New Roman"/>
          <w:kern w:val="0"/>
          <w14:ligatures w14:val="none"/>
        </w:rPr>
        <w:t xml:space="preserve"> costs associated with the</w:t>
      </w:r>
      <w:r w:rsidR="00D826EB">
        <w:rPr>
          <w:rFonts w:ascii="Palatino Linotype" w:hAnsi="Palatino Linotype" w:eastAsia="Palatino Linotype" w:cs="Times New Roman"/>
          <w:kern w:val="0"/>
          <w14:ligatures w14:val="none"/>
        </w:rPr>
        <w:t xml:space="preserve"> work completed by Google (Applicant Work)</w:t>
      </w:r>
      <w:r w:rsidR="000C6C70">
        <w:rPr>
          <w:rFonts w:ascii="Palatino Linotype" w:hAnsi="Palatino Linotype" w:eastAsia="Palatino Linotype" w:cs="Times New Roman"/>
          <w:kern w:val="0"/>
          <w14:ligatures w14:val="none"/>
        </w:rPr>
        <w:t xml:space="preserve"> </w:t>
      </w:r>
      <w:r w:rsidRPr="00DB2C1C">
        <w:rPr>
          <w:rFonts w:ascii="Palatino Linotype" w:hAnsi="Palatino Linotype" w:eastAsia="Palatino Linotype" w:cs="Times New Roman"/>
          <w:kern w:val="0"/>
          <w14:ligatures w14:val="none"/>
        </w:rPr>
        <w:t xml:space="preserve">can provide ratepayer </w:t>
      </w:r>
      <w:proofErr w:type="gramStart"/>
      <w:r w:rsidRPr="00DB2C1C">
        <w:rPr>
          <w:rFonts w:ascii="Palatino Linotype" w:hAnsi="Palatino Linotype" w:eastAsia="Palatino Linotype" w:cs="Times New Roman"/>
          <w:kern w:val="0"/>
          <w14:ligatures w14:val="none"/>
        </w:rPr>
        <w:t>protection, but</w:t>
      </w:r>
      <w:proofErr w:type="gramEnd"/>
      <w:r w:rsidRPr="00DB2C1C">
        <w:rPr>
          <w:rFonts w:ascii="Palatino Linotype" w:hAnsi="Palatino Linotype" w:eastAsia="Palatino Linotype" w:cs="Times New Roman"/>
          <w:kern w:val="0"/>
          <w14:ligatures w14:val="none"/>
        </w:rPr>
        <w:t xml:space="preserve"> requires clarifications and reporting to ensure </w:t>
      </w:r>
      <w:r w:rsidR="002B5BEE">
        <w:rPr>
          <w:rFonts w:ascii="Palatino Linotype" w:hAnsi="Palatino Linotype" w:eastAsia="Palatino Linotype" w:cs="Times New Roman"/>
          <w:kern w:val="0"/>
          <w14:ligatures w14:val="none"/>
        </w:rPr>
        <w:t xml:space="preserve">that </w:t>
      </w:r>
      <w:r w:rsidRPr="00DB2C1C">
        <w:rPr>
          <w:rFonts w:ascii="Palatino Linotype" w:hAnsi="Palatino Linotype" w:eastAsia="Palatino Linotype" w:cs="Times New Roman"/>
          <w:kern w:val="0"/>
          <w14:ligatures w14:val="none"/>
        </w:rPr>
        <w:t>the cap applies effectively and transparently to refundable costs.</w:t>
      </w:r>
    </w:p>
    <w:p w:rsidRPr="00DB2C1C" w:rsidR="00DB2C1C" w:rsidP="00BB5FE9" w:rsidRDefault="00555078" w14:paraId="0BEA2D25" w14:textId="6B378FB8">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847E7D">
        <w:rPr>
          <w:rFonts w:ascii="Palatino Linotype" w:hAnsi="Palatino Linotype" w:eastAsia="Palatino Linotype" w:cs="Times New Roman"/>
          <w:kern w:val="0"/>
          <w14:ligatures w14:val="none"/>
        </w:rPr>
        <w:t>’s proposed</w:t>
      </w:r>
      <w:r w:rsidRPr="00DB2C1C" w:rsidR="00DB2C1C">
        <w:rPr>
          <w:rFonts w:ascii="Palatino Linotype" w:hAnsi="Palatino Linotype" w:eastAsia="Palatino Linotype" w:cs="Times New Roman"/>
          <w:kern w:val="0"/>
          <w14:ligatures w14:val="none"/>
        </w:rPr>
        <w:t xml:space="preserve"> binding cost </w:t>
      </w:r>
      <w:r w:rsidR="00847E7D">
        <w:rPr>
          <w:rFonts w:ascii="Palatino Linotype" w:hAnsi="Palatino Linotype" w:eastAsia="Palatino Linotype" w:cs="Times New Roman"/>
          <w:kern w:val="0"/>
          <w14:ligatures w14:val="none"/>
        </w:rPr>
        <w:t>cap</w:t>
      </w:r>
      <w:r w:rsidRPr="00DB2C1C" w:rsidR="00DB2C1C">
        <w:rPr>
          <w:rFonts w:ascii="Palatino Linotype" w:hAnsi="Palatino Linotype" w:eastAsia="Palatino Linotype" w:cs="Times New Roman"/>
          <w:kern w:val="0"/>
          <w14:ligatures w14:val="none"/>
        </w:rPr>
        <w:t xml:space="preserve"> for </w:t>
      </w:r>
      <w:r w:rsidR="00847E7D">
        <w:rPr>
          <w:rFonts w:ascii="Palatino Linotype" w:hAnsi="Palatino Linotype" w:eastAsia="Palatino Linotype" w:cs="Times New Roman"/>
          <w:kern w:val="0"/>
          <w14:ligatures w14:val="none"/>
        </w:rPr>
        <w:t>Applicant Work</w:t>
      </w:r>
      <w:r w:rsidRPr="00DB2C1C" w:rsidR="00DB2C1C">
        <w:rPr>
          <w:rFonts w:ascii="Palatino Linotype" w:hAnsi="Palatino Linotype" w:eastAsia="Palatino Linotype" w:cs="Times New Roman"/>
          <w:kern w:val="0"/>
          <w14:ligatures w14:val="none"/>
        </w:rPr>
        <w:t xml:space="preserve"> include</w:t>
      </w:r>
      <w:r w:rsidR="00E03A0B">
        <w:rPr>
          <w:rFonts w:ascii="Palatino Linotype" w:hAnsi="Palatino Linotype" w:eastAsia="Palatino Linotype" w:cs="Times New Roman"/>
          <w:kern w:val="0"/>
          <w14:ligatures w14:val="none"/>
        </w:rPr>
        <w:t>s</w:t>
      </w:r>
      <w:r w:rsidRPr="00DB2C1C" w:rsidR="00DB2C1C">
        <w:rPr>
          <w:rFonts w:ascii="Palatino Linotype" w:hAnsi="Palatino Linotype" w:eastAsia="Palatino Linotype" w:cs="Times New Roman"/>
          <w:kern w:val="0"/>
          <w14:ligatures w14:val="none"/>
        </w:rPr>
        <w:t xml:space="preserve"> only one standard contingency </w:t>
      </w:r>
      <w:r w:rsidR="008F3642">
        <w:rPr>
          <w:rFonts w:ascii="Palatino Linotype" w:hAnsi="Palatino Linotype" w:eastAsia="Palatino Linotype" w:cs="Times New Roman"/>
          <w:kern w:val="0"/>
          <w14:ligatures w14:val="none"/>
        </w:rPr>
        <w:t>adjustment</w:t>
      </w:r>
      <w:r w:rsidR="00076A6C">
        <w:rPr>
          <w:rFonts w:ascii="Palatino Linotype" w:hAnsi="Palatino Linotype" w:eastAsia="Palatino Linotype" w:cs="Times New Roman"/>
          <w:kern w:val="0"/>
          <w14:ligatures w14:val="none"/>
        </w:rPr>
        <w:t>. In other words, under the proposed agreement</w:t>
      </w:r>
      <w:r w:rsidRPr="00DB2C1C" w:rsidR="00DB2C1C">
        <w:rPr>
          <w:rFonts w:ascii="Palatino Linotype" w:hAnsi="Palatino Linotype" w:eastAsia="Palatino Linotype" w:cs="Times New Roman"/>
          <w:kern w:val="0"/>
          <w14:ligatures w14:val="none"/>
        </w:rPr>
        <w:t xml:space="preserve"> the customer estimate used for the </w:t>
      </w:r>
      <w:r w:rsidR="00076A6C">
        <w:rPr>
          <w:rFonts w:ascii="Palatino Linotype" w:hAnsi="Palatino Linotype" w:eastAsia="Palatino Linotype" w:cs="Times New Roman"/>
          <w:kern w:val="0"/>
          <w14:ligatures w14:val="none"/>
        </w:rPr>
        <w:t xml:space="preserve">binding cost </w:t>
      </w:r>
      <w:r w:rsidRPr="00DB2C1C" w:rsidR="00DB2C1C">
        <w:rPr>
          <w:rFonts w:ascii="Palatino Linotype" w:hAnsi="Palatino Linotype" w:eastAsia="Palatino Linotype" w:cs="Times New Roman"/>
          <w:kern w:val="0"/>
          <w14:ligatures w14:val="none"/>
        </w:rPr>
        <w:t xml:space="preserve">cap </w:t>
      </w:r>
      <w:r w:rsidR="00076A6C">
        <w:rPr>
          <w:rFonts w:ascii="Palatino Linotype" w:hAnsi="Palatino Linotype" w:eastAsia="Palatino Linotype" w:cs="Times New Roman"/>
          <w:kern w:val="0"/>
          <w14:ligatures w14:val="none"/>
        </w:rPr>
        <w:t>cannot</w:t>
      </w:r>
      <w:r w:rsidRPr="00DB2C1C" w:rsidR="00DB2C1C">
        <w:rPr>
          <w:rFonts w:ascii="Palatino Linotype" w:hAnsi="Palatino Linotype" w:eastAsia="Palatino Linotype" w:cs="Times New Roman"/>
          <w:kern w:val="0"/>
          <w14:ligatures w14:val="none"/>
        </w:rPr>
        <w:t xml:space="preserve"> exceed PG&amp;E’s internal estimate for the same scope</w:t>
      </w:r>
      <w:r w:rsidR="00D35C0E">
        <w:rPr>
          <w:rFonts w:ascii="Palatino Linotype" w:hAnsi="Palatino Linotype" w:eastAsia="Palatino Linotype" w:cs="Times New Roman"/>
          <w:kern w:val="0"/>
          <w14:ligatures w14:val="none"/>
        </w:rPr>
        <w:t xml:space="preserve"> of work</w:t>
      </w:r>
      <w:r w:rsidRPr="00DB2C1C" w:rsidR="00DB2C1C">
        <w:rPr>
          <w:rFonts w:ascii="Palatino Linotype" w:hAnsi="Palatino Linotype" w:eastAsia="Palatino Linotype" w:cs="Times New Roman"/>
          <w:kern w:val="0"/>
          <w14:ligatures w14:val="none"/>
        </w:rPr>
        <w:t xml:space="preserve"> plus </w:t>
      </w:r>
      <w:r w:rsidR="00542F76">
        <w:rPr>
          <w:rFonts w:ascii="Palatino Linotype" w:hAnsi="Palatino Linotype" w:eastAsia="Palatino Linotype" w:cs="Times New Roman"/>
          <w:kern w:val="0"/>
          <w14:ligatures w14:val="none"/>
        </w:rPr>
        <w:t>this</w:t>
      </w:r>
      <w:r w:rsidRPr="00DB2C1C" w:rsidR="00DB2C1C">
        <w:rPr>
          <w:rFonts w:ascii="Palatino Linotype" w:hAnsi="Palatino Linotype" w:eastAsia="Palatino Linotype" w:cs="Times New Roman"/>
          <w:kern w:val="0"/>
          <w14:ligatures w14:val="none"/>
        </w:rPr>
        <w:t xml:space="preserve"> standard contingency amount.</w:t>
      </w:r>
    </w:p>
    <w:p w:rsidRPr="00DB2C1C" w:rsidR="00DB2C1C" w:rsidP="00BB5FE9" w:rsidRDefault="00DB2C1C" w14:paraId="31D29E36" w14:textId="329E9BE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that refundable Standard Facilities costs be calculated and presented separately from non-refundable Special Facilities costs so that non-refundable costs do not inflate or obscure the binding cost cap </w:t>
      </w:r>
      <w:r w:rsidR="006A2EA0">
        <w:rPr>
          <w:rFonts w:ascii="Palatino Linotype" w:hAnsi="Palatino Linotype" w:eastAsia="Palatino Linotype" w:cs="Times New Roman"/>
          <w:kern w:val="0"/>
          <w14:ligatures w14:val="none"/>
        </w:rPr>
        <w:t>for refundable costs</w:t>
      </w:r>
      <w:r w:rsidRPr="00DB2C1C">
        <w:rPr>
          <w:rFonts w:ascii="Palatino Linotype" w:hAnsi="Palatino Linotype" w:eastAsia="Palatino Linotype" w:cs="Times New Roman"/>
          <w:kern w:val="0"/>
          <w14:ligatures w14:val="none"/>
        </w:rPr>
        <w:t>.</w:t>
      </w:r>
    </w:p>
    <w:p w:rsidRPr="00DB2C1C" w:rsidR="00DB2C1C" w:rsidP="00BB5FE9" w:rsidRDefault="00DB2C1C" w14:paraId="780C592D" w14:textId="5D1BCB4A">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PG&amp;E to submit an information-only Tier 1 </w:t>
      </w:r>
      <w:r w:rsidR="00057EFB">
        <w:rPr>
          <w:rFonts w:ascii="Palatino Linotype" w:hAnsi="Palatino Linotype" w:eastAsia="Palatino Linotype" w:cs="Times New Roman"/>
          <w:kern w:val="0"/>
          <w14:ligatures w14:val="none"/>
        </w:rPr>
        <w:t>A</w:t>
      </w:r>
      <w:r w:rsidRPr="00DB2C1C">
        <w:rPr>
          <w:rFonts w:ascii="Palatino Linotype" w:hAnsi="Palatino Linotype" w:eastAsia="Palatino Linotype" w:cs="Times New Roman"/>
          <w:kern w:val="0"/>
          <w14:ligatures w14:val="none"/>
        </w:rPr>
        <w:t xml:space="preserve">dvice </w:t>
      </w:r>
      <w:r w:rsidR="00057EFB">
        <w:rPr>
          <w:rFonts w:ascii="Palatino Linotype" w:hAnsi="Palatino Linotype" w:eastAsia="Palatino Linotype" w:cs="Times New Roman"/>
          <w:kern w:val="0"/>
          <w14:ligatures w14:val="none"/>
        </w:rPr>
        <w:t>L</w:t>
      </w:r>
      <w:r w:rsidRPr="00DB2C1C">
        <w:rPr>
          <w:rFonts w:ascii="Palatino Linotype" w:hAnsi="Palatino Linotype" w:eastAsia="Palatino Linotype" w:cs="Times New Roman"/>
          <w:kern w:val="0"/>
          <w14:ligatures w14:val="none"/>
        </w:rPr>
        <w:t xml:space="preserve">etter when the binding cost estimate for refundable Standard Facilities is finalized, with </w:t>
      </w:r>
      <w:r w:rsidRPr="00DB2C1C">
        <w:rPr>
          <w:rFonts w:ascii="Palatino Linotype" w:hAnsi="Palatino Linotype" w:eastAsia="Palatino Linotype" w:cs="Times New Roman"/>
          <w:kern w:val="0"/>
          <w14:ligatures w14:val="none"/>
        </w:rPr>
        <w:lastRenderedPageBreak/>
        <w:t xml:space="preserve">attachments describing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the scope and assumptions used, the application of the single standard contingency, and the separation of refundable Standard Facilities costs from non-refundable Special Facilities costs.</w:t>
      </w:r>
    </w:p>
    <w:p w:rsidRPr="00DB2C1C" w:rsidR="00DB2C1C" w:rsidP="00BB5FE9" w:rsidRDefault="00DB2C1C" w14:paraId="25B51C4D" w14:textId="7D64FA7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clarify that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for refundable Standard Facilities must exclude any costs that overlap with</w:t>
      </w:r>
      <w:r w:rsidR="004344BC">
        <w:rPr>
          <w:rFonts w:ascii="Palatino Linotype" w:hAnsi="Palatino Linotype" w:eastAsia="Palatino Linotype" w:cs="Times New Roman"/>
          <w:kern w:val="0"/>
          <w14:ligatures w14:val="none"/>
        </w:rPr>
        <w:t xml:space="preserve"> the </w:t>
      </w:r>
      <w:r w:rsidR="00244BC9">
        <w:rPr>
          <w:rFonts w:ascii="Palatino Linotype" w:hAnsi="Palatino Linotype" w:eastAsia="Palatino Linotype" w:cs="Times New Roman"/>
          <w:kern w:val="0"/>
          <w14:ligatures w14:val="none"/>
        </w:rPr>
        <w:t>refundable costs associated with</w:t>
      </w:r>
      <w:r w:rsidRPr="00DB2C1C">
        <w:rPr>
          <w:rFonts w:ascii="Palatino Linotype" w:hAnsi="Palatino Linotype" w:eastAsia="Palatino Linotype" w:cs="Times New Roman"/>
          <w:kern w:val="0"/>
          <w14:ligatures w14:val="none"/>
        </w:rPr>
        <w:t xml:space="preserve"> PG&amp;E’s </w:t>
      </w:r>
      <w:r w:rsidR="00244BC9">
        <w:rPr>
          <w:rFonts w:ascii="Palatino Linotype" w:hAnsi="Palatino Linotype" w:eastAsia="Palatino Linotype" w:cs="Times New Roman"/>
          <w:kern w:val="0"/>
          <w14:ligatures w14:val="none"/>
        </w:rPr>
        <w:t>own work in the agreement between PG&amp;E and Google.</w:t>
      </w:r>
    </w:p>
    <w:p w:rsidRPr="00BB5FE9" w:rsidR="00BB5FE9" w:rsidP="00125B0D" w:rsidRDefault="00B146C4" w14:paraId="50FAB264" w14:textId="12C2E400">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Aptos" w:cs="Times New Roman"/>
        </w:rPr>
        <w:t xml:space="preserve">The findings and conclusions in this Resolution should in no way prejudice the ongoing deliberation in </w:t>
      </w:r>
      <w:proofErr w:type="gramStart"/>
      <w:r w:rsidRPr="00BB5FE9">
        <w:rPr>
          <w:rFonts w:ascii="Palatino Linotype" w:hAnsi="Palatino Linotype" w:eastAsia="Aptos" w:cs="Times New Roman"/>
        </w:rPr>
        <w:t>the Rule</w:t>
      </w:r>
      <w:proofErr w:type="gramEnd"/>
      <w:r w:rsidRPr="00BB5FE9">
        <w:rPr>
          <w:rFonts w:ascii="Palatino Linotype" w:hAnsi="Palatino Linotype" w:eastAsia="Aptos" w:cs="Times New Roman"/>
        </w:rPr>
        <w:t xml:space="preserve"> 30 proceeding, A.24-11-007.</w:t>
      </w:r>
    </w:p>
    <w:p w:rsidRPr="00BB5FE9" w:rsidR="00DB2C1C" w:rsidP="00125B0D" w:rsidRDefault="00DB2C1C" w14:paraId="2D5DBD98" w14:textId="22A28CA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Palatino Linotype" w:cs="Times New Roman"/>
          <w:kern w:val="0"/>
          <w14:ligatures w14:val="none"/>
        </w:rPr>
        <w:t>Imel’s request for public disclosure of confidential negotiated agreement terms and related technical and cost details is not a basis to deny AL 7785-E and is dismissed.</w:t>
      </w:r>
    </w:p>
    <w:p w:rsidR="00BF44FF" w:rsidP="00BB5FE9" w:rsidRDefault="00BF44FF" w14:paraId="604105DC" w14:textId="77777777">
      <w:pPr>
        <w:pStyle w:val="ListParagraph"/>
        <w:numPr>
          <w:ilvl w:val="0"/>
          <w:numId w:val="7"/>
        </w:numPr>
        <w:spacing w:after="120"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A76F4A" w:rsidP="00A76F4A" w:rsidRDefault="00A76F4A" w14:paraId="79D6F30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00A76F4A" w:rsidP="00D732B0" w:rsidRDefault="001911B9" w14:paraId="42B617EF" w14:textId="567D5A4A">
      <w:pPr>
        <w:numPr>
          <w:ilvl w:val="0"/>
          <w:numId w:val="2"/>
        </w:numPr>
        <w:spacing w:after="120" w:line="240" w:lineRule="auto"/>
        <w:rPr>
          <w:rFonts w:ascii="Palatino Linotype" w:hAnsi="Palatino Linotype" w:eastAsia="Palatino Linotype" w:cs="Times New Roman"/>
          <w:snapToGrid w:val="0"/>
          <w:kern w:val="0"/>
          <w14:ligatures w14:val="none"/>
        </w:rPr>
      </w:pPr>
      <w:r w:rsidRPr="00AA5C96">
        <w:rPr>
          <w:rFonts w:ascii="Palatino Linotype" w:hAnsi="Palatino Linotype" w:eastAsia="Palatino Linotype" w:cs="Times New Roman"/>
          <w:snapToGrid w:val="0"/>
          <w:kern w:val="0"/>
          <w14:ligatures w14:val="none"/>
        </w:rPr>
        <w:t xml:space="preserve">The request of PG&amp;E to approve the </w:t>
      </w:r>
      <w:r w:rsidRPr="00AA5C96" w:rsidR="00AA5C96">
        <w:rPr>
          <w:rFonts w:ascii="Palatino Linotype" w:hAnsi="Palatino Linotype" w:eastAsia="Palatino Linotype" w:cs="Times New Roman"/>
          <w:snapToGrid w:val="0"/>
          <w:kern w:val="0"/>
          <w14:ligatures w14:val="none"/>
        </w:rPr>
        <w:t>agreement for the Applicant Work and the work to be</w:t>
      </w:r>
      <w:r w:rsidR="00AA5C96">
        <w:rPr>
          <w:rFonts w:ascii="Palatino Linotype" w:hAnsi="Palatino Linotype" w:eastAsia="Palatino Linotype" w:cs="Times New Roman"/>
          <w:snapToGrid w:val="0"/>
          <w:kern w:val="0"/>
          <w14:ligatures w14:val="none"/>
        </w:rPr>
        <w:t xml:space="preserve"> </w:t>
      </w:r>
      <w:r w:rsidRPr="00AA5C96" w:rsidR="00AA5C96">
        <w:rPr>
          <w:rFonts w:ascii="Palatino Linotype" w:hAnsi="Palatino Linotype" w:eastAsia="Palatino Linotype" w:cs="Times New Roman"/>
          <w:snapToGrid w:val="0"/>
          <w:kern w:val="0"/>
          <w14:ligatures w14:val="none"/>
        </w:rPr>
        <w:t>performed by PG&amp;E</w:t>
      </w:r>
      <w:r w:rsidR="00545E16">
        <w:rPr>
          <w:rFonts w:ascii="Palatino Linotype" w:hAnsi="Palatino Linotype" w:eastAsia="Palatino Linotype" w:cs="Times New Roman"/>
          <w:snapToGrid w:val="0"/>
          <w:kern w:val="0"/>
          <w14:ligatures w14:val="none"/>
        </w:rPr>
        <w:t xml:space="preserve"> (the Agreement)</w:t>
      </w:r>
      <w:r w:rsidR="00AA5C96">
        <w:rPr>
          <w:rFonts w:ascii="Palatino Linotype" w:hAnsi="Palatino Linotype" w:eastAsia="Palatino Linotype" w:cs="Times New Roman"/>
          <w:snapToGrid w:val="0"/>
          <w:kern w:val="0"/>
          <w14:ligatures w14:val="none"/>
        </w:rPr>
        <w:t xml:space="preserve">, </w:t>
      </w:r>
      <w:r w:rsidRPr="00AA5C96">
        <w:rPr>
          <w:rFonts w:ascii="Palatino Linotype" w:hAnsi="Palatino Linotype" w:eastAsia="Palatino Linotype" w:cs="Times New Roman"/>
          <w:snapToGrid w:val="0"/>
          <w:kern w:val="0"/>
          <w14:ligatures w14:val="none"/>
        </w:rPr>
        <w:t xml:space="preserve">between itself and customer </w:t>
      </w:r>
      <w:r w:rsidR="00AA5C96">
        <w:rPr>
          <w:rFonts w:ascii="Palatino Linotype" w:hAnsi="Palatino Linotype" w:eastAsia="Palatino Linotype" w:cs="Times New Roman"/>
          <w:snapToGrid w:val="0"/>
          <w:kern w:val="0"/>
          <w14:ligatures w14:val="none"/>
        </w:rPr>
        <w:t>Google LLC</w:t>
      </w:r>
      <w:r w:rsidR="00E251FD">
        <w:rPr>
          <w:rFonts w:ascii="Palatino Linotype" w:hAnsi="Palatino Linotype" w:eastAsia="Palatino Linotype" w:cs="Times New Roman"/>
          <w:snapToGrid w:val="0"/>
          <w:kern w:val="0"/>
          <w14:ligatures w14:val="none"/>
        </w:rPr>
        <w:t xml:space="preserve"> (Google)</w:t>
      </w:r>
      <w:r w:rsidR="00AD4A2F">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as requested in Advice Letter 7</w:t>
      </w:r>
      <w:r w:rsidR="00AD4A2F">
        <w:rPr>
          <w:rFonts w:ascii="Palatino Linotype" w:hAnsi="Palatino Linotype" w:eastAsia="Palatino Linotype" w:cs="Times New Roman"/>
          <w:snapToGrid w:val="0"/>
          <w:kern w:val="0"/>
          <w14:ligatures w14:val="none"/>
        </w:rPr>
        <w:t>785</w:t>
      </w:r>
      <w:r w:rsidRPr="00AA5C96">
        <w:rPr>
          <w:rFonts w:ascii="Palatino Linotype" w:hAnsi="Palatino Linotype" w:eastAsia="Palatino Linotype" w:cs="Times New Roman"/>
          <w:snapToGrid w:val="0"/>
          <w:kern w:val="0"/>
          <w14:ligatures w14:val="none"/>
        </w:rPr>
        <w:t>-E</w:t>
      </w:r>
      <w:r w:rsidR="00984687">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is approved with the modifications set forth above and otherwise specified herein.</w:t>
      </w:r>
      <w:r w:rsidRPr="00AA5C96" w:rsidR="00A76F4A">
        <w:rPr>
          <w:rFonts w:ascii="Palatino Linotype" w:hAnsi="Palatino Linotype" w:eastAsia="Palatino Linotype" w:cs="Times New Roman"/>
          <w:snapToGrid w:val="0"/>
          <w:kern w:val="0"/>
          <w14:ligatures w14:val="none"/>
        </w:rPr>
        <w:t xml:space="preserve">  </w:t>
      </w:r>
    </w:p>
    <w:p w:rsidR="00B05CAC" w:rsidP="00D732B0" w:rsidRDefault="00B05CAC" w14:paraId="6B259B4D" w14:textId="3F8572BB">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w:t>
      </w:r>
      <w:r w:rsidR="00453F22">
        <w:rPr>
          <w:rFonts w:ascii="Palatino Linotype" w:hAnsi="Palatino Linotype" w:eastAsia="Palatino Linotype" w:cs="Times New Roman"/>
          <w:snapToGrid w:val="0"/>
          <w:kern w:val="0"/>
          <w14:ligatures w14:val="none"/>
        </w:rPr>
        <w:t xml:space="preserve"> shall modify the </w:t>
      </w:r>
      <w:r w:rsidR="00E17372">
        <w:rPr>
          <w:rFonts w:ascii="Palatino Linotype" w:hAnsi="Palatino Linotype" w:eastAsia="Palatino Linotype" w:cs="Times New Roman"/>
          <w:snapToGrid w:val="0"/>
          <w:kern w:val="0"/>
          <w14:ligatures w14:val="none"/>
        </w:rPr>
        <w:t xml:space="preserve">agreement to </w:t>
      </w:r>
      <w:r w:rsidR="00947FB9">
        <w:rPr>
          <w:rFonts w:ascii="Palatino Linotype" w:hAnsi="Palatino Linotype" w:eastAsia="Palatino Linotype" w:cs="Times New Roman"/>
          <w:snapToGrid w:val="0"/>
          <w:kern w:val="0"/>
          <w14:ligatures w14:val="none"/>
        </w:rPr>
        <w:t xml:space="preserve">require an additional </w:t>
      </w:r>
      <w:r w:rsidR="00FE6362">
        <w:rPr>
          <w:rFonts w:ascii="Palatino Linotype" w:hAnsi="Palatino Linotype" w:eastAsia="Palatino Linotype" w:cs="Times New Roman"/>
          <w:snapToGrid w:val="0"/>
          <w:kern w:val="0"/>
          <w14:ligatures w14:val="none"/>
        </w:rPr>
        <w:t xml:space="preserve">refundable </w:t>
      </w:r>
      <w:r w:rsidR="00947FB9">
        <w:rPr>
          <w:rFonts w:ascii="Palatino Linotype" w:hAnsi="Palatino Linotype" w:eastAsia="Palatino Linotype" w:cs="Times New Roman"/>
          <w:snapToGrid w:val="0"/>
          <w:kern w:val="0"/>
          <w14:ligatures w14:val="none"/>
        </w:rPr>
        <w:t xml:space="preserve">capital advance </w:t>
      </w:r>
      <w:r w:rsidR="008E4DAF">
        <w:rPr>
          <w:rFonts w:ascii="Palatino Linotype" w:hAnsi="Palatino Linotype" w:eastAsia="Palatino Linotype" w:cs="Times New Roman"/>
          <w:snapToGrid w:val="0"/>
          <w:kern w:val="0"/>
          <w14:ligatures w14:val="none"/>
        </w:rPr>
        <w:t xml:space="preserve">of $600,000 per MW of </w:t>
      </w:r>
      <w:r w:rsidR="009557B4">
        <w:rPr>
          <w:rFonts w:ascii="Palatino Linotype" w:hAnsi="Palatino Linotype" w:eastAsia="Palatino Linotype" w:cs="Times New Roman"/>
          <w:snapToGrid w:val="0"/>
          <w:kern w:val="0"/>
          <w14:ligatures w14:val="none"/>
        </w:rPr>
        <w:t xml:space="preserve">requested </w:t>
      </w:r>
      <w:r w:rsidR="008E4DAF">
        <w:rPr>
          <w:rFonts w:ascii="Palatino Linotype" w:hAnsi="Palatino Linotype" w:eastAsia="Palatino Linotype" w:cs="Times New Roman"/>
          <w:snapToGrid w:val="0"/>
          <w:kern w:val="0"/>
          <w14:ligatures w14:val="none"/>
        </w:rPr>
        <w:t>capacity</w:t>
      </w:r>
      <w:r w:rsidR="00E66865">
        <w:rPr>
          <w:rFonts w:ascii="Palatino Linotype" w:hAnsi="Palatino Linotype" w:eastAsia="Palatino Linotype" w:cs="Times New Roman"/>
          <w:snapToGrid w:val="0"/>
          <w:kern w:val="0"/>
          <w14:ligatures w14:val="none"/>
        </w:rPr>
        <w:t>,</w:t>
      </w:r>
      <w:r w:rsidR="009557B4">
        <w:rPr>
          <w:rFonts w:ascii="Palatino Linotype" w:hAnsi="Palatino Linotype" w:eastAsia="Palatino Linotype" w:cs="Times New Roman"/>
          <w:snapToGrid w:val="0"/>
          <w:kern w:val="0"/>
          <w14:ligatures w14:val="none"/>
        </w:rPr>
        <w:t xml:space="preserve"> </w:t>
      </w:r>
      <w:r w:rsidR="008E4DAF">
        <w:rPr>
          <w:rFonts w:ascii="Palatino Linotype" w:hAnsi="Palatino Linotype" w:eastAsia="Palatino Linotype" w:cs="Times New Roman"/>
          <w:snapToGrid w:val="0"/>
          <w:kern w:val="0"/>
          <w14:ligatures w14:val="none"/>
        </w:rPr>
        <w:t xml:space="preserve">reflecting the costs of general transmission network upgrades. </w:t>
      </w:r>
      <w:r w:rsidR="00E66865">
        <w:rPr>
          <w:rFonts w:ascii="Palatino Linotype" w:hAnsi="Palatino Linotype" w:eastAsia="Palatino Linotype" w:cs="Times New Roman"/>
          <w:snapToGrid w:val="0"/>
          <w:kern w:val="0"/>
          <w14:ligatures w14:val="none"/>
        </w:rPr>
        <w:t>This additional advance should be paid by Google to PG&amp;E the year before t</w:t>
      </w:r>
      <w:r w:rsidR="0052519C">
        <w:rPr>
          <w:rFonts w:ascii="Palatino Linotype" w:hAnsi="Palatino Linotype" w:eastAsia="Palatino Linotype" w:cs="Times New Roman"/>
          <w:snapToGrid w:val="0"/>
          <w:kern w:val="0"/>
          <w14:ligatures w14:val="none"/>
        </w:rPr>
        <w:t>hat capacity is both requested</w:t>
      </w:r>
      <w:r w:rsidR="00FE6362">
        <w:rPr>
          <w:rFonts w:ascii="Palatino Linotype" w:hAnsi="Palatino Linotype" w:eastAsia="Palatino Linotype" w:cs="Times New Roman"/>
          <w:snapToGrid w:val="0"/>
          <w:kern w:val="0"/>
          <w14:ligatures w14:val="none"/>
        </w:rPr>
        <w:t xml:space="preserve"> by Google</w:t>
      </w:r>
      <w:r w:rsidR="0052519C">
        <w:rPr>
          <w:rFonts w:ascii="Palatino Linotype" w:hAnsi="Palatino Linotype" w:eastAsia="Palatino Linotype" w:cs="Times New Roman"/>
          <w:snapToGrid w:val="0"/>
          <w:kern w:val="0"/>
          <w14:ligatures w14:val="none"/>
        </w:rPr>
        <w:t xml:space="preserve"> and </w:t>
      </w:r>
      <w:r w:rsidR="00FE6362">
        <w:rPr>
          <w:rFonts w:ascii="Palatino Linotype" w:hAnsi="Palatino Linotype" w:eastAsia="Palatino Linotype" w:cs="Times New Roman"/>
          <w:snapToGrid w:val="0"/>
          <w:kern w:val="0"/>
          <w14:ligatures w14:val="none"/>
        </w:rPr>
        <w:t xml:space="preserve">deemed </w:t>
      </w:r>
      <w:r w:rsidR="0052519C">
        <w:rPr>
          <w:rFonts w:ascii="Palatino Linotype" w:hAnsi="Palatino Linotype" w:eastAsia="Palatino Linotype" w:cs="Times New Roman"/>
          <w:snapToGrid w:val="0"/>
          <w:kern w:val="0"/>
          <w14:ligatures w14:val="none"/>
        </w:rPr>
        <w:t>available</w:t>
      </w:r>
      <w:r w:rsidR="00FE6362">
        <w:rPr>
          <w:rFonts w:ascii="Palatino Linotype" w:hAnsi="Palatino Linotype" w:eastAsia="Palatino Linotype" w:cs="Times New Roman"/>
          <w:snapToGrid w:val="0"/>
          <w:kern w:val="0"/>
          <w14:ligatures w14:val="none"/>
        </w:rPr>
        <w:t xml:space="preserve"> by PG&amp;E</w:t>
      </w:r>
      <w:r w:rsidR="00FE5BED">
        <w:rPr>
          <w:rFonts w:ascii="Palatino Linotype" w:hAnsi="Palatino Linotype" w:eastAsia="Palatino Linotype" w:cs="Times New Roman"/>
          <w:snapToGrid w:val="0"/>
          <w:kern w:val="0"/>
          <w14:ligatures w14:val="none"/>
        </w:rPr>
        <w:t>.</w:t>
      </w:r>
    </w:p>
    <w:p w:rsidRPr="001A2D30" w:rsidR="006F06DE" w:rsidP="00D732B0" w:rsidRDefault="00A1683B" w14:paraId="43105E82" w14:textId="46A1FECE">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Within one year a</w:t>
      </w:r>
      <w:r w:rsidR="009B02F4">
        <w:rPr>
          <w:rFonts w:ascii="Palatino Linotype" w:hAnsi="Palatino Linotype" w:eastAsia="Palatino Linotype" w:cs="Times New Roman"/>
          <w:snapToGrid w:val="0"/>
          <w:kern w:val="0"/>
          <w14:ligatures w14:val="none"/>
        </w:rPr>
        <w:t xml:space="preserve">fter the Decision in A. 24-11-007, </w:t>
      </w:r>
      <w:r w:rsidR="006F06DE">
        <w:rPr>
          <w:rFonts w:ascii="Palatino Linotype" w:hAnsi="Palatino Linotype" w:eastAsia="Palatino Linotype" w:cs="Times New Roman"/>
          <w:snapToGrid w:val="0"/>
          <w:kern w:val="0"/>
          <w14:ligatures w14:val="none"/>
        </w:rPr>
        <w:t xml:space="preserve">PG&amp;E </w:t>
      </w:r>
      <w:r w:rsidR="00FE6362">
        <w:rPr>
          <w:rFonts w:ascii="Palatino Linotype" w:hAnsi="Palatino Linotype" w:eastAsia="Palatino Linotype" w:cs="Times New Roman"/>
          <w:snapToGrid w:val="0"/>
          <w:kern w:val="0"/>
          <w14:ligatures w14:val="none"/>
        </w:rPr>
        <w:t xml:space="preserve">may </w:t>
      </w:r>
      <w:r w:rsidR="009B02F4">
        <w:rPr>
          <w:rFonts w:ascii="Palatino Linotype" w:hAnsi="Palatino Linotype" w:eastAsia="Palatino Linotype" w:cs="Times New Roman"/>
          <w:snapToGrid w:val="0"/>
          <w:kern w:val="0"/>
          <w14:ligatures w14:val="none"/>
        </w:rPr>
        <w:t xml:space="preserve">file a Tier 2 Advice Letter </w:t>
      </w:r>
      <w:r w:rsidR="001A7A73">
        <w:rPr>
          <w:rFonts w:ascii="Palatino Linotype" w:hAnsi="Palatino Linotype" w:eastAsia="Aptos" w:cs="Times New Roman"/>
        </w:rPr>
        <w:t xml:space="preserve">in order to update the additional capital advance </w:t>
      </w:r>
      <w:r w:rsidR="00460774">
        <w:rPr>
          <w:rFonts w:ascii="Palatino Linotype" w:hAnsi="Palatino Linotype" w:eastAsia="Aptos" w:cs="Times New Roman"/>
        </w:rPr>
        <w:t xml:space="preserve">requirement </w:t>
      </w:r>
      <w:r w:rsidR="001A7A73">
        <w:rPr>
          <w:rFonts w:ascii="Palatino Linotype" w:hAnsi="Palatino Linotype" w:eastAsia="Aptos" w:cs="Times New Roman"/>
        </w:rPr>
        <w:t xml:space="preserve">in </w:t>
      </w:r>
      <w:r w:rsidR="00B64944">
        <w:rPr>
          <w:rFonts w:ascii="Palatino Linotype" w:hAnsi="Palatino Linotype" w:eastAsia="Aptos" w:cs="Times New Roman"/>
        </w:rPr>
        <w:t>its</w:t>
      </w:r>
      <w:r w:rsidR="009B02F4">
        <w:rPr>
          <w:rFonts w:ascii="Palatino Linotype" w:hAnsi="Palatino Linotype" w:eastAsia="Aptos" w:cs="Times New Roman"/>
        </w:rPr>
        <w:t xml:space="preserve"> agreement</w:t>
      </w:r>
      <w:r w:rsidR="00B64944">
        <w:rPr>
          <w:rFonts w:ascii="Palatino Linotype" w:hAnsi="Palatino Linotype" w:eastAsia="Aptos" w:cs="Times New Roman"/>
        </w:rPr>
        <w:t xml:space="preserve"> with Google</w:t>
      </w:r>
      <w:r w:rsidR="009B02F4">
        <w:rPr>
          <w:rFonts w:ascii="Palatino Linotype" w:hAnsi="Palatino Linotype" w:eastAsia="Aptos" w:cs="Times New Roman"/>
        </w:rPr>
        <w:t>, modifying provisions related to larger transmission network upgrade costs in a manner that corresponds to the outcome of the Rule 30 proceeding.</w:t>
      </w:r>
    </w:p>
    <w:p w:rsidRPr="000A372D" w:rsidR="001A2D30" w:rsidP="00D732B0" w:rsidRDefault="001A2D30" w14:paraId="30542F8B" w14:textId="54F2300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shall modify the refund process in the Agreement to </w:t>
      </w:r>
      <w:r>
        <w:rPr>
          <w:rFonts w:ascii="Palatino Linotype" w:hAnsi="Palatino Linotype" w:eastAsia="Aptos" w:cs="Times New Roman"/>
        </w:rPr>
        <w:t xml:space="preserve">limit annual refunds to </w:t>
      </w:r>
      <w:r w:rsidR="00545E16">
        <w:rPr>
          <w:rFonts w:ascii="Palatino Linotype" w:hAnsi="Palatino Linotype" w:eastAsia="Aptos" w:cs="Times New Roman"/>
        </w:rPr>
        <w:t>Google</w:t>
      </w:r>
      <w:r>
        <w:rPr>
          <w:rFonts w:ascii="Palatino Linotype" w:hAnsi="Palatino Linotype" w:eastAsia="Aptos" w:cs="Times New Roman"/>
        </w:rPr>
        <w:t xml:space="preserve"> to the annual net revenues PG&amp;E collected from </w:t>
      </w:r>
      <w:r w:rsidR="00545E16">
        <w:rPr>
          <w:rFonts w:ascii="Palatino Linotype" w:hAnsi="Palatino Linotype" w:eastAsia="Aptos" w:cs="Times New Roman"/>
        </w:rPr>
        <w:t xml:space="preserve">Google </w:t>
      </w:r>
      <w:r>
        <w:rPr>
          <w:rFonts w:ascii="Palatino Linotype" w:hAnsi="Palatino Linotype" w:eastAsia="Aptos" w:cs="Times New Roman"/>
        </w:rPr>
        <w:t xml:space="preserve">in that year, adjusting for the Income Tax Component of Contribution (ITCC). In this case, the term ‘net revenues’ refers to the transmission component of the customer’s electric rates and the per meter customer charge. PG&amp;E shall also extend the period when </w:t>
      </w:r>
      <w:r w:rsidR="00545E16">
        <w:rPr>
          <w:rFonts w:ascii="Palatino Linotype" w:hAnsi="Palatino Linotype" w:eastAsia="Aptos" w:cs="Times New Roman"/>
        </w:rPr>
        <w:t xml:space="preserve">Google is </w:t>
      </w:r>
      <w:r>
        <w:rPr>
          <w:rFonts w:ascii="Palatino Linotype" w:hAnsi="Palatino Linotype" w:eastAsia="Aptos" w:cs="Times New Roman"/>
        </w:rPr>
        <w:t>eligible to receive a refund from 10 to 15 years.</w:t>
      </w:r>
    </w:p>
    <w:p w:rsidRPr="000A372D" w:rsidR="000A372D" w:rsidP="00D732B0" w:rsidRDefault="000A372D" w14:paraId="0B584DDE" w14:textId="6A285959">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lastRenderedPageBreak/>
        <w:t xml:space="preserve">PG&amp;E shall ensure that the binding cost cap for </w:t>
      </w:r>
      <w:r w:rsidR="001C1085">
        <w:rPr>
          <w:rFonts w:ascii="Palatino Linotype" w:hAnsi="Palatino Linotype" w:eastAsia="Palatino Linotype" w:cs="Times New Roman"/>
          <w:snapToGrid w:val="0"/>
          <w:kern w:val="0"/>
          <w14:ligatures w14:val="none"/>
        </w:rPr>
        <w:t>the portion of work completed by Google (Applicant Work)</w:t>
      </w:r>
      <w:r w:rsidRPr="000A372D">
        <w:rPr>
          <w:rFonts w:ascii="Palatino Linotype" w:hAnsi="Palatino Linotype" w:eastAsia="Palatino Linotype" w:cs="Times New Roman"/>
          <w:snapToGrid w:val="0"/>
          <w:kern w:val="0"/>
          <w14:ligatures w14:val="none"/>
        </w:rPr>
        <w:t xml:space="preserve"> applies to refundable Standard Facilities costs separately from non-refundable Special Facilities costs, and that the refundable binding cost estimate includes only one standard contingency</w:t>
      </w:r>
      <w:r w:rsidR="00343E92">
        <w:rPr>
          <w:rFonts w:ascii="Palatino Linotype" w:hAnsi="Palatino Linotype" w:eastAsia="Palatino Linotype" w:cs="Times New Roman"/>
          <w:snapToGrid w:val="0"/>
          <w:kern w:val="0"/>
          <w14:ligatures w14:val="none"/>
        </w:rPr>
        <w:t xml:space="preserve"> adjustment</w:t>
      </w:r>
      <w:r w:rsidRPr="000A372D">
        <w:rPr>
          <w:rFonts w:ascii="Palatino Linotype" w:hAnsi="Palatino Linotype" w:eastAsia="Palatino Linotype" w:cs="Times New Roman"/>
          <w:snapToGrid w:val="0"/>
          <w:kern w:val="0"/>
          <w14:ligatures w14:val="none"/>
        </w:rPr>
        <w:t>.</w:t>
      </w:r>
    </w:p>
    <w:p w:rsidR="000A372D" w:rsidP="00D732B0" w:rsidRDefault="000A372D" w14:paraId="07F58C14" w14:textId="446CFA11">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refundable </w:t>
      </w:r>
      <w:r w:rsidR="00343E92">
        <w:rPr>
          <w:rFonts w:ascii="Palatino Linotype" w:hAnsi="Palatino Linotype" w:eastAsia="Palatino Linotype" w:cs="Times New Roman"/>
          <w:snapToGrid w:val="0"/>
          <w:kern w:val="0"/>
          <w14:ligatures w14:val="none"/>
        </w:rPr>
        <w:t xml:space="preserve">Applicant Work </w:t>
      </w:r>
      <w:r w:rsidRPr="000A372D">
        <w:rPr>
          <w:rFonts w:ascii="Palatino Linotype" w:hAnsi="Palatino Linotype" w:eastAsia="Palatino Linotype" w:cs="Times New Roman"/>
          <w:snapToGrid w:val="0"/>
          <w:kern w:val="0"/>
          <w14:ligatures w14:val="none"/>
        </w:rPr>
        <w:t xml:space="preserve">excludes any costs that overlap with </w:t>
      </w:r>
      <w:r w:rsidR="004C2F82">
        <w:rPr>
          <w:rFonts w:ascii="Palatino Linotype" w:hAnsi="Palatino Linotype" w:eastAsia="Palatino Linotype" w:cs="Times New Roman"/>
          <w:snapToGrid w:val="0"/>
          <w:kern w:val="0"/>
          <w14:ligatures w14:val="none"/>
        </w:rPr>
        <w:t xml:space="preserve">the costs associated with </w:t>
      </w:r>
      <w:r w:rsidRPr="000A372D">
        <w:rPr>
          <w:rFonts w:ascii="Palatino Linotype" w:hAnsi="Palatino Linotype" w:eastAsia="Palatino Linotype" w:cs="Times New Roman"/>
          <w:snapToGrid w:val="0"/>
          <w:kern w:val="0"/>
          <w14:ligatures w14:val="none"/>
        </w:rPr>
        <w:t xml:space="preserve">PG&amp;E’s own </w:t>
      </w:r>
      <w:r w:rsidR="004C2F82">
        <w:rPr>
          <w:rFonts w:ascii="Palatino Linotype" w:hAnsi="Palatino Linotype" w:eastAsia="Palatino Linotype" w:cs="Times New Roman"/>
          <w:snapToGrid w:val="0"/>
          <w:kern w:val="0"/>
          <w14:ligatures w14:val="none"/>
        </w:rPr>
        <w:t>work</w:t>
      </w:r>
      <w:r w:rsidR="006F6ED0">
        <w:rPr>
          <w:rFonts w:ascii="Palatino Linotype" w:hAnsi="Palatino Linotype" w:eastAsia="Palatino Linotype" w:cs="Times New Roman"/>
          <w:snapToGrid w:val="0"/>
          <w:kern w:val="0"/>
          <w14:ligatures w14:val="none"/>
        </w:rPr>
        <w:t xml:space="preserve"> detailed in the Agreement</w:t>
      </w:r>
      <w:r w:rsidRPr="000A372D">
        <w:rPr>
          <w:rFonts w:ascii="Palatino Linotype" w:hAnsi="Palatino Linotype" w:eastAsia="Palatino Linotype" w:cs="Times New Roman"/>
          <w:snapToGrid w:val="0"/>
          <w:kern w:val="0"/>
          <w14:ligatures w14:val="none"/>
        </w:rPr>
        <w:t>.</w:t>
      </w:r>
    </w:p>
    <w:p w:rsidRPr="00354067" w:rsidR="002236D5" w:rsidP="00D732B0" w:rsidRDefault="002236D5" w14:paraId="6BDBEC6C" w14:textId="47F083D3">
      <w:pPr>
        <w:numPr>
          <w:ilvl w:val="0"/>
          <w:numId w:val="2"/>
        </w:numPr>
        <w:spacing w:after="120" w:line="240" w:lineRule="auto"/>
        <w:rPr>
          <w:rFonts w:ascii="Palatino Linotype" w:hAnsi="Palatino Linotype" w:eastAsia="Palatino Linotype" w:cs="Times New Roman"/>
          <w:snapToGrid w:val="0"/>
          <w:kern w:val="0"/>
          <w14:ligatures w14:val="none"/>
        </w:rPr>
      </w:pPr>
      <w:r w:rsidRPr="002236D5">
        <w:rPr>
          <w:rFonts w:ascii="Palatino Linotype" w:hAnsi="Palatino Linotype" w:eastAsia="Palatino Linotype" w:cs="Times New Roman"/>
          <w:snapToGrid w:val="0"/>
          <w:kern w:val="0"/>
          <w14:ligatures w14:val="none"/>
        </w:rPr>
        <w:t xml:space="preserve">Within 30 days after the binding cost </w:t>
      </w:r>
      <w:r w:rsidR="006F6ED0">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w:t>
      </w:r>
      <w:r w:rsidR="006F6ED0">
        <w:rPr>
          <w:rFonts w:ascii="Palatino Linotype" w:hAnsi="Palatino Linotype" w:eastAsia="Palatino Linotype" w:cs="Times New Roman"/>
          <w:snapToGrid w:val="0"/>
          <w:kern w:val="0"/>
          <w14:ligatures w14:val="none"/>
        </w:rPr>
        <w:t>Applicant Work</w:t>
      </w:r>
      <w:r w:rsidRPr="002236D5">
        <w:rPr>
          <w:rFonts w:ascii="Palatino Linotype" w:hAnsi="Palatino Linotype" w:eastAsia="Palatino Linotype" w:cs="Times New Roman"/>
          <w:snapToGrid w:val="0"/>
          <w:kern w:val="0"/>
          <w14:ligatures w14:val="none"/>
        </w:rPr>
        <w:t xml:space="preserve"> is finalized, PG&amp;E shall file an information-only Tier 1 </w:t>
      </w:r>
      <w:r w:rsidR="00E94016">
        <w:rPr>
          <w:rFonts w:ascii="Palatino Linotype" w:hAnsi="Palatino Linotype" w:eastAsia="Palatino Linotype" w:cs="Times New Roman"/>
          <w:snapToGrid w:val="0"/>
          <w:kern w:val="0"/>
          <w14:ligatures w14:val="none"/>
        </w:rPr>
        <w:t>A</w:t>
      </w:r>
      <w:r w:rsidRPr="002236D5">
        <w:rPr>
          <w:rFonts w:ascii="Palatino Linotype" w:hAnsi="Palatino Linotype" w:eastAsia="Palatino Linotype" w:cs="Times New Roman"/>
          <w:snapToGrid w:val="0"/>
          <w:kern w:val="0"/>
          <w14:ligatures w14:val="none"/>
        </w:rPr>
        <w:t xml:space="preserve">dvice </w:t>
      </w:r>
      <w:r w:rsidR="00E94016">
        <w:rPr>
          <w:rFonts w:ascii="Palatino Linotype" w:hAnsi="Palatino Linotype" w:eastAsia="Palatino Linotype" w:cs="Times New Roman"/>
          <w:snapToGrid w:val="0"/>
          <w:kern w:val="0"/>
          <w14:ligatures w14:val="none"/>
        </w:rPr>
        <w:t>L</w:t>
      </w:r>
      <w:r w:rsidRPr="002236D5">
        <w:rPr>
          <w:rFonts w:ascii="Palatino Linotype" w:hAnsi="Palatino Linotype" w:eastAsia="Palatino Linotype" w:cs="Times New Roman"/>
          <w:snapToGrid w:val="0"/>
          <w:kern w:val="0"/>
          <w14:ligatures w14:val="none"/>
        </w:rPr>
        <w:t xml:space="preserve">etter that includes, as attachments, (a) the finalized binding cost </w:t>
      </w:r>
      <w:r w:rsidR="001A5B7F">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Standard Facilities, </w:t>
      </w:r>
      <w:r w:rsidR="0030610D">
        <w:rPr>
          <w:rFonts w:ascii="Palatino Linotype" w:hAnsi="Palatino Linotype" w:eastAsia="Palatino Linotype" w:cs="Times New Roman"/>
          <w:snapToGrid w:val="0"/>
          <w:kern w:val="0"/>
          <w14:ligatures w14:val="none"/>
        </w:rPr>
        <w:br/>
      </w:r>
      <w:r w:rsidRPr="002236D5">
        <w:rPr>
          <w:rFonts w:ascii="Palatino Linotype" w:hAnsi="Palatino Linotype" w:eastAsia="Palatino Linotype" w:cs="Times New Roman"/>
          <w:snapToGrid w:val="0"/>
          <w:kern w:val="0"/>
          <w14:ligatures w14:val="none"/>
        </w:rPr>
        <w:t xml:space="preserve">(b) a description of the inputs, assumptions, and </w:t>
      </w:r>
      <w:r w:rsidR="00692253">
        <w:rPr>
          <w:rFonts w:ascii="Palatino Linotype" w:hAnsi="Palatino Linotype" w:eastAsia="Palatino Linotype" w:cs="Times New Roman"/>
          <w:snapToGrid w:val="0"/>
          <w:kern w:val="0"/>
          <w14:ligatures w14:val="none"/>
        </w:rPr>
        <w:t xml:space="preserve">the </w:t>
      </w:r>
      <w:r w:rsidRPr="002236D5">
        <w:rPr>
          <w:rFonts w:ascii="Palatino Linotype" w:hAnsi="Palatino Linotype" w:eastAsia="Palatino Linotype" w:cs="Times New Roman"/>
          <w:snapToGrid w:val="0"/>
          <w:kern w:val="0"/>
          <w14:ligatures w14:val="none"/>
        </w:rPr>
        <w:t xml:space="preserve">application of </w:t>
      </w:r>
      <w:r w:rsidR="00692253">
        <w:rPr>
          <w:rFonts w:ascii="Palatino Linotype" w:hAnsi="Palatino Linotype" w:eastAsia="Palatino Linotype" w:cs="Times New Roman"/>
          <w:snapToGrid w:val="0"/>
          <w:kern w:val="0"/>
          <w14:ligatures w14:val="none"/>
        </w:rPr>
        <w:t>a single contingency adjustment</w:t>
      </w:r>
      <w:r w:rsidRPr="002236D5">
        <w:rPr>
          <w:rFonts w:ascii="Palatino Linotype" w:hAnsi="Palatino Linotype" w:eastAsia="Palatino Linotype" w:cs="Times New Roman"/>
          <w:snapToGrid w:val="0"/>
          <w:kern w:val="0"/>
          <w14:ligatures w14:val="none"/>
        </w:rPr>
        <w:t xml:space="preserve"> used to derive the binding cost </w:t>
      </w:r>
      <w:r w:rsidR="00692253">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(c) a description of how refundable Standard Facilities and non-refundable Special Facilities were treated separately, and (d) a </w:t>
      </w:r>
      <w:r w:rsidR="00E94016">
        <w:rPr>
          <w:rFonts w:ascii="Palatino Linotype" w:hAnsi="Palatino Linotype" w:eastAsia="Palatino Linotype" w:cs="Times New Roman"/>
          <w:snapToGrid w:val="0"/>
          <w:kern w:val="0"/>
          <w14:ligatures w14:val="none"/>
        </w:rPr>
        <w:t>section confirming</w:t>
      </w:r>
      <w:r w:rsidRPr="002236D5">
        <w:rPr>
          <w:rFonts w:ascii="Palatino Linotype" w:hAnsi="Palatino Linotype" w:eastAsia="Palatino Linotype" w:cs="Times New Roman"/>
          <w:snapToGrid w:val="0"/>
          <w:kern w:val="0"/>
          <w14:ligatures w14:val="none"/>
        </w:rPr>
        <w:t xml:space="preserve"> that the binding cost estimate for refundable Standard Facilities excludes costs overlapping with PG&amp;E oversight and supplemental costs.</w:t>
      </w:r>
      <w:r w:rsidR="00D732B0">
        <w:rPr>
          <w:rFonts w:ascii="Palatino Linotype" w:hAnsi="Palatino Linotype" w:eastAsia="Palatino Linotype" w:cs="Times New Roman"/>
          <w:snapToGrid w:val="0"/>
          <w:kern w:val="0"/>
          <w14:ligatures w14:val="none"/>
        </w:rPr>
        <w:t xml:space="preserve"> Some or </w:t>
      </w:r>
      <w:proofErr w:type="gramStart"/>
      <w:r w:rsidR="00D732B0">
        <w:rPr>
          <w:rFonts w:ascii="Palatino Linotype" w:hAnsi="Palatino Linotype" w:eastAsia="Palatino Linotype" w:cs="Times New Roman"/>
          <w:snapToGrid w:val="0"/>
          <w:kern w:val="0"/>
          <w14:ligatures w14:val="none"/>
        </w:rPr>
        <w:t>all of</w:t>
      </w:r>
      <w:proofErr w:type="gramEnd"/>
      <w:r w:rsidR="00D732B0">
        <w:rPr>
          <w:rFonts w:ascii="Palatino Linotype" w:hAnsi="Palatino Linotype" w:eastAsia="Palatino Linotype" w:cs="Times New Roman"/>
          <w:snapToGrid w:val="0"/>
          <w:kern w:val="0"/>
          <w14:ligatures w14:val="none"/>
        </w:rPr>
        <w:t xml:space="preserve"> these attachments may be confidential.</w:t>
      </w:r>
    </w:p>
    <w:p w:rsidRPr="00C61639" w:rsidR="00A76F4A" w:rsidP="00D732B0" w:rsidRDefault="001A2D30" w14:paraId="5EC10F41" w14:textId="4C32A53A">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may seek approval for the modified </w:t>
      </w:r>
      <w:r w:rsidR="00545E16">
        <w:rPr>
          <w:rFonts w:ascii="Palatino Linotype" w:hAnsi="Palatino Linotype" w:eastAsia="Palatino Linotype" w:cs="Times New Roman"/>
          <w:snapToGrid w:val="0"/>
          <w:kern w:val="0"/>
          <w14:ligatures w14:val="none"/>
        </w:rPr>
        <w:t>Agreement</w:t>
      </w:r>
      <w:r w:rsidRPr="00AA5C9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through a Tier 1 Advice Letter.</w:t>
      </w:r>
    </w:p>
    <w:p w:rsidRPr="001942D0" w:rsidR="00A76F4A" w:rsidP="00A76F4A"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03AD159" w14:textId="4EE7A43A">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w:t>
      </w:r>
      <w:r w:rsidR="007709C9">
        <w:rPr>
          <w:rFonts w:ascii="Palatino Linotype" w:hAnsi="Palatino Linotype"/>
        </w:rPr>
        <w:t>R</w:t>
      </w:r>
      <w:r w:rsidRPr="0051493D">
        <w:rPr>
          <w:rFonts w:ascii="Palatino Linotype" w:hAnsi="Palatino Linotype"/>
        </w:rPr>
        <w:t xml:space="preserve">esolution was duly introduced, passed and adopted at a conference of the Public Utilities Commission of the State of California held on </w:t>
      </w:r>
      <w:r w:rsidRPr="0051493D">
        <w:rPr>
          <w:rFonts w:ascii="Palatino Linotype" w:hAnsi="Palatino Linotype"/>
          <w:highlight w:val="yellow"/>
        </w:rPr>
        <w:t>[DATE];</w:t>
      </w:r>
      <w:r w:rsidRPr="0051493D">
        <w:rPr>
          <w:rFonts w:ascii="Palatino Linotype" w:hAnsi="Palatino Linotype"/>
        </w:rPr>
        <w:t xml:space="preserve"> the following Commissioners voting favorably thereon:</w:t>
      </w:r>
    </w:p>
    <w:p w:rsidRPr="001942D0" w:rsidR="00A76F4A" w:rsidP="006A5360" w:rsidRDefault="542AC687" w14:paraId="6E385009" w14:textId="75CDA1A6">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6A5360" w:rsidRDefault="542AC687" w14:paraId="6FDD2628" w14:textId="64BD399A">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upon adoption of the </w:t>
      </w:r>
      <w:r w:rsidR="007709C9">
        <w:rPr>
          <w:rFonts w:ascii="Palatino Linotype" w:hAnsi="Palatino Linotype" w:eastAsia="Palatino Linotype" w:cs="Times New Roman"/>
        </w:rPr>
        <w:t>R</w:t>
      </w:r>
      <w:r w:rsidRPr="4B8EF7B2">
        <w:rPr>
          <w:rFonts w:ascii="Palatino Linotype" w:hAnsi="Palatino Linotype" w:eastAsia="Palatino Linotype" w:cs="Times New Roman"/>
        </w:rPr>
        <w:t>esolution</w:t>
      </w:r>
    </w:p>
    <w:p w:rsidRPr="001942D0" w:rsidR="00A76F4A" w:rsidP="006A5360" w:rsidRDefault="00A76F4A" w14:paraId="0B7DFB9B" w14:textId="1BDC677F">
      <w:pPr>
        <w:keepNext/>
        <w:spacing w:after="0" w:line="240" w:lineRule="auto"/>
        <w:rPr>
          <w:rFonts w:ascii="Palatino Linotype" w:hAnsi="Palatino Linotype" w:eastAsia="Palatino Linotype" w:cs="Times New Roman"/>
          <w:kern w:val="0"/>
          <w14:ligatures w14:val="none"/>
        </w:rPr>
      </w:pPr>
    </w:p>
    <w:p w:rsidRPr="001942D0" w:rsidR="00A76F4A" w:rsidP="006A5360" w:rsidRDefault="00A76F4A" w14:paraId="7B2A2C97" w14:textId="77777777">
      <w:pPr>
        <w:keepNext/>
        <w:spacing w:after="0" w:line="240" w:lineRule="auto"/>
        <w:rPr>
          <w:rFonts w:ascii="Palatino Linotype" w:hAnsi="Palatino Linotype" w:eastAsia="Palatino Linotype" w:cs="Times New Roman"/>
          <w:kern w:val="0"/>
          <w14:ligatures w14:val="none"/>
        </w:rPr>
      </w:pPr>
    </w:p>
    <w:p w:rsidR="00A76F4A" w:rsidP="006A5360" w:rsidRDefault="00A76F4A" w14:paraId="1BFDA168" w14:textId="0A05526D">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proofErr w:type="gramStart"/>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w:t>
      </w:r>
      <w:proofErr w:type="gramEnd"/>
      <w:r w:rsidRPr="00921E87">
        <w:rPr>
          <w:rFonts w:ascii="Palatino Linotype" w:hAnsi="Palatino Linotype" w:eastAsia="Palatino Linotype" w:cs="Times New Roman"/>
        </w:rPr>
        <w:t xml:space="preserve"> at </w:t>
      </w:r>
      <w:r w:rsidR="00DB7E32">
        <w:rPr>
          <w:rFonts w:ascii="Palatino Linotype" w:hAnsi="Palatino Linotype" w:eastAsia="Palatino Linotype" w:cs="Times New Roman"/>
        </w:rPr>
        <w:t xml:space="preserve">San </w:t>
      </w:r>
      <w:r w:rsidR="00774557">
        <w:rPr>
          <w:rFonts w:ascii="Palatino Linotype" w:hAnsi="Palatino Linotype" w:eastAsia="Palatino Linotype" w:cs="Times New Roman"/>
        </w:rPr>
        <w:t>Marcos</w:t>
      </w:r>
      <w:r w:rsidRPr="00921E87">
        <w:rPr>
          <w:rFonts w:ascii="Palatino Linotype" w:hAnsi="Palatino Linotype" w:eastAsia="Palatino Linotype" w:cs="Times New Roman"/>
        </w:rPr>
        <w:t>, California</w:t>
      </w:r>
      <w:r w:rsidR="00DB7E32">
        <w:rPr>
          <w:rFonts w:ascii="Palatino Linotype" w:hAnsi="Palatino Linotype" w:eastAsia="Palatino Linotype" w:cs="Times New Roman"/>
        </w:rPr>
        <w:t>.</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p w:rsidR="00F4417B" w:rsidRDefault="00F4417B" w14:paraId="6FA7965C" w14:textId="650F017B"/>
    <w:sectPr w:rsidR="00F4417B"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98FB5" w14:textId="77777777" w:rsidR="006B7A86" w:rsidRDefault="006B7A86" w:rsidP="00A76F4A">
      <w:pPr>
        <w:spacing w:after="0" w:line="240" w:lineRule="auto"/>
      </w:pPr>
      <w:r>
        <w:separator/>
      </w:r>
    </w:p>
  </w:endnote>
  <w:endnote w:type="continuationSeparator" w:id="0">
    <w:p w14:paraId="1892051E" w14:textId="77777777" w:rsidR="006B7A86" w:rsidRDefault="006B7A86" w:rsidP="00A76F4A">
      <w:pPr>
        <w:spacing w:after="0" w:line="240" w:lineRule="auto"/>
      </w:pPr>
      <w:r>
        <w:continuationSeparator/>
      </w:r>
    </w:p>
  </w:endnote>
  <w:endnote w:type="continuationNotice" w:id="1">
    <w:p w14:paraId="5070D34E" w14:textId="77777777" w:rsidR="006B7A86" w:rsidRDefault="006B7A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3A66A964" w:rsidR="004A7A4C" w:rsidRPr="004A7A4C" w:rsidRDefault="00927DE5" w:rsidP="004A7A4C">
        <w:pPr>
          <w:pStyle w:val="Footer"/>
          <w:rPr>
            <w:rFonts w:ascii="Palatino Linotype" w:hAnsi="Palatino Linotype"/>
          </w:rPr>
        </w:pPr>
        <w:r w:rsidRPr="00927DE5">
          <w:rPr>
            <w:rFonts w:ascii="Tahoma" w:hAnsi="Tahoma" w:cs="Tahoma"/>
            <w:sz w:val="16"/>
            <w:szCs w:val="22"/>
          </w:rPr>
          <w:t>623979096</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C6249" w14:textId="77777777" w:rsidR="006B7A86" w:rsidRDefault="006B7A86" w:rsidP="00A76F4A">
      <w:pPr>
        <w:spacing w:after="0" w:line="240" w:lineRule="auto"/>
      </w:pPr>
      <w:r>
        <w:separator/>
      </w:r>
    </w:p>
  </w:footnote>
  <w:footnote w:type="continuationSeparator" w:id="0">
    <w:p w14:paraId="003A77E4" w14:textId="77777777" w:rsidR="006B7A86" w:rsidRDefault="006B7A86" w:rsidP="00A76F4A">
      <w:pPr>
        <w:spacing w:after="0" w:line="240" w:lineRule="auto"/>
      </w:pPr>
      <w:r>
        <w:continuationSeparator/>
      </w:r>
    </w:p>
  </w:footnote>
  <w:footnote w:type="continuationNotice" w:id="1">
    <w:p w14:paraId="1284C39D" w14:textId="77777777" w:rsidR="006B7A86" w:rsidRDefault="006B7A86">
      <w:pPr>
        <w:spacing w:after="0" w:line="240" w:lineRule="auto"/>
      </w:pPr>
    </w:p>
  </w:footnote>
  <w:footnote w:id="2">
    <w:p w14:paraId="05E7B6F6" w14:textId="675F8CE9" w:rsidR="00A6263C" w:rsidRPr="004A68E3" w:rsidRDefault="00A6263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Calculated based on the </w:t>
      </w:r>
      <w:r w:rsidR="0032577E" w:rsidRPr="004A68E3">
        <w:rPr>
          <w:rFonts w:ascii="Palatino Linotype" w:hAnsi="Palatino Linotype"/>
        </w:rPr>
        <w:t>California Energy Commission Energy Consumption Dashboard.</w:t>
      </w:r>
    </w:p>
  </w:footnote>
  <w:footnote w:id="3">
    <w:p w14:paraId="69D79C4D" w14:textId="77777777" w:rsidR="00555D5D" w:rsidRPr="004A68E3" w:rsidRDefault="00555D5D" w:rsidP="00555D5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additional </w:t>
      </w:r>
      <w:r w:rsidRPr="004A68E3">
        <w:rPr>
          <w:rFonts w:ascii="Palatino Linotype" w:hAnsi="Palatino Linotype"/>
        </w:rPr>
        <w:t>detail on the BARC methodology, including an example, see PG&amp;E Supplemental Testimony Work Paper 1 in A. 24-11-007, submitted March 21, 2025.</w:t>
      </w:r>
    </w:p>
  </w:footnote>
  <w:footnote w:id="4">
    <w:p w14:paraId="72FE0AE7" w14:textId="18BB3703" w:rsidR="009566DE" w:rsidRPr="004A68E3" w:rsidRDefault="009566DE">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5">
    <w:p w14:paraId="7244ED36" w14:textId="3BC8EB02" w:rsidR="00DD6B07" w:rsidRPr="004A68E3" w:rsidRDefault="00DD6B0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w:t>
      </w:r>
      <w:r w:rsidRPr="004A68E3">
        <w:rPr>
          <w:rFonts w:ascii="Palatino Linotype" w:hAnsi="Palatino Linotype"/>
        </w:rPr>
        <w:t>at p. 4.</w:t>
      </w:r>
    </w:p>
  </w:footnote>
  <w:footnote w:id="6">
    <w:p w14:paraId="661BC9CE" w14:textId="1C68E0FD" w:rsidR="00D260EC" w:rsidRPr="004A68E3" w:rsidRDefault="00D260E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w:t>
      </w:r>
      <w:r w:rsidRPr="004A68E3">
        <w:rPr>
          <w:rFonts w:ascii="Palatino Linotype" w:hAnsi="Palatino Linotype"/>
        </w:rPr>
        <w:t>at p. 4.</w:t>
      </w:r>
    </w:p>
  </w:footnote>
  <w:footnote w:id="7">
    <w:p w14:paraId="5A68E797" w14:textId="794BFC12" w:rsidR="00215850" w:rsidRPr="004A68E3" w:rsidRDefault="0021585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at p. </w:t>
      </w:r>
      <w:r w:rsidR="009F09FF" w:rsidRPr="004A68E3">
        <w:rPr>
          <w:rFonts w:ascii="Palatino Linotype" w:hAnsi="Palatino Linotype"/>
        </w:rPr>
        <w:t>4.</w:t>
      </w:r>
    </w:p>
  </w:footnote>
  <w:footnote w:id="8">
    <w:p w14:paraId="17E87617" w14:textId="4E04FF63" w:rsidR="00321D8C" w:rsidRPr="004A68E3" w:rsidRDefault="00321D8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 total revenue requirement </w:t>
      </w:r>
      <w:r w:rsidR="00105E5A" w:rsidRPr="004A68E3">
        <w:rPr>
          <w:rFonts w:ascii="Palatino Linotype" w:hAnsi="Palatino Linotype"/>
        </w:rPr>
        <w:t>of roughly</w:t>
      </w:r>
      <w:r w:rsidRPr="004A68E3">
        <w:rPr>
          <w:rFonts w:ascii="Palatino Linotype" w:hAnsi="Palatino Linotype"/>
        </w:rPr>
        <w:t xml:space="preserve"> $2.8 billion dollars over 40 years.</w:t>
      </w:r>
    </w:p>
  </w:footnote>
  <w:footnote w:id="9">
    <w:p w14:paraId="3A31036C" w14:textId="02980B79" w:rsidR="004C564F" w:rsidRPr="004A68E3" w:rsidRDefault="00C37C6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D. 26-03-043, which closed A.24-05-014, at p. 26-28</w:t>
      </w:r>
      <w:r w:rsidR="003E6366" w:rsidRPr="004A68E3">
        <w:rPr>
          <w:rFonts w:ascii="Palatino Linotype" w:hAnsi="Palatino Linotype"/>
        </w:rPr>
        <w:t xml:space="preserve"> and p. 42. </w:t>
      </w:r>
      <w:hyperlink r:id="rId1" w:history="1">
        <w:r w:rsidR="003E6366" w:rsidRPr="004A68E3">
          <w:rPr>
            <w:rStyle w:val="Hyperlink"/>
            <w:rFonts w:ascii="Palatino Linotype" w:hAnsi="Palatino Linotype"/>
          </w:rPr>
          <w:t>https://docs.cpuc.ca.gov/PublishedDocs/Published/G000/M599/K351/599351814.PDF</w:t>
        </w:r>
      </w:hyperlink>
    </w:p>
  </w:footnote>
  <w:footnote w:id="10">
    <w:p w14:paraId="59724A30" w14:textId="7D38E162" w:rsidR="00846CDD" w:rsidRPr="004A68E3" w:rsidRDefault="00846CD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2.</w:t>
      </w:r>
    </w:p>
  </w:footnote>
  <w:footnote w:id="11">
    <w:p w14:paraId="710E381D" w14:textId="719BEA1E" w:rsidR="007C78D7" w:rsidRPr="004A68E3" w:rsidRDefault="007C78D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2">
    <w:p w14:paraId="2BB2D8B8" w14:textId="3E18E8B5" w:rsidR="004F1711" w:rsidRPr="004A68E3" w:rsidRDefault="004F1711">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3">
    <w:p w14:paraId="1982498A" w14:textId="4CCF703E" w:rsidR="00266D0B" w:rsidRPr="004A68E3" w:rsidRDefault="00A613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7A600C" w:rsidRPr="004A68E3">
        <w:rPr>
          <w:rFonts w:ascii="Palatino Linotype" w:hAnsi="Palatino Linotype"/>
        </w:rPr>
        <w:t xml:space="preserve">CAISO San Jose Area Transmission Plan, Engineering Study Report, dated November 5, 2024. </w:t>
      </w:r>
      <w:r w:rsidR="00526FE0" w:rsidRPr="004A68E3">
        <w:rPr>
          <w:rFonts w:ascii="Palatino Linotype" w:hAnsi="Palatino Linotype"/>
        </w:rPr>
        <w:t xml:space="preserve">Later in that report, the CAISO notes that </w:t>
      </w:r>
      <w:r w:rsidR="002C7473" w:rsidRPr="004A68E3">
        <w:rPr>
          <w:rFonts w:ascii="Palatino Linotype" w:hAnsi="Palatino Linotype"/>
        </w:rPr>
        <w:t xml:space="preserve">this </w:t>
      </w:r>
      <w:r w:rsidR="0024494C" w:rsidRPr="004A68E3">
        <w:rPr>
          <w:rFonts w:ascii="Palatino Linotype" w:hAnsi="Palatino Linotype"/>
        </w:rPr>
        <w:t>load growth, mostly driven by data centers, requires additional upgrades beyond just doubling the capacity of the Newark-NRS lin</w:t>
      </w:r>
      <w:r w:rsidR="00504F64" w:rsidRPr="004A68E3">
        <w:rPr>
          <w:rFonts w:ascii="Palatino Linotype" w:hAnsi="Palatino Linotype"/>
        </w:rPr>
        <w:t>e. The report says that a “number of local overloads were identified in the need assessment s</w:t>
      </w:r>
      <w:r w:rsidR="001133CB" w:rsidRPr="004A68E3">
        <w:rPr>
          <w:rFonts w:ascii="Palatino Linotype" w:hAnsi="Palatino Linotype"/>
        </w:rPr>
        <w:t>tudy results that will not be resolved by any of the alternatives considered” at pg</w:t>
      </w:r>
      <w:r w:rsidR="00902EC7" w:rsidRPr="004A68E3">
        <w:rPr>
          <w:rFonts w:ascii="Palatino Linotype" w:hAnsi="Palatino Linotype"/>
        </w:rPr>
        <w:t>.</w:t>
      </w:r>
      <w:r w:rsidR="001133CB" w:rsidRPr="004A68E3">
        <w:rPr>
          <w:rFonts w:ascii="Palatino Linotype" w:hAnsi="Palatino Linotype"/>
        </w:rPr>
        <w:t xml:space="preserve"> 11.</w:t>
      </w:r>
      <w:r w:rsidR="0024494C" w:rsidRPr="004A68E3">
        <w:rPr>
          <w:rFonts w:ascii="Palatino Linotype" w:hAnsi="Palatino Linotype"/>
        </w:rPr>
        <w:t xml:space="preserve"> </w:t>
      </w:r>
      <w:hyperlink r:id="rId2" w:history="1">
        <w:r w:rsidR="0024494C" w:rsidRPr="004A68E3">
          <w:rPr>
            <w:rStyle w:val="Hyperlink"/>
            <w:rFonts w:ascii="Palatino Linotype" w:hAnsi="Palatino Linotype"/>
          </w:rPr>
          <w:t>https://www.caiso.com/documents/decision-on-modifications-to-the-2021-2022-transmission-plan-study-nov-2024.pdf</w:t>
        </w:r>
      </w:hyperlink>
    </w:p>
  </w:footnote>
  <w:footnote w:id="14">
    <w:p w14:paraId="075FDA9E" w14:textId="2E23993F" w:rsidR="005972C2" w:rsidRPr="004A68E3" w:rsidRDefault="005972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4-5.</w:t>
      </w:r>
    </w:p>
  </w:footnote>
  <w:footnote w:id="15">
    <w:p w14:paraId="574AB331" w14:textId="21F9EFDD" w:rsidR="006D73B5" w:rsidRPr="004A68E3" w:rsidRDefault="006D73B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691090" w:rsidRPr="004A68E3">
        <w:rPr>
          <w:rFonts w:ascii="Palatino Linotype" w:hAnsi="Palatino Linotype"/>
        </w:rPr>
        <w:t>Cal Advocates Comments at p. 3-5.</w:t>
      </w:r>
    </w:p>
  </w:footnote>
  <w:footnote w:id="16">
    <w:p w14:paraId="67577C16" w14:textId="5D3B4603" w:rsidR="0039132F" w:rsidRPr="004A68E3" w:rsidRDefault="0039132F">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See the Comments section below for additional detail here.</w:t>
      </w:r>
    </w:p>
  </w:footnote>
  <w:footnote w:id="17">
    <w:p w14:paraId="2108CADD" w14:textId="0ABFED55" w:rsidR="00F51790" w:rsidRPr="004A68E3" w:rsidRDefault="00F51790" w:rsidP="00F5179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example, if Google requested 50 MW in Year 1, 150 MW in Year 2, and the full 250 MW in Year 3, and PG&amp;E could supply only 50 MW in Years 1 and 2, and then the full 250 MW in Year 3, then Google would be required to pay the advance on 50 MW in Year 0 ($30 million), no additional advance in Year 1 because PG&amp;E could offer no additional capacity, and the advance on the remaining 200 MW in Year 2 ($120 million). These load ramp figures are provided as an example only, and do not reflect the actual agreement between PG&amp;E and Google.</w:t>
      </w:r>
    </w:p>
  </w:footnote>
  <w:footnote w:id="18">
    <w:p w14:paraId="208ECEF5" w14:textId="705691E9" w:rsidR="00F52BB3" w:rsidRPr="004A68E3" w:rsidRDefault="00F52BB3">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Pr="004A68E3">
        <w:rPr>
          <w:rFonts w:ascii="Palatino Linotype" w:eastAsia="Palatino Linotype" w:hAnsi="Palatino Linotype" w:cs="Times New Roman"/>
          <w:kern w:val="0"/>
          <w14:ligatures w14:val="none"/>
        </w:rPr>
        <w:t xml:space="preserve">However, we note that if the </w:t>
      </w:r>
      <w:r w:rsidR="00345654" w:rsidRPr="004A68E3">
        <w:rPr>
          <w:rFonts w:ascii="Palatino Linotype" w:eastAsia="Palatino Linotype" w:hAnsi="Palatino Linotype" w:cs="Times New Roman"/>
          <w:kern w:val="0"/>
          <w14:ligatures w14:val="none"/>
        </w:rPr>
        <w:t>Rule 30 proceeding</w:t>
      </w:r>
      <w:r w:rsidRPr="004A68E3">
        <w:rPr>
          <w:rFonts w:ascii="Palatino Linotype" w:eastAsia="Palatino Linotype" w:hAnsi="Palatino Linotype" w:cs="Times New Roman"/>
          <w:kern w:val="0"/>
          <w14:ligatures w14:val="none"/>
        </w:rPr>
        <w:t xml:space="preserve"> ultimately accounts for the costs of </w:t>
      </w:r>
      <w:r w:rsidRPr="004A68E3">
        <w:rPr>
          <w:rFonts w:ascii="Palatino Linotype" w:eastAsia="Palatino Linotype" w:hAnsi="Palatino Linotype" w:cs="Times New Roman"/>
          <w:kern w:val="0"/>
          <w14:ligatures w14:val="none"/>
        </w:rPr>
        <w:t xml:space="preserve">broader transmission network upgrades by limiting the refund amount to a smaller portion of net revenues (for example, to 75 percent of </w:t>
      </w:r>
      <w:r w:rsidR="0055283D" w:rsidRPr="004A68E3">
        <w:rPr>
          <w:rFonts w:ascii="Palatino Linotype" w:eastAsia="Palatino Linotype" w:hAnsi="Palatino Linotype" w:cs="Times New Roman"/>
          <w:kern w:val="0"/>
          <w14:ligatures w14:val="none"/>
        </w:rPr>
        <w:t xml:space="preserve">annual </w:t>
      </w:r>
      <w:r w:rsidRPr="004A68E3">
        <w:rPr>
          <w:rFonts w:ascii="Palatino Linotype" w:eastAsia="Palatino Linotype" w:hAnsi="Palatino Linotype" w:cs="Times New Roman"/>
          <w:kern w:val="0"/>
          <w14:ligatures w14:val="none"/>
        </w:rPr>
        <w:t>net revenues), a corresponding adjustment should be implemented here.</w:t>
      </w:r>
    </w:p>
  </w:footnote>
  <w:footnote w:id="19">
    <w:p w14:paraId="505ACA93" w14:textId="227583BE" w:rsidR="008B0AE8" w:rsidRPr="004A68E3" w:rsidRDefault="008B0AE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2875E2" w:rsidRPr="004A68E3">
        <w:rPr>
          <w:rFonts w:ascii="Palatino Linotype" w:hAnsi="Palatino Linotype"/>
        </w:rPr>
        <w:t>PG&amp;E Reply at p. 5-6.</w:t>
      </w:r>
    </w:p>
  </w:footnote>
  <w:footnote w:id="20">
    <w:p w14:paraId="27A3112C" w14:textId="7174BD3C" w:rsidR="00601878" w:rsidRPr="004A68E3" w:rsidRDefault="0060187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w:t>
      </w:r>
      <w:r w:rsidRPr="004A68E3">
        <w:rPr>
          <w:rFonts w:ascii="Palatino Linotype" w:hAnsi="Palatino Linotype"/>
        </w:rPr>
        <w:t xml:space="preserve">at p. </w:t>
      </w:r>
      <w:r w:rsidR="004360C2" w:rsidRPr="004A68E3">
        <w:rPr>
          <w:rFonts w:ascii="Palatino Linotype" w:hAnsi="Palatino Linotype"/>
        </w:rPr>
        <w:t>8-9.</w:t>
      </w:r>
    </w:p>
  </w:footnote>
  <w:footnote w:id="21">
    <w:p w14:paraId="7E002721" w14:textId="73011233" w:rsidR="00CC4D57" w:rsidRPr="004A68E3" w:rsidRDefault="00CC4D5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011B9B" w:rsidRPr="004A68E3">
        <w:rPr>
          <w:rFonts w:ascii="Palatino Linotype" w:hAnsi="Palatino Linotype"/>
        </w:rPr>
        <w:t>W</w:t>
      </w:r>
      <w:r w:rsidR="00BB0324" w:rsidRPr="004A68E3">
        <w:rPr>
          <w:rFonts w:ascii="Palatino Linotype" w:hAnsi="Palatino Linotype"/>
        </w:rPr>
        <w:t xml:space="preserve">estbank Comments at p. 3; </w:t>
      </w:r>
      <w:r w:rsidR="00B30FFC" w:rsidRPr="004A68E3">
        <w:rPr>
          <w:rFonts w:ascii="Palatino Linotype" w:hAnsi="Palatino Linotype"/>
        </w:rPr>
        <w:t xml:space="preserve">Bay Area Council Comments at p. 1; </w:t>
      </w:r>
      <w:r w:rsidR="00BB0324" w:rsidRPr="004A68E3">
        <w:rPr>
          <w:rFonts w:ascii="Palatino Linotype" w:hAnsi="Palatino Linotype"/>
        </w:rPr>
        <w:t xml:space="preserve">SVLG Comments at p. </w:t>
      </w:r>
      <w:r w:rsidR="008408FB" w:rsidRPr="004A68E3">
        <w:rPr>
          <w:rFonts w:ascii="Palatino Linotype" w:hAnsi="Palatino Linotype"/>
        </w:rPr>
        <w:t>1.</w:t>
      </w:r>
    </w:p>
  </w:footnote>
  <w:footnote w:id="22">
    <w:p w14:paraId="493FCDD2" w14:textId="470BC9A2" w:rsidR="00BA5595" w:rsidRPr="004A68E3" w:rsidRDefault="00BA559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E1000B" w:rsidRPr="004A68E3">
        <w:rPr>
          <w:rFonts w:ascii="Palatino Linotype" w:hAnsi="Palatino Linotype"/>
        </w:rPr>
        <w:t>4.</w:t>
      </w:r>
    </w:p>
  </w:footnote>
  <w:footnote w:id="23">
    <w:p w14:paraId="25CEB61F" w14:textId="1B97531F" w:rsidR="00A47838" w:rsidRPr="004A68E3" w:rsidRDefault="00A4783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w:t>
      </w:r>
      <w:r w:rsidRPr="004A68E3">
        <w:rPr>
          <w:rFonts w:ascii="Palatino Linotype" w:hAnsi="Palatino Linotype"/>
        </w:rPr>
        <w:t>at p. 11.</w:t>
      </w:r>
    </w:p>
  </w:footnote>
  <w:footnote w:id="24">
    <w:p w14:paraId="16AAF0D5" w14:textId="462B2E95" w:rsidR="00F067C0" w:rsidRPr="004A68E3" w:rsidRDefault="00F067C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943A91" w:rsidRPr="004A68E3">
        <w:rPr>
          <w:rFonts w:ascii="Palatino Linotype" w:hAnsi="Palatino Linotype"/>
        </w:rPr>
        <w:t>3</w:t>
      </w:r>
      <w:r w:rsidRPr="004A68E3">
        <w:rPr>
          <w:rFonts w:ascii="Palatino Linotype" w:hAnsi="Palatino Linotype"/>
        </w:rPr>
        <w:t>; Orchard Partners Comments a</w:t>
      </w:r>
      <w:r w:rsidR="006C14F4" w:rsidRPr="004A68E3">
        <w:rPr>
          <w:rFonts w:ascii="Palatino Linotype" w:hAnsi="Palatino Linotype"/>
        </w:rPr>
        <w:t xml:space="preserve">t </w:t>
      </w:r>
      <w:r w:rsidR="007B46B6" w:rsidRPr="004A68E3">
        <w:rPr>
          <w:rFonts w:ascii="Palatino Linotype" w:hAnsi="Palatino Linotype"/>
        </w:rPr>
        <w:t>II.3.</w:t>
      </w:r>
    </w:p>
  </w:footnote>
  <w:footnote w:id="25">
    <w:p w14:paraId="6F6D6A08" w14:textId="73CCCC41" w:rsidR="006F6459" w:rsidRPr="004A68E3" w:rsidRDefault="006F645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97189A" w:rsidRPr="004A68E3">
        <w:rPr>
          <w:rFonts w:ascii="Palatino Linotype" w:hAnsi="Palatino Linotype"/>
        </w:rPr>
        <w:t>5.</w:t>
      </w:r>
    </w:p>
  </w:footnote>
  <w:footnote w:id="26">
    <w:p w14:paraId="26188AE9" w14:textId="0A9516ED" w:rsidR="0097189A" w:rsidRPr="004A68E3" w:rsidRDefault="0097189A">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B70886" w:rsidRPr="004A68E3">
        <w:rPr>
          <w:rFonts w:ascii="Palatino Linotype" w:hAnsi="Palatino Linotype"/>
        </w:rPr>
        <w:t>4</w:t>
      </w:r>
      <w:r w:rsidRPr="004A68E3">
        <w:rPr>
          <w:rFonts w:ascii="Palatino Linotype" w:hAnsi="Palatino Linotype"/>
        </w:rPr>
        <w:t xml:space="preserve">, Orchard Partners Comments at </w:t>
      </w:r>
      <w:r w:rsidR="00C41589" w:rsidRPr="004A68E3">
        <w:rPr>
          <w:rFonts w:ascii="Palatino Linotype" w:hAnsi="Palatino Linotype"/>
        </w:rPr>
        <w:t>II.3.</w:t>
      </w:r>
    </w:p>
  </w:footnote>
  <w:footnote w:id="27">
    <w:p w14:paraId="6BE3F3AE" w14:textId="0B6279CA" w:rsidR="00C41589" w:rsidRPr="004A68E3" w:rsidRDefault="00C4158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w:t>
      </w:r>
      <w:r w:rsidRPr="004A68E3">
        <w:rPr>
          <w:rFonts w:ascii="Palatino Linotype" w:hAnsi="Palatino Linotype"/>
        </w:rPr>
        <w:t xml:space="preserve">at p. </w:t>
      </w:r>
      <w:r w:rsidR="000F1B1C" w:rsidRPr="004A68E3">
        <w:rPr>
          <w:rFonts w:ascii="Palatino Linotype" w:hAnsi="Palatino Linotype"/>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081B8FD6"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BE4D45">
      <w:rPr>
        <w:rFonts w:ascii="Palatino Linotype" w:hAnsi="Palatino Linotype"/>
      </w:rPr>
      <w:t>E-5455</w:t>
    </w:r>
    <w:r w:rsidR="008213BB">
      <w:tab/>
    </w:r>
    <w:r w:rsidRPr="56DF6A51">
      <w:rPr>
        <w:rFonts w:ascii="Palatino Linotype" w:hAnsi="Palatino Linotype"/>
      </w:rPr>
      <w:t>DRAFT</w:t>
    </w:r>
    <w:r w:rsidR="008213BB">
      <w:tab/>
    </w:r>
    <w:r w:rsidR="00C774F0">
      <w:rPr>
        <w:rFonts w:ascii="Palatino Linotype" w:eastAsia="Times New Roman" w:hAnsi="Palatino Linotype" w:cs="Times New Roman"/>
        <w:bCs/>
        <w:kern w:val="0"/>
        <w14:ligatures w14:val="none"/>
      </w:rPr>
      <w:t xml:space="preserve">October </w:t>
    </w:r>
    <w:r w:rsidR="0010122F">
      <w:rPr>
        <w:rFonts w:ascii="Palatino Linotype" w:eastAsia="Times New Roman" w:hAnsi="Palatino Linotype" w:cs="Times New Roman"/>
        <w:bCs/>
        <w:kern w:val="0"/>
        <w14:ligatures w14:val="none"/>
      </w:rPr>
      <w:t>29</w:t>
    </w:r>
    <w:r w:rsidR="00371835">
      <w:rPr>
        <w:rFonts w:ascii="Palatino Linotype" w:hAnsi="Palatino Linotype"/>
      </w:rPr>
      <w:t>, 202</w:t>
    </w:r>
    <w:r w:rsidR="006A5360">
      <w:rPr>
        <w:rFonts w:ascii="Palatino Linotype" w:hAnsi="Palatino Linotype"/>
      </w:rPr>
      <w:t>6</w:t>
    </w:r>
  </w:p>
  <w:p w14:paraId="52548ECE" w14:textId="645714D2" w:rsidR="008213BB" w:rsidRDefault="00BE4D45" w:rsidP="00CA3D13">
    <w:pPr>
      <w:pStyle w:val="Header"/>
      <w:rPr>
        <w:rFonts w:ascii="Palatino Linotype" w:hAnsi="Palatino Linotype"/>
      </w:rPr>
    </w:pPr>
    <w:r>
      <w:rPr>
        <w:rFonts w:ascii="Palatino Linotype" w:hAnsi="Palatino Linotype"/>
      </w:rPr>
      <w:t xml:space="preserve">PG&amp;E AL </w:t>
    </w:r>
    <w:r w:rsidR="00371835">
      <w:rPr>
        <w:rFonts w:ascii="Palatino Linotype" w:hAnsi="Palatino Linotype"/>
      </w:rPr>
      <w:t>7785-E</w:t>
    </w:r>
    <w:r w:rsidR="00565F65">
      <w:rPr>
        <w:rFonts w:ascii="Palatino Linotype" w:hAnsi="Palatino Linotype"/>
      </w:rPr>
      <w:t>/</w:t>
    </w:r>
    <w:r>
      <w:rPr>
        <w:rFonts w:ascii="Palatino Linotype" w:hAnsi="Palatino Linotype"/>
      </w:rPr>
      <w:t>TUT</w:t>
    </w:r>
  </w:p>
  <w:p w14:paraId="02E08ADC" w14:textId="77777777" w:rsidR="006A5360" w:rsidRPr="002A1AD8" w:rsidRDefault="006A5360" w:rsidP="00696459">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98E5C63"/>
    <w:multiLevelType w:val="hybridMultilevel"/>
    <w:tmpl w:val="1E7E1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5"/>
  </w:num>
  <w:num w:numId="5" w16cid:durableId="468133998">
    <w:abstractNumId w:val="4"/>
  </w:num>
  <w:num w:numId="6" w16cid:durableId="426273653">
    <w:abstractNumId w:val="6"/>
  </w:num>
  <w:num w:numId="7" w16cid:durableId="1989744586">
    <w:abstractNumId w:val="3"/>
  </w:num>
  <w:num w:numId="8" w16cid:durableId="1955941867">
    <w:abstractNumId w:val="5"/>
  </w:num>
  <w:num w:numId="9" w16cid:durableId="707603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212A"/>
    <w:rsid w:val="00003CD2"/>
    <w:rsid w:val="00005464"/>
    <w:rsid w:val="00007E00"/>
    <w:rsid w:val="00011B9B"/>
    <w:rsid w:val="00011EA5"/>
    <w:rsid w:val="00012287"/>
    <w:rsid w:val="0001363E"/>
    <w:rsid w:val="00013676"/>
    <w:rsid w:val="000172B2"/>
    <w:rsid w:val="00020D86"/>
    <w:rsid w:val="000232D3"/>
    <w:rsid w:val="000267D4"/>
    <w:rsid w:val="0002711B"/>
    <w:rsid w:val="000278E2"/>
    <w:rsid w:val="00032985"/>
    <w:rsid w:val="00033144"/>
    <w:rsid w:val="00034C46"/>
    <w:rsid w:val="000357BB"/>
    <w:rsid w:val="00036C6D"/>
    <w:rsid w:val="0003744A"/>
    <w:rsid w:val="00037E62"/>
    <w:rsid w:val="00041524"/>
    <w:rsid w:val="000415F2"/>
    <w:rsid w:val="00045E53"/>
    <w:rsid w:val="00046B79"/>
    <w:rsid w:val="000471CC"/>
    <w:rsid w:val="000474B5"/>
    <w:rsid w:val="000479D9"/>
    <w:rsid w:val="00051049"/>
    <w:rsid w:val="00051860"/>
    <w:rsid w:val="00051AAB"/>
    <w:rsid w:val="000541FC"/>
    <w:rsid w:val="00054D11"/>
    <w:rsid w:val="00055FA1"/>
    <w:rsid w:val="000562FB"/>
    <w:rsid w:val="00056F23"/>
    <w:rsid w:val="000576A1"/>
    <w:rsid w:val="00057EFB"/>
    <w:rsid w:val="0006134C"/>
    <w:rsid w:val="0006314A"/>
    <w:rsid w:val="00064D54"/>
    <w:rsid w:val="00064E6C"/>
    <w:rsid w:val="00065170"/>
    <w:rsid w:val="00065F29"/>
    <w:rsid w:val="00071D18"/>
    <w:rsid w:val="00073B5A"/>
    <w:rsid w:val="00076A6C"/>
    <w:rsid w:val="000829C5"/>
    <w:rsid w:val="0008316C"/>
    <w:rsid w:val="00083496"/>
    <w:rsid w:val="00086B82"/>
    <w:rsid w:val="00087244"/>
    <w:rsid w:val="00087C5A"/>
    <w:rsid w:val="00087C88"/>
    <w:rsid w:val="00093183"/>
    <w:rsid w:val="00094C02"/>
    <w:rsid w:val="0009541F"/>
    <w:rsid w:val="00096240"/>
    <w:rsid w:val="00097016"/>
    <w:rsid w:val="00097ABD"/>
    <w:rsid w:val="000A1D38"/>
    <w:rsid w:val="000A2EBD"/>
    <w:rsid w:val="000A372D"/>
    <w:rsid w:val="000A7E28"/>
    <w:rsid w:val="000B043A"/>
    <w:rsid w:val="000B0DC3"/>
    <w:rsid w:val="000B1AF7"/>
    <w:rsid w:val="000B21E4"/>
    <w:rsid w:val="000B27FA"/>
    <w:rsid w:val="000B2843"/>
    <w:rsid w:val="000B4184"/>
    <w:rsid w:val="000B66A8"/>
    <w:rsid w:val="000C2B7A"/>
    <w:rsid w:val="000C2E5A"/>
    <w:rsid w:val="000C3476"/>
    <w:rsid w:val="000C37B7"/>
    <w:rsid w:val="000C41E1"/>
    <w:rsid w:val="000C426A"/>
    <w:rsid w:val="000C4D9A"/>
    <w:rsid w:val="000C6C70"/>
    <w:rsid w:val="000D017C"/>
    <w:rsid w:val="000D0F1B"/>
    <w:rsid w:val="000D280D"/>
    <w:rsid w:val="000D284C"/>
    <w:rsid w:val="000D2C0C"/>
    <w:rsid w:val="000D79F5"/>
    <w:rsid w:val="000E2756"/>
    <w:rsid w:val="000E2FB9"/>
    <w:rsid w:val="000E3126"/>
    <w:rsid w:val="000E3539"/>
    <w:rsid w:val="000E3B79"/>
    <w:rsid w:val="000F1449"/>
    <w:rsid w:val="000F1B1C"/>
    <w:rsid w:val="000F2C5C"/>
    <w:rsid w:val="000F760D"/>
    <w:rsid w:val="0010122F"/>
    <w:rsid w:val="0010129F"/>
    <w:rsid w:val="00101AD7"/>
    <w:rsid w:val="00105E5A"/>
    <w:rsid w:val="00110453"/>
    <w:rsid w:val="001133CB"/>
    <w:rsid w:val="00117BB3"/>
    <w:rsid w:val="00121572"/>
    <w:rsid w:val="00121DA4"/>
    <w:rsid w:val="0012383B"/>
    <w:rsid w:val="001241D5"/>
    <w:rsid w:val="001256B6"/>
    <w:rsid w:val="00125B0D"/>
    <w:rsid w:val="00127FF5"/>
    <w:rsid w:val="0013015A"/>
    <w:rsid w:val="001316D3"/>
    <w:rsid w:val="001317EC"/>
    <w:rsid w:val="0013205A"/>
    <w:rsid w:val="001343A0"/>
    <w:rsid w:val="00136DF7"/>
    <w:rsid w:val="001407ED"/>
    <w:rsid w:val="00140924"/>
    <w:rsid w:val="00141017"/>
    <w:rsid w:val="0014122F"/>
    <w:rsid w:val="001413E9"/>
    <w:rsid w:val="00142607"/>
    <w:rsid w:val="00145EE1"/>
    <w:rsid w:val="001470D0"/>
    <w:rsid w:val="00147645"/>
    <w:rsid w:val="00150A31"/>
    <w:rsid w:val="001514DD"/>
    <w:rsid w:val="001530D4"/>
    <w:rsid w:val="001543DE"/>
    <w:rsid w:val="001558C2"/>
    <w:rsid w:val="00157EAE"/>
    <w:rsid w:val="001648A7"/>
    <w:rsid w:val="00164C61"/>
    <w:rsid w:val="001678C4"/>
    <w:rsid w:val="00167CAA"/>
    <w:rsid w:val="00167E2F"/>
    <w:rsid w:val="00171586"/>
    <w:rsid w:val="00171862"/>
    <w:rsid w:val="001723BD"/>
    <w:rsid w:val="0017250A"/>
    <w:rsid w:val="00172F1C"/>
    <w:rsid w:val="0017555B"/>
    <w:rsid w:val="001757E9"/>
    <w:rsid w:val="00183413"/>
    <w:rsid w:val="001854F1"/>
    <w:rsid w:val="00187162"/>
    <w:rsid w:val="001911B9"/>
    <w:rsid w:val="0019365A"/>
    <w:rsid w:val="00193898"/>
    <w:rsid w:val="00194447"/>
    <w:rsid w:val="00195C13"/>
    <w:rsid w:val="001A0572"/>
    <w:rsid w:val="001A13A1"/>
    <w:rsid w:val="001A2002"/>
    <w:rsid w:val="001A25E4"/>
    <w:rsid w:val="001A2689"/>
    <w:rsid w:val="001A2733"/>
    <w:rsid w:val="001A2D30"/>
    <w:rsid w:val="001A434F"/>
    <w:rsid w:val="001A465D"/>
    <w:rsid w:val="001A4EF0"/>
    <w:rsid w:val="001A52AA"/>
    <w:rsid w:val="001A5308"/>
    <w:rsid w:val="001A5480"/>
    <w:rsid w:val="001A5B7F"/>
    <w:rsid w:val="001A7A73"/>
    <w:rsid w:val="001A7C50"/>
    <w:rsid w:val="001B0126"/>
    <w:rsid w:val="001B0D28"/>
    <w:rsid w:val="001B2E31"/>
    <w:rsid w:val="001B3742"/>
    <w:rsid w:val="001B3C8A"/>
    <w:rsid w:val="001B54A4"/>
    <w:rsid w:val="001B62E0"/>
    <w:rsid w:val="001B763E"/>
    <w:rsid w:val="001C00B2"/>
    <w:rsid w:val="001C1085"/>
    <w:rsid w:val="001C1DF7"/>
    <w:rsid w:val="001C23EE"/>
    <w:rsid w:val="001C520D"/>
    <w:rsid w:val="001C5D12"/>
    <w:rsid w:val="001C66A3"/>
    <w:rsid w:val="001C74DB"/>
    <w:rsid w:val="001D0CD5"/>
    <w:rsid w:val="001D2402"/>
    <w:rsid w:val="001D4311"/>
    <w:rsid w:val="001D4D74"/>
    <w:rsid w:val="001D6F00"/>
    <w:rsid w:val="001E484D"/>
    <w:rsid w:val="001E591C"/>
    <w:rsid w:val="001E75DC"/>
    <w:rsid w:val="001F045D"/>
    <w:rsid w:val="001F0703"/>
    <w:rsid w:val="001F1236"/>
    <w:rsid w:val="001F1FC2"/>
    <w:rsid w:val="001F20D2"/>
    <w:rsid w:val="001F259A"/>
    <w:rsid w:val="001F4389"/>
    <w:rsid w:val="001F4659"/>
    <w:rsid w:val="001F50F3"/>
    <w:rsid w:val="001F72FA"/>
    <w:rsid w:val="001F7514"/>
    <w:rsid w:val="00201A8B"/>
    <w:rsid w:val="002028C9"/>
    <w:rsid w:val="00204B1B"/>
    <w:rsid w:val="002050BE"/>
    <w:rsid w:val="00205CF8"/>
    <w:rsid w:val="00206061"/>
    <w:rsid w:val="00207312"/>
    <w:rsid w:val="00207726"/>
    <w:rsid w:val="002121EC"/>
    <w:rsid w:val="002121F5"/>
    <w:rsid w:val="00213EBB"/>
    <w:rsid w:val="00215850"/>
    <w:rsid w:val="002168B3"/>
    <w:rsid w:val="00216EC7"/>
    <w:rsid w:val="00217457"/>
    <w:rsid w:val="002175D9"/>
    <w:rsid w:val="00217A2C"/>
    <w:rsid w:val="002204C7"/>
    <w:rsid w:val="002214C8"/>
    <w:rsid w:val="00221BBB"/>
    <w:rsid w:val="00223506"/>
    <w:rsid w:val="002236D5"/>
    <w:rsid w:val="00224479"/>
    <w:rsid w:val="00224F89"/>
    <w:rsid w:val="002408F0"/>
    <w:rsid w:val="002421AD"/>
    <w:rsid w:val="00244183"/>
    <w:rsid w:val="0024494C"/>
    <w:rsid w:val="00244BC9"/>
    <w:rsid w:val="002514A5"/>
    <w:rsid w:val="0025312D"/>
    <w:rsid w:val="00253185"/>
    <w:rsid w:val="00253363"/>
    <w:rsid w:val="00253F16"/>
    <w:rsid w:val="002550C6"/>
    <w:rsid w:val="00257FE1"/>
    <w:rsid w:val="00260D67"/>
    <w:rsid w:val="00262D03"/>
    <w:rsid w:val="00266D0B"/>
    <w:rsid w:val="00270C82"/>
    <w:rsid w:val="00272D72"/>
    <w:rsid w:val="00273BA3"/>
    <w:rsid w:val="00276308"/>
    <w:rsid w:val="002803D0"/>
    <w:rsid w:val="00281AA5"/>
    <w:rsid w:val="0028293E"/>
    <w:rsid w:val="002875E2"/>
    <w:rsid w:val="0028C0D6"/>
    <w:rsid w:val="00292EEF"/>
    <w:rsid w:val="00294CD8"/>
    <w:rsid w:val="00294F44"/>
    <w:rsid w:val="002A3DB6"/>
    <w:rsid w:val="002A4F9E"/>
    <w:rsid w:val="002A5165"/>
    <w:rsid w:val="002A60A9"/>
    <w:rsid w:val="002A73A6"/>
    <w:rsid w:val="002B56DA"/>
    <w:rsid w:val="002B5BEE"/>
    <w:rsid w:val="002B6235"/>
    <w:rsid w:val="002B7B91"/>
    <w:rsid w:val="002B7B95"/>
    <w:rsid w:val="002C53B2"/>
    <w:rsid w:val="002C646B"/>
    <w:rsid w:val="002C7473"/>
    <w:rsid w:val="002D127C"/>
    <w:rsid w:val="002D2F6A"/>
    <w:rsid w:val="002D4D39"/>
    <w:rsid w:val="002D70B5"/>
    <w:rsid w:val="002E0EBC"/>
    <w:rsid w:val="002E37C5"/>
    <w:rsid w:val="002E3DD8"/>
    <w:rsid w:val="002E3E62"/>
    <w:rsid w:val="002E43A3"/>
    <w:rsid w:val="002E4762"/>
    <w:rsid w:val="002E47A2"/>
    <w:rsid w:val="002E68FB"/>
    <w:rsid w:val="002E6BBB"/>
    <w:rsid w:val="002E6C33"/>
    <w:rsid w:val="002F0CBF"/>
    <w:rsid w:val="002F5FB0"/>
    <w:rsid w:val="002F796F"/>
    <w:rsid w:val="003011C0"/>
    <w:rsid w:val="003012ED"/>
    <w:rsid w:val="0030494A"/>
    <w:rsid w:val="003052AB"/>
    <w:rsid w:val="0030547C"/>
    <w:rsid w:val="0030610D"/>
    <w:rsid w:val="0030737B"/>
    <w:rsid w:val="00307EEC"/>
    <w:rsid w:val="00311206"/>
    <w:rsid w:val="00312933"/>
    <w:rsid w:val="0031618B"/>
    <w:rsid w:val="003167A5"/>
    <w:rsid w:val="00316EBC"/>
    <w:rsid w:val="00317493"/>
    <w:rsid w:val="00317D09"/>
    <w:rsid w:val="00321D8C"/>
    <w:rsid w:val="00322606"/>
    <w:rsid w:val="00323584"/>
    <w:rsid w:val="00323C6A"/>
    <w:rsid w:val="00324319"/>
    <w:rsid w:val="003246D5"/>
    <w:rsid w:val="003254A0"/>
    <w:rsid w:val="0032577E"/>
    <w:rsid w:val="00330F00"/>
    <w:rsid w:val="003317F7"/>
    <w:rsid w:val="0033227F"/>
    <w:rsid w:val="00332C70"/>
    <w:rsid w:val="00332E52"/>
    <w:rsid w:val="003345BC"/>
    <w:rsid w:val="00336394"/>
    <w:rsid w:val="00341244"/>
    <w:rsid w:val="00343BF7"/>
    <w:rsid w:val="00343E92"/>
    <w:rsid w:val="00345654"/>
    <w:rsid w:val="00353527"/>
    <w:rsid w:val="0035390A"/>
    <w:rsid w:val="00356E1F"/>
    <w:rsid w:val="003576D2"/>
    <w:rsid w:val="003606D7"/>
    <w:rsid w:val="0036096D"/>
    <w:rsid w:val="00360A69"/>
    <w:rsid w:val="00361D4C"/>
    <w:rsid w:val="003630C4"/>
    <w:rsid w:val="00363C97"/>
    <w:rsid w:val="003642C8"/>
    <w:rsid w:val="00364739"/>
    <w:rsid w:val="003679F0"/>
    <w:rsid w:val="00371835"/>
    <w:rsid w:val="003725DD"/>
    <w:rsid w:val="0037369E"/>
    <w:rsid w:val="003737D3"/>
    <w:rsid w:val="003739E4"/>
    <w:rsid w:val="00373CC1"/>
    <w:rsid w:val="00377526"/>
    <w:rsid w:val="003807E0"/>
    <w:rsid w:val="003863D1"/>
    <w:rsid w:val="0038640A"/>
    <w:rsid w:val="00390EE6"/>
    <w:rsid w:val="0039132F"/>
    <w:rsid w:val="00394F01"/>
    <w:rsid w:val="0039648E"/>
    <w:rsid w:val="00397364"/>
    <w:rsid w:val="003978BF"/>
    <w:rsid w:val="003A03AF"/>
    <w:rsid w:val="003A06F1"/>
    <w:rsid w:val="003A0F86"/>
    <w:rsid w:val="003A1469"/>
    <w:rsid w:val="003A2C1A"/>
    <w:rsid w:val="003B2BA4"/>
    <w:rsid w:val="003B2E27"/>
    <w:rsid w:val="003B3EF8"/>
    <w:rsid w:val="003B4F16"/>
    <w:rsid w:val="003B5BF0"/>
    <w:rsid w:val="003C1B53"/>
    <w:rsid w:val="003C63CC"/>
    <w:rsid w:val="003C6690"/>
    <w:rsid w:val="003C7F11"/>
    <w:rsid w:val="003D082A"/>
    <w:rsid w:val="003D1DBD"/>
    <w:rsid w:val="003D2BA3"/>
    <w:rsid w:val="003D36B1"/>
    <w:rsid w:val="003D3958"/>
    <w:rsid w:val="003D5399"/>
    <w:rsid w:val="003D72FC"/>
    <w:rsid w:val="003E01E6"/>
    <w:rsid w:val="003E1B0B"/>
    <w:rsid w:val="003E36BD"/>
    <w:rsid w:val="003E4194"/>
    <w:rsid w:val="003E6366"/>
    <w:rsid w:val="003E788F"/>
    <w:rsid w:val="003E79C4"/>
    <w:rsid w:val="003F0B92"/>
    <w:rsid w:val="003F1042"/>
    <w:rsid w:val="003F3175"/>
    <w:rsid w:val="003F5297"/>
    <w:rsid w:val="003F531E"/>
    <w:rsid w:val="003F65C2"/>
    <w:rsid w:val="003F6D71"/>
    <w:rsid w:val="00400795"/>
    <w:rsid w:val="00400C1D"/>
    <w:rsid w:val="00403ADB"/>
    <w:rsid w:val="00404243"/>
    <w:rsid w:val="0040576D"/>
    <w:rsid w:val="00406AF1"/>
    <w:rsid w:val="00413025"/>
    <w:rsid w:val="0041401E"/>
    <w:rsid w:val="004140CF"/>
    <w:rsid w:val="00416E24"/>
    <w:rsid w:val="00421028"/>
    <w:rsid w:val="00422338"/>
    <w:rsid w:val="00422F7E"/>
    <w:rsid w:val="0042398D"/>
    <w:rsid w:val="004255F8"/>
    <w:rsid w:val="00425FB0"/>
    <w:rsid w:val="00426844"/>
    <w:rsid w:val="00427DE4"/>
    <w:rsid w:val="00430A93"/>
    <w:rsid w:val="00431324"/>
    <w:rsid w:val="00432451"/>
    <w:rsid w:val="00432E12"/>
    <w:rsid w:val="004336D8"/>
    <w:rsid w:val="004344BC"/>
    <w:rsid w:val="00434BCB"/>
    <w:rsid w:val="00435923"/>
    <w:rsid w:val="004360C2"/>
    <w:rsid w:val="00436D7F"/>
    <w:rsid w:val="004427E6"/>
    <w:rsid w:val="00447687"/>
    <w:rsid w:val="00450C12"/>
    <w:rsid w:val="00453E25"/>
    <w:rsid w:val="00453F22"/>
    <w:rsid w:val="00454337"/>
    <w:rsid w:val="0045480A"/>
    <w:rsid w:val="004550CB"/>
    <w:rsid w:val="00455193"/>
    <w:rsid w:val="00457076"/>
    <w:rsid w:val="00457FB9"/>
    <w:rsid w:val="0046054F"/>
    <w:rsid w:val="00460774"/>
    <w:rsid w:val="00460D36"/>
    <w:rsid w:val="0046160E"/>
    <w:rsid w:val="00461902"/>
    <w:rsid w:val="00462CA3"/>
    <w:rsid w:val="00465BF1"/>
    <w:rsid w:val="0046711C"/>
    <w:rsid w:val="0047147F"/>
    <w:rsid w:val="004716B0"/>
    <w:rsid w:val="00472C42"/>
    <w:rsid w:val="00473945"/>
    <w:rsid w:val="00473A06"/>
    <w:rsid w:val="00473F97"/>
    <w:rsid w:val="00474E71"/>
    <w:rsid w:val="0047679E"/>
    <w:rsid w:val="004776A2"/>
    <w:rsid w:val="00477A4F"/>
    <w:rsid w:val="004801F1"/>
    <w:rsid w:val="004806D3"/>
    <w:rsid w:val="004828E5"/>
    <w:rsid w:val="00482E90"/>
    <w:rsid w:val="004831AF"/>
    <w:rsid w:val="00490AAF"/>
    <w:rsid w:val="00493430"/>
    <w:rsid w:val="004937EB"/>
    <w:rsid w:val="004A1779"/>
    <w:rsid w:val="004A19EB"/>
    <w:rsid w:val="004A4C08"/>
    <w:rsid w:val="004A4C92"/>
    <w:rsid w:val="004A53F8"/>
    <w:rsid w:val="004A68E3"/>
    <w:rsid w:val="004A7A4C"/>
    <w:rsid w:val="004B0766"/>
    <w:rsid w:val="004B2F6E"/>
    <w:rsid w:val="004B43E0"/>
    <w:rsid w:val="004B56A9"/>
    <w:rsid w:val="004B633C"/>
    <w:rsid w:val="004B6BB7"/>
    <w:rsid w:val="004C06B9"/>
    <w:rsid w:val="004C0852"/>
    <w:rsid w:val="004C2DE0"/>
    <w:rsid w:val="004C2F82"/>
    <w:rsid w:val="004C36BE"/>
    <w:rsid w:val="004C40A1"/>
    <w:rsid w:val="004C4A3A"/>
    <w:rsid w:val="004C5488"/>
    <w:rsid w:val="004C564F"/>
    <w:rsid w:val="004C6F6D"/>
    <w:rsid w:val="004C7202"/>
    <w:rsid w:val="004C7EB9"/>
    <w:rsid w:val="004D33BE"/>
    <w:rsid w:val="004D46CE"/>
    <w:rsid w:val="004D5797"/>
    <w:rsid w:val="004D6008"/>
    <w:rsid w:val="004D6A05"/>
    <w:rsid w:val="004D7FA8"/>
    <w:rsid w:val="004E018B"/>
    <w:rsid w:val="004E17F6"/>
    <w:rsid w:val="004E466A"/>
    <w:rsid w:val="004E4B5C"/>
    <w:rsid w:val="004E5D3D"/>
    <w:rsid w:val="004F14A8"/>
    <w:rsid w:val="004F1711"/>
    <w:rsid w:val="004F3BD7"/>
    <w:rsid w:val="004F466D"/>
    <w:rsid w:val="00500B0F"/>
    <w:rsid w:val="0050173A"/>
    <w:rsid w:val="0050343D"/>
    <w:rsid w:val="00504F64"/>
    <w:rsid w:val="0050552C"/>
    <w:rsid w:val="00506FFE"/>
    <w:rsid w:val="00507DAF"/>
    <w:rsid w:val="00512EFF"/>
    <w:rsid w:val="005146AD"/>
    <w:rsid w:val="00515D93"/>
    <w:rsid w:val="00515E18"/>
    <w:rsid w:val="0051725E"/>
    <w:rsid w:val="00520076"/>
    <w:rsid w:val="00521222"/>
    <w:rsid w:val="005214C0"/>
    <w:rsid w:val="00523D56"/>
    <w:rsid w:val="00524760"/>
    <w:rsid w:val="0052519C"/>
    <w:rsid w:val="00526E10"/>
    <w:rsid w:val="00526FE0"/>
    <w:rsid w:val="0053035F"/>
    <w:rsid w:val="005308B9"/>
    <w:rsid w:val="005319D9"/>
    <w:rsid w:val="00532EDE"/>
    <w:rsid w:val="00541F3A"/>
    <w:rsid w:val="00542F76"/>
    <w:rsid w:val="00543EC0"/>
    <w:rsid w:val="0054572F"/>
    <w:rsid w:val="0054574B"/>
    <w:rsid w:val="00545E16"/>
    <w:rsid w:val="00547C8E"/>
    <w:rsid w:val="0055031A"/>
    <w:rsid w:val="0055118C"/>
    <w:rsid w:val="0055283D"/>
    <w:rsid w:val="00553817"/>
    <w:rsid w:val="00553F14"/>
    <w:rsid w:val="00555078"/>
    <w:rsid w:val="00555CBA"/>
    <w:rsid w:val="00555D5D"/>
    <w:rsid w:val="00560607"/>
    <w:rsid w:val="0056090C"/>
    <w:rsid w:val="005617CC"/>
    <w:rsid w:val="00561A45"/>
    <w:rsid w:val="00561D4C"/>
    <w:rsid w:val="0056244C"/>
    <w:rsid w:val="00563899"/>
    <w:rsid w:val="00565F65"/>
    <w:rsid w:val="00566C0F"/>
    <w:rsid w:val="005674C1"/>
    <w:rsid w:val="0057402A"/>
    <w:rsid w:val="00574E38"/>
    <w:rsid w:val="00575AEF"/>
    <w:rsid w:val="00581B80"/>
    <w:rsid w:val="005823C1"/>
    <w:rsid w:val="00582DA1"/>
    <w:rsid w:val="00582DBF"/>
    <w:rsid w:val="00584FFD"/>
    <w:rsid w:val="0058567A"/>
    <w:rsid w:val="00586D29"/>
    <w:rsid w:val="00587578"/>
    <w:rsid w:val="00587F38"/>
    <w:rsid w:val="0059103F"/>
    <w:rsid w:val="00591DC9"/>
    <w:rsid w:val="00591F4D"/>
    <w:rsid w:val="005926A4"/>
    <w:rsid w:val="0059303D"/>
    <w:rsid w:val="005972C2"/>
    <w:rsid w:val="005A0197"/>
    <w:rsid w:val="005A0590"/>
    <w:rsid w:val="005A223B"/>
    <w:rsid w:val="005A25FD"/>
    <w:rsid w:val="005A2945"/>
    <w:rsid w:val="005A48FD"/>
    <w:rsid w:val="005A5A2C"/>
    <w:rsid w:val="005A5C11"/>
    <w:rsid w:val="005A7F86"/>
    <w:rsid w:val="005B2E64"/>
    <w:rsid w:val="005C3016"/>
    <w:rsid w:val="005C7802"/>
    <w:rsid w:val="005D0B23"/>
    <w:rsid w:val="005D17C5"/>
    <w:rsid w:val="005D3CE2"/>
    <w:rsid w:val="005D438F"/>
    <w:rsid w:val="005D5A9B"/>
    <w:rsid w:val="005D78E8"/>
    <w:rsid w:val="005E046D"/>
    <w:rsid w:val="005E1EDE"/>
    <w:rsid w:val="005E260D"/>
    <w:rsid w:val="005E3082"/>
    <w:rsid w:val="005E5295"/>
    <w:rsid w:val="005E66A9"/>
    <w:rsid w:val="005E7D03"/>
    <w:rsid w:val="005E7DD7"/>
    <w:rsid w:val="005F071C"/>
    <w:rsid w:val="005F0B19"/>
    <w:rsid w:val="005F17C6"/>
    <w:rsid w:val="005F2296"/>
    <w:rsid w:val="005F7306"/>
    <w:rsid w:val="005F7F57"/>
    <w:rsid w:val="00600BE4"/>
    <w:rsid w:val="00601878"/>
    <w:rsid w:val="006018DB"/>
    <w:rsid w:val="00602476"/>
    <w:rsid w:val="00603C9E"/>
    <w:rsid w:val="006046EC"/>
    <w:rsid w:val="00604BBD"/>
    <w:rsid w:val="0060562C"/>
    <w:rsid w:val="00606777"/>
    <w:rsid w:val="00606F26"/>
    <w:rsid w:val="006119A1"/>
    <w:rsid w:val="00612C6B"/>
    <w:rsid w:val="00617C8C"/>
    <w:rsid w:val="0062302D"/>
    <w:rsid w:val="00627C1B"/>
    <w:rsid w:val="0063054A"/>
    <w:rsid w:val="006324ED"/>
    <w:rsid w:val="006327AC"/>
    <w:rsid w:val="00634262"/>
    <w:rsid w:val="006347A8"/>
    <w:rsid w:val="006360F1"/>
    <w:rsid w:val="00636F87"/>
    <w:rsid w:val="00637008"/>
    <w:rsid w:val="006373F8"/>
    <w:rsid w:val="00637A20"/>
    <w:rsid w:val="0064194D"/>
    <w:rsid w:val="0064197B"/>
    <w:rsid w:val="00644AFD"/>
    <w:rsid w:val="0064526F"/>
    <w:rsid w:val="0064559B"/>
    <w:rsid w:val="00646A65"/>
    <w:rsid w:val="00646CBC"/>
    <w:rsid w:val="00654001"/>
    <w:rsid w:val="0065407B"/>
    <w:rsid w:val="00654F79"/>
    <w:rsid w:val="00656999"/>
    <w:rsid w:val="006645BD"/>
    <w:rsid w:val="006650B6"/>
    <w:rsid w:val="00666107"/>
    <w:rsid w:val="0067043A"/>
    <w:rsid w:val="00671614"/>
    <w:rsid w:val="0067499D"/>
    <w:rsid w:val="00676034"/>
    <w:rsid w:val="00676171"/>
    <w:rsid w:val="0067706F"/>
    <w:rsid w:val="00680E21"/>
    <w:rsid w:val="00681376"/>
    <w:rsid w:val="00682B95"/>
    <w:rsid w:val="0068358C"/>
    <w:rsid w:val="00683594"/>
    <w:rsid w:val="0068431F"/>
    <w:rsid w:val="00684A2A"/>
    <w:rsid w:val="006854D6"/>
    <w:rsid w:val="006860F0"/>
    <w:rsid w:val="00686221"/>
    <w:rsid w:val="00687559"/>
    <w:rsid w:val="00691090"/>
    <w:rsid w:val="00692253"/>
    <w:rsid w:val="00692F58"/>
    <w:rsid w:val="00693A4F"/>
    <w:rsid w:val="00694927"/>
    <w:rsid w:val="00695282"/>
    <w:rsid w:val="006956BE"/>
    <w:rsid w:val="00695BA9"/>
    <w:rsid w:val="00696095"/>
    <w:rsid w:val="00696459"/>
    <w:rsid w:val="006A2EA0"/>
    <w:rsid w:val="006A4542"/>
    <w:rsid w:val="006A5360"/>
    <w:rsid w:val="006B27C0"/>
    <w:rsid w:val="006B35D5"/>
    <w:rsid w:val="006B4B84"/>
    <w:rsid w:val="006B56AA"/>
    <w:rsid w:val="006B7A86"/>
    <w:rsid w:val="006C14F4"/>
    <w:rsid w:val="006C20FE"/>
    <w:rsid w:val="006C291D"/>
    <w:rsid w:val="006C29F9"/>
    <w:rsid w:val="006C4D8F"/>
    <w:rsid w:val="006D056E"/>
    <w:rsid w:val="006D41D2"/>
    <w:rsid w:val="006D4826"/>
    <w:rsid w:val="006D6C6C"/>
    <w:rsid w:val="006D73B5"/>
    <w:rsid w:val="006E1D58"/>
    <w:rsid w:val="006F06DE"/>
    <w:rsid w:val="006F09E9"/>
    <w:rsid w:val="006F557B"/>
    <w:rsid w:val="006F61DE"/>
    <w:rsid w:val="006F6459"/>
    <w:rsid w:val="006F6ED0"/>
    <w:rsid w:val="00700888"/>
    <w:rsid w:val="00701102"/>
    <w:rsid w:val="00701768"/>
    <w:rsid w:val="00701EF5"/>
    <w:rsid w:val="0070254A"/>
    <w:rsid w:val="0070304F"/>
    <w:rsid w:val="00703A3C"/>
    <w:rsid w:val="00703AD3"/>
    <w:rsid w:val="00704F76"/>
    <w:rsid w:val="007059B2"/>
    <w:rsid w:val="00713580"/>
    <w:rsid w:val="00717000"/>
    <w:rsid w:val="00717471"/>
    <w:rsid w:val="00723648"/>
    <w:rsid w:val="00724713"/>
    <w:rsid w:val="00725434"/>
    <w:rsid w:val="00727329"/>
    <w:rsid w:val="00727A68"/>
    <w:rsid w:val="0073089A"/>
    <w:rsid w:val="00730C11"/>
    <w:rsid w:val="00732E97"/>
    <w:rsid w:val="0073448D"/>
    <w:rsid w:val="007378EB"/>
    <w:rsid w:val="00737E72"/>
    <w:rsid w:val="00737E9E"/>
    <w:rsid w:val="007404DC"/>
    <w:rsid w:val="00740E32"/>
    <w:rsid w:val="00741057"/>
    <w:rsid w:val="007424E5"/>
    <w:rsid w:val="00744E0E"/>
    <w:rsid w:val="007462AE"/>
    <w:rsid w:val="00750430"/>
    <w:rsid w:val="00750E92"/>
    <w:rsid w:val="00750EB8"/>
    <w:rsid w:val="0075470C"/>
    <w:rsid w:val="00754AF8"/>
    <w:rsid w:val="00755F13"/>
    <w:rsid w:val="00757113"/>
    <w:rsid w:val="00761418"/>
    <w:rsid w:val="00762ACE"/>
    <w:rsid w:val="007658F7"/>
    <w:rsid w:val="007668AB"/>
    <w:rsid w:val="00767756"/>
    <w:rsid w:val="007708B1"/>
    <w:rsid w:val="007709C9"/>
    <w:rsid w:val="007711D8"/>
    <w:rsid w:val="007739D6"/>
    <w:rsid w:val="00774557"/>
    <w:rsid w:val="00776C78"/>
    <w:rsid w:val="00783A51"/>
    <w:rsid w:val="00784A30"/>
    <w:rsid w:val="00793121"/>
    <w:rsid w:val="007933B2"/>
    <w:rsid w:val="007961CD"/>
    <w:rsid w:val="007A3C23"/>
    <w:rsid w:val="007A4380"/>
    <w:rsid w:val="007A43D2"/>
    <w:rsid w:val="007A600C"/>
    <w:rsid w:val="007A6037"/>
    <w:rsid w:val="007A7CAD"/>
    <w:rsid w:val="007B0189"/>
    <w:rsid w:val="007B1A23"/>
    <w:rsid w:val="007B2B5A"/>
    <w:rsid w:val="007B46B6"/>
    <w:rsid w:val="007C2B4C"/>
    <w:rsid w:val="007C2D81"/>
    <w:rsid w:val="007C542F"/>
    <w:rsid w:val="007C78D7"/>
    <w:rsid w:val="007D183A"/>
    <w:rsid w:val="007D183E"/>
    <w:rsid w:val="007D30F7"/>
    <w:rsid w:val="007D5189"/>
    <w:rsid w:val="007D5EF7"/>
    <w:rsid w:val="007D6A5A"/>
    <w:rsid w:val="007D78E5"/>
    <w:rsid w:val="007E0F3F"/>
    <w:rsid w:val="007E19FE"/>
    <w:rsid w:val="007E66EA"/>
    <w:rsid w:val="007E6A87"/>
    <w:rsid w:val="007E6C35"/>
    <w:rsid w:val="007F0AE6"/>
    <w:rsid w:val="007F2391"/>
    <w:rsid w:val="007F2983"/>
    <w:rsid w:val="007F3FC9"/>
    <w:rsid w:val="007F4FC3"/>
    <w:rsid w:val="007F6927"/>
    <w:rsid w:val="007F77B4"/>
    <w:rsid w:val="008007A2"/>
    <w:rsid w:val="00801B51"/>
    <w:rsid w:val="00801EAF"/>
    <w:rsid w:val="00802705"/>
    <w:rsid w:val="008031C6"/>
    <w:rsid w:val="00804FC2"/>
    <w:rsid w:val="00810939"/>
    <w:rsid w:val="00810C66"/>
    <w:rsid w:val="00810F85"/>
    <w:rsid w:val="00811787"/>
    <w:rsid w:val="00815DB2"/>
    <w:rsid w:val="00816B62"/>
    <w:rsid w:val="008203C0"/>
    <w:rsid w:val="008213BB"/>
    <w:rsid w:val="00821FCB"/>
    <w:rsid w:val="00822093"/>
    <w:rsid w:val="00825685"/>
    <w:rsid w:val="0082591B"/>
    <w:rsid w:val="00825DA3"/>
    <w:rsid w:val="0083105D"/>
    <w:rsid w:val="00831F3A"/>
    <w:rsid w:val="00833095"/>
    <w:rsid w:val="0083399C"/>
    <w:rsid w:val="008339E5"/>
    <w:rsid w:val="00836550"/>
    <w:rsid w:val="008408FB"/>
    <w:rsid w:val="00841337"/>
    <w:rsid w:val="0084242D"/>
    <w:rsid w:val="008436A6"/>
    <w:rsid w:val="00843CB9"/>
    <w:rsid w:val="00843D85"/>
    <w:rsid w:val="00844C39"/>
    <w:rsid w:val="00846CDD"/>
    <w:rsid w:val="00847E7D"/>
    <w:rsid w:val="00855E51"/>
    <w:rsid w:val="00856A68"/>
    <w:rsid w:val="0085714D"/>
    <w:rsid w:val="00857BC9"/>
    <w:rsid w:val="00860D21"/>
    <w:rsid w:val="0086162D"/>
    <w:rsid w:val="0086258D"/>
    <w:rsid w:val="00862A63"/>
    <w:rsid w:val="00864EB4"/>
    <w:rsid w:val="0086579C"/>
    <w:rsid w:val="0086660A"/>
    <w:rsid w:val="008711A5"/>
    <w:rsid w:val="00873485"/>
    <w:rsid w:val="00875C1E"/>
    <w:rsid w:val="008771A8"/>
    <w:rsid w:val="00877CC2"/>
    <w:rsid w:val="00882689"/>
    <w:rsid w:val="00883B19"/>
    <w:rsid w:val="0088525D"/>
    <w:rsid w:val="008859F9"/>
    <w:rsid w:val="0088639D"/>
    <w:rsid w:val="00886B06"/>
    <w:rsid w:val="00886F07"/>
    <w:rsid w:val="008906AA"/>
    <w:rsid w:val="00890E1C"/>
    <w:rsid w:val="0089420C"/>
    <w:rsid w:val="0089522B"/>
    <w:rsid w:val="0089567D"/>
    <w:rsid w:val="008968F4"/>
    <w:rsid w:val="008A03FB"/>
    <w:rsid w:val="008A1D0C"/>
    <w:rsid w:val="008A2B7D"/>
    <w:rsid w:val="008A32E7"/>
    <w:rsid w:val="008A3D21"/>
    <w:rsid w:val="008A4F71"/>
    <w:rsid w:val="008A4F9A"/>
    <w:rsid w:val="008B0AE8"/>
    <w:rsid w:val="008B2105"/>
    <w:rsid w:val="008B329D"/>
    <w:rsid w:val="008B6223"/>
    <w:rsid w:val="008C1A45"/>
    <w:rsid w:val="008C1F32"/>
    <w:rsid w:val="008C2763"/>
    <w:rsid w:val="008C2B12"/>
    <w:rsid w:val="008C5A05"/>
    <w:rsid w:val="008C6A2A"/>
    <w:rsid w:val="008D0049"/>
    <w:rsid w:val="008D0706"/>
    <w:rsid w:val="008D08C6"/>
    <w:rsid w:val="008D1ACD"/>
    <w:rsid w:val="008D2A91"/>
    <w:rsid w:val="008D35FC"/>
    <w:rsid w:val="008D3683"/>
    <w:rsid w:val="008D69C4"/>
    <w:rsid w:val="008E0B8F"/>
    <w:rsid w:val="008E2E80"/>
    <w:rsid w:val="008E48E2"/>
    <w:rsid w:val="008E4DAF"/>
    <w:rsid w:val="008E603E"/>
    <w:rsid w:val="008E7B03"/>
    <w:rsid w:val="008E7CA8"/>
    <w:rsid w:val="008F0E91"/>
    <w:rsid w:val="008F22F5"/>
    <w:rsid w:val="008F351A"/>
    <w:rsid w:val="008F3642"/>
    <w:rsid w:val="008F39F6"/>
    <w:rsid w:val="008F44CF"/>
    <w:rsid w:val="008F5BE4"/>
    <w:rsid w:val="008F6272"/>
    <w:rsid w:val="008F74B1"/>
    <w:rsid w:val="008F75CF"/>
    <w:rsid w:val="009000F7"/>
    <w:rsid w:val="009024C2"/>
    <w:rsid w:val="00902EC7"/>
    <w:rsid w:val="00903473"/>
    <w:rsid w:val="009047FF"/>
    <w:rsid w:val="00906E74"/>
    <w:rsid w:val="0091055A"/>
    <w:rsid w:val="00915A83"/>
    <w:rsid w:val="00917711"/>
    <w:rsid w:val="00917DF1"/>
    <w:rsid w:val="0092038C"/>
    <w:rsid w:val="00926646"/>
    <w:rsid w:val="00927DE5"/>
    <w:rsid w:val="00931789"/>
    <w:rsid w:val="00931DB9"/>
    <w:rsid w:val="0093299E"/>
    <w:rsid w:val="00933179"/>
    <w:rsid w:val="00933B14"/>
    <w:rsid w:val="00934FF8"/>
    <w:rsid w:val="00940A0D"/>
    <w:rsid w:val="00940CAD"/>
    <w:rsid w:val="0094245D"/>
    <w:rsid w:val="00943A91"/>
    <w:rsid w:val="00945804"/>
    <w:rsid w:val="00946E08"/>
    <w:rsid w:val="00947EC4"/>
    <w:rsid w:val="00947FB9"/>
    <w:rsid w:val="00951DC2"/>
    <w:rsid w:val="009557B4"/>
    <w:rsid w:val="00955BCB"/>
    <w:rsid w:val="00955D1B"/>
    <w:rsid w:val="009563C3"/>
    <w:rsid w:val="009566DE"/>
    <w:rsid w:val="00961254"/>
    <w:rsid w:val="00962979"/>
    <w:rsid w:val="00962DA1"/>
    <w:rsid w:val="009631B9"/>
    <w:rsid w:val="00964412"/>
    <w:rsid w:val="00965576"/>
    <w:rsid w:val="00970971"/>
    <w:rsid w:val="00970F85"/>
    <w:rsid w:val="0097189A"/>
    <w:rsid w:val="00971C56"/>
    <w:rsid w:val="00972215"/>
    <w:rsid w:val="009747FF"/>
    <w:rsid w:val="00983406"/>
    <w:rsid w:val="00984687"/>
    <w:rsid w:val="00984F1B"/>
    <w:rsid w:val="0098641A"/>
    <w:rsid w:val="00986A81"/>
    <w:rsid w:val="0099201B"/>
    <w:rsid w:val="009942DA"/>
    <w:rsid w:val="00995EF7"/>
    <w:rsid w:val="009973C4"/>
    <w:rsid w:val="00997702"/>
    <w:rsid w:val="009A0CDD"/>
    <w:rsid w:val="009A13A1"/>
    <w:rsid w:val="009A5BB2"/>
    <w:rsid w:val="009A68EB"/>
    <w:rsid w:val="009B02F4"/>
    <w:rsid w:val="009B0978"/>
    <w:rsid w:val="009B142A"/>
    <w:rsid w:val="009B3324"/>
    <w:rsid w:val="009B4A8D"/>
    <w:rsid w:val="009B4DC5"/>
    <w:rsid w:val="009B5973"/>
    <w:rsid w:val="009C30E8"/>
    <w:rsid w:val="009C48E8"/>
    <w:rsid w:val="009C49CA"/>
    <w:rsid w:val="009C563A"/>
    <w:rsid w:val="009C5A3F"/>
    <w:rsid w:val="009C63EC"/>
    <w:rsid w:val="009D4866"/>
    <w:rsid w:val="009D6561"/>
    <w:rsid w:val="009E380F"/>
    <w:rsid w:val="009E4302"/>
    <w:rsid w:val="009E45D9"/>
    <w:rsid w:val="009E4BA2"/>
    <w:rsid w:val="009E4F07"/>
    <w:rsid w:val="009E54BF"/>
    <w:rsid w:val="009E7653"/>
    <w:rsid w:val="009F09FF"/>
    <w:rsid w:val="009F0FB5"/>
    <w:rsid w:val="009F1002"/>
    <w:rsid w:val="009F46FA"/>
    <w:rsid w:val="009F6A61"/>
    <w:rsid w:val="009F7028"/>
    <w:rsid w:val="00A00A07"/>
    <w:rsid w:val="00A011EB"/>
    <w:rsid w:val="00A01BCE"/>
    <w:rsid w:val="00A03617"/>
    <w:rsid w:val="00A06950"/>
    <w:rsid w:val="00A10CF4"/>
    <w:rsid w:val="00A1683B"/>
    <w:rsid w:val="00A20210"/>
    <w:rsid w:val="00A21C9D"/>
    <w:rsid w:val="00A22D86"/>
    <w:rsid w:val="00A2694B"/>
    <w:rsid w:val="00A331B9"/>
    <w:rsid w:val="00A334F6"/>
    <w:rsid w:val="00A33890"/>
    <w:rsid w:val="00A353FE"/>
    <w:rsid w:val="00A35F2F"/>
    <w:rsid w:val="00A373B7"/>
    <w:rsid w:val="00A429A5"/>
    <w:rsid w:val="00A42E65"/>
    <w:rsid w:val="00A4501B"/>
    <w:rsid w:val="00A45172"/>
    <w:rsid w:val="00A46222"/>
    <w:rsid w:val="00A47838"/>
    <w:rsid w:val="00A505BB"/>
    <w:rsid w:val="00A507AD"/>
    <w:rsid w:val="00A53915"/>
    <w:rsid w:val="00A5406D"/>
    <w:rsid w:val="00A54341"/>
    <w:rsid w:val="00A55F1B"/>
    <w:rsid w:val="00A613C2"/>
    <w:rsid w:val="00A6263C"/>
    <w:rsid w:val="00A63638"/>
    <w:rsid w:val="00A66D78"/>
    <w:rsid w:val="00A67BB5"/>
    <w:rsid w:val="00A738E8"/>
    <w:rsid w:val="00A76F4A"/>
    <w:rsid w:val="00A82612"/>
    <w:rsid w:val="00A85F9B"/>
    <w:rsid w:val="00A86376"/>
    <w:rsid w:val="00A93986"/>
    <w:rsid w:val="00A94E52"/>
    <w:rsid w:val="00A95CF7"/>
    <w:rsid w:val="00AA2D23"/>
    <w:rsid w:val="00AA5C96"/>
    <w:rsid w:val="00AA67C4"/>
    <w:rsid w:val="00AA7C79"/>
    <w:rsid w:val="00AB0210"/>
    <w:rsid w:val="00AB0872"/>
    <w:rsid w:val="00AB1539"/>
    <w:rsid w:val="00AB1AEE"/>
    <w:rsid w:val="00AB3A5A"/>
    <w:rsid w:val="00AC00F2"/>
    <w:rsid w:val="00AC0821"/>
    <w:rsid w:val="00AC082B"/>
    <w:rsid w:val="00AC5A11"/>
    <w:rsid w:val="00AC7F6C"/>
    <w:rsid w:val="00AD4A2F"/>
    <w:rsid w:val="00AD52FE"/>
    <w:rsid w:val="00AD74F2"/>
    <w:rsid w:val="00AD7B28"/>
    <w:rsid w:val="00AD7B93"/>
    <w:rsid w:val="00AE1B51"/>
    <w:rsid w:val="00AE2204"/>
    <w:rsid w:val="00AE2B61"/>
    <w:rsid w:val="00AE6E4D"/>
    <w:rsid w:val="00AE7021"/>
    <w:rsid w:val="00AE7D1A"/>
    <w:rsid w:val="00AF47E2"/>
    <w:rsid w:val="00AF621E"/>
    <w:rsid w:val="00B00D1C"/>
    <w:rsid w:val="00B01234"/>
    <w:rsid w:val="00B0280E"/>
    <w:rsid w:val="00B04AD1"/>
    <w:rsid w:val="00B05190"/>
    <w:rsid w:val="00B05CAC"/>
    <w:rsid w:val="00B07D57"/>
    <w:rsid w:val="00B1326D"/>
    <w:rsid w:val="00B13F44"/>
    <w:rsid w:val="00B146C4"/>
    <w:rsid w:val="00B1625E"/>
    <w:rsid w:val="00B165B5"/>
    <w:rsid w:val="00B20A38"/>
    <w:rsid w:val="00B2293A"/>
    <w:rsid w:val="00B25722"/>
    <w:rsid w:val="00B27F3B"/>
    <w:rsid w:val="00B30FFC"/>
    <w:rsid w:val="00B313BE"/>
    <w:rsid w:val="00B314D5"/>
    <w:rsid w:val="00B3317E"/>
    <w:rsid w:val="00B36B2C"/>
    <w:rsid w:val="00B41180"/>
    <w:rsid w:val="00B43C1E"/>
    <w:rsid w:val="00B46903"/>
    <w:rsid w:val="00B479F1"/>
    <w:rsid w:val="00B50954"/>
    <w:rsid w:val="00B530D9"/>
    <w:rsid w:val="00B53C9C"/>
    <w:rsid w:val="00B56133"/>
    <w:rsid w:val="00B57F8C"/>
    <w:rsid w:val="00B60EFA"/>
    <w:rsid w:val="00B64944"/>
    <w:rsid w:val="00B655B1"/>
    <w:rsid w:val="00B66AE3"/>
    <w:rsid w:val="00B70886"/>
    <w:rsid w:val="00B71235"/>
    <w:rsid w:val="00B722E8"/>
    <w:rsid w:val="00B732DA"/>
    <w:rsid w:val="00B77DEF"/>
    <w:rsid w:val="00B85109"/>
    <w:rsid w:val="00B86063"/>
    <w:rsid w:val="00B86B43"/>
    <w:rsid w:val="00B87F78"/>
    <w:rsid w:val="00B92335"/>
    <w:rsid w:val="00B929F4"/>
    <w:rsid w:val="00B9347C"/>
    <w:rsid w:val="00B959EF"/>
    <w:rsid w:val="00B96A48"/>
    <w:rsid w:val="00B96B78"/>
    <w:rsid w:val="00B97832"/>
    <w:rsid w:val="00BA3AC9"/>
    <w:rsid w:val="00BA44D9"/>
    <w:rsid w:val="00BA5595"/>
    <w:rsid w:val="00BA68C8"/>
    <w:rsid w:val="00BB0324"/>
    <w:rsid w:val="00BB137D"/>
    <w:rsid w:val="00BB5FE9"/>
    <w:rsid w:val="00BB63E2"/>
    <w:rsid w:val="00BC138B"/>
    <w:rsid w:val="00BC1F96"/>
    <w:rsid w:val="00BC4B30"/>
    <w:rsid w:val="00BC54CE"/>
    <w:rsid w:val="00BC5F4A"/>
    <w:rsid w:val="00BC64C9"/>
    <w:rsid w:val="00BC697F"/>
    <w:rsid w:val="00BC7F96"/>
    <w:rsid w:val="00BD0030"/>
    <w:rsid w:val="00BD3939"/>
    <w:rsid w:val="00BD4055"/>
    <w:rsid w:val="00BE2967"/>
    <w:rsid w:val="00BE3D69"/>
    <w:rsid w:val="00BE4D45"/>
    <w:rsid w:val="00BE6B2A"/>
    <w:rsid w:val="00BF0069"/>
    <w:rsid w:val="00BF0CD0"/>
    <w:rsid w:val="00BF378A"/>
    <w:rsid w:val="00BF44FF"/>
    <w:rsid w:val="00C018AF"/>
    <w:rsid w:val="00C07F73"/>
    <w:rsid w:val="00C112F5"/>
    <w:rsid w:val="00C12CBE"/>
    <w:rsid w:val="00C1395F"/>
    <w:rsid w:val="00C1528A"/>
    <w:rsid w:val="00C16BF1"/>
    <w:rsid w:val="00C2162B"/>
    <w:rsid w:val="00C23E38"/>
    <w:rsid w:val="00C251AC"/>
    <w:rsid w:val="00C26CA3"/>
    <w:rsid w:val="00C27BDA"/>
    <w:rsid w:val="00C31B0C"/>
    <w:rsid w:val="00C35801"/>
    <w:rsid w:val="00C36E43"/>
    <w:rsid w:val="00C37C2C"/>
    <w:rsid w:val="00C37C6C"/>
    <w:rsid w:val="00C4148E"/>
    <w:rsid w:val="00C41589"/>
    <w:rsid w:val="00C41B43"/>
    <w:rsid w:val="00C442F8"/>
    <w:rsid w:val="00C451A6"/>
    <w:rsid w:val="00C45737"/>
    <w:rsid w:val="00C463C3"/>
    <w:rsid w:val="00C46D08"/>
    <w:rsid w:val="00C507E8"/>
    <w:rsid w:val="00C51697"/>
    <w:rsid w:val="00C51AD9"/>
    <w:rsid w:val="00C55940"/>
    <w:rsid w:val="00C56021"/>
    <w:rsid w:val="00C61639"/>
    <w:rsid w:val="00C621C3"/>
    <w:rsid w:val="00C64520"/>
    <w:rsid w:val="00C6781C"/>
    <w:rsid w:val="00C71765"/>
    <w:rsid w:val="00C73F23"/>
    <w:rsid w:val="00C75BA7"/>
    <w:rsid w:val="00C76430"/>
    <w:rsid w:val="00C774F0"/>
    <w:rsid w:val="00C77D1F"/>
    <w:rsid w:val="00C85AFD"/>
    <w:rsid w:val="00C85C5A"/>
    <w:rsid w:val="00C85E57"/>
    <w:rsid w:val="00C87375"/>
    <w:rsid w:val="00C90A62"/>
    <w:rsid w:val="00C91649"/>
    <w:rsid w:val="00C94E09"/>
    <w:rsid w:val="00C9559A"/>
    <w:rsid w:val="00C9608C"/>
    <w:rsid w:val="00CA1C51"/>
    <w:rsid w:val="00CA1DD8"/>
    <w:rsid w:val="00CA22CA"/>
    <w:rsid w:val="00CA29E9"/>
    <w:rsid w:val="00CA35C4"/>
    <w:rsid w:val="00CA3D13"/>
    <w:rsid w:val="00CA6D2B"/>
    <w:rsid w:val="00CB2601"/>
    <w:rsid w:val="00CB2C8B"/>
    <w:rsid w:val="00CB4C13"/>
    <w:rsid w:val="00CB51BF"/>
    <w:rsid w:val="00CB5928"/>
    <w:rsid w:val="00CC10C8"/>
    <w:rsid w:val="00CC1958"/>
    <w:rsid w:val="00CC4A49"/>
    <w:rsid w:val="00CC4D57"/>
    <w:rsid w:val="00CD303F"/>
    <w:rsid w:val="00CD4021"/>
    <w:rsid w:val="00CD42CC"/>
    <w:rsid w:val="00CD47A0"/>
    <w:rsid w:val="00CD498A"/>
    <w:rsid w:val="00CD7544"/>
    <w:rsid w:val="00CD7F31"/>
    <w:rsid w:val="00CE0A95"/>
    <w:rsid w:val="00CE3BCA"/>
    <w:rsid w:val="00CE3C2A"/>
    <w:rsid w:val="00CF065E"/>
    <w:rsid w:val="00CF1110"/>
    <w:rsid w:val="00CF3F54"/>
    <w:rsid w:val="00CF487B"/>
    <w:rsid w:val="00CF725C"/>
    <w:rsid w:val="00D000A1"/>
    <w:rsid w:val="00D02874"/>
    <w:rsid w:val="00D03796"/>
    <w:rsid w:val="00D125BB"/>
    <w:rsid w:val="00D12A46"/>
    <w:rsid w:val="00D13503"/>
    <w:rsid w:val="00D13E5C"/>
    <w:rsid w:val="00D22630"/>
    <w:rsid w:val="00D22A61"/>
    <w:rsid w:val="00D260EC"/>
    <w:rsid w:val="00D2721E"/>
    <w:rsid w:val="00D31601"/>
    <w:rsid w:val="00D323A1"/>
    <w:rsid w:val="00D32681"/>
    <w:rsid w:val="00D33BC7"/>
    <w:rsid w:val="00D344BE"/>
    <w:rsid w:val="00D3545F"/>
    <w:rsid w:val="00D357F7"/>
    <w:rsid w:val="00D35C0E"/>
    <w:rsid w:val="00D37187"/>
    <w:rsid w:val="00D40DC3"/>
    <w:rsid w:val="00D40F04"/>
    <w:rsid w:val="00D4184B"/>
    <w:rsid w:val="00D432DD"/>
    <w:rsid w:val="00D454B6"/>
    <w:rsid w:val="00D45C1C"/>
    <w:rsid w:val="00D46240"/>
    <w:rsid w:val="00D470A9"/>
    <w:rsid w:val="00D500FE"/>
    <w:rsid w:val="00D52C8D"/>
    <w:rsid w:val="00D53CEC"/>
    <w:rsid w:val="00D55BEE"/>
    <w:rsid w:val="00D562E2"/>
    <w:rsid w:val="00D569BC"/>
    <w:rsid w:val="00D56F9C"/>
    <w:rsid w:val="00D57FEA"/>
    <w:rsid w:val="00D61AD9"/>
    <w:rsid w:val="00D63ACC"/>
    <w:rsid w:val="00D65E15"/>
    <w:rsid w:val="00D6699B"/>
    <w:rsid w:val="00D67BB5"/>
    <w:rsid w:val="00D732B0"/>
    <w:rsid w:val="00D7536C"/>
    <w:rsid w:val="00D768F3"/>
    <w:rsid w:val="00D76A39"/>
    <w:rsid w:val="00D76B52"/>
    <w:rsid w:val="00D8031C"/>
    <w:rsid w:val="00D8129A"/>
    <w:rsid w:val="00D826EB"/>
    <w:rsid w:val="00D82B87"/>
    <w:rsid w:val="00D84553"/>
    <w:rsid w:val="00D86049"/>
    <w:rsid w:val="00D86452"/>
    <w:rsid w:val="00D86BC1"/>
    <w:rsid w:val="00D8792B"/>
    <w:rsid w:val="00D9161D"/>
    <w:rsid w:val="00D92B12"/>
    <w:rsid w:val="00D95AF7"/>
    <w:rsid w:val="00D95F23"/>
    <w:rsid w:val="00D96A5C"/>
    <w:rsid w:val="00D977B8"/>
    <w:rsid w:val="00D97CF3"/>
    <w:rsid w:val="00DA1BC3"/>
    <w:rsid w:val="00DA1C91"/>
    <w:rsid w:val="00DA4414"/>
    <w:rsid w:val="00DA5D8A"/>
    <w:rsid w:val="00DB26EB"/>
    <w:rsid w:val="00DB2C1C"/>
    <w:rsid w:val="00DB3551"/>
    <w:rsid w:val="00DB3BED"/>
    <w:rsid w:val="00DB4EBF"/>
    <w:rsid w:val="00DB54A8"/>
    <w:rsid w:val="00DB7E32"/>
    <w:rsid w:val="00DC45F2"/>
    <w:rsid w:val="00DC5DDC"/>
    <w:rsid w:val="00DC6CBD"/>
    <w:rsid w:val="00DC6CFB"/>
    <w:rsid w:val="00DC7DA9"/>
    <w:rsid w:val="00DD1319"/>
    <w:rsid w:val="00DD3A01"/>
    <w:rsid w:val="00DD6B07"/>
    <w:rsid w:val="00DD70EB"/>
    <w:rsid w:val="00DE128E"/>
    <w:rsid w:val="00DE17AC"/>
    <w:rsid w:val="00DE28C9"/>
    <w:rsid w:val="00DE55CA"/>
    <w:rsid w:val="00DE574F"/>
    <w:rsid w:val="00DE67E9"/>
    <w:rsid w:val="00DF428C"/>
    <w:rsid w:val="00E03A0B"/>
    <w:rsid w:val="00E03DE3"/>
    <w:rsid w:val="00E06064"/>
    <w:rsid w:val="00E071F8"/>
    <w:rsid w:val="00E1000B"/>
    <w:rsid w:val="00E118E3"/>
    <w:rsid w:val="00E13D2C"/>
    <w:rsid w:val="00E13DCA"/>
    <w:rsid w:val="00E15B54"/>
    <w:rsid w:val="00E17372"/>
    <w:rsid w:val="00E20BC3"/>
    <w:rsid w:val="00E215C4"/>
    <w:rsid w:val="00E21AF3"/>
    <w:rsid w:val="00E2281A"/>
    <w:rsid w:val="00E251FD"/>
    <w:rsid w:val="00E30535"/>
    <w:rsid w:val="00E314DD"/>
    <w:rsid w:val="00E35217"/>
    <w:rsid w:val="00E4007F"/>
    <w:rsid w:val="00E40C2D"/>
    <w:rsid w:val="00E42A29"/>
    <w:rsid w:val="00E42BE3"/>
    <w:rsid w:val="00E45180"/>
    <w:rsid w:val="00E467F3"/>
    <w:rsid w:val="00E50E44"/>
    <w:rsid w:val="00E50EA6"/>
    <w:rsid w:val="00E51BEC"/>
    <w:rsid w:val="00E5292D"/>
    <w:rsid w:val="00E532AD"/>
    <w:rsid w:val="00E532C1"/>
    <w:rsid w:val="00E56DE5"/>
    <w:rsid w:val="00E575E2"/>
    <w:rsid w:val="00E57DB6"/>
    <w:rsid w:val="00E6158D"/>
    <w:rsid w:val="00E63257"/>
    <w:rsid w:val="00E65512"/>
    <w:rsid w:val="00E65E58"/>
    <w:rsid w:val="00E66865"/>
    <w:rsid w:val="00E67099"/>
    <w:rsid w:val="00E706F0"/>
    <w:rsid w:val="00E71F52"/>
    <w:rsid w:val="00E722E9"/>
    <w:rsid w:val="00E737C0"/>
    <w:rsid w:val="00E76558"/>
    <w:rsid w:val="00E80DE8"/>
    <w:rsid w:val="00E82301"/>
    <w:rsid w:val="00E8295C"/>
    <w:rsid w:val="00E83D9C"/>
    <w:rsid w:val="00E83EAD"/>
    <w:rsid w:val="00E851DF"/>
    <w:rsid w:val="00E878BC"/>
    <w:rsid w:val="00E91357"/>
    <w:rsid w:val="00E94016"/>
    <w:rsid w:val="00E95AF2"/>
    <w:rsid w:val="00EA111B"/>
    <w:rsid w:val="00EA1F48"/>
    <w:rsid w:val="00EA34CF"/>
    <w:rsid w:val="00EA6E3D"/>
    <w:rsid w:val="00EB013B"/>
    <w:rsid w:val="00EB092E"/>
    <w:rsid w:val="00EB098E"/>
    <w:rsid w:val="00EB1BAC"/>
    <w:rsid w:val="00EB2EAD"/>
    <w:rsid w:val="00EB39E1"/>
    <w:rsid w:val="00EB479A"/>
    <w:rsid w:val="00EB4B58"/>
    <w:rsid w:val="00EB7B59"/>
    <w:rsid w:val="00EC0C6F"/>
    <w:rsid w:val="00EC2B9B"/>
    <w:rsid w:val="00EC3CAE"/>
    <w:rsid w:val="00EC7CCE"/>
    <w:rsid w:val="00EC7FD3"/>
    <w:rsid w:val="00ED246C"/>
    <w:rsid w:val="00ED3625"/>
    <w:rsid w:val="00ED5182"/>
    <w:rsid w:val="00ED6C0E"/>
    <w:rsid w:val="00ED7AB3"/>
    <w:rsid w:val="00EE1211"/>
    <w:rsid w:val="00EE17B3"/>
    <w:rsid w:val="00EE19BA"/>
    <w:rsid w:val="00EE307A"/>
    <w:rsid w:val="00EE3344"/>
    <w:rsid w:val="00EE7777"/>
    <w:rsid w:val="00EF1221"/>
    <w:rsid w:val="00EF2189"/>
    <w:rsid w:val="00EF422F"/>
    <w:rsid w:val="00EF42E2"/>
    <w:rsid w:val="00EF6324"/>
    <w:rsid w:val="00EF6878"/>
    <w:rsid w:val="00EF7430"/>
    <w:rsid w:val="00F00411"/>
    <w:rsid w:val="00F02F01"/>
    <w:rsid w:val="00F046C7"/>
    <w:rsid w:val="00F04DC4"/>
    <w:rsid w:val="00F067C0"/>
    <w:rsid w:val="00F10316"/>
    <w:rsid w:val="00F11716"/>
    <w:rsid w:val="00F16253"/>
    <w:rsid w:val="00F163CB"/>
    <w:rsid w:val="00F17055"/>
    <w:rsid w:val="00F171CB"/>
    <w:rsid w:val="00F17BA0"/>
    <w:rsid w:val="00F20F32"/>
    <w:rsid w:val="00F230EA"/>
    <w:rsid w:val="00F238BA"/>
    <w:rsid w:val="00F26535"/>
    <w:rsid w:val="00F30057"/>
    <w:rsid w:val="00F34495"/>
    <w:rsid w:val="00F34C67"/>
    <w:rsid w:val="00F36178"/>
    <w:rsid w:val="00F364DB"/>
    <w:rsid w:val="00F36654"/>
    <w:rsid w:val="00F41692"/>
    <w:rsid w:val="00F4244D"/>
    <w:rsid w:val="00F4352C"/>
    <w:rsid w:val="00F4417B"/>
    <w:rsid w:val="00F4574E"/>
    <w:rsid w:val="00F50EB0"/>
    <w:rsid w:val="00F51790"/>
    <w:rsid w:val="00F52790"/>
    <w:rsid w:val="00F52B08"/>
    <w:rsid w:val="00F52BB3"/>
    <w:rsid w:val="00F53145"/>
    <w:rsid w:val="00F53844"/>
    <w:rsid w:val="00F53A33"/>
    <w:rsid w:val="00F600F1"/>
    <w:rsid w:val="00F64998"/>
    <w:rsid w:val="00F71477"/>
    <w:rsid w:val="00F73FC2"/>
    <w:rsid w:val="00F7744B"/>
    <w:rsid w:val="00F841E6"/>
    <w:rsid w:val="00F91BF5"/>
    <w:rsid w:val="00F928A5"/>
    <w:rsid w:val="00F93855"/>
    <w:rsid w:val="00F978E6"/>
    <w:rsid w:val="00FA26D6"/>
    <w:rsid w:val="00FA4522"/>
    <w:rsid w:val="00FA58B9"/>
    <w:rsid w:val="00FA7536"/>
    <w:rsid w:val="00FB1387"/>
    <w:rsid w:val="00FB1C4D"/>
    <w:rsid w:val="00FB1E17"/>
    <w:rsid w:val="00FB4C0B"/>
    <w:rsid w:val="00FB6667"/>
    <w:rsid w:val="00FB7C7C"/>
    <w:rsid w:val="00FC04B3"/>
    <w:rsid w:val="00FC0E77"/>
    <w:rsid w:val="00FC20CD"/>
    <w:rsid w:val="00FC5ECF"/>
    <w:rsid w:val="00FC7DD3"/>
    <w:rsid w:val="00FD29EB"/>
    <w:rsid w:val="00FD308D"/>
    <w:rsid w:val="00FD710B"/>
    <w:rsid w:val="00FE4D5D"/>
    <w:rsid w:val="00FE5BED"/>
    <w:rsid w:val="00FE6362"/>
    <w:rsid w:val="00FE6B48"/>
    <w:rsid w:val="00FF0F18"/>
    <w:rsid w:val="00FF3768"/>
    <w:rsid w:val="00FF3D6D"/>
    <w:rsid w:val="00FF5227"/>
    <w:rsid w:val="00FF5DBB"/>
    <w:rsid w:val="00FF6330"/>
    <w:rsid w:val="00FF7105"/>
    <w:rsid w:val="00FF7589"/>
    <w:rsid w:val="04AC50F3"/>
    <w:rsid w:val="07BE1C3C"/>
    <w:rsid w:val="09F5CBB0"/>
    <w:rsid w:val="0C05A6C5"/>
    <w:rsid w:val="0CD41EBF"/>
    <w:rsid w:val="0CDADFD1"/>
    <w:rsid w:val="0D9C5F66"/>
    <w:rsid w:val="0E8B81A3"/>
    <w:rsid w:val="0F180FE3"/>
    <w:rsid w:val="12885BB8"/>
    <w:rsid w:val="16BF330A"/>
    <w:rsid w:val="17811559"/>
    <w:rsid w:val="1953FEF5"/>
    <w:rsid w:val="198A7A96"/>
    <w:rsid w:val="1BC0FF28"/>
    <w:rsid w:val="1D15D2A8"/>
    <w:rsid w:val="23A83998"/>
    <w:rsid w:val="2444F476"/>
    <w:rsid w:val="24B4403A"/>
    <w:rsid w:val="251370F6"/>
    <w:rsid w:val="282E75EB"/>
    <w:rsid w:val="283EB393"/>
    <w:rsid w:val="2953D467"/>
    <w:rsid w:val="29BD26BB"/>
    <w:rsid w:val="2A90B173"/>
    <w:rsid w:val="2D34C644"/>
    <w:rsid w:val="2DFF863A"/>
    <w:rsid w:val="30BD0AE8"/>
    <w:rsid w:val="31B3CC1F"/>
    <w:rsid w:val="3293C308"/>
    <w:rsid w:val="33B80F6E"/>
    <w:rsid w:val="34205871"/>
    <w:rsid w:val="345BC483"/>
    <w:rsid w:val="3646D732"/>
    <w:rsid w:val="37096792"/>
    <w:rsid w:val="39CC86C0"/>
    <w:rsid w:val="3B596D53"/>
    <w:rsid w:val="3CE557B3"/>
    <w:rsid w:val="3E528CB8"/>
    <w:rsid w:val="3EED0360"/>
    <w:rsid w:val="3FED7635"/>
    <w:rsid w:val="4158E6B1"/>
    <w:rsid w:val="41B3A9DD"/>
    <w:rsid w:val="432BBAD9"/>
    <w:rsid w:val="44E61BCA"/>
    <w:rsid w:val="45D7AD43"/>
    <w:rsid w:val="47B428E5"/>
    <w:rsid w:val="4B8EF7B2"/>
    <w:rsid w:val="4CA0231D"/>
    <w:rsid w:val="4D5A8052"/>
    <w:rsid w:val="4DB65DA6"/>
    <w:rsid w:val="4F47A123"/>
    <w:rsid w:val="4F54E284"/>
    <w:rsid w:val="517CBC75"/>
    <w:rsid w:val="532A924F"/>
    <w:rsid w:val="542AC687"/>
    <w:rsid w:val="546EE0F0"/>
    <w:rsid w:val="54DD4C47"/>
    <w:rsid w:val="56DF6A51"/>
    <w:rsid w:val="58937D51"/>
    <w:rsid w:val="589E8A35"/>
    <w:rsid w:val="5A0001D0"/>
    <w:rsid w:val="5E28BC41"/>
    <w:rsid w:val="6070C2C1"/>
    <w:rsid w:val="60820326"/>
    <w:rsid w:val="6254D03F"/>
    <w:rsid w:val="64A3A2AA"/>
    <w:rsid w:val="69FE6526"/>
    <w:rsid w:val="6A47C6E9"/>
    <w:rsid w:val="6C0ADE60"/>
    <w:rsid w:val="6C4DBC25"/>
    <w:rsid w:val="6D4C6FFA"/>
    <w:rsid w:val="6DECB496"/>
    <w:rsid w:val="70E3CE77"/>
    <w:rsid w:val="71E3E705"/>
    <w:rsid w:val="773DEE85"/>
    <w:rsid w:val="7825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555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D5D"/>
    <w:rPr>
      <w:sz w:val="20"/>
      <w:szCs w:val="20"/>
    </w:rPr>
  </w:style>
  <w:style w:type="character" w:styleId="FootnoteReference">
    <w:name w:val="footnote reference"/>
    <w:basedOn w:val="DefaultParagraphFont"/>
    <w:uiPriority w:val="99"/>
    <w:semiHidden/>
    <w:unhideWhenUsed/>
    <w:rsid w:val="00555D5D"/>
    <w:rPr>
      <w:vertAlign w:val="superscript"/>
    </w:rPr>
  </w:style>
  <w:style w:type="paragraph" w:styleId="Revision">
    <w:name w:val="Revision"/>
    <w:hidden/>
    <w:uiPriority w:val="99"/>
    <w:semiHidden/>
    <w:rsid w:val="001648A7"/>
    <w:pPr>
      <w:spacing w:after="0" w:line="240" w:lineRule="auto"/>
    </w:pPr>
  </w:style>
  <w:style w:type="character" w:styleId="Mention">
    <w:name w:val="Mention"/>
    <w:basedOn w:val="DefaultParagraphFont"/>
    <w:uiPriority w:val="99"/>
    <w:unhideWhenUsed/>
    <w:rsid w:val="00F928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decision-on-modifications-to-the-2021-2022-transmission-plan-study-nov-2024.pdf" TargetMode="External"/><Relationship Id="rId1" Type="http://schemas.openxmlformats.org/officeDocument/2006/relationships/hyperlink" Target="https://docs.cpuc.ca.gov/PublishedDocs/Published/G000/M599/K351/599351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9361a4848ac725140a62cde361257e5c">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f5724e2857eac49c12896fc581a2baf0"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2.xml><?xml version="1.0" encoding="utf-8"?>
<ds:datastoreItem xmlns:ds="http://schemas.openxmlformats.org/officeDocument/2006/customXml" ds:itemID="{3A4FE89E-A075-4933-8F6F-B11D840F3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4.xml><?xml version="1.0" encoding="utf-8"?>
<ds:datastoreItem xmlns:ds="http://schemas.openxmlformats.org/officeDocument/2006/customXml" ds:itemID="{F4AA1A7D-E8C9-4A21-8934-A9155F39E65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28</ap:Pages>
  <ap:Words>9862</ap:Words>
  <ap:Characters>56214</ap:Characters>
  <ap:Application>Microsoft Office Word</ap:Application>
  <ap:DocSecurity>0</ap:DocSecurity>
  <ap:Lines>468</ap:Lines>
  <ap:Paragraphs>131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65945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2026-02-25T04:03:00Z</cp:lastPrinted>
  <dcterms:created xsi:type="dcterms:W3CDTF">2026-10-14T08:48:08Z</dcterms:created>
  <dcterms:modified xsi:type="dcterms:W3CDTF">2026-10-14T08:48:08Z</dcterms:modified>
</cp:coreProperties>
</file>