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60421" w:rsidP="007E0FEE" w:rsidRDefault="00942963" w14:paraId="22D6524F" w14:textId="1903E955">
      <w:pPr>
        <w:tabs>
          <w:tab w:val="center" w:pos="4680"/>
          <w:tab w:val="right" w:pos="9360"/>
        </w:tabs>
        <w:spacing w:line="240" w:lineRule="auto"/>
        <w:ind w:firstLine="0"/>
      </w:pPr>
      <w:r>
        <w:t>ALJ</w:t>
      </w:r>
      <w:r w:rsidR="00DA7B5D">
        <w:t>/</w:t>
      </w:r>
      <w:r>
        <w:t>EC2</w:t>
      </w:r>
      <w:r w:rsidR="00DA7B5D">
        <w:t>/</w:t>
      </w:r>
      <w:r>
        <w:t>vj4</w:t>
      </w:r>
      <w:r w:rsidR="007E0FEE">
        <w:tab/>
      </w:r>
      <w:r w:rsidR="00DA7B5D">
        <w:tab/>
      </w:r>
      <w:r w:rsidR="00642F5F">
        <w:rPr>
          <w:b/>
        </w:rPr>
        <w:t>Date of Issuance 10/14/2026</w:t>
      </w:r>
    </w:p>
    <w:p w:rsidRPr="00EE4315" w:rsidR="00DA7B5D" w:rsidP="00632207" w:rsidRDefault="00DA7B5D" w14:paraId="1320597F" w14:textId="41793BB7">
      <w:pPr>
        <w:spacing w:line="240" w:lineRule="auto"/>
        <w:jc w:val="right"/>
        <w:rPr>
          <w:b/>
        </w:rPr>
      </w:pPr>
    </w:p>
    <w:p w:rsidR="00DA7B5D" w:rsidP="008F0116" w:rsidRDefault="00DA7B5D" w14:paraId="5B162AD6" w14:textId="77777777">
      <w:pPr>
        <w:ind w:firstLine="0"/>
      </w:pPr>
    </w:p>
    <w:p w:rsidRPr="00EE3060" w:rsidR="00DA7B5D" w:rsidP="0098655A" w:rsidRDefault="00DA7B5D" w14:paraId="7C763B71" w14:textId="1A72AE59">
      <w:pPr>
        <w:ind w:left="1080" w:hanging="1080"/>
      </w:pPr>
      <w:r>
        <w:t xml:space="preserve">Decision </w:t>
      </w:r>
      <w:r w:rsidR="00642F5F">
        <w:t>26-10-014  October 8, 2026</w:t>
      </w:r>
    </w:p>
    <w:p w:rsidR="00DA7B5D" w:rsidP="00BB0243" w:rsidRDefault="00DA7B5D" w14:paraId="5ED346E0" w14:textId="77777777">
      <w:pPr>
        <w:spacing w:line="240" w:lineRule="auto"/>
        <w:jc w:val="center"/>
        <w:rPr>
          <w:u w:val="single"/>
        </w:rPr>
      </w:pPr>
    </w:p>
    <w:p w:rsidR="00DA7B5D" w:rsidP="00BB0243" w:rsidRDefault="00DA7B5D" w14:paraId="6A52DDB5"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08105CE6"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3B6F3FBE" w14:textId="77777777">
        <w:trPr>
          <w:jc w:val="center"/>
        </w:trPr>
        <w:tc>
          <w:tcPr>
            <w:tcW w:w="5040" w:type="dxa"/>
            <w:tcBorders>
              <w:top w:val="nil"/>
              <w:left w:val="nil"/>
              <w:bottom w:val="single" w:color="auto" w:sz="4" w:space="0"/>
              <w:right w:val="single" w:color="auto" w:sz="4" w:space="0"/>
            </w:tcBorders>
          </w:tcPr>
          <w:p w:rsidR="00DA7B5D" w:rsidP="00C10B5F" w:rsidRDefault="007F507D" w14:paraId="78A987B9" w14:textId="77777777">
            <w:pPr>
              <w:spacing w:line="240" w:lineRule="auto"/>
              <w:ind w:firstLine="0"/>
              <w:rPr>
                <w:rFonts w:cs="Arial"/>
                <w:szCs w:val="26"/>
              </w:rPr>
            </w:pPr>
            <w:r w:rsidRPr="007F507D">
              <w:rPr>
                <w:rFonts w:cs="Arial"/>
                <w:szCs w:val="26"/>
              </w:rPr>
              <w:t>Application of Liberty Utilities (CalPeco Electric) LLC (U 933 E) for Authority to Update Rates Pursuant to its Energy Cost Adjustment Clause and its California Climate Credit, Effective January 1, 2026.</w:t>
            </w:r>
          </w:p>
          <w:p w:rsidRPr="00DA7B5D" w:rsidR="00942963" w:rsidP="00C10B5F" w:rsidRDefault="00942963" w14:paraId="76C8857F" w14:textId="12E29FCE">
            <w:pPr>
              <w:spacing w:line="240" w:lineRule="auto"/>
              <w:ind w:firstLine="0"/>
              <w:rPr>
                <w:rFonts w:cs="Arial"/>
                <w:szCs w:val="26"/>
              </w:rPr>
            </w:pPr>
          </w:p>
        </w:tc>
        <w:tc>
          <w:tcPr>
            <w:tcW w:w="5040" w:type="dxa"/>
            <w:tcBorders>
              <w:top w:val="nil"/>
              <w:left w:val="single" w:color="auto" w:sz="4" w:space="0"/>
              <w:bottom w:val="nil"/>
              <w:right w:val="nil"/>
            </w:tcBorders>
            <w:vAlign w:val="center"/>
          </w:tcPr>
          <w:p w:rsidRPr="00DA7B5D" w:rsidR="00DA7B5D" w:rsidP="00412C83" w:rsidRDefault="007F507D" w14:paraId="05B63DD8" w14:textId="14245840">
            <w:pPr>
              <w:spacing w:line="240" w:lineRule="auto"/>
              <w:ind w:firstLine="0"/>
              <w:jc w:val="center"/>
              <w:rPr>
                <w:rFonts w:cs="Arial"/>
                <w:szCs w:val="26"/>
              </w:rPr>
            </w:pPr>
            <w:r>
              <w:rPr>
                <w:rFonts w:cs="Arial"/>
                <w:szCs w:val="26"/>
              </w:rPr>
              <w:t>A</w:t>
            </w:r>
            <w:r w:rsidR="00942963">
              <w:rPr>
                <w:rFonts w:cs="Arial"/>
                <w:szCs w:val="26"/>
              </w:rPr>
              <w:t xml:space="preserve">pplication </w:t>
            </w:r>
            <w:r>
              <w:rPr>
                <w:rFonts w:cs="Arial"/>
                <w:szCs w:val="26"/>
              </w:rPr>
              <w:t>25-10-010</w:t>
            </w:r>
          </w:p>
        </w:tc>
      </w:tr>
    </w:tbl>
    <w:p w:rsidR="00DA7B5D" w:rsidP="008F0116" w:rsidRDefault="00DA7B5D" w14:paraId="35ED1F4F" w14:textId="77777777">
      <w:pPr>
        <w:spacing w:line="240" w:lineRule="auto"/>
        <w:ind w:firstLine="0"/>
        <w:rPr>
          <w:rFonts w:ascii="Arial" w:hAnsi="Arial" w:cs="Arial"/>
          <w:sz w:val="24"/>
          <w:szCs w:val="24"/>
        </w:rPr>
      </w:pPr>
    </w:p>
    <w:p w:rsidR="00DA7B5D" w:rsidP="008F0116" w:rsidRDefault="00DA7B5D" w14:paraId="64D6F7E2" w14:textId="77777777">
      <w:pPr>
        <w:spacing w:line="240" w:lineRule="auto"/>
        <w:ind w:firstLine="0"/>
        <w:rPr>
          <w:rFonts w:ascii="Arial" w:hAnsi="Arial" w:cs="Arial"/>
          <w:sz w:val="24"/>
          <w:szCs w:val="24"/>
        </w:rPr>
      </w:pPr>
    </w:p>
    <w:p w:rsidR="0098655A" w:rsidP="00D82A43" w:rsidRDefault="0009598D" w14:paraId="3F667E21" w14:textId="71D66BA0">
      <w:pPr>
        <w:pStyle w:val="Main"/>
        <w:spacing w:after="240"/>
      </w:pPr>
      <w:r>
        <w:t xml:space="preserve">DECISION APPROVING LIBERTY’S </w:t>
      </w:r>
      <w:r w:rsidR="004538F0">
        <w:t xml:space="preserve">energy cost </w:t>
      </w:r>
      <w:r w:rsidR="002171DC">
        <w:t>adjustment clause AND CALIFORNIA CLIMATE CREDIT FOR 2026</w:t>
      </w:r>
    </w:p>
    <w:p w:rsidR="005A148C" w:rsidP="005A148C" w:rsidRDefault="005A148C" w14:paraId="5A017EDF" w14:textId="77777777">
      <w:pPr>
        <w:pStyle w:val="Dummy"/>
      </w:pPr>
      <w:bookmarkStart w:name="_Toc8123714" w:id="0"/>
      <w:bookmarkStart w:name="_Toc133843842" w:id="1"/>
      <w:r>
        <w:t>Summary</w:t>
      </w:r>
      <w:bookmarkEnd w:id="0"/>
      <w:bookmarkEnd w:id="1"/>
    </w:p>
    <w:p w:rsidR="00E03033" w:rsidP="00B4572E" w:rsidRDefault="00B4572E" w14:paraId="258FBABB" w14:textId="27794103">
      <w:pPr>
        <w:pStyle w:val="Standard"/>
      </w:pPr>
      <w:r>
        <w:t xml:space="preserve">This decision approves </w:t>
      </w:r>
      <w:r w:rsidR="004564BA">
        <w:t>Liberty Utilities (CalPeco Electric) LLC’s (</w:t>
      </w:r>
      <w:r>
        <w:t>Liberty</w:t>
      </w:r>
      <w:r w:rsidR="004564BA">
        <w:t>)</w:t>
      </w:r>
      <w:r>
        <w:t xml:space="preserve"> forecasted 2026 </w:t>
      </w:r>
      <w:r w:rsidR="004564BA">
        <w:t>Energy Cost Adjustment Clause (ECAC)</w:t>
      </w:r>
      <w:r>
        <w:t xml:space="preserve"> rate of $94.74/MWh</w:t>
      </w:r>
      <w:r w:rsidR="00E815C8">
        <w:t xml:space="preserve">, which is lower than </w:t>
      </w:r>
      <w:r w:rsidR="009576CB">
        <w:t>its</w:t>
      </w:r>
      <w:r w:rsidR="00E815C8">
        <w:t xml:space="preserve"> current ECAC rate of $96.57/MWh</w:t>
      </w:r>
      <w:r w:rsidR="004564BA">
        <w:t>.</w:t>
      </w:r>
      <w:r>
        <w:t xml:space="preserve"> </w:t>
      </w:r>
      <w:r w:rsidR="00E03033">
        <w:t xml:space="preserve"> </w:t>
      </w:r>
      <w:r w:rsidR="00203344">
        <w:t xml:space="preserve">The ECAC is a ratemaking mechanism that allows Liberty to periodically adjust rates to </w:t>
      </w:r>
      <w:r w:rsidR="00230DD7">
        <w:t xml:space="preserve">reflect </w:t>
      </w:r>
      <w:r w:rsidR="00BE5B21">
        <w:t xml:space="preserve">its </w:t>
      </w:r>
      <w:r w:rsidR="00203344">
        <w:t xml:space="preserve">actual fuel and purchased power costs so that customers pay rates that are aligned with </w:t>
      </w:r>
      <w:r w:rsidR="00230DD7">
        <w:t xml:space="preserve">the </w:t>
      </w:r>
      <w:r w:rsidR="00203344">
        <w:t>current energy supply costs.</w:t>
      </w:r>
      <w:r w:rsidR="00230DD7">
        <w:t xml:space="preserve">  </w:t>
      </w:r>
      <w:r w:rsidR="005A7267">
        <w:t xml:space="preserve">The ECAC rate is determined by the </w:t>
      </w:r>
      <w:r w:rsidR="00E353A8">
        <w:t xml:space="preserve">forecasted </w:t>
      </w:r>
      <w:r w:rsidR="00972AE3">
        <w:t>ECAC revenue requirement</w:t>
      </w:r>
      <w:r w:rsidR="005A7267">
        <w:t xml:space="preserve">.  This decision also approves Liberty’s forecasted </w:t>
      </w:r>
      <w:r w:rsidR="005D2DC3">
        <w:t>2026 ECAC revenue requirement</w:t>
      </w:r>
      <w:r w:rsidR="00C150B7">
        <w:t xml:space="preserve"> of $53.865 million</w:t>
      </w:r>
      <w:r w:rsidR="005A7267">
        <w:t>, which</w:t>
      </w:r>
      <w:r w:rsidR="005D2DC3">
        <w:t xml:space="preserve"> </w:t>
      </w:r>
      <w:r w:rsidR="00F775C2">
        <w:t xml:space="preserve">is 5.1% </w:t>
      </w:r>
      <w:r w:rsidR="00BA791C">
        <w:t>less than the</w:t>
      </w:r>
      <w:r w:rsidR="00F775C2">
        <w:t xml:space="preserve"> </w:t>
      </w:r>
      <w:r w:rsidR="000C4CD5">
        <w:t>currently authorized</w:t>
      </w:r>
      <w:r w:rsidR="00F775C2">
        <w:t xml:space="preserve"> ECAC revenue requirement</w:t>
      </w:r>
      <w:r w:rsidR="005D2DC3">
        <w:t xml:space="preserve"> of $56.782 million</w:t>
      </w:r>
      <w:r w:rsidR="00E25304">
        <w:t>.</w:t>
      </w:r>
      <w:r>
        <w:t xml:space="preserve"> </w:t>
      </w:r>
    </w:p>
    <w:p w:rsidR="00B4572E" w:rsidP="00B4572E" w:rsidRDefault="00490F20" w14:paraId="57B123B7" w14:textId="2F26979C">
      <w:pPr>
        <w:pStyle w:val="Standard"/>
      </w:pPr>
      <w:r>
        <w:t>Additionally, t</w:t>
      </w:r>
      <w:r w:rsidR="00B4572E">
        <w:t>his decision approves Liberty’s proposal to decrease its Carbon Pollution Permit Cost rate by</w:t>
      </w:r>
      <w:r w:rsidRPr="00D65F76" w:rsidR="00B4572E">
        <w:t xml:space="preserve"> $0.00448/kWh</w:t>
      </w:r>
      <w:r w:rsidR="00B4572E">
        <w:t xml:space="preserve"> and </w:t>
      </w:r>
      <w:r w:rsidR="0066122B">
        <w:t xml:space="preserve">to </w:t>
      </w:r>
      <w:r w:rsidR="00B4572E">
        <w:t xml:space="preserve">decrease </w:t>
      </w:r>
      <w:r w:rsidR="005E51FB">
        <w:t>the</w:t>
      </w:r>
      <w:r w:rsidR="00B4572E">
        <w:t xml:space="preserve"> semi-annual California Climate Credit for </w:t>
      </w:r>
      <w:r w:rsidR="005E51FB">
        <w:t xml:space="preserve">its </w:t>
      </w:r>
      <w:r w:rsidR="00B4572E">
        <w:t xml:space="preserve">residential and small business customers </w:t>
      </w:r>
      <w:r w:rsidR="005E51FB">
        <w:lastRenderedPageBreak/>
        <w:t xml:space="preserve">by $28.04 </w:t>
      </w:r>
      <w:r w:rsidR="00AF496D">
        <w:t>from the currently authorized credit of $71.98</w:t>
      </w:r>
      <w:r w:rsidR="00AB2ECF">
        <w:t xml:space="preserve">, </w:t>
      </w:r>
      <w:r w:rsidR="005E51FB">
        <w:t xml:space="preserve">setting the </w:t>
      </w:r>
      <w:r w:rsidR="00F7042A">
        <w:t>c</w:t>
      </w:r>
      <w:r w:rsidR="005E51FB">
        <w:t>redit</w:t>
      </w:r>
      <w:r w:rsidR="00AB2ECF">
        <w:t xml:space="preserve"> </w:t>
      </w:r>
      <w:r w:rsidR="00B4572E">
        <w:t xml:space="preserve">to $43.94.  </w:t>
      </w:r>
    </w:p>
    <w:p w:rsidR="0073353F" w:rsidP="006E6574" w:rsidRDefault="00A20F27" w14:paraId="31737171" w14:textId="596E6393">
      <w:pPr>
        <w:pStyle w:val="Standard"/>
      </w:pPr>
      <w:r>
        <w:t>This proceeding is closed.</w:t>
      </w:r>
    </w:p>
    <w:p w:rsidRPr="00121089" w:rsidR="005A148C" w:rsidP="00A55ACD" w:rsidRDefault="002C7FE9" w14:paraId="34D3D06C" w14:textId="77777777">
      <w:pPr>
        <w:pStyle w:val="Heading1"/>
        <w:numPr>
          <w:ilvl w:val="0"/>
          <w:numId w:val="1"/>
        </w:numPr>
      </w:pPr>
      <w:bookmarkStart w:name="_Toc8123715" w:id="2"/>
      <w:bookmarkStart w:name="_Toc133843843" w:id="3"/>
      <w:r w:rsidRPr="00121089">
        <w:t>Background</w:t>
      </w:r>
      <w:bookmarkEnd w:id="2"/>
      <w:bookmarkEnd w:id="3"/>
    </w:p>
    <w:p w:rsidR="00FF13A3" w:rsidP="006E6574" w:rsidRDefault="007D6AEA" w14:paraId="744E33D2" w14:textId="1278D87A">
      <w:pPr>
        <w:pStyle w:val="Standard"/>
      </w:pPr>
      <w:r>
        <w:t xml:space="preserve">On October 21, 2025, Liberty Utilities (CalPeco Electric) LLC (Liberty) </w:t>
      </w:r>
      <w:r w:rsidR="007D5DAF">
        <w:t>filed</w:t>
      </w:r>
      <w:r w:rsidR="003D13A6">
        <w:t xml:space="preserve"> this Application for authority to update </w:t>
      </w:r>
      <w:r w:rsidR="00F53C0C">
        <w:t xml:space="preserve">its electric rates pursuant to its Energy Cost </w:t>
      </w:r>
      <w:r w:rsidR="00127A45">
        <w:t xml:space="preserve">Adjustment Clause (ECAC) and </w:t>
      </w:r>
      <w:r w:rsidR="00A93CB1">
        <w:t xml:space="preserve">to update </w:t>
      </w:r>
      <w:r w:rsidR="00127A45">
        <w:t>its California Climate Credit</w:t>
      </w:r>
      <w:r w:rsidR="00643FAB">
        <w:t xml:space="preserve">, with an </w:t>
      </w:r>
      <w:r w:rsidR="00773239">
        <w:t xml:space="preserve">effective </w:t>
      </w:r>
      <w:r w:rsidR="00643FAB">
        <w:t xml:space="preserve">date of </w:t>
      </w:r>
      <w:r w:rsidR="00773239">
        <w:t xml:space="preserve">January 1, </w:t>
      </w:r>
      <w:r w:rsidR="00D552B6">
        <w:t>2026,</w:t>
      </w:r>
      <w:r w:rsidR="00643FAB">
        <w:t xml:space="preserve"> for both updates</w:t>
      </w:r>
      <w:r w:rsidR="00773239">
        <w:t xml:space="preserve">.  </w:t>
      </w:r>
    </w:p>
    <w:p w:rsidR="00BB5094" w:rsidP="006E6574" w:rsidRDefault="004365CB" w14:paraId="0618D02C" w14:textId="32004EFC">
      <w:pPr>
        <w:pStyle w:val="Standard"/>
      </w:pPr>
      <w:r>
        <w:t>Pursuant to Liberty</w:t>
      </w:r>
      <w:r w:rsidR="00267419">
        <w:t>’s</w:t>
      </w:r>
      <w:r>
        <w:t xml:space="preserve"> ECAC tariff</w:t>
      </w:r>
      <w:r w:rsidR="00AA4363">
        <w:t>,</w:t>
      </w:r>
      <w:r w:rsidR="00267419">
        <w:rPr>
          <w:rStyle w:val="FootnoteReference"/>
        </w:rPr>
        <w:footnoteReference w:id="2"/>
      </w:r>
      <w:r w:rsidR="00AA4363">
        <w:t xml:space="preserve"> Liberty must </w:t>
      </w:r>
      <w:r w:rsidR="005D79C4">
        <w:t>file an ECAC application when</w:t>
      </w:r>
      <w:r w:rsidR="00DE265D">
        <w:t xml:space="preserve"> </w:t>
      </w:r>
      <w:r w:rsidR="00391260">
        <w:t xml:space="preserve">it </w:t>
      </w:r>
      <w:r w:rsidR="007742A7">
        <w:t xml:space="preserve">expects </w:t>
      </w:r>
      <w:r w:rsidR="001F10AF">
        <w:t>total ECAC revenues</w:t>
      </w:r>
      <w:r w:rsidR="005D79C4">
        <w:t xml:space="preserve"> </w:t>
      </w:r>
      <w:r w:rsidR="007742A7">
        <w:t xml:space="preserve">to deviate </w:t>
      </w:r>
      <w:r w:rsidR="00331FB3">
        <w:t>by more than five per</w:t>
      </w:r>
      <w:r w:rsidR="00C57FF7">
        <w:t xml:space="preserve">cent compared to </w:t>
      </w:r>
      <w:r w:rsidR="009D3821">
        <w:t>the current ECAC revenues in any given year.</w:t>
      </w:r>
      <w:r w:rsidR="00F36FFF">
        <w:t xml:space="preserve">  Liberty is filing this Application </w:t>
      </w:r>
      <w:r w:rsidR="00876909">
        <w:t>for authority to set</w:t>
      </w:r>
      <w:r w:rsidR="00156A04">
        <w:t xml:space="preserve"> </w:t>
      </w:r>
      <w:r w:rsidR="00890EFE">
        <w:t>its</w:t>
      </w:r>
      <w:r w:rsidR="00156A04">
        <w:t xml:space="preserve"> 202</w:t>
      </w:r>
      <w:r w:rsidR="00463A31">
        <w:t>6</w:t>
      </w:r>
      <w:r w:rsidR="000D2187">
        <w:t xml:space="preserve"> ECAC revenue</w:t>
      </w:r>
      <w:r w:rsidR="00890EFE">
        <w:t xml:space="preserve"> requirement</w:t>
      </w:r>
      <w:r w:rsidR="000D2187">
        <w:t xml:space="preserve"> </w:t>
      </w:r>
      <w:r w:rsidR="00156A04">
        <w:t>to</w:t>
      </w:r>
      <w:r w:rsidR="000D2187">
        <w:t xml:space="preserve"> $53.865 million, </w:t>
      </w:r>
      <w:r w:rsidR="00EB7AE1">
        <w:t xml:space="preserve">which </w:t>
      </w:r>
      <w:r w:rsidR="00AF0003">
        <w:t>i</w:t>
      </w:r>
      <w:r w:rsidR="00EB7AE1">
        <w:t xml:space="preserve">s </w:t>
      </w:r>
      <w:r w:rsidR="00DC38DF">
        <w:t xml:space="preserve">5.1 percent </w:t>
      </w:r>
      <w:r w:rsidR="00463A31">
        <w:t xml:space="preserve">less than </w:t>
      </w:r>
      <w:r w:rsidR="00715568">
        <w:t>the</w:t>
      </w:r>
      <w:r w:rsidR="00305615">
        <w:t xml:space="preserve"> 2024</w:t>
      </w:r>
      <w:r w:rsidR="00715568">
        <w:t xml:space="preserve"> ECAC </w:t>
      </w:r>
      <w:r w:rsidR="00390A0B">
        <w:t>revenue requirement of $56.782 million</w:t>
      </w:r>
      <w:r w:rsidR="00305615">
        <w:t>.</w:t>
      </w:r>
      <w:r w:rsidR="00305615">
        <w:rPr>
          <w:rStyle w:val="FootnoteReference"/>
        </w:rPr>
        <w:footnoteReference w:id="3"/>
      </w:r>
      <w:r w:rsidR="00E219EF">
        <w:t xml:space="preserve"> </w:t>
      </w:r>
      <w:r w:rsidR="00187563">
        <w:t xml:space="preserve">  </w:t>
      </w:r>
      <w:r w:rsidR="00E219EF">
        <w:t xml:space="preserve">Given this </w:t>
      </w:r>
      <w:r w:rsidR="00C13A34">
        <w:t>revenue requirement, Liberty is requesting authority to set its forecasted 2026 ECAC rate to $94.74/MWh, which is l</w:t>
      </w:r>
      <w:r w:rsidR="008D2764">
        <w:t>ess</w:t>
      </w:r>
      <w:r w:rsidR="00C13A34">
        <w:t xml:space="preserve"> than its current ECAC rate of $96.57/MWh</w:t>
      </w:r>
      <w:r w:rsidR="00CB4CED">
        <w:t>, to be effective January 1, 2026 through December 31, 2027.</w:t>
      </w:r>
    </w:p>
    <w:p w:rsidR="002523A8" w:rsidP="006E6574" w:rsidRDefault="00F523CA" w14:paraId="0BB00E94" w14:textId="69AD143E">
      <w:pPr>
        <w:pStyle w:val="Standard"/>
      </w:pPr>
      <w:r>
        <w:t>Pursuant to D.14-10-033</w:t>
      </w:r>
      <w:r w:rsidR="002523A8">
        <w:t xml:space="preserve">, </w:t>
      </w:r>
      <w:r w:rsidR="00111234">
        <w:t>Liberty is also required to present testimony on greenhouse gas (GHG) costs and reco</w:t>
      </w:r>
      <w:r w:rsidR="001E1BCD">
        <w:t>nciliation</w:t>
      </w:r>
      <w:r w:rsidRPr="00F523CA">
        <w:t xml:space="preserve"> </w:t>
      </w:r>
      <w:r>
        <w:t>as part of its ECAC application</w:t>
      </w:r>
      <w:r w:rsidR="001E1BCD">
        <w:t xml:space="preserve">.  </w:t>
      </w:r>
      <w:r w:rsidR="00686B1C">
        <w:t xml:space="preserve">In this Application, </w:t>
      </w:r>
      <w:r w:rsidR="007C0BE2">
        <w:t>Liberty is seeking approval of its 2025 GHG cost</w:t>
      </w:r>
      <w:r w:rsidR="00BA11B3">
        <w:t>,</w:t>
      </w:r>
      <w:r w:rsidR="007C0BE2">
        <w:t xml:space="preserve"> </w:t>
      </w:r>
      <w:r w:rsidR="00A90400">
        <w:t xml:space="preserve">GHG </w:t>
      </w:r>
      <w:r w:rsidR="007C0BE2">
        <w:t>reven</w:t>
      </w:r>
      <w:r w:rsidR="00FB2698">
        <w:t>ue</w:t>
      </w:r>
      <w:r w:rsidR="007C0BE2">
        <w:t xml:space="preserve"> forecast</w:t>
      </w:r>
      <w:r w:rsidR="00BA11B3">
        <w:t>,</w:t>
      </w:r>
      <w:r w:rsidR="007C0BE2">
        <w:t xml:space="preserve"> and </w:t>
      </w:r>
      <w:r w:rsidR="00A90400">
        <w:t xml:space="preserve">GHG </w:t>
      </w:r>
      <w:r w:rsidR="007C0BE2">
        <w:t>reconciliation</w:t>
      </w:r>
      <w:r w:rsidR="007E2644">
        <w:t xml:space="preserve">.  </w:t>
      </w:r>
      <w:r w:rsidR="00F4506E">
        <w:t xml:space="preserve">With the updated GHG costs and forecasts, </w:t>
      </w:r>
      <w:r w:rsidR="007E2644">
        <w:t xml:space="preserve">Liberty </w:t>
      </w:r>
      <w:r w:rsidR="005E2836">
        <w:t xml:space="preserve">is also </w:t>
      </w:r>
      <w:r w:rsidR="007E2644">
        <w:t>request</w:t>
      </w:r>
      <w:r w:rsidR="005E2836">
        <w:t>ing</w:t>
      </w:r>
      <w:r w:rsidR="007E2644">
        <w:t xml:space="preserve"> autho</w:t>
      </w:r>
      <w:r w:rsidR="008E598E">
        <w:t>rity</w:t>
      </w:r>
      <w:r w:rsidR="00350855">
        <w:t xml:space="preserve"> to</w:t>
      </w:r>
      <w:r w:rsidR="00190DDB">
        <w:t xml:space="preserve"> </w:t>
      </w:r>
      <w:r w:rsidR="00925E93">
        <w:t>update</w:t>
      </w:r>
      <w:r w:rsidR="00350855">
        <w:t xml:space="preserve"> its California Climate Credit</w:t>
      </w:r>
      <w:r w:rsidR="00734E57">
        <w:t xml:space="preserve"> to be </w:t>
      </w:r>
      <w:r w:rsidR="00190DDB">
        <w:t>effective January 1, 2026.</w:t>
      </w:r>
    </w:p>
    <w:p w:rsidR="00681157" w:rsidP="006E6574" w:rsidRDefault="00681157" w14:paraId="1D043AFA" w14:textId="2C1E7DC0">
      <w:pPr>
        <w:pStyle w:val="Standard"/>
      </w:pPr>
      <w:r w:rsidRPr="00681157">
        <w:lastRenderedPageBreak/>
        <w:t>On November 24, 2025, the Public Advocates Office at the California Public Utilities Commission (Cal Advocates) filed a timely protest and A-3 Customer Coalition (A-3) filed a timely response to the Application.</w:t>
      </w:r>
      <w:r w:rsidR="00E70FF0">
        <w:t xml:space="preserve">  </w:t>
      </w:r>
      <w:r w:rsidR="00EC4D54">
        <w:t>On</w:t>
      </w:r>
      <w:r w:rsidRPr="00681157" w:rsidR="00EC4D54">
        <w:t xml:space="preserve"> January 7, 2026</w:t>
      </w:r>
      <w:r w:rsidR="00EC4D54">
        <w:t>, a</w:t>
      </w:r>
      <w:r w:rsidRPr="00681157">
        <w:t xml:space="preserve"> prehearing conference was held.</w:t>
      </w:r>
      <w:r>
        <w:t xml:space="preserve">  The Assigned Commissioner’s Scoping Memo and Ruling was issued on January 26, 2026.</w:t>
      </w:r>
      <w:r w:rsidR="005833A9">
        <w:t xml:space="preserve">  On June 10, 2026, Liberty and </w:t>
      </w:r>
      <w:r w:rsidR="00195015">
        <w:t xml:space="preserve">A-3 filed opening briefs.  On June 24, 2026, Cal Advocates filed </w:t>
      </w:r>
      <w:r w:rsidR="00034BA2">
        <w:t xml:space="preserve">a </w:t>
      </w:r>
      <w:r w:rsidR="00195015">
        <w:t>reply brief.</w:t>
      </w:r>
    </w:p>
    <w:p w:rsidR="007E2B86" w:rsidP="0063491C" w:rsidRDefault="001519F2" w14:paraId="6F40EE15" w14:textId="1DA0ADF5">
      <w:pPr>
        <w:pStyle w:val="Heading2"/>
      </w:pPr>
      <w:bookmarkStart w:name="_Toc8123716" w:id="4"/>
      <w:bookmarkStart w:name="_Toc133843844" w:id="5"/>
      <w:r>
        <w:t>Party Positions</w:t>
      </w:r>
    </w:p>
    <w:p w:rsidR="003E2E23" w:rsidP="007E2B86" w:rsidRDefault="00A14C5B" w14:paraId="1F8130D1" w14:textId="0B0EAB9A">
      <w:pPr>
        <w:pStyle w:val="Standard"/>
      </w:pPr>
      <w:r>
        <w:t xml:space="preserve">The </w:t>
      </w:r>
      <w:r w:rsidR="004C00A2">
        <w:t>parties do not oppose</w:t>
      </w:r>
      <w:r w:rsidR="008A7CA8">
        <w:t xml:space="preserve"> any of</w:t>
      </w:r>
      <w:r w:rsidR="001C3545">
        <w:t xml:space="preserve"> Liberty’s</w:t>
      </w:r>
      <w:r w:rsidR="008A7CA8">
        <w:t xml:space="preserve"> </w:t>
      </w:r>
      <w:r w:rsidR="00034BA2">
        <w:t xml:space="preserve">proposals </w:t>
      </w:r>
      <w:r w:rsidR="008A7CA8">
        <w:t>in this Application.</w:t>
      </w:r>
      <w:r>
        <w:t xml:space="preserve"> </w:t>
      </w:r>
      <w:r w:rsidR="007C60E6">
        <w:t xml:space="preserve"> </w:t>
      </w:r>
    </w:p>
    <w:p w:rsidR="007E2B86" w:rsidP="007E2B86" w:rsidRDefault="007C60E6" w14:paraId="3213824C" w14:textId="3D28D627">
      <w:pPr>
        <w:pStyle w:val="Standard"/>
      </w:pPr>
      <w:r>
        <w:t>Cal Advocates</w:t>
      </w:r>
      <w:r w:rsidR="00525339">
        <w:t>, a</w:t>
      </w:r>
      <w:r w:rsidR="003571EC">
        <w:t xml:space="preserve">fter </w:t>
      </w:r>
      <w:r w:rsidR="00062EB1">
        <w:t xml:space="preserve">conducting </w:t>
      </w:r>
      <w:r w:rsidR="003571EC">
        <w:t xml:space="preserve">a thorough review </w:t>
      </w:r>
      <w:r w:rsidR="00062EB1">
        <w:t>and analysis of Liberty’s proposals</w:t>
      </w:r>
      <w:r w:rsidRPr="00525339" w:rsidR="00525339">
        <w:t xml:space="preserve"> </w:t>
      </w:r>
      <w:r w:rsidR="00525339">
        <w:t>related to its forecasted 2026 ECAC rate and revenue requirement</w:t>
      </w:r>
      <w:r w:rsidR="00062EB1">
        <w:t xml:space="preserve">, </w:t>
      </w:r>
      <w:r w:rsidR="003E2E23">
        <w:t>Cal Advocates d</w:t>
      </w:r>
      <w:r w:rsidR="005C61F1">
        <w:t>oes</w:t>
      </w:r>
      <w:r w:rsidR="003E2E23">
        <w:t xml:space="preserve"> not </w:t>
      </w:r>
      <w:r w:rsidR="005C61F1">
        <w:t>find</w:t>
      </w:r>
      <w:r w:rsidR="003E2E23">
        <w:t xml:space="preserve"> any material errors </w:t>
      </w:r>
      <w:r w:rsidR="0029156B">
        <w:t xml:space="preserve">or </w:t>
      </w:r>
      <w:r w:rsidR="00C2152E">
        <w:t>imprudent</w:t>
      </w:r>
      <w:r w:rsidR="0029156B">
        <w:t xml:space="preserve"> costs</w:t>
      </w:r>
      <w:r w:rsidR="005C61F1">
        <w:t xml:space="preserve"> and </w:t>
      </w:r>
      <w:r w:rsidR="009F0400">
        <w:t xml:space="preserve">does not oppose Liberty’s </w:t>
      </w:r>
      <w:r w:rsidR="004755A9">
        <w:t>forecasted 2026 ECAC rate and revenue requirement</w:t>
      </w:r>
      <w:r w:rsidR="00FE6878">
        <w:t xml:space="preserve">.  </w:t>
      </w:r>
      <w:r w:rsidR="00483BB6">
        <w:t>Specifically, Cal Advocates evaluated Liberty’s forecasted fuel and purchased power costs, Liberty’s forecast inputs with a comparison to historical recorded costs and trends, the reasonableness of the methodology Liberty used to develop its forecast, Liberty’s ECAC balancing account activities, and Liberty’s rate calculations and amortization methodology</w:t>
      </w:r>
      <w:r w:rsidR="00D32551">
        <w:t>.  Cal Advocates</w:t>
      </w:r>
      <w:r w:rsidR="00F33F72">
        <w:t xml:space="preserve"> </w:t>
      </w:r>
      <w:r w:rsidR="00856F4C">
        <w:t>also does not oppose</w:t>
      </w:r>
      <w:r w:rsidR="002B52F0">
        <w:t xml:space="preserve"> Liberty’s proposals related to</w:t>
      </w:r>
      <w:r w:rsidR="007E026F">
        <w:t xml:space="preserve"> updating its </w:t>
      </w:r>
      <w:r w:rsidR="008024C3">
        <w:t xml:space="preserve">California Climate Credit and its </w:t>
      </w:r>
      <w:r w:rsidR="007E026F">
        <w:t>GHG costs and forecast</w:t>
      </w:r>
      <w:r w:rsidR="008024C3">
        <w:t>s</w:t>
      </w:r>
      <w:r w:rsidR="006567A5">
        <w:t>.</w:t>
      </w:r>
      <w:r w:rsidR="008E1EE9">
        <w:rPr>
          <w:rStyle w:val="FootnoteReference"/>
        </w:rPr>
        <w:footnoteReference w:id="4"/>
      </w:r>
    </w:p>
    <w:p w:rsidRPr="007E2B86" w:rsidR="00A2238E" w:rsidP="007E2B86" w:rsidRDefault="00446BB7" w14:paraId="257A6771" w14:textId="11434553">
      <w:pPr>
        <w:pStyle w:val="Standard"/>
      </w:pPr>
      <w:r>
        <w:t xml:space="preserve">A-3, after reviewing and </w:t>
      </w:r>
      <w:r w:rsidR="00110001">
        <w:t>analyzing</w:t>
      </w:r>
      <w:r>
        <w:t xml:space="preserve"> Liberty’s application and testimony, </w:t>
      </w:r>
      <w:r w:rsidR="008A10E1">
        <w:t>supports Liberty’s requests</w:t>
      </w:r>
      <w:r w:rsidR="00AE1570">
        <w:t xml:space="preserve"> in this Application</w:t>
      </w:r>
      <w:r w:rsidR="008A10E1">
        <w:t>.</w:t>
      </w:r>
      <w:r w:rsidR="008A10E1">
        <w:rPr>
          <w:rStyle w:val="FootnoteReference"/>
        </w:rPr>
        <w:footnoteReference w:id="5"/>
      </w:r>
    </w:p>
    <w:p w:rsidR="00683B2C" w:rsidP="00683B2C" w:rsidRDefault="00683B2C" w14:paraId="28D5603D" w14:textId="77777777">
      <w:pPr>
        <w:pStyle w:val="Heading2"/>
      </w:pPr>
      <w:bookmarkStart w:name="_Toc133843846" w:id="6"/>
      <w:bookmarkEnd w:id="4"/>
      <w:bookmarkEnd w:id="5"/>
      <w:r>
        <w:lastRenderedPageBreak/>
        <w:t>Submission Date</w:t>
      </w:r>
      <w:bookmarkEnd w:id="6"/>
    </w:p>
    <w:p w:rsidR="00683B2C" w:rsidP="00061163" w:rsidRDefault="00683B2C" w14:paraId="69832192" w14:textId="35394821">
      <w:pPr>
        <w:pStyle w:val="Standard"/>
      </w:pPr>
      <w:r w:rsidRPr="00FF0265">
        <w:t xml:space="preserve">This matter was submitted on </w:t>
      </w:r>
      <w:r w:rsidR="00AE1570">
        <w:t xml:space="preserve">June 24, </w:t>
      </w:r>
      <w:r w:rsidR="00B65044">
        <w:t>2026,</w:t>
      </w:r>
      <w:r w:rsidR="00AE1570">
        <w:t xml:space="preserve"> </w:t>
      </w:r>
      <w:r w:rsidRPr="00FF0265">
        <w:t xml:space="preserve">upon </w:t>
      </w:r>
      <w:r w:rsidR="000E41DA">
        <w:t>the</w:t>
      </w:r>
      <w:r>
        <w:t xml:space="preserve"> </w:t>
      </w:r>
      <w:r w:rsidRPr="00FF0265">
        <w:t xml:space="preserve">submission </w:t>
      </w:r>
      <w:r w:rsidR="007D3F3C">
        <w:t>of</w:t>
      </w:r>
      <w:r w:rsidRPr="00FF0265">
        <w:t xml:space="preserve"> reply briefs</w:t>
      </w:r>
      <w:r w:rsidR="00061163">
        <w:t>.</w:t>
      </w:r>
    </w:p>
    <w:p w:rsidR="005A148C" w:rsidP="005939A5" w:rsidRDefault="005939A5" w14:paraId="32F3F925" w14:textId="77777777">
      <w:pPr>
        <w:pStyle w:val="Heading1"/>
      </w:pPr>
      <w:bookmarkStart w:name="_Toc8123719" w:id="7"/>
      <w:bookmarkStart w:name="_Toc133843848" w:id="8"/>
      <w:r>
        <w:t xml:space="preserve">Issues Before the </w:t>
      </w:r>
      <w:bookmarkEnd w:id="7"/>
      <w:r w:rsidR="008A08BF">
        <w:t>Commission</w:t>
      </w:r>
      <w:bookmarkEnd w:id="8"/>
    </w:p>
    <w:p w:rsidR="005A2A21" w:rsidP="00A44E8D" w:rsidRDefault="005A2A21" w14:paraId="02700354" w14:textId="3E5CC970">
      <w:pPr>
        <w:pStyle w:val="Standard"/>
      </w:pPr>
      <w:r>
        <w:t xml:space="preserve">The issues </w:t>
      </w:r>
      <w:r w:rsidR="00610F5F">
        <w:t>addressed in this proceeding are:</w:t>
      </w:r>
    </w:p>
    <w:p w:rsidR="001973E2" w:rsidP="00610F5F" w:rsidRDefault="00610F5F" w14:paraId="75820EE5" w14:textId="52FD51EB">
      <w:pPr>
        <w:pStyle w:val="ListNum"/>
      </w:pPr>
      <w:r w:rsidRPr="00610F5F">
        <w:t xml:space="preserve">What the reasonable ECAC billing rate is. </w:t>
      </w:r>
    </w:p>
    <w:p w:rsidR="00E7393C" w:rsidP="00715B6A" w:rsidRDefault="00682E2F" w14:paraId="11D94455" w14:textId="77777777">
      <w:pPr>
        <w:pStyle w:val="ListAlpha"/>
        <w:ind w:left="1440" w:right="1440"/>
      </w:pPr>
      <w:r w:rsidRPr="00610F5F">
        <w:t xml:space="preserve">Whether the requested 2026 ECAC revenue requirement of $53.865 million is reasonable. </w:t>
      </w:r>
    </w:p>
    <w:p w:rsidR="001F5526" w:rsidP="00715B6A" w:rsidRDefault="00682E2F" w14:paraId="0DC551AA" w14:textId="77777777">
      <w:pPr>
        <w:pStyle w:val="ListAlpha"/>
        <w:ind w:left="1440" w:right="1440"/>
      </w:pPr>
      <w:r w:rsidRPr="00610F5F">
        <w:t>Whether the 2026 forecasted purchased power revenue requirement of $37.842 million is reasonable.</w:t>
      </w:r>
    </w:p>
    <w:p w:rsidR="002011C6" w:rsidP="00715B6A" w:rsidRDefault="00682E2F" w14:paraId="7D61FAE4" w14:textId="77777777">
      <w:pPr>
        <w:pStyle w:val="ListAlpha"/>
        <w:ind w:left="1440" w:right="1440"/>
      </w:pPr>
      <w:r w:rsidRPr="00610F5F">
        <w:t xml:space="preserve">What the reasonable ECAC offset rate is. </w:t>
      </w:r>
    </w:p>
    <w:p w:rsidR="003D5BD0" w:rsidP="00715B6A" w:rsidRDefault="00682E2F" w14:paraId="4F24D49C" w14:textId="77777777">
      <w:pPr>
        <w:pStyle w:val="ListAlpha"/>
        <w:ind w:left="1440" w:right="1440"/>
      </w:pPr>
      <w:r w:rsidRPr="00610F5F">
        <w:t xml:space="preserve">What the reasonable ECAC Balancing rate is. </w:t>
      </w:r>
    </w:p>
    <w:p w:rsidR="00682E2F" w:rsidP="00715B6A" w:rsidRDefault="00682E2F" w14:paraId="48225D22" w14:textId="60DE6711">
      <w:pPr>
        <w:pStyle w:val="ListAlpha"/>
        <w:ind w:left="1440" w:right="1440"/>
      </w:pPr>
      <w:r w:rsidRPr="00610F5F">
        <w:t>Whether the proposed amortization of the $32.047 million in under-collected balance in Liberty ECAC Balancing Account is reasonable.</w:t>
      </w:r>
    </w:p>
    <w:p w:rsidR="00F41902" w:rsidP="00715B6A" w:rsidRDefault="00610F5F" w14:paraId="189FFA57" w14:textId="77777777">
      <w:pPr>
        <w:pStyle w:val="ListNum"/>
        <w:ind w:right="1440"/>
      </w:pPr>
      <w:r w:rsidRPr="00610F5F">
        <w:t xml:space="preserve">Whether Liberty’s 2025 forecast of greenhouse gas (GHG) revenues and expenses and proposals are reasonable, including </w:t>
      </w:r>
    </w:p>
    <w:p w:rsidR="00AB3882" w:rsidP="00715B6A" w:rsidRDefault="00610F5F" w14:paraId="1FBCE9F6" w14:textId="77777777">
      <w:pPr>
        <w:pStyle w:val="ListAlpha"/>
        <w:ind w:left="1440" w:right="1440"/>
      </w:pPr>
      <w:r w:rsidRPr="00610F5F">
        <w:t xml:space="preserve">GHG allowance revenues, </w:t>
      </w:r>
    </w:p>
    <w:p w:rsidR="00AB3882" w:rsidP="00715B6A" w:rsidRDefault="00610F5F" w14:paraId="75B07553" w14:textId="77777777">
      <w:pPr>
        <w:pStyle w:val="ListAlpha"/>
        <w:ind w:left="1440" w:right="1440"/>
      </w:pPr>
      <w:r w:rsidRPr="00610F5F">
        <w:t xml:space="preserve">GHG allowance revenue for clean energy and energy efficiency programs, </w:t>
      </w:r>
    </w:p>
    <w:p w:rsidR="00B949F4" w:rsidP="00715B6A" w:rsidRDefault="00610F5F" w14:paraId="0E1FEBD2" w14:textId="77777777">
      <w:pPr>
        <w:pStyle w:val="ListAlpha"/>
        <w:ind w:left="1440" w:right="1440"/>
      </w:pPr>
      <w:r w:rsidRPr="00610F5F">
        <w:t xml:space="preserve">Forecasted GHG administration and customer outreach expenditures, and </w:t>
      </w:r>
    </w:p>
    <w:p w:rsidR="00AB3882" w:rsidP="00715B6A" w:rsidRDefault="00610F5F" w14:paraId="15C240AB" w14:textId="5ECA3353">
      <w:pPr>
        <w:pStyle w:val="ListAlpha"/>
        <w:ind w:left="1440" w:right="1440"/>
      </w:pPr>
      <w:r w:rsidRPr="00610F5F">
        <w:t xml:space="preserve">Liberty’s proposed GHG rates. </w:t>
      </w:r>
    </w:p>
    <w:p w:rsidR="00610F5F" w:rsidP="00715B6A" w:rsidRDefault="00610F5F" w14:paraId="46F97131" w14:textId="13B805C6">
      <w:pPr>
        <w:pStyle w:val="ListNum"/>
        <w:ind w:right="1440"/>
      </w:pPr>
      <w:r w:rsidRPr="00610F5F">
        <w:t>Whether Liberty’s forecasted 2026 California Climate Credit for eligible residential and small commercial customers is reasonable.</w:t>
      </w:r>
    </w:p>
    <w:p w:rsidR="00946923" w:rsidP="005939A5" w:rsidRDefault="00C10D8A" w14:paraId="4C72F5E4" w14:textId="02827423">
      <w:pPr>
        <w:pStyle w:val="Heading1"/>
      </w:pPr>
      <w:bookmarkStart w:name="_Toc8123720" w:id="9"/>
      <w:bookmarkStart w:name="_Toc133843849" w:id="10"/>
      <w:r>
        <w:t xml:space="preserve">Approving Liberty’s </w:t>
      </w:r>
      <w:r w:rsidR="00253379">
        <w:t>Proposals</w:t>
      </w:r>
    </w:p>
    <w:p w:rsidRPr="009F5E8E" w:rsidR="009F5E8E" w:rsidP="009F5E8E" w:rsidRDefault="009F5E8E" w14:paraId="58D5203D" w14:textId="793C724A">
      <w:pPr>
        <w:pStyle w:val="Standard"/>
      </w:pPr>
      <w:r>
        <w:t>This decision approves Liberty’s prop</w:t>
      </w:r>
      <w:r w:rsidR="00787F97">
        <w:t xml:space="preserve">osals related to </w:t>
      </w:r>
      <w:r w:rsidR="00B54B59">
        <w:t xml:space="preserve">a) </w:t>
      </w:r>
      <w:r w:rsidR="00787F97">
        <w:t xml:space="preserve">its forecasted 2026 ECAC billing rate and revenue requirement and </w:t>
      </w:r>
      <w:r w:rsidR="00B54B59">
        <w:t xml:space="preserve">b) </w:t>
      </w:r>
      <w:r w:rsidR="00777BA9">
        <w:t>the</w:t>
      </w:r>
      <w:r w:rsidR="008E5E93">
        <w:t xml:space="preserve"> California Climate Credit</w:t>
      </w:r>
      <w:r w:rsidR="00777BA9">
        <w:t xml:space="preserve"> </w:t>
      </w:r>
      <w:r w:rsidR="00777BA9">
        <w:lastRenderedPageBreak/>
        <w:t>for its customers in 2026</w:t>
      </w:r>
      <w:r w:rsidR="000E6BAE">
        <w:t xml:space="preserve"> and</w:t>
      </w:r>
      <w:r w:rsidR="008E5E93">
        <w:t xml:space="preserve"> </w:t>
      </w:r>
      <w:r w:rsidR="009359AF">
        <w:t>its</w:t>
      </w:r>
      <w:r w:rsidR="008E5E93">
        <w:t xml:space="preserve"> GHG costs and forecasts.</w:t>
      </w:r>
      <w:r w:rsidR="009359AF">
        <w:t xml:space="preserve">  We discuss e</w:t>
      </w:r>
      <w:r w:rsidR="00873CF7">
        <w:t xml:space="preserve">ach of Liberty’s </w:t>
      </w:r>
      <w:r w:rsidR="00945C2C">
        <w:t>proposal</w:t>
      </w:r>
      <w:r w:rsidR="00873CF7">
        <w:t>s in detail below.</w:t>
      </w:r>
    </w:p>
    <w:p w:rsidR="003813FC" w:rsidP="00946923" w:rsidRDefault="000A2E6F" w14:paraId="5112C83A" w14:textId="43C1E35A">
      <w:pPr>
        <w:pStyle w:val="Heading2"/>
      </w:pPr>
      <w:r>
        <w:t xml:space="preserve">2026 </w:t>
      </w:r>
      <w:r w:rsidR="008E424A">
        <w:t>Energy Cost Adjustment Clause</w:t>
      </w:r>
      <w:r w:rsidR="00E371BF">
        <w:t xml:space="preserve"> (ECAC)</w:t>
      </w:r>
    </w:p>
    <w:p w:rsidR="00E371BF" w:rsidP="00A058AA" w:rsidRDefault="002F3416" w14:paraId="46E626E1" w14:textId="00F8E62D">
      <w:pPr>
        <w:pStyle w:val="Standard"/>
      </w:pPr>
      <w:r>
        <w:t>In this Application, Liberty is requesting a 202</w:t>
      </w:r>
      <w:r w:rsidR="00633555">
        <w:t>6</w:t>
      </w:r>
      <w:r>
        <w:t xml:space="preserve"> </w:t>
      </w:r>
      <w:r w:rsidR="001B696A">
        <w:t xml:space="preserve">ECAC revenue requirement of $53.865 million, which is 5.1% </w:t>
      </w:r>
      <w:r w:rsidR="00303EFE">
        <w:t xml:space="preserve">less than </w:t>
      </w:r>
      <w:r w:rsidR="001B696A">
        <w:t>the</w:t>
      </w:r>
      <w:r w:rsidR="008F122B">
        <w:t xml:space="preserve"> current</w:t>
      </w:r>
      <w:r w:rsidR="0071277D">
        <w:t xml:space="preserve"> </w:t>
      </w:r>
      <w:r w:rsidR="00313B5B">
        <w:t>ECAC revenue requirement</w:t>
      </w:r>
      <w:r w:rsidR="008F122B">
        <w:t xml:space="preserve"> of $56.782 million</w:t>
      </w:r>
      <w:r w:rsidR="00EB0322">
        <w:t xml:space="preserve">.  </w:t>
      </w:r>
      <w:r w:rsidR="00F54445">
        <w:t xml:space="preserve">The ECAC is a ratemaking mechanism </w:t>
      </w:r>
      <w:r w:rsidR="00B7418F">
        <w:t>that allows Liberty</w:t>
      </w:r>
      <w:r w:rsidR="00F54445">
        <w:t xml:space="preserve"> to </w:t>
      </w:r>
      <w:r w:rsidR="00003592">
        <w:t xml:space="preserve">periodically adjust rates </w:t>
      </w:r>
      <w:r w:rsidR="00DA4385">
        <w:t>to</w:t>
      </w:r>
      <w:r w:rsidR="00B7418F">
        <w:t xml:space="preserve"> reflect its</w:t>
      </w:r>
      <w:r w:rsidR="003F5B8F">
        <w:t xml:space="preserve"> actual fuel and purchased power costs</w:t>
      </w:r>
      <w:r w:rsidR="00DA4385">
        <w:t xml:space="preserve"> so that customers pay rates that are aligned </w:t>
      </w:r>
      <w:r w:rsidR="00D10BB2">
        <w:t>with</w:t>
      </w:r>
      <w:r w:rsidR="00DA4385">
        <w:t xml:space="preserve"> current energy supply costs</w:t>
      </w:r>
      <w:r w:rsidR="003F5B8F">
        <w:t>.</w:t>
      </w:r>
      <w:r w:rsidR="00104558">
        <w:t xml:space="preserve">  </w:t>
      </w:r>
      <w:r w:rsidR="00D957A2">
        <w:t xml:space="preserve">The ECAC rate </w:t>
      </w:r>
      <w:r w:rsidR="006E4D64">
        <w:t xml:space="preserve">Liberty is requesting in this Application is </w:t>
      </w:r>
      <w:r w:rsidR="00844775">
        <w:t>mostly</w:t>
      </w:r>
      <w:r w:rsidR="0086646D">
        <w:t xml:space="preserve"> driven by its</w:t>
      </w:r>
      <w:r w:rsidR="006E4D64">
        <w:t xml:space="preserve"> </w:t>
      </w:r>
      <w:r w:rsidR="00805CF8">
        <w:t>energy service agreement with NV Energy</w:t>
      </w:r>
      <w:r w:rsidR="00946105">
        <w:rPr>
          <w:rStyle w:val="FootnoteReference"/>
        </w:rPr>
        <w:footnoteReference w:id="6"/>
      </w:r>
      <w:r w:rsidR="0072347E">
        <w:t>, under which</w:t>
      </w:r>
      <w:r w:rsidR="00FF3638">
        <w:t xml:space="preserve"> NV Energy </w:t>
      </w:r>
      <w:r w:rsidR="0072347E">
        <w:t xml:space="preserve">is to </w:t>
      </w:r>
      <w:r w:rsidR="00374DA9">
        <w:t xml:space="preserve">serve the full energy requirements of Liberty’s electric loads </w:t>
      </w:r>
      <w:r w:rsidRPr="003D6034" w:rsidR="00E3000C">
        <w:t>during the period examined in this Application</w:t>
      </w:r>
      <w:r w:rsidRPr="003D6034" w:rsidR="00F77AB4">
        <w:t>.</w:t>
      </w:r>
    </w:p>
    <w:p w:rsidR="00EE1275" w:rsidP="00E371BF" w:rsidRDefault="00306153" w14:paraId="580B7329" w14:textId="7588C1F1">
      <w:pPr>
        <w:pStyle w:val="Standard"/>
      </w:pPr>
      <w:r>
        <w:t>Liberty’s</w:t>
      </w:r>
      <w:r w:rsidR="00893E68">
        <w:t xml:space="preserve"> ECAC billing rate</w:t>
      </w:r>
      <w:r w:rsidR="00CA07A4">
        <w:t xml:space="preserve"> is </w:t>
      </w:r>
      <w:r w:rsidR="005840C1">
        <w:t>comprised of</w:t>
      </w:r>
      <w:r w:rsidR="003523A4">
        <w:t xml:space="preserve"> two components: 1) </w:t>
      </w:r>
      <w:r w:rsidR="005A0379">
        <w:t xml:space="preserve">the Offset Rate, which allows Liberty to recover the </w:t>
      </w:r>
      <w:r w:rsidR="00097C72">
        <w:t>projected costs</w:t>
      </w:r>
      <w:r w:rsidR="00E12B21">
        <w:t xml:space="preserve"> </w:t>
      </w:r>
      <w:r w:rsidR="00BD1544">
        <w:t>of</w:t>
      </w:r>
      <w:r w:rsidR="003523A4">
        <w:t xml:space="preserve"> </w:t>
      </w:r>
      <w:r w:rsidR="00E12B21">
        <w:t>fuel and purchase power</w:t>
      </w:r>
      <w:r w:rsidR="005E1CA2">
        <w:t xml:space="preserve">, and 2) </w:t>
      </w:r>
      <w:r>
        <w:t xml:space="preserve">the </w:t>
      </w:r>
      <w:r w:rsidR="003F6AC3">
        <w:t>Balancing Rate, which allows Liberty to collect the projected amortized accumulated balance of it</w:t>
      </w:r>
      <w:r w:rsidR="00D65D5C">
        <w:t>s ECAC Balancing Account.</w:t>
      </w:r>
      <w:r w:rsidR="00CD794D">
        <w:rPr>
          <w:rStyle w:val="FootnoteReference"/>
        </w:rPr>
        <w:footnoteReference w:id="7"/>
      </w:r>
      <w:r w:rsidR="00FE247A">
        <w:t xml:space="preserve">  </w:t>
      </w:r>
      <w:r w:rsidR="00693D46">
        <w:t xml:space="preserve">  </w:t>
      </w:r>
    </w:p>
    <w:p w:rsidR="00F30149" w:rsidP="007D58BB" w:rsidRDefault="000A2E6F" w14:paraId="6394A86E" w14:textId="4204CFDD">
      <w:pPr>
        <w:pStyle w:val="Heading3"/>
      </w:pPr>
      <w:r>
        <w:t xml:space="preserve">2026 </w:t>
      </w:r>
      <w:r w:rsidR="00F30149">
        <w:t>Offset Rate</w:t>
      </w:r>
    </w:p>
    <w:p w:rsidR="00131A91" w:rsidP="00E371BF" w:rsidRDefault="00D705FD" w14:paraId="201CD950" w14:textId="643842DD">
      <w:pPr>
        <w:pStyle w:val="Standard"/>
      </w:pPr>
      <w:r>
        <w:t xml:space="preserve">The Offset Rate allows Liberty to recover the costs of fuel and purchased power on a forecasted basis.  </w:t>
      </w:r>
      <w:r w:rsidR="00147B5C">
        <w:t>It</w:t>
      </w:r>
      <w:r w:rsidR="004035BE">
        <w:t xml:space="preserve"> is </w:t>
      </w:r>
      <w:r w:rsidR="003E0E8F">
        <w:t xml:space="preserve">determined by </w:t>
      </w:r>
      <w:r w:rsidR="00311040">
        <w:t>the</w:t>
      </w:r>
      <w:r w:rsidR="00ED7EC6">
        <w:t xml:space="preserve"> forecasted fuel and purchased power costs</w:t>
      </w:r>
      <w:r w:rsidR="003E0E8F">
        <w:t>.</w:t>
      </w:r>
      <w:r w:rsidR="00ED7EC6">
        <w:t xml:space="preserve"> </w:t>
      </w:r>
      <w:r w:rsidR="003E0E8F">
        <w:t xml:space="preserve"> </w:t>
      </w:r>
      <w:r w:rsidR="003D476E">
        <w:t>Liberty forecasts a</w:t>
      </w:r>
      <w:r w:rsidR="006114AC">
        <w:t xml:space="preserve"> 2026</w:t>
      </w:r>
      <w:r w:rsidR="00B31A60">
        <w:t xml:space="preserve"> fuel and</w:t>
      </w:r>
      <w:r w:rsidR="00F97FC5">
        <w:t xml:space="preserve"> purchased power</w:t>
      </w:r>
      <w:r w:rsidR="003D476E">
        <w:t xml:space="preserve"> </w:t>
      </w:r>
      <w:r w:rsidR="00D40A02">
        <w:t xml:space="preserve">revenue requirement of $37.842 million, which </w:t>
      </w:r>
      <w:r w:rsidR="000E5563">
        <w:t>represents</w:t>
      </w:r>
      <w:r w:rsidR="00D40A02">
        <w:t xml:space="preserve"> a </w:t>
      </w:r>
      <w:r w:rsidR="003D476E">
        <w:t>$3.942 million</w:t>
      </w:r>
      <w:r w:rsidR="00FD5B0E">
        <w:t>, or 11.6%,</w:t>
      </w:r>
      <w:r w:rsidR="003D476E">
        <w:t xml:space="preserve"> increase</w:t>
      </w:r>
      <w:r w:rsidR="00F163A0">
        <w:t xml:space="preserve"> to the current revenue requirement</w:t>
      </w:r>
      <w:r w:rsidR="00385327">
        <w:t>.</w:t>
      </w:r>
      <w:r w:rsidR="0057407F">
        <w:t xml:space="preserve">  </w:t>
      </w:r>
      <w:r w:rsidR="000F7F9F">
        <w:t xml:space="preserve">According to Liberty, the proposed increase is caused by </w:t>
      </w:r>
      <w:r w:rsidR="007036DD">
        <w:t>increased</w:t>
      </w:r>
      <w:r w:rsidR="000F7F9F">
        <w:t xml:space="preserve"> spending on Renewable Energy </w:t>
      </w:r>
      <w:r w:rsidR="00374930">
        <w:t>Credits</w:t>
      </w:r>
      <w:r w:rsidR="000F7F9F">
        <w:t xml:space="preserve"> </w:t>
      </w:r>
      <w:r w:rsidR="000F7F9F">
        <w:lastRenderedPageBreak/>
        <w:t>to meet the Renewable</w:t>
      </w:r>
      <w:r w:rsidR="00D157B2">
        <w:t xml:space="preserve"> Portfolio Standard </w:t>
      </w:r>
      <w:r w:rsidR="00374930">
        <w:t>requirements</w:t>
      </w:r>
      <w:r w:rsidR="00D157B2">
        <w:t xml:space="preserve"> and increased energy rates for renewable resources.</w:t>
      </w:r>
      <w:r w:rsidR="00374930">
        <w:rPr>
          <w:rStyle w:val="FootnoteReference"/>
        </w:rPr>
        <w:footnoteReference w:id="8"/>
      </w:r>
      <w:r w:rsidR="000F7F9F">
        <w:t xml:space="preserve"> </w:t>
      </w:r>
      <w:r w:rsidR="0079268F">
        <w:t xml:space="preserve"> </w:t>
      </w:r>
    </w:p>
    <w:p w:rsidR="00530EB9" w:rsidP="00530EB9" w:rsidRDefault="00530EB9" w14:paraId="67FECCFE" w14:textId="1A9E62FF">
      <w:pPr>
        <w:pStyle w:val="Standard"/>
      </w:pPr>
      <w:r>
        <w:t xml:space="preserve">The $37.842 million in revenue requirement for </w:t>
      </w:r>
      <w:r w:rsidR="009A6A99">
        <w:t>Liberty’s</w:t>
      </w:r>
      <w:r w:rsidR="00D500B7">
        <w:t xml:space="preserve"> forecasted </w:t>
      </w:r>
      <w:r>
        <w:t>fuel and purchased power costs</w:t>
      </w:r>
      <w:r w:rsidR="00FB3B97">
        <w:t xml:space="preserve"> </w:t>
      </w:r>
      <w:r w:rsidR="00311040">
        <w:t>in</w:t>
      </w:r>
      <w:r w:rsidR="00FB3B97">
        <w:t xml:space="preserve"> 2026</w:t>
      </w:r>
      <w:r>
        <w:t xml:space="preserve"> is derived from </w:t>
      </w:r>
      <w:r w:rsidR="00AE05E4">
        <w:t xml:space="preserve">Liberty’s </w:t>
      </w:r>
      <w:r>
        <w:t>forecasted energy costs, demand costs, transmission costs, and distribution costs for 2026, and includes the associated costs of franchise fees and uncollectibles.  Liberty projects no fuel costs for 2026.</w:t>
      </w:r>
      <w:r>
        <w:rPr>
          <w:rStyle w:val="FootnoteReference"/>
        </w:rPr>
        <w:footnoteReference w:id="9"/>
      </w:r>
    </w:p>
    <w:p w:rsidR="00374930" w:rsidP="00E371BF" w:rsidRDefault="0079268F" w14:paraId="5C36E635" w14:textId="618BCC0F">
      <w:pPr>
        <w:pStyle w:val="Standard"/>
      </w:pPr>
      <w:r>
        <w:t>Liberty proposes to amortize the collection of the forecasted $37.453 million in revenue requirement over 12 months</w:t>
      </w:r>
      <w:r w:rsidR="00E3403C">
        <w:t>.</w:t>
      </w:r>
      <w:r w:rsidR="00E3403C">
        <w:rPr>
          <w:rStyle w:val="FootnoteReference"/>
        </w:rPr>
        <w:footnoteReference w:id="10"/>
      </w:r>
      <w:r w:rsidR="00B34FB1">
        <w:t xml:space="preserve">  As a result of the </w:t>
      </w:r>
      <w:r w:rsidR="00131A91">
        <w:t>forecast</w:t>
      </w:r>
      <w:r w:rsidR="00B34FB1">
        <w:t xml:space="preserve">ed revenue </w:t>
      </w:r>
      <w:r w:rsidR="00131A91">
        <w:t xml:space="preserve">requirement </w:t>
      </w:r>
      <w:r w:rsidR="00B34FB1">
        <w:t xml:space="preserve">increase, </w:t>
      </w:r>
      <w:r w:rsidR="00AF5716">
        <w:t>the Offset Rate</w:t>
      </w:r>
      <w:r w:rsidR="00243E7C">
        <w:t>, if approved as proposed, will</w:t>
      </w:r>
      <w:r w:rsidR="00AF5716">
        <w:t xml:space="preserve"> increase to $66.56/MWh, which is an 11.6% increase to the current rate of $57.65/MWh</w:t>
      </w:r>
      <w:r w:rsidR="00995EF0">
        <w:t>.</w:t>
      </w:r>
      <w:r w:rsidR="00995EF0">
        <w:rPr>
          <w:rStyle w:val="FootnoteReference"/>
        </w:rPr>
        <w:footnoteReference w:id="11"/>
      </w:r>
    </w:p>
    <w:p w:rsidR="00F30149" w:rsidP="007D58BB" w:rsidRDefault="00EA1F17" w14:paraId="16E2027E" w14:textId="1C395591">
      <w:pPr>
        <w:pStyle w:val="Heading3"/>
      </w:pPr>
      <w:r>
        <w:t xml:space="preserve">2026 </w:t>
      </w:r>
      <w:r w:rsidR="00F30149">
        <w:t>Balancing Rate</w:t>
      </w:r>
    </w:p>
    <w:p w:rsidR="005C5848" w:rsidP="004F130A" w:rsidRDefault="003C70A6" w14:paraId="48FB6405" w14:textId="47C16A0F">
      <w:pPr>
        <w:pStyle w:val="Standard"/>
      </w:pPr>
      <w:r>
        <w:t>The</w:t>
      </w:r>
      <w:r w:rsidR="008B57FD">
        <w:t xml:space="preserve"> Balancing Rate trues up </w:t>
      </w:r>
      <w:r w:rsidR="00BB5292">
        <w:t>Liberty’s ECAC Balancing Account</w:t>
      </w:r>
      <w:r w:rsidR="00D44BEA">
        <w:t xml:space="preserve">, which records </w:t>
      </w:r>
      <w:r w:rsidR="008B57FD">
        <w:t xml:space="preserve">the differences between </w:t>
      </w:r>
      <w:r w:rsidR="00662FBC">
        <w:t>the</w:t>
      </w:r>
      <w:r w:rsidR="000C0A9A">
        <w:t xml:space="preserve"> </w:t>
      </w:r>
      <w:r w:rsidR="008B57FD">
        <w:t xml:space="preserve">actual </w:t>
      </w:r>
      <w:r w:rsidR="00F63061">
        <w:t>and forecasted</w:t>
      </w:r>
      <w:r w:rsidR="008B57FD">
        <w:t xml:space="preserve"> fuel and purchased power costs.</w:t>
      </w:r>
      <w:r w:rsidR="007D58BB">
        <w:rPr>
          <w:rStyle w:val="FootnoteReference"/>
        </w:rPr>
        <w:footnoteReference w:id="12"/>
      </w:r>
      <w:r w:rsidR="00BE4DA1">
        <w:t xml:space="preserve">  </w:t>
      </w:r>
      <w:r w:rsidR="00662FBC">
        <w:t xml:space="preserve">As of December 31, 2025, </w:t>
      </w:r>
      <w:r w:rsidR="00BE4DA1">
        <w:t xml:space="preserve">Liberty’s ECAC Balancing Account has an under-collection </w:t>
      </w:r>
      <w:r w:rsidR="00471EC4">
        <w:t>of $32.047 million</w:t>
      </w:r>
      <w:r w:rsidR="009B5E62">
        <w:t xml:space="preserve">.  </w:t>
      </w:r>
      <w:r w:rsidR="000516D8">
        <w:t>Liberty states that t</w:t>
      </w:r>
      <w:r w:rsidR="009B5E62">
        <w:t>h</w:t>
      </w:r>
      <w:r w:rsidR="00200479">
        <w:t>is</w:t>
      </w:r>
      <w:r w:rsidR="009B5E62">
        <w:t xml:space="preserve"> undercollection </w:t>
      </w:r>
      <w:r w:rsidR="00EE58C1">
        <w:t>is caused by two</w:t>
      </w:r>
      <w:r w:rsidR="00565FC3">
        <w:t xml:space="preserve"> </w:t>
      </w:r>
      <w:r w:rsidR="001A331E">
        <w:t xml:space="preserve">factors: </w:t>
      </w:r>
      <w:r w:rsidR="007E49F6">
        <w:t>1) higher than foreca</w:t>
      </w:r>
      <w:r w:rsidR="004F093D">
        <w:t>s</w:t>
      </w:r>
      <w:r w:rsidR="007E49F6">
        <w:t xml:space="preserve">ted energy costs, and 2) delayed implementation of 2022, 2023, and 2024 ECAC rates.  </w:t>
      </w:r>
      <w:r w:rsidR="002000DE">
        <w:t xml:space="preserve">To provide rate stability to </w:t>
      </w:r>
      <w:r w:rsidR="002000DE">
        <w:lastRenderedPageBreak/>
        <w:t xml:space="preserve">its customers, </w:t>
      </w:r>
      <w:r w:rsidR="0097748A">
        <w:t xml:space="preserve">Liberty proposes to amortize </w:t>
      </w:r>
      <w:r w:rsidR="000516D8">
        <w:t xml:space="preserve">this undercollection </w:t>
      </w:r>
      <w:r w:rsidR="0097748A">
        <w:t>over a 24-month period</w:t>
      </w:r>
      <w:r w:rsidR="00867EF5">
        <w:t>.</w:t>
      </w:r>
      <w:r w:rsidR="00865E49">
        <w:rPr>
          <w:rStyle w:val="FootnoteReference"/>
        </w:rPr>
        <w:footnoteReference w:id="13"/>
      </w:r>
      <w:r w:rsidR="00867EF5">
        <w:t xml:space="preserve">  </w:t>
      </w:r>
    </w:p>
    <w:p w:rsidR="00865E49" w:rsidP="00E371BF" w:rsidRDefault="003730DA" w14:paraId="70F38E00" w14:textId="597E9B1D">
      <w:pPr>
        <w:pStyle w:val="Standard"/>
      </w:pPr>
      <w:r>
        <w:t>After amortizing the ECAC Balancing Account under-collected balance of $32.047 million over 24 months</w:t>
      </w:r>
      <w:r w:rsidR="00C51ECD">
        <w:t>,</w:t>
      </w:r>
      <w:r w:rsidR="009439F5">
        <w:t xml:space="preserve"> the forecasted</w:t>
      </w:r>
      <w:r w:rsidR="00F47F89">
        <w:t xml:space="preserve"> Balancing Rate revenue requirement is $6.859 million less than </w:t>
      </w:r>
      <w:r w:rsidR="00B6177E">
        <w:t>the Balancing Rate revenue requirement currently in rates.</w:t>
      </w:r>
      <w:r w:rsidR="007D58BB">
        <w:rPr>
          <w:rStyle w:val="FootnoteReference"/>
        </w:rPr>
        <w:footnoteReference w:id="14"/>
      </w:r>
      <w:r w:rsidR="0021506F">
        <w:t xml:space="preserve">  </w:t>
      </w:r>
      <w:r w:rsidR="004F0341">
        <w:t>Accordingly</w:t>
      </w:r>
      <w:r w:rsidR="00243E7C">
        <w:t xml:space="preserve">, </w:t>
      </w:r>
      <w:r w:rsidR="002000DE">
        <w:t xml:space="preserve">Liberty </w:t>
      </w:r>
      <w:r w:rsidR="0071325B">
        <w:t xml:space="preserve">proposes to </w:t>
      </w:r>
      <w:r w:rsidR="009059CE">
        <w:t>set</w:t>
      </w:r>
      <w:r w:rsidR="0071325B">
        <w:t xml:space="preserve"> </w:t>
      </w:r>
      <w:r w:rsidR="00243E7C">
        <w:t>the</w:t>
      </w:r>
      <w:r w:rsidR="00EA1F17">
        <w:t xml:space="preserve"> 2026</w:t>
      </w:r>
      <w:r w:rsidR="00243E7C">
        <w:t xml:space="preserve"> Balancing Rate</w:t>
      </w:r>
      <w:r w:rsidR="0071325B">
        <w:t xml:space="preserve"> </w:t>
      </w:r>
      <w:r w:rsidR="00D97A5E">
        <w:t xml:space="preserve">to $28.18/MWh, </w:t>
      </w:r>
      <w:r w:rsidR="0071325B">
        <w:t xml:space="preserve">which is </w:t>
      </w:r>
      <w:r w:rsidR="00D97A5E">
        <w:t xml:space="preserve">30% </w:t>
      </w:r>
      <w:r w:rsidR="0071325B">
        <w:t xml:space="preserve">lower than </w:t>
      </w:r>
      <w:r w:rsidR="00D97A5E">
        <w:t>the current rate of $</w:t>
      </w:r>
      <w:r w:rsidR="005F0BC5">
        <w:t>3</w:t>
      </w:r>
      <w:r w:rsidR="00D97A5E">
        <w:t>8.92/MWh</w:t>
      </w:r>
      <w:r w:rsidR="003774FC">
        <w:t>.</w:t>
      </w:r>
      <w:r w:rsidR="005F0BC5">
        <w:rPr>
          <w:rStyle w:val="FootnoteReference"/>
        </w:rPr>
        <w:footnoteReference w:id="15"/>
      </w:r>
    </w:p>
    <w:p w:rsidR="004265BB" w:rsidP="00067AD7" w:rsidRDefault="00471BD5" w14:paraId="1B5A18EA" w14:textId="01C1410B">
      <w:pPr>
        <w:pStyle w:val="Heading3"/>
      </w:pPr>
      <w:r>
        <w:t>Revenue Allocation and Rate Design</w:t>
      </w:r>
    </w:p>
    <w:p w:rsidRPr="00471BD5" w:rsidR="00471BD5" w:rsidP="00471BD5" w:rsidRDefault="00086372" w14:paraId="1A6FF239" w14:textId="01AC7548">
      <w:pPr>
        <w:pStyle w:val="Standard"/>
      </w:pPr>
      <w:r>
        <w:t>With the proposed</w:t>
      </w:r>
      <w:r w:rsidR="00D270CC">
        <w:t xml:space="preserve"> 2026</w:t>
      </w:r>
      <w:r>
        <w:t xml:space="preserve"> Offset Rate of $66.56/MWh and the proposed </w:t>
      </w:r>
      <w:r w:rsidR="00D270CC">
        <w:t xml:space="preserve">2026 </w:t>
      </w:r>
      <w:r w:rsidR="005B517D">
        <w:t>Balancing Rate of $28.18/MWh, Liberty proposes a</w:t>
      </w:r>
      <w:r w:rsidR="00D270CC">
        <w:t xml:space="preserve"> 2026</w:t>
      </w:r>
      <w:r w:rsidR="005B517D">
        <w:t xml:space="preserve"> ECAC </w:t>
      </w:r>
      <w:r w:rsidR="00D270CC">
        <w:t xml:space="preserve">billing </w:t>
      </w:r>
      <w:r w:rsidR="005B517D">
        <w:t>rate of $94.74/MWh</w:t>
      </w:r>
      <w:r w:rsidR="00195304">
        <w:t>, which</w:t>
      </w:r>
      <w:r w:rsidR="005B517D">
        <w:t xml:space="preserve"> is </w:t>
      </w:r>
      <w:r w:rsidR="00224232">
        <w:t xml:space="preserve">lower than the </w:t>
      </w:r>
      <w:r w:rsidR="00E815C8">
        <w:t xml:space="preserve">current </w:t>
      </w:r>
      <w:r w:rsidR="00224232">
        <w:t>ECAC rate of $96.57/MWh</w:t>
      </w:r>
      <w:r w:rsidR="00B521FD">
        <w:t xml:space="preserve">.  Liberty proposes </w:t>
      </w:r>
      <w:r w:rsidR="006610AE">
        <w:t>that its</w:t>
      </w:r>
      <w:r w:rsidR="003368C8">
        <w:t xml:space="preserve"> </w:t>
      </w:r>
      <w:r w:rsidR="000B4E88">
        <w:t xml:space="preserve">2026 </w:t>
      </w:r>
      <w:r w:rsidR="003368C8">
        <w:t xml:space="preserve">ECAC rate </w:t>
      </w:r>
      <w:r w:rsidR="006610AE">
        <w:t>be</w:t>
      </w:r>
      <w:r w:rsidR="003368C8">
        <w:t xml:space="preserve"> effective </w:t>
      </w:r>
      <w:r w:rsidR="005950A1">
        <w:t>January 1, 2026 through December 31, 2027</w:t>
      </w:r>
      <w:r w:rsidR="001D41E4">
        <w:t>.</w:t>
      </w:r>
      <w:r w:rsidR="002D0CDD">
        <w:rPr>
          <w:rStyle w:val="FootnoteReference"/>
        </w:rPr>
        <w:footnoteReference w:id="16"/>
      </w:r>
      <w:r w:rsidR="001D41E4">
        <w:t xml:space="preserve">  Liberty</w:t>
      </w:r>
      <w:r w:rsidR="005950A1">
        <w:t xml:space="preserve"> will continue to use </w:t>
      </w:r>
      <w:r w:rsidR="00B01CC6">
        <w:t xml:space="preserve">the quarterly true-up mechanism </w:t>
      </w:r>
      <w:r w:rsidR="000B4E88">
        <w:t>authorized</w:t>
      </w:r>
      <w:r w:rsidR="00B01CC6">
        <w:t xml:space="preserve"> in D.25-08-012</w:t>
      </w:r>
      <w:r w:rsidR="00081BC1">
        <w:t>, which</w:t>
      </w:r>
      <w:r w:rsidR="001D41E4">
        <w:t xml:space="preserve"> allows Liberty to file a Tier 1 advice letter if </w:t>
      </w:r>
      <w:r w:rsidR="00F250F5">
        <w:t xml:space="preserve">actual energy costs </w:t>
      </w:r>
      <w:r w:rsidR="008B720F">
        <w:t xml:space="preserve">deviate </w:t>
      </w:r>
      <w:r w:rsidR="0045722A">
        <w:t>5% or more from</w:t>
      </w:r>
      <w:r w:rsidR="002D0CDD">
        <w:t xml:space="preserve"> forecast.</w:t>
      </w:r>
      <w:r w:rsidR="002D0CDD">
        <w:rPr>
          <w:rStyle w:val="FootnoteReference"/>
        </w:rPr>
        <w:footnoteReference w:id="17"/>
      </w:r>
    </w:p>
    <w:p w:rsidR="00F30149" w:rsidP="00067AD7" w:rsidRDefault="00F30149" w14:paraId="27135844" w14:textId="0B1E100A">
      <w:pPr>
        <w:pStyle w:val="Heading3"/>
      </w:pPr>
      <w:r>
        <w:t>Discussion</w:t>
      </w:r>
    </w:p>
    <w:p w:rsidR="00405FC3" w:rsidP="00E371BF" w:rsidRDefault="003643FC" w14:paraId="0E8F88F5" w14:textId="28772C92">
      <w:pPr>
        <w:pStyle w:val="Standard"/>
      </w:pPr>
      <w:r>
        <w:t xml:space="preserve">This decision approves Liberty’s </w:t>
      </w:r>
      <w:r w:rsidR="009A6F8A">
        <w:t xml:space="preserve">forecasted 2026 </w:t>
      </w:r>
      <w:r w:rsidR="004F0783">
        <w:t xml:space="preserve">ECAC billing rate of $94.74/MWh, </w:t>
      </w:r>
      <w:r w:rsidR="002716F8">
        <w:t>with an</w:t>
      </w:r>
      <w:r w:rsidR="004F0783">
        <w:t xml:space="preserve"> effective </w:t>
      </w:r>
      <w:r w:rsidR="002716F8">
        <w:t xml:space="preserve">date of </w:t>
      </w:r>
      <w:r w:rsidR="007140E6">
        <w:t>January</w:t>
      </w:r>
      <w:r w:rsidR="004F0783">
        <w:t xml:space="preserve"> 1, 2026 through December 31, 2027.</w:t>
      </w:r>
      <w:r w:rsidR="00CB607E">
        <w:t xml:space="preserve"> </w:t>
      </w:r>
      <w:r w:rsidR="009668F8">
        <w:t xml:space="preserve"> </w:t>
      </w:r>
      <w:r w:rsidR="00CB607E">
        <w:t xml:space="preserve"> </w:t>
      </w:r>
    </w:p>
    <w:p w:rsidR="00DE32FE" w:rsidP="00E371BF" w:rsidRDefault="00CB607E" w14:paraId="67645938" w14:textId="569CF744">
      <w:pPr>
        <w:pStyle w:val="Standard"/>
      </w:pPr>
      <w:r>
        <w:t xml:space="preserve">We find that Liberty sufficiently supported </w:t>
      </w:r>
      <w:r w:rsidR="007140E6">
        <w:t>its request</w:t>
      </w:r>
      <w:r w:rsidR="00683D2D">
        <w:t>ed ECAC rate</w:t>
      </w:r>
      <w:r w:rsidR="007140E6">
        <w:t xml:space="preserve"> in this Application.  </w:t>
      </w:r>
      <w:r w:rsidR="0060021A">
        <w:t xml:space="preserve">Parties, after reviewing </w:t>
      </w:r>
      <w:r w:rsidR="00D8607C">
        <w:t xml:space="preserve">and evaluating </w:t>
      </w:r>
      <w:r w:rsidR="0060021A">
        <w:t xml:space="preserve">Liberty’s Application, </w:t>
      </w:r>
      <w:r w:rsidR="0060021A">
        <w:lastRenderedPageBreak/>
        <w:t xml:space="preserve">testimony, and data responses, do not </w:t>
      </w:r>
      <w:r w:rsidR="00526715">
        <w:t xml:space="preserve">oppose Liberty’s </w:t>
      </w:r>
      <w:r w:rsidR="00683D2D">
        <w:t>proposed EC</w:t>
      </w:r>
      <w:r w:rsidR="00683D2D">
        <w:rPr>
          <w:caps/>
        </w:rPr>
        <w:t>AC</w:t>
      </w:r>
      <w:r w:rsidR="00D8607C">
        <w:t xml:space="preserve"> </w:t>
      </w:r>
      <w:r w:rsidR="00DA45A5">
        <w:t>rate and revenue requirement.</w:t>
      </w:r>
      <w:r w:rsidR="00526715">
        <w:t xml:space="preserve">  </w:t>
      </w:r>
      <w:r w:rsidR="007140E6">
        <w:t xml:space="preserve">We therefore find Liberty’s </w:t>
      </w:r>
      <w:r w:rsidR="00AB3F37">
        <w:t>proposals</w:t>
      </w:r>
      <w:r w:rsidR="00251024">
        <w:t xml:space="preserve"> related to its 202</w:t>
      </w:r>
      <w:r w:rsidR="004D3782">
        <w:t>6 forecasted ECAC rate, as</w:t>
      </w:r>
      <w:r w:rsidR="00B10BAD">
        <w:t xml:space="preserve"> listed below</w:t>
      </w:r>
      <w:r w:rsidR="004D3782">
        <w:t>,</w:t>
      </w:r>
      <w:r w:rsidR="00B10BAD">
        <w:t xml:space="preserve"> </w:t>
      </w:r>
      <w:r w:rsidR="00DE32FE">
        <w:t>to be reasonable and should be adopted:</w:t>
      </w:r>
    </w:p>
    <w:p w:rsidR="00633555" w:rsidP="00633FE7" w:rsidRDefault="00633555" w14:paraId="7DA6E557" w14:textId="4D7C3DF4">
      <w:pPr>
        <w:pStyle w:val="Standard"/>
        <w:numPr>
          <w:ilvl w:val="0"/>
          <w:numId w:val="25"/>
        </w:numPr>
        <w:spacing w:after="120" w:line="240" w:lineRule="auto"/>
        <w:ind w:right="1440"/>
      </w:pPr>
      <w:r>
        <w:t>2026 ECAC revenue requirement of $53.865 million</w:t>
      </w:r>
      <w:r w:rsidR="00FD198E">
        <w:t>;</w:t>
      </w:r>
    </w:p>
    <w:p w:rsidR="00633555" w:rsidP="00633FE7" w:rsidRDefault="00B31A60" w14:paraId="6D3A9EA0" w14:textId="30F48F7C">
      <w:pPr>
        <w:pStyle w:val="Standard"/>
        <w:numPr>
          <w:ilvl w:val="0"/>
          <w:numId w:val="25"/>
        </w:numPr>
        <w:spacing w:after="120" w:line="240" w:lineRule="auto"/>
        <w:ind w:right="1440"/>
      </w:pPr>
      <w:r>
        <w:t>2026 fuel and purchased power revenue requirement of $37.842 million</w:t>
      </w:r>
      <w:r w:rsidR="00AB5D1A">
        <w:t>;</w:t>
      </w:r>
    </w:p>
    <w:p w:rsidR="00AB5D1A" w:rsidP="00633FE7" w:rsidRDefault="00AB5D1A" w14:paraId="5D669D07" w14:textId="7A4BA75C">
      <w:pPr>
        <w:pStyle w:val="Standard"/>
        <w:numPr>
          <w:ilvl w:val="0"/>
          <w:numId w:val="25"/>
        </w:numPr>
        <w:spacing w:after="120" w:line="240" w:lineRule="auto"/>
        <w:ind w:right="1440"/>
      </w:pPr>
      <w:r>
        <w:t xml:space="preserve">24-month amortization of the $32.047 million in under-collected balance in the ECAC </w:t>
      </w:r>
      <w:r w:rsidR="004C4E76">
        <w:t>B</w:t>
      </w:r>
      <w:r>
        <w:t>alan</w:t>
      </w:r>
      <w:r w:rsidR="004C4E76">
        <w:t>cing Account; and</w:t>
      </w:r>
    </w:p>
    <w:p w:rsidR="00B31A60" w:rsidP="00633FE7" w:rsidRDefault="00EF2B51" w14:paraId="2EB3A73A" w14:textId="7D24B82C">
      <w:pPr>
        <w:pStyle w:val="Standard"/>
        <w:numPr>
          <w:ilvl w:val="0"/>
          <w:numId w:val="25"/>
        </w:numPr>
        <w:spacing w:after="120" w:line="240" w:lineRule="auto"/>
        <w:ind w:right="1440"/>
      </w:pPr>
      <w:r>
        <w:t>2026 ECAC rate of $94.74/M</w:t>
      </w:r>
      <w:r w:rsidR="00AB5D1A">
        <w:t xml:space="preserve">Wh, </w:t>
      </w:r>
      <w:r w:rsidR="00635FB6">
        <w:t xml:space="preserve">which </w:t>
      </w:r>
      <w:r w:rsidR="00357B6E">
        <w:t>is comprised of</w:t>
      </w:r>
      <w:r w:rsidR="002B01DC">
        <w:t xml:space="preserve"> </w:t>
      </w:r>
      <w:r w:rsidR="00A10B6B">
        <w:t>the 2026</w:t>
      </w:r>
      <w:r w:rsidR="002B01DC">
        <w:t xml:space="preserve"> Offset Rate of $66.56/MWh and </w:t>
      </w:r>
      <w:r w:rsidR="00A10B6B">
        <w:t xml:space="preserve">the 2026 </w:t>
      </w:r>
      <w:r w:rsidR="007557B0">
        <w:t>Balancing Rate of $28.18/MWh.</w:t>
      </w:r>
    </w:p>
    <w:p w:rsidR="00F3414A" w:rsidP="0031762B" w:rsidRDefault="0062211F" w14:paraId="436E5DBE" w14:textId="7777F8CF">
      <w:pPr>
        <w:pStyle w:val="Heading2"/>
      </w:pPr>
      <w:r>
        <w:t>California</w:t>
      </w:r>
      <w:r w:rsidR="00694552">
        <w:t xml:space="preserve"> Climate Credit</w:t>
      </w:r>
    </w:p>
    <w:p w:rsidRPr="009668F8" w:rsidR="009668F8" w:rsidP="009668F8" w:rsidRDefault="009668F8" w14:paraId="28BCAB22" w14:textId="18F772A6">
      <w:pPr>
        <w:pStyle w:val="Heading3"/>
      </w:pPr>
      <w:r>
        <w:t>Liberty’s Request</w:t>
      </w:r>
    </w:p>
    <w:p w:rsidR="00F05E81" w:rsidP="00F05E81" w:rsidRDefault="00E519FC" w14:paraId="08DAA492" w14:textId="2DE4661D">
      <w:pPr>
        <w:pStyle w:val="Standard"/>
      </w:pPr>
      <w:r>
        <w:t xml:space="preserve">Pursuant to </w:t>
      </w:r>
      <w:r w:rsidR="00784820">
        <w:t>D.14-10-033</w:t>
      </w:r>
      <w:r>
        <w:t>,</w:t>
      </w:r>
      <w:r w:rsidR="00784820">
        <w:t xml:space="preserve"> Liberty </w:t>
      </w:r>
      <w:r>
        <w:t xml:space="preserve">is required </w:t>
      </w:r>
      <w:r w:rsidR="00784820">
        <w:t>to include its future GHG forecast revenue and reconciliation requests in its ECAC application.</w:t>
      </w:r>
      <w:r w:rsidR="00784820">
        <w:rPr>
          <w:rStyle w:val="FootnoteReference"/>
        </w:rPr>
        <w:footnoteReference w:id="18"/>
      </w:r>
      <w:r w:rsidR="00784820">
        <w:t xml:space="preserve">  The </w:t>
      </w:r>
      <w:r w:rsidR="009D6B6C">
        <w:t xml:space="preserve">forecasted GHG revenue and </w:t>
      </w:r>
      <w:r w:rsidR="00CB49BD">
        <w:t xml:space="preserve">GHG </w:t>
      </w:r>
      <w:r w:rsidR="009D6B6C">
        <w:t xml:space="preserve">reconciliation determine </w:t>
      </w:r>
      <w:r w:rsidR="00A37949">
        <w:t xml:space="preserve">the amount of </w:t>
      </w:r>
      <w:r w:rsidR="00EB5D09">
        <w:t>California Climate Credit customers receive</w:t>
      </w:r>
      <w:r w:rsidR="00CB49BD">
        <w:t xml:space="preserve">.  </w:t>
      </w:r>
      <w:r w:rsidR="00CE5314">
        <w:t xml:space="preserve">The California Climate Credit is a semi-annual bill credit given to electric customers </w:t>
      </w:r>
      <w:r w:rsidR="002807E0">
        <w:t xml:space="preserve">to return any revenue </w:t>
      </w:r>
      <w:r w:rsidR="00661288">
        <w:t>resulting from</w:t>
      </w:r>
      <w:r w:rsidR="00CE5314">
        <w:t xml:space="preserve"> </w:t>
      </w:r>
      <w:r w:rsidR="006B4D2A">
        <w:t xml:space="preserve">the consignment of </w:t>
      </w:r>
      <w:r w:rsidR="00CE5314">
        <w:t>GHG allowances</w:t>
      </w:r>
      <w:r w:rsidR="00C11F2B">
        <w:t xml:space="preserve"> </w:t>
      </w:r>
      <w:r w:rsidR="003638E7">
        <w:t>as part of</w:t>
      </w:r>
      <w:r w:rsidR="00C11F2B">
        <w:t xml:space="preserve"> the</w:t>
      </w:r>
      <w:r w:rsidR="00E84EFB">
        <w:t xml:space="preserve"> </w:t>
      </w:r>
      <w:r w:rsidR="00364226">
        <w:t>Cap-and-</w:t>
      </w:r>
      <w:r w:rsidR="006B4D2A">
        <w:t>Invest</w:t>
      </w:r>
      <w:r w:rsidR="00C11F2B">
        <w:t xml:space="preserve"> program</w:t>
      </w:r>
      <w:r w:rsidR="00CE5314">
        <w:t>.</w:t>
      </w:r>
      <w:r w:rsidR="006B4D2A">
        <w:rPr>
          <w:rStyle w:val="FootnoteReference"/>
        </w:rPr>
        <w:footnoteReference w:id="19"/>
      </w:r>
      <w:r w:rsidRPr="0031762B" w:rsidR="00CE5314">
        <w:t xml:space="preserve"> </w:t>
      </w:r>
      <w:r w:rsidR="00F05E81">
        <w:t xml:space="preserve"> </w:t>
      </w:r>
    </w:p>
    <w:p w:rsidR="006E689E" w:rsidP="006133AB" w:rsidRDefault="006E689E" w14:paraId="4943EAB4" w14:textId="32FB660F">
      <w:pPr>
        <w:pStyle w:val="Standard"/>
      </w:pPr>
      <w:r>
        <w:t>In this Application, Liberty proposes</w:t>
      </w:r>
      <w:r w:rsidR="00327C61">
        <w:t xml:space="preserve"> to </w:t>
      </w:r>
      <w:r w:rsidR="00D65F76">
        <w:t>a) decrease its Carbon Pollution Permit Cost rate by</w:t>
      </w:r>
      <w:r w:rsidRPr="00D65F76" w:rsidR="00D65F76">
        <w:t xml:space="preserve"> $0.00448/kWh</w:t>
      </w:r>
      <w:r w:rsidR="00D65F76">
        <w:t xml:space="preserve"> and b) </w:t>
      </w:r>
      <w:r w:rsidR="006133AB">
        <w:t xml:space="preserve">decrease the amount of </w:t>
      </w:r>
      <w:r w:rsidR="00EA23B9">
        <w:t>the</w:t>
      </w:r>
      <w:r w:rsidR="006133AB">
        <w:t xml:space="preserve"> semi-annual </w:t>
      </w:r>
      <w:r w:rsidR="00E677E0">
        <w:t>California C</w:t>
      </w:r>
      <w:r w:rsidR="006133AB">
        <w:t xml:space="preserve">limate </w:t>
      </w:r>
      <w:r w:rsidR="00E677E0">
        <w:t>C</w:t>
      </w:r>
      <w:r w:rsidR="006133AB">
        <w:t>redit for residential and</w:t>
      </w:r>
      <w:r w:rsidR="006B4D2A">
        <w:t xml:space="preserve"> applicable</w:t>
      </w:r>
      <w:r w:rsidR="006133AB">
        <w:t xml:space="preserve"> small business customers by $28.04</w:t>
      </w:r>
      <w:r w:rsidR="008A4E35">
        <w:t xml:space="preserve"> </w:t>
      </w:r>
      <w:r w:rsidR="00957013">
        <w:t>to $43.94</w:t>
      </w:r>
      <w:r w:rsidR="00AB0EC2">
        <w:t>,</w:t>
      </w:r>
      <w:r w:rsidR="00957013">
        <w:t xml:space="preserve"> </w:t>
      </w:r>
      <w:r w:rsidR="00A01946">
        <w:t xml:space="preserve">from </w:t>
      </w:r>
      <w:r w:rsidR="00690E2A">
        <w:t>the 2024 authorized credit of $71.98</w:t>
      </w:r>
      <w:r w:rsidR="002B0212">
        <w:t xml:space="preserve">.  </w:t>
      </w:r>
      <w:r w:rsidR="001B5C4A">
        <w:t xml:space="preserve">These </w:t>
      </w:r>
      <w:r w:rsidR="001B5C4A">
        <w:lastRenderedPageBreak/>
        <w:t>proposed rates result from the following forecast</w:t>
      </w:r>
      <w:r w:rsidR="00E677E0">
        <w:t>s of</w:t>
      </w:r>
      <w:r w:rsidR="001B5C4A">
        <w:t xml:space="preserve"> GHG </w:t>
      </w:r>
      <w:r w:rsidR="00E677E0">
        <w:t>revenues and reconciliations:</w:t>
      </w:r>
      <w:r w:rsidR="001D5592">
        <w:rPr>
          <w:rStyle w:val="FootnoteReference"/>
        </w:rPr>
        <w:footnoteReference w:id="20"/>
      </w:r>
      <w:r w:rsidR="002F00BB">
        <w:t xml:space="preserve"> </w:t>
      </w:r>
      <w:r w:rsidR="001E000F">
        <w:t xml:space="preserve">  </w:t>
      </w:r>
    </w:p>
    <w:p w:rsidR="0031762B" w:rsidP="00F3174F" w:rsidRDefault="004617EC" w14:paraId="51155AC3" w14:textId="787A7101">
      <w:pPr>
        <w:pStyle w:val="Standard"/>
        <w:numPr>
          <w:ilvl w:val="0"/>
          <w:numId w:val="26"/>
        </w:numPr>
        <w:spacing w:after="120" w:line="240" w:lineRule="auto"/>
        <w:ind w:right="1440"/>
      </w:pPr>
      <w:r>
        <w:t>Forecast</w:t>
      </w:r>
      <w:r w:rsidR="00C37F88">
        <w:t>ed</w:t>
      </w:r>
      <w:r>
        <w:t xml:space="preserve"> 2025 GHG emissions costs incurred </w:t>
      </w:r>
      <w:r w:rsidR="002E1DDD">
        <w:t>from the Cap-and</w:t>
      </w:r>
      <w:r w:rsidR="002807E0">
        <w:t>-Invest</w:t>
      </w:r>
      <w:r w:rsidR="002E1DDD">
        <w:t xml:space="preserve"> program</w:t>
      </w:r>
      <w:r w:rsidR="003527F5">
        <w:t xml:space="preserve"> after reconciliation </w:t>
      </w:r>
      <w:r w:rsidR="00D11B04">
        <w:t xml:space="preserve">with </w:t>
      </w:r>
      <w:r w:rsidR="00D44874">
        <w:t xml:space="preserve">the variance from the </w:t>
      </w:r>
      <w:r w:rsidR="00D11B04">
        <w:t>previous year’s forecast</w:t>
      </w:r>
      <w:r w:rsidR="002E1DDD">
        <w:t>;</w:t>
      </w:r>
      <w:r w:rsidR="004B6865">
        <w:rPr>
          <w:rStyle w:val="FootnoteReference"/>
        </w:rPr>
        <w:footnoteReference w:id="21"/>
      </w:r>
    </w:p>
    <w:p w:rsidRPr="00EF5BCE" w:rsidR="002E1DDD" w:rsidP="00F3174F" w:rsidRDefault="002E1DDD" w14:paraId="7917E405" w14:textId="78878B46">
      <w:pPr>
        <w:pStyle w:val="Standard"/>
        <w:numPr>
          <w:ilvl w:val="0"/>
          <w:numId w:val="26"/>
        </w:numPr>
        <w:spacing w:after="120" w:line="240" w:lineRule="auto"/>
        <w:ind w:right="1440"/>
      </w:pPr>
      <w:r>
        <w:t>Forecast</w:t>
      </w:r>
      <w:r w:rsidR="002F00BB">
        <w:t>ed</w:t>
      </w:r>
      <w:r>
        <w:t xml:space="preserve"> 2025 administrat</w:t>
      </w:r>
      <w:r w:rsidR="00CF781E">
        <w:t>ive and customer outreach expen</w:t>
      </w:r>
      <w:r w:rsidR="008B3D5C">
        <w:t>ses</w:t>
      </w:r>
      <w:r w:rsidR="00CF781E">
        <w:t xml:space="preserve"> associated with the Cap-and</w:t>
      </w:r>
      <w:r w:rsidR="002807E0">
        <w:t>-Invest</w:t>
      </w:r>
      <w:r w:rsidR="00CF781E">
        <w:t xml:space="preserve"> program</w:t>
      </w:r>
      <w:r w:rsidR="002F00BB">
        <w:t xml:space="preserve"> of $11,050</w:t>
      </w:r>
      <w:r w:rsidR="00F61AFA">
        <w:t>,</w:t>
      </w:r>
      <w:r w:rsidR="00F61AFA">
        <w:rPr>
          <w:rStyle w:val="FootnoteReference"/>
        </w:rPr>
        <w:footnoteReference w:id="22"/>
      </w:r>
      <w:r w:rsidRPr="005F4A54" w:rsidR="00BC4A0B">
        <w:rPr>
          <w:rStyle w:val="FootnoteReference"/>
        </w:rPr>
        <w:t>,</w:t>
      </w:r>
      <w:r w:rsidR="00BC4A0B">
        <w:rPr>
          <w:rStyle w:val="FootnoteReference"/>
        </w:rPr>
        <w:footnoteReference w:id="23"/>
      </w:r>
      <w:r w:rsidRPr="005F4A54" w:rsidR="00396360">
        <w:rPr>
          <w:rStyle w:val="FootnoteReference"/>
        </w:rPr>
        <w:t xml:space="preserve"> </w:t>
      </w:r>
      <w:r w:rsidR="005F4A54">
        <w:t xml:space="preserve">and </w:t>
      </w:r>
      <w:r w:rsidR="00396360">
        <w:t xml:space="preserve">Recorded 2024 GHG </w:t>
      </w:r>
      <w:r w:rsidR="008B3D5C">
        <w:t xml:space="preserve">administrative and </w:t>
      </w:r>
      <w:r w:rsidRPr="00EF5BCE" w:rsidR="008B3D5C">
        <w:t>customer outreach expenses of $11,050</w:t>
      </w:r>
      <w:r w:rsidRPr="00EF5BCE" w:rsidR="00F61AFA">
        <w:t>;</w:t>
      </w:r>
      <w:r w:rsidRPr="00EF5BCE" w:rsidR="00BC4A0B">
        <w:rPr>
          <w:rStyle w:val="FootnoteReference"/>
        </w:rPr>
        <w:footnoteReference w:id="24"/>
      </w:r>
    </w:p>
    <w:p w:rsidRPr="00EF5BCE" w:rsidR="00CF781E" w:rsidP="00F3174F" w:rsidRDefault="00CF781E" w14:paraId="53B650C7" w14:textId="7D6B634A">
      <w:pPr>
        <w:pStyle w:val="Standard"/>
        <w:numPr>
          <w:ilvl w:val="0"/>
          <w:numId w:val="26"/>
        </w:numPr>
        <w:spacing w:after="120" w:line="240" w:lineRule="auto"/>
        <w:ind w:right="1440"/>
      </w:pPr>
      <w:r w:rsidRPr="00EF5BCE">
        <w:t>Forecast</w:t>
      </w:r>
      <w:r w:rsidRPr="00EF5BCE" w:rsidR="00B37D34">
        <w:t>ed</w:t>
      </w:r>
      <w:r w:rsidRPr="00EF5BCE">
        <w:t xml:space="preserve"> 2025 </w:t>
      </w:r>
      <w:r w:rsidRPr="00EF5BCE" w:rsidR="00B37D34">
        <w:t xml:space="preserve">GHG </w:t>
      </w:r>
      <w:r w:rsidRPr="00EF5BCE">
        <w:t xml:space="preserve">allowance </w:t>
      </w:r>
      <w:r w:rsidRPr="00EF5BCE" w:rsidR="001D6DD9">
        <w:t>revenues</w:t>
      </w:r>
      <w:r w:rsidRPr="00EF5BCE" w:rsidR="00A56F97">
        <w:t xml:space="preserve">, after </w:t>
      </w:r>
      <w:r w:rsidRPr="00EF5BCE" w:rsidR="00F354A1">
        <w:t>in</w:t>
      </w:r>
      <w:r w:rsidRPr="00EF5BCE" w:rsidR="006F373B">
        <w:t>cluding</w:t>
      </w:r>
      <w:r w:rsidRPr="00EF5BCE" w:rsidR="00A56F97">
        <w:t xml:space="preserve"> the forecasted </w:t>
      </w:r>
      <w:r w:rsidR="00D72B08">
        <w:t>under</w:t>
      </w:r>
      <w:r w:rsidRPr="00EF5BCE" w:rsidR="00A56F97">
        <w:t>collection in the GHG Revenue Balancing Account</w:t>
      </w:r>
      <w:r w:rsidRPr="00EF5BCE" w:rsidR="006F373B">
        <w:t xml:space="preserve"> as of December 31, 2025</w:t>
      </w:r>
      <w:r w:rsidRPr="00EF5BCE" w:rsidR="00A56F97">
        <w:t xml:space="preserve">, </w:t>
      </w:r>
      <w:r w:rsidRPr="00EF5BCE" w:rsidR="00C37F88">
        <w:t>of $</w:t>
      </w:r>
      <w:r w:rsidRPr="00EF5BCE" w:rsidR="00D14635">
        <w:t>4.909</w:t>
      </w:r>
      <w:r w:rsidRPr="00EF5BCE" w:rsidR="00C37F88">
        <w:t xml:space="preserve"> million</w:t>
      </w:r>
      <w:r w:rsidRPr="00EF5BCE" w:rsidR="006805C7">
        <w:t xml:space="preserve">, </w:t>
      </w:r>
      <w:r w:rsidRPr="00EF5BCE" w:rsidR="009613D3">
        <w:t>which is lower</w:t>
      </w:r>
      <w:r w:rsidRPr="00EF5BCE" w:rsidR="00A81DDD">
        <w:t xml:space="preserve"> than </w:t>
      </w:r>
      <w:r w:rsidRPr="00EF5BCE" w:rsidR="00A01E76">
        <w:t>the</w:t>
      </w:r>
      <w:r w:rsidRPr="00EF5BCE" w:rsidR="006805C7">
        <w:t xml:space="preserve"> </w:t>
      </w:r>
      <w:r w:rsidRPr="00EF5BCE" w:rsidR="00A01E76">
        <w:t xml:space="preserve">2024 forecast of </w:t>
      </w:r>
      <w:r w:rsidRPr="00EF5BCE" w:rsidR="006805C7">
        <w:t>$</w:t>
      </w:r>
      <w:r w:rsidRPr="00EF5BCE" w:rsidR="00844E94">
        <w:t xml:space="preserve">7.776 </w:t>
      </w:r>
      <w:r w:rsidRPr="00EF5BCE" w:rsidR="006805C7">
        <w:t>million</w:t>
      </w:r>
      <w:r w:rsidRPr="00EF5BCE" w:rsidR="00C37F88">
        <w:t>;</w:t>
      </w:r>
      <w:r w:rsidRPr="00EF5BCE" w:rsidR="005D0D6C">
        <w:rPr>
          <w:rStyle w:val="FootnoteReference"/>
        </w:rPr>
        <w:footnoteReference w:id="25"/>
      </w:r>
      <w:r w:rsidRPr="00EF5BCE" w:rsidR="009613D3">
        <w:t xml:space="preserve"> and</w:t>
      </w:r>
    </w:p>
    <w:p w:rsidR="00C37F88" w:rsidP="00F3174F" w:rsidRDefault="009613D3" w14:paraId="6EF7A92E" w14:textId="23CD5D8B">
      <w:pPr>
        <w:pStyle w:val="Standard"/>
        <w:numPr>
          <w:ilvl w:val="0"/>
          <w:numId w:val="26"/>
        </w:numPr>
        <w:spacing w:after="120" w:line="240" w:lineRule="auto"/>
        <w:ind w:right="1440"/>
      </w:pPr>
      <w:r>
        <w:t>F</w:t>
      </w:r>
      <w:r w:rsidR="00C37F88">
        <w:t>orecasted 2025 Energy-Intensive, Trade-Exposed (EITE) Customer Return of $0.</w:t>
      </w:r>
    </w:p>
    <w:p w:rsidR="00981DF5" w:rsidP="00981DF5" w:rsidRDefault="00981DF5" w14:paraId="0BF50C91" w14:textId="77777777">
      <w:pPr>
        <w:pStyle w:val="Heading3"/>
      </w:pPr>
      <w:r>
        <w:t>Discussion</w:t>
      </w:r>
    </w:p>
    <w:p w:rsidR="009B3616" w:rsidP="00981DF5" w:rsidRDefault="009B3616" w14:paraId="4BA0B40A" w14:textId="401703BB">
      <w:pPr>
        <w:pStyle w:val="Standard"/>
      </w:pPr>
      <w:r>
        <w:t>This decision approves Liberty’s proposal to a) decrease its Carbon Pollution Permit Cost rate by</w:t>
      </w:r>
      <w:r w:rsidRPr="00D65F76">
        <w:t xml:space="preserve"> $0.00448/kWh</w:t>
      </w:r>
      <w:r>
        <w:t xml:space="preserve"> and b) decrease the amount of the semi-annual California Climate Credit for residential and small business customers by $28.04 to $43.94.  </w:t>
      </w:r>
    </w:p>
    <w:p w:rsidR="00981DF5" w:rsidP="00981DF5" w:rsidRDefault="00981DF5" w14:paraId="526AA004" w14:textId="3D68DA2C">
      <w:pPr>
        <w:pStyle w:val="Standard"/>
      </w:pPr>
      <w:r>
        <w:t xml:space="preserve">We find that Liberty sufficiently supported its </w:t>
      </w:r>
      <w:r w:rsidR="007E09E8">
        <w:t xml:space="preserve">forecasted 2026 </w:t>
      </w:r>
      <w:r w:rsidR="006B68EC">
        <w:t xml:space="preserve">California Climate </w:t>
      </w:r>
      <w:r w:rsidR="00F97029">
        <w:t>Credit</w:t>
      </w:r>
      <w:r w:rsidR="00900837">
        <w:t xml:space="preserve"> and</w:t>
      </w:r>
      <w:r w:rsidR="007E09E8">
        <w:t xml:space="preserve"> its forecast of </w:t>
      </w:r>
      <w:r w:rsidR="00983E5E">
        <w:t xml:space="preserve">2025 </w:t>
      </w:r>
      <w:r w:rsidR="007E09E8">
        <w:t>GHG revenues, expenses</w:t>
      </w:r>
      <w:r w:rsidR="00EE3D6A">
        <w:t xml:space="preserve">, and </w:t>
      </w:r>
      <w:r w:rsidR="00EE3D6A">
        <w:lastRenderedPageBreak/>
        <w:t>reconciliations</w:t>
      </w:r>
      <w:r>
        <w:t>.  Parties</w:t>
      </w:r>
      <w:r w:rsidR="00F97029">
        <w:t xml:space="preserve"> </w:t>
      </w:r>
      <w:r>
        <w:t xml:space="preserve">do not oppose Liberty’s </w:t>
      </w:r>
      <w:r w:rsidR="00F97029">
        <w:t>propos</w:t>
      </w:r>
      <w:r w:rsidR="00EE3D6A">
        <w:t xml:space="preserve">als related to </w:t>
      </w:r>
      <w:r w:rsidR="005662F4">
        <w:t>these issues</w:t>
      </w:r>
      <w:r>
        <w:t>.   We therefore find Liberty’s proposals</w:t>
      </w:r>
      <w:r w:rsidR="004D3782">
        <w:t xml:space="preserve"> related to </w:t>
      </w:r>
      <w:r w:rsidR="006F517D">
        <w:t>the 2026 California Climate Credit and the associated forecast of GHG revenues, expenses and reconciliations, as</w:t>
      </w:r>
      <w:r>
        <w:t xml:space="preserve"> listed below</w:t>
      </w:r>
      <w:r w:rsidR="006F517D">
        <w:t>,</w:t>
      </w:r>
      <w:r>
        <w:t xml:space="preserve"> to be reasonable and should be adopted:</w:t>
      </w:r>
    </w:p>
    <w:p w:rsidRPr="002D03CE" w:rsidR="002D03CE" w:rsidP="00AA109D" w:rsidRDefault="004C094C" w14:paraId="658F07F2" w14:textId="494B6400">
      <w:pPr>
        <w:pStyle w:val="Standard"/>
        <w:numPr>
          <w:ilvl w:val="0"/>
          <w:numId w:val="27"/>
        </w:numPr>
        <w:spacing w:after="120" w:line="240" w:lineRule="auto"/>
        <w:ind w:right="1440"/>
      </w:pPr>
      <w:r>
        <w:t>Forecasted 2025 GHG emissions costs incurred from the Cap-and</w:t>
      </w:r>
      <w:r w:rsidR="002807E0">
        <w:t>-Invest</w:t>
      </w:r>
      <w:r>
        <w:t xml:space="preserve"> program after reconciliation with the variance from the previous year’s forecast;</w:t>
      </w:r>
      <w:r>
        <w:rPr>
          <w:rStyle w:val="FootnoteReference"/>
        </w:rPr>
        <w:footnoteReference w:id="26"/>
      </w:r>
    </w:p>
    <w:p w:rsidRPr="00E46759" w:rsidR="004C094C" w:rsidP="00AA109D" w:rsidRDefault="004C094C" w14:paraId="7CAC65A7" w14:textId="3439ED11">
      <w:pPr>
        <w:pStyle w:val="Standard"/>
        <w:numPr>
          <w:ilvl w:val="0"/>
          <w:numId w:val="27"/>
        </w:numPr>
        <w:spacing w:after="120" w:line="240" w:lineRule="auto"/>
        <w:ind w:right="1440"/>
      </w:pPr>
      <w:r>
        <w:t>Forecasted 2025 administrative and customer outreach expenses associated with the Cap-and</w:t>
      </w:r>
      <w:r w:rsidR="002807E0">
        <w:t>-Invest</w:t>
      </w:r>
      <w:r>
        <w:t xml:space="preserve"> program of </w:t>
      </w:r>
      <w:r w:rsidRPr="00E46759">
        <w:t>$11,050,</w:t>
      </w:r>
      <w:r w:rsidRPr="00E46759">
        <w:rPr>
          <w:rStyle w:val="FootnoteReference"/>
        </w:rPr>
        <w:footnoteReference w:id="27"/>
      </w:r>
      <w:r w:rsidRPr="00E46759">
        <w:rPr>
          <w:rStyle w:val="FootnoteReference"/>
        </w:rPr>
        <w:t>,</w:t>
      </w:r>
      <w:r w:rsidRPr="00E46759">
        <w:rPr>
          <w:rStyle w:val="FootnoteReference"/>
        </w:rPr>
        <w:footnoteReference w:id="28"/>
      </w:r>
      <w:r w:rsidRPr="00E46759">
        <w:rPr>
          <w:rStyle w:val="FootnoteReference"/>
        </w:rPr>
        <w:t xml:space="preserve"> </w:t>
      </w:r>
      <w:r w:rsidRPr="00E46759">
        <w:t>and Recorded 2024 GHG administrative and customer outreach expenses of $11,050;</w:t>
      </w:r>
      <w:r w:rsidRPr="00E46759">
        <w:rPr>
          <w:rStyle w:val="FootnoteReference"/>
        </w:rPr>
        <w:footnoteReference w:id="29"/>
      </w:r>
    </w:p>
    <w:p w:rsidRPr="00E46759" w:rsidR="00E20DA7" w:rsidP="00AA109D" w:rsidRDefault="00A73877" w14:paraId="73637EB8" w14:textId="5874D8E6">
      <w:pPr>
        <w:pStyle w:val="Standard"/>
        <w:numPr>
          <w:ilvl w:val="0"/>
          <w:numId w:val="27"/>
        </w:numPr>
        <w:spacing w:after="120" w:line="240" w:lineRule="auto"/>
        <w:ind w:right="1440"/>
      </w:pPr>
      <w:r w:rsidRPr="00E46759">
        <w:t xml:space="preserve">Forecasted 2025 GHG allowance revenues, after including the forecasted </w:t>
      </w:r>
      <w:r w:rsidRPr="00E46759" w:rsidR="00123FB3">
        <w:t>unde</w:t>
      </w:r>
      <w:r w:rsidRPr="00E46759">
        <w:t>rcollection in the GHG Revenue Balancing Account as of December 31, 2025, of $4.909 million, which is lower than the 2024 forecast of $7.776 million;</w:t>
      </w:r>
      <w:r w:rsidRPr="00E46759" w:rsidR="007E0C12">
        <w:rPr>
          <w:rStyle w:val="FootnoteReference"/>
        </w:rPr>
        <w:footnoteReference w:id="30"/>
      </w:r>
      <w:r w:rsidRPr="00E46759">
        <w:t xml:space="preserve"> </w:t>
      </w:r>
      <w:r w:rsidRPr="00E46759" w:rsidR="004C094C">
        <w:t>and</w:t>
      </w:r>
    </w:p>
    <w:p w:rsidRPr="00E371BF" w:rsidR="00D36539" w:rsidP="00AA109D" w:rsidRDefault="004C094C" w14:paraId="171F5630" w14:textId="2E2242A5">
      <w:pPr>
        <w:pStyle w:val="Standard"/>
        <w:numPr>
          <w:ilvl w:val="0"/>
          <w:numId w:val="27"/>
        </w:numPr>
        <w:spacing w:after="120" w:line="240" w:lineRule="auto"/>
        <w:ind w:right="1440"/>
      </w:pPr>
      <w:r>
        <w:t>Forecasted 2025 Energy-Intensive, Trade-Exposed (EITE) Customer Return of $0.</w:t>
      </w:r>
    </w:p>
    <w:p w:rsidR="00253379" w:rsidP="00794966" w:rsidRDefault="00794966" w14:paraId="10BBE98D" w14:textId="3153EDB0">
      <w:pPr>
        <w:pStyle w:val="Heading3"/>
      </w:pPr>
      <w:bookmarkStart w:name="_Toc133843852" w:id="11"/>
      <w:bookmarkStart w:name="_Toc8123721" w:id="12"/>
      <w:bookmarkEnd w:id="9"/>
      <w:bookmarkEnd w:id="10"/>
      <w:r>
        <w:t>Implementation</w:t>
      </w:r>
    </w:p>
    <w:p w:rsidRPr="00253379" w:rsidR="00253379" w:rsidP="00253379" w:rsidRDefault="00794966" w14:paraId="545B098C" w14:textId="5EF985F9">
      <w:pPr>
        <w:pStyle w:val="Standard"/>
      </w:pPr>
      <w:r>
        <w:t>Within 30 days of the effective date of this decision, Liberty shall file a Tier 1 Advice Letter with the Commission’s Energy Division to implement the</w:t>
      </w:r>
      <w:r w:rsidR="00EF3D38">
        <w:t xml:space="preserve"> 2026</w:t>
      </w:r>
      <w:r>
        <w:t xml:space="preserve"> </w:t>
      </w:r>
      <w:r w:rsidR="00C33E59">
        <w:t xml:space="preserve">ECAC rate and the </w:t>
      </w:r>
      <w:r w:rsidR="002807E0">
        <w:t>updated</w:t>
      </w:r>
      <w:r w:rsidR="00EF3D38">
        <w:t xml:space="preserve"> </w:t>
      </w:r>
      <w:r w:rsidR="00C33E59">
        <w:t>California Climate Credit approved in this decision.</w:t>
      </w:r>
    </w:p>
    <w:p w:rsidR="00603238" w:rsidP="00FA1B4F" w:rsidRDefault="00603238" w14:paraId="522F6DCC" w14:textId="5FCE8472">
      <w:pPr>
        <w:pStyle w:val="Heading1"/>
      </w:pPr>
      <w:r>
        <w:lastRenderedPageBreak/>
        <w:t>Summary of Public Comment</w:t>
      </w:r>
      <w:bookmarkEnd w:id="11"/>
    </w:p>
    <w:p w:rsidR="00CE3370" w:rsidP="00284D8D" w:rsidRDefault="00603238" w14:paraId="1EC1BF22" w14:textId="77777777">
      <w:r w:rsidRPr="00291A63">
        <w:t>Rule 1.18 allows any member of the public to submit written comment in any Commission proceeding using the “Public Comment” tab of the online Docket Card for that proceeding on the Commission’s website. </w:t>
      </w:r>
      <w:r w:rsidR="00CE3370">
        <w:t xml:space="preserve"> </w:t>
      </w:r>
      <w:r w:rsidRPr="00291A63" w:rsidR="007A3820">
        <w:t xml:space="preserve">Rule 1.18(a) requires that all written public comment submitted prior to the submission of the proceeding are part of the administrative record of the proceeding. </w:t>
      </w:r>
      <w:r w:rsidR="00CE3370">
        <w:t xml:space="preserve"> </w:t>
      </w:r>
      <w:r w:rsidRPr="00291A63">
        <w:t>Rule 1.18(b) requires that relevant written comment submitted in a proceeding be summarized in the final decision issued in that proceeding.</w:t>
      </w:r>
      <w:r w:rsidR="003D4D39">
        <w:t xml:space="preserve">  </w:t>
      </w:r>
    </w:p>
    <w:p w:rsidRPr="00291A63" w:rsidR="00603238" w:rsidP="00284D8D" w:rsidRDefault="003D4D39" w14:paraId="49C82D5D" w14:textId="7360FBE2">
      <w:pPr>
        <w:rPr>
          <w:rFonts w:ascii="Calibri" w:hAnsi="Calibri"/>
          <w:sz w:val="22"/>
        </w:rPr>
      </w:pPr>
      <w:r>
        <w:t xml:space="preserve">No </w:t>
      </w:r>
      <w:r w:rsidR="00354CD9">
        <w:t xml:space="preserve">written </w:t>
      </w:r>
      <w:r>
        <w:t xml:space="preserve">public comments were submitted </w:t>
      </w:r>
      <w:r w:rsidR="00B4572E">
        <w:t>for</w:t>
      </w:r>
      <w:r>
        <w:t xml:space="preserve"> this proceeding.</w:t>
      </w:r>
    </w:p>
    <w:p w:rsidR="004A1EAD" w:rsidP="004A1EAD" w:rsidRDefault="004A1EAD" w14:paraId="3A43815F" w14:textId="77777777">
      <w:pPr>
        <w:pStyle w:val="Heading1"/>
      </w:pPr>
      <w:bookmarkStart w:name="_Toc8123723" w:id="13"/>
      <w:bookmarkStart w:name="_Toc133843854" w:id="14"/>
      <w:bookmarkEnd w:id="12"/>
      <w:r>
        <w:t>Procedural Matters</w:t>
      </w:r>
    </w:p>
    <w:p w:rsidRPr="008B175A" w:rsidR="004A1EAD" w:rsidP="004A1EAD" w:rsidRDefault="004A1EAD" w14:paraId="4AC6E617" w14:textId="523E3CA2">
      <w:pPr>
        <w:pStyle w:val="Standard"/>
      </w:pPr>
      <w:r w:rsidRPr="008B175A">
        <w:t>This decision affirms all rulings made by the Administrative Law Judge and assigned Commissioner in this proceeding.</w:t>
      </w:r>
      <w:r w:rsidR="00F70B75">
        <w:t xml:space="preserve">  </w:t>
      </w:r>
      <w:r w:rsidRPr="008B175A">
        <w:t>All motions not ruled on are deemed denied.</w:t>
      </w:r>
    </w:p>
    <w:p w:rsidRPr="003D4D39" w:rsidR="005939A5" w:rsidP="005939A5" w:rsidRDefault="00B00ED8" w14:paraId="4B75CC42" w14:textId="6D22D13C">
      <w:pPr>
        <w:pStyle w:val="Heading1"/>
      </w:pPr>
      <w:r>
        <w:t xml:space="preserve">Waiver of </w:t>
      </w:r>
      <w:r w:rsidRPr="003D4D39" w:rsidR="005939A5">
        <w:t>Comment</w:t>
      </w:r>
      <w:r>
        <w:t xml:space="preserve"> Period</w:t>
      </w:r>
      <w:bookmarkEnd w:id="13"/>
      <w:bookmarkEnd w:id="14"/>
    </w:p>
    <w:p w:rsidR="005939A5" w:rsidP="003D4D39" w:rsidRDefault="00B00ED8" w14:paraId="3D98D878" w14:textId="6B373D85">
      <w:pPr>
        <w:pStyle w:val="Standard"/>
      </w:pPr>
      <w:r w:rsidRPr="00B00ED8">
        <w:t>This is an uncontested matter in which the decision grants the relief requested.</w:t>
      </w:r>
      <w:r>
        <w:t xml:space="preserve"> </w:t>
      </w:r>
      <w:r w:rsidRPr="00B00ED8">
        <w:t xml:space="preserve"> Accordingly, pursuant to </w:t>
      </w:r>
      <w:r>
        <w:t>Section</w:t>
      </w:r>
      <w:r w:rsidRPr="00B00ED8">
        <w:t xml:space="preserve"> 311(g)(2) of the Pub</w:t>
      </w:r>
      <w:r>
        <w:t>lic</w:t>
      </w:r>
      <w:r w:rsidRPr="00B00ED8">
        <w:t xml:space="preserve"> Util</w:t>
      </w:r>
      <w:r>
        <w:t>ities</w:t>
      </w:r>
      <w:r w:rsidRPr="00B00ED8">
        <w:t xml:space="preserve"> Code and Rule 14.6(c)(2), the otherwise applicable 30-day period for public review and comment is waived.</w:t>
      </w:r>
      <w:r w:rsidR="005C58FA">
        <w:t xml:space="preserve">  </w:t>
      </w:r>
      <w:r w:rsidRPr="00C878D5" w:rsidR="00C878D5">
        <w:t xml:space="preserve"> </w:t>
      </w:r>
    </w:p>
    <w:p w:rsidR="005939A5" w:rsidP="005939A5" w:rsidRDefault="005939A5" w14:paraId="2BB548DD" w14:textId="77777777">
      <w:pPr>
        <w:pStyle w:val="Heading1"/>
      </w:pPr>
      <w:bookmarkStart w:name="_Toc8123724" w:id="15"/>
      <w:bookmarkStart w:name="_Toc133843855" w:id="16"/>
      <w:r>
        <w:t>Assignment of Proceeding</w:t>
      </w:r>
      <w:bookmarkEnd w:id="15"/>
      <w:bookmarkEnd w:id="16"/>
    </w:p>
    <w:p w:rsidR="005939A5" w:rsidP="006E6574" w:rsidRDefault="00B03905" w14:paraId="64B92059" w14:textId="10223AE5">
      <w:pPr>
        <w:pStyle w:val="Standard"/>
      </w:pPr>
      <w:r>
        <w:t>Matthew Baker</w:t>
      </w:r>
      <w:r w:rsidR="005939A5">
        <w:t xml:space="preserve"> is the assigned Commissioner and </w:t>
      </w:r>
      <w:r w:rsidR="003D4D39">
        <w:t>Elaine Lau</w:t>
      </w:r>
      <w:r w:rsidR="005939A5">
        <w:t xml:space="preserve"> is the assigned Administrative Law Judge in this proceeding.</w:t>
      </w:r>
    </w:p>
    <w:p w:rsidR="005939A5" w:rsidP="005939A5" w:rsidRDefault="005939A5" w14:paraId="2D1ADCE9" w14:textId="77777777">
      <w:pPr>
        <w:pStyle w:val="Dummy"/>
      </w:pPr>
      <w:bookmarkStart w:name="_Toc8123725" w:id="17"/>
      <w:bookmarkStart w:name="_Toc133843856" w:id="18"/>
      <w:r>
        <w:t>Findings of Fact</w:t>
      </w:r>
      <w:bookmarkEnd w:id="17"/>
      <w:bookmarkEnd w:id="18"/>
    </w:p>
    <w:p w:rsidR="00DB2A51" w:rsidP="00DB2A51" w:rsidRDefault="00DB2A51" w14:paraId="4C6BB3AE" w14:textId="77777777">
      <w:pPr>
        <w:pStyle w:val="FoF"/>
      </w:pPr>
      <w:r>
        <w:t xml:space="preserve">The ECAC is a ratemaking mechanism that allows Liberty to periodically adjust rates to reflect its actual fuel and purchased power costs so that customers pay rates that are aligned with current energy supply costs.  </w:t>
      </w:r>
    </w:p>
    <w:p w:rsidR="00DB2A51" w:rsidP="00DB2A51" w:rsidRDefault="00DB2A51" w14:paraId="5AD8E5F6" w14:textId="77777777">
      <w:pPr>
        <w:pStyle w:val="FoF"/>
      </w:pPr>
      <w:r>
        <w:t xml:space="preserve">Liberty’s ECAC billing rate is comprised of two components: 1) the Offset Rate, which allows Liberty to recover the projected costs of fuel and purchase </w:t>
      </w:r>
      <w:r>
        <w:lastRenderedPageBreak/>
        <w:t>power, and 2) the Balancing Rate, which allows Liberty to collect the projected amortized accumulated balance of its ECAC Balancing Account.</w:t>
      </w:r>
    </w:p>
    <w:p w:rsidR="00DB2A51" w:rsidP="00DB2A51" w:rsidRDefault="00DB2A51" w14:paraId="4DFB00B5" w14:textId="77777777">
      <w:pPr>
        <w:pStyle w:val="FoF"/>
      </w:pPr>
      <w:r>
        <w:t>Liberty forecasts a 2026 fuel and purchased power revenue requirement of $37.842 million, which represents a $3.942 million, or 11.6%, increase to the current revenue requirement.</w:t>
      </w:r>
    </w:p>
    <w:p w:rsidR="00DB2A51" w:rsidP="00DB2A51" w:rsidRDefault="00DB2A51" w14:paraId="315700A3" w14:textId="77777777">
      <w:pPr>
        <w:pStyle w:val="FoF"/>
      </w:pPr>
      <w:r>
        <w:t xml:space="preserve">The $37.842 million in forecasted revenue requirement for 2026 fuel and purchased power costs is derived from forecasted energy costs, demand costs, transmission costs, and distribution costs for 2026, and includes the associated costs of franchise fees and uncollectibles.  </w:t>
      </w:r>
    </w:p>
    <w:p w:rsidR="00DB2A51" w:rsidP="00DB2A51" w:rsidRDefault="00DB2A51" w14:paraId="71C041BB" w14:textId="77777777">
      <w:pPr>
        <w:pStyle w:val="FoF"/>
      </w:pPr>
      <w:r>
        <w:t>Liberty projects no fuel costs for 2026.</w:t>
      </w:r>
    </w:p>
    <w:p w:rsidR="00DB2A51" w:rsidP="00DB2A51" w:rsidRDefault="00DB2A51" w14:paraId="77A69EF0" w14:textId="77777777">
      <w:pPr>
        <w:pStyle w:val="FoF"/>
      </w:pPr>
      <w:r>
        <w:t>With the $37.842 million in forecasted revenue requirement for 2026 fuel and purchased power costs amortized over 12 months, Liberty forecasts the 2026 Offset Rate to be $66.56/MWh, which is an 11.6% increase to the current rate of $57.65/MWh.</w:t>
      </w:r>
    </w:p>
    <w:p w:rsidR="00DB2A51" w:rsidP="00DB2A51" w:rsidRDefault="00DB2A51" w14:paraId="4E2C4EB4" w14:textId="77777777">
      <w:pPr>
        <w:pStyle w:val="FoF"/>
      </w:pPr>
      <w:r>
        <w:t>The Balancing Rate trues up Liberty’s ECAC Balancing Account, which records the differences between the actual and forecasted fuel and purchased power costs.</w:t>
      </w:r>
    </w:p>
    <w:p w:rsidR="00DB2A51" w:rsidP="00DB2A51" w:rsidRDefault="00DB2A51" w14:paraId="14D4306D" w14:textId="77777777">
      <w:pPr>
        <w:pStyle w:val="FoF"/>
      </w:pPr>
      <w:r>
        <w:t xml:space="preserve">Liberty’s ECAC Balancing Account, as of December 31, 2025, has an under-collection of $32.047 million, which is a result of: 1) higher than forecasted energy costs, and 2) delayed implementation of 2022, 2023, and 2024 ECAC rates.  </w:t>
      </w:r>
    </w:p>
    <w:p w:rsidR="00DB2A51" w:rsidP="00DB2A51" w:rsidRDefault="00DB2A51" w14:paraId="2B5281B1" w14:textId="77777777">
      <w:pPr>
        <w:pStyle w:val="FoF"/>
      </w:pPr>
      <w:r>
        <w:t>After amortizing the ECAC Balancing Account under-collected balance of $32.047 million over 24 months, Liberty forecasts that the 2026 Balancing Rate revenue requirement is $6.859 million less than the current revenue requirement.</w:t>
      </w:r>
    </w:p>
    <w:p w:rsidR="00DB2A51" w:rsidP="00DB2A51" w:rsidRDefault="00DB2A51" w14:paraId="174630B4" w14:textId="77777777">
      <w:pPr>
        <w:pStyle w:val="FoF"/>
      </w:pPr>
      <w:r>
        <w:t>Liberty forecasts the 2026 Balancing Rate to be $28.18/MWh, which is 30% less than the current rate of $38.92/MWh.</w:t>
      </w:r>
    </w:p>
    <w:p w:rsidR="00DB2A51" w:rsidP="00DB2A51" w:rsidRDefault="00DB2A51" w14:paraId="7AC73537" w14:textId="77777777">
      <w:pPr>
        <w:pStyle w:val="FoF"/>
      </w:pPr>
      <w:r>
        <w:lastRenderedPageBreak/>
        <w:t xml:space="preserve">Liberty forecasts the 2026 ECAC revenue requirement to be $53.865 million, which is 5.1% less than the current ECAC revenue requirement of $56.782 million.  </w:t>
      </w:r>
    </w:p>
    <w:p w:rsidR="00DB2A51" w:rsidP="00DB2A51" w:rsidRDefault="00DB2A51" w14:paraId="4751784A" w14:textId="77777777">
      <w:pPr>
        <w:pStyle w:val="FoF"/>
      </w:pPr>
      <w:r>
        <w:t>Liberty proposes a 2026 ECAC rate of $94.74/MWh, which is lower than the current ECAC rate of $96.57/MWh, to be effective January 1, 2026 through December 31, 2027.</w:t>
      </w:r>
    </w:p>
    <w:p w:rsidR="00DB2A51" w:rsidP="00DB2A51" w:rsidRDefault="002807E0" w14:paraId="1B808BB9" w14:textId="0C350C1A">
      <w:pPr>
        <w:pStyle w:val="FoF"/>
      </w:pPr>
      <w:r>
        <w:t>The California Climate Credit is a semi-annual bill credit given to electric customers to return any revenue resulting from the consignment of GHG allowances as part of the Cap-and-Invest program</w:t>
      </w:r>
      <w:r w:rsidR="00DB2A51">
        <w:t>.</w:t>
      </w:r>
    </w:p>
    <w:p w:rsidR="00DB2A51" w:rsidP="00DB2A51" w:rsidRDefault="00DB2A51" w14:paraId="2D7CEDB5" w14:textId="7DA286DA">
      <w:pPr>
        <w:pStyle w:val="FoF"/>
      </w:pPr>
      <w:r>
        <w:t>For 2026, Liberty forecasts a) a decrease to its Carbon Pollution Permit Cost rate of $0.00448/kWh and b) a decrease to the California Climate Credit for residential and applicable small business customers of $28.04, as a result of the following forecasts of GHG revenues and reconciliations:</w:t>
      </w:r>
    </w:p>
    <w:p w:rsidR="00DB2A51" w:rsidP="00167210" w:rsidRDefault="00DB2A51" w14:paraId="2CB806C1" w14:textId="4C296A88">
      <w:pPr>
        <w:pStyle w:val="FoF"/>
        <w:numPr>
          <w:ilvl w:val="1"/>
          <w:numId w:val="21"/>
        </w:numPr>
        <w:spacing w:after="120" w:line="240" w:lineRule="auto"/>
        <w:ind w:left="1080" w:right="1440"/>
      </w:pPr>
      <w:r>
        <w:t>Forecasted 2025 GHG emissions costs incurred from the Cap-and</w:t>
      </w:r>
      <w:r w:rsidR="002807E0">
        <w:t>-Invest</w:t>
      </w:r>
      <w:r>
        <w:t xml:space="preserve"> program after reconciliation with the variance from the previous year’s forecast; </w:t>
      </w:r>
    </w:p>
    <w:p w:rsidRPr="003D7234" w:rsidR="00DB2A51" w:rsidP="00167210" w:rsidRDefault="00DB2A51" w14:paraId="2AE7F753" w14:textId="4AECF550">
      <w:pPr>
        <w:pStyle w:val="FoF"/>
        <w:numPr>
          <w:ilvl w:val="1"/>
          <w:numId w:val="21"/>
        </w:numPr>
        <w:spacing w:after="120" w:line="240" w:lineRule="auto"/>
        <w:ind w:left="1080" w:right="1440"/>
      </w:pPr>
      <w:r>
        <w:t>Forecasted 2025 administrative and customer outreach expenses associated with the Cap-and</w:t>
      </w:r>
      <w:r w:rsidR="002807E0">
        <w:t>-Invest</w:t>
      </w:r>
      <w:r>
        <w:t xml:space="preserve"> program of $11,050, and Recorded 2024 GHG administrative and </w:t>
      </w:r>
      <w:r w:rsidRPr="003D7234">
        <w:t xml:space="preserve">customer outreach expenses of $11,050; </w:t>
      </w:r>
    </w:p>
    <w:p w:rsidRPr="003D7234" w:rsidR="00DB2A51" w:rsidP="00167210" w:rsidRDefault="00662125" w14:paraId="2008037F" w14:textId="5D8470F1">
      <w:pPr>
        <w:pStyle w:val="FoF"/>
        <w:numPr>
          <w:ilvl w:val="1"/>
          <w:numId w:val="21"/>
        </w:numPr>
        <w:spacing w:after="120" w:line="240" w:lineRule="auto"/>
        <w:ind w:left="1080" w:right="1440"/>
      </w:pPr>
      <w:r w:rsidRPr="003D7234">
        <w:t xml:space="preserve">Forecasted 2025 GHG allowance revenues, after including the forecasted </w:t>
      </w:r>
      <w:r w:rsidRPr="003D7234" w:rsidR="003D7234">
        <w:t>under</w:t>
      </w:r>
      <w:r w:rsidRPr="003D7234">
        <w:t>collection in the GHG Revenue Balancing Account as of December 31, 2025, of $4.909 million, which is lower than the 2024 forecast of $7.776 million</w:t>
      </w:r>
      <w:r w:rsidRPr="003D7234" w:rsidR="00DB2A51">
        <w:t>; and</w:t>
      </w:r>
    </w:p>
    <w:p w:rsidR="00DB2A51" w:rsidP="00167210" w:rsidRDefault="00DB2A51" w14:paraId="6E7AD887" w14:textId="77777777">
      <w:pPr>
        <w:pStyle w:val="FoF"/>
        <w:numPr>
          <w:ilvl w:val="1"/>
          <w:numId w:val="21"/>
        </w:numPr>
        <w:spacing w:after="120" w:line="240" w:lineRule="auto"/>
        <w:ind w:left="1080" w:right="1440"/>
      </w:pPr>
      <w:r>
        <w:t>Forecasted 2025 Energy-Intensive, Trade-Exposed (EITE) Customer Return of $0.</w:t>
      </w:r>
    </w:p>
    <w:p w:rsidRPr="001E2A62" w:rsidR="008E6AE6" w:rsidP="00625D77" w:rsidRDefault="00DB2A51" w14:paraId="7F46EF00" w14:textId="44F57B40">
      <w:pPr>
        <w:pStyle w:val="FoF"/>
      </w:pPr>
      <w:r>
        <w:t>Liberty forecasts the semi-annual California Climate Credit for residential and small business customers to be $43.94, down from the currently authorized credit of $71.98.</w:t>
      </w:r>
    </w:p>
    <w:p w:rsidR="005939A5" w:rsidP="005939A5" w:rsidRDefault="005939A5" w14:paraId="5F4BDB4B" w14:textId="77777777">
      <w:pPr>
        <w:pStyle w:val="Dummy"/>
      </w:pPr>
      <w:bookmarkStart w:name="_Toc8123726" w:id="19"/>
      <w:bookmarkStart w:name="_Toc133843857" w:id="20"/>
      <w:r>
        <w:lastRenderedPageBreak/>
        <w:t>Conclusions of Law</w:t>
      </w:r>
      <w:bookmarkEnd w:id="19"/>
      <w:bookmarkEnd w:id="20"/>
    </w:p>
    <w:p w:rsidR="00C4619F" w:rsidP="00C4619F" w:rsidRDefault="00C4619F" w14:paraId="181C12BC" w14:textId="77777777">
      <w:pPr>
        <w:pStyle w:val="CoL"/>
      </w:pPr>
      <w:r>
        <w:t>Liberty’s forecasted 2026 ECAC billing rate of $94.74/MWh, with an effective date of January 1, 2026 through December 31, 2027, is reasonable and should be approved.</w:t>
      </w:r>
    </w:p>
    <w:p w:rsidR="00C4619F" w:rsidP="00C4619F" w:rsidRDefault="00C4619F" w14:paraId="080767E7" w14:textId="77777777">
      <w:pPr>
        <w:pStyle w:val="CoL"/>
      </w:pPr>
      <w:r>
        <w:t>Liberty’s proposals related to its 2026 forecasted ECAC rate, as listed below, are reasonable and should be adopted:</w:t>
      </w:r>
    </w:p>
    <w:p w:rsidR="00C4619F" w:rsidP="00DB388C" w:rsidRDefault="00C4619F" w14:paraId="1F29C5D6" w14:textId="77777777">
      <w:pPr>
        <w:pStyle w:val="CoL"/>
        <w:numPr>
          <w:ilvl w:val="1"/>
          <w:numId w:val="22"/>
        </w:numPr>
        <w:tabs>
          <w:tab w:val="left" w:pos="1080"/>
        </w:tabs>
        <w:spacing w:after="120" w:line="240" w:lineRule="auto"/>
        <w:ind w:left="1080" w:right="1440"/>
      </w:pPr>
      <w:r>
        <w:t>2026 ECAC revenue requirement of $53.865 million;</w:t>
      </w:r>
    </w:p>
    <w:p w:rsidR="00C4619F" w:rsidP="00DB388C" w:rsidRDefault="00C4619F" w14:paraId="20977012" w14:textId="77777777">
      <w:pPr>
        <w:pStyle w:val="CoL"/>
        <w:numPr>
          <w:ilvl w:val="1"/>
          <w:numId w:val="22"/>
        </w:numPr>
        <w:tabs>
          <w:tab w:val="left" w:pos="1080"/>
        </w:tabs>
        <w:spacing w:after="120" w:line="240" w:lineRule="auto"/>
        <w:ind w:left="1080" w:right="1440"/>
      </w:pPr>
      <w:r>
        <w:t>2026 fuel and purchased power revenue requirement of $37.842 million;</w:t>
      </w:r>
    </w:p>
    <w:p w:rsidR="00C4619F" w:rsidP="00DB388C" w:rsidRDefault="00C4619F" w14:paraId="6CB32765" w14:textId="77777777">
      <w:pPr>
        <w:pStyle w:val="CoL"/>
        <w:numPr>
          <w:ilvl w:val="1"/>
          <w:numId w:val="22"/>
        </w:numPr>
        <w:tabs>
          <w:tab w:val="left" w:pos="1080"/>
        </w:tabs>
        <w:spacing w:after="120" w:line="240" w:lineRule="auto"/>
        <w:ind w:left="1080" w:right="1440"/>
      </w:pPr>
      <w:r>
        <w:t>24-month amortization of the $32.047 million in under-collected balance in the ECAC Balancing Account; and</w:t>
      </w:r>
    </w:p>
    <w:p w:rsidR="00C4619F" w:rsidP="00DB388C" w:rsidRDefault="00C4619F" w14:paraId="2FFB4B1F" w14:textId="77777777">
      <w:pPr>
        <w:pStyle w:val="CoL"/>
        <w:numPr>
          <w:ilvl w:val="1"/>
          <w:numId w:val="22"/>
        </w:numPr>
        <w:tabs>
          <w:tab w:val="left" w:pos="1080"/>
        </w:tabs>
        <w:spacing w:after="120" w:line="240" w:lineRule="auto"/>
        <w:ind w:left="1080" w:right="1440"/>
      </w:pPr>
      <w:r>
        <w:t>2026 ECAC rate of $94.74/MWh, which is comprised of the 2026 Offset Rate of $66.56/MWh and the 2026 Balancing Rate of $28.18/MWh.</w:t>
      </w:r>
    </w:p>
    <w:p w:rsidR="00C4619F" w:rsidP="00C4619F" w:rsidRDefault="00C4619F" w14:paraId="567DC0CC" w14:textId="77777777">
      <w:pPr>
        <w:pStyle w:val="CoL"/>
      </w:pPr>
      <w:r>
        <w:t>Liberty’s proposals to a) decrease its Carbon Pollution Permit Cost rate by $0.00448/kWh and b) decrease the semi-annual California Climate Credit for residential and small business customers by $28.04 to $43.94 are reasonable and should be approved.</w:t>
      </w:r>
    </w:p>
    <w:p w:rsidR="00C4619F" w:rsidP="00C4619F" w:rsidRDefault="00C4619F" w14:paraId="315A3876" w14:textId="046187EF">
      <w:pPr>
        <w:pStyle w:val="CoL"/>
      </w:pPr>
      <w:r>
        <w:t xml:space="preserve">Liberty’s proposals related to the </w:t>
      </w:r>
      <w:r w:rsidR="002807E0">
        <w:t>updated</w:t>
      </w:r>
      <w:r>
        <w:t xml:space="preserve"> California Climate Credit and the associated forecast of GHG revenues, expenses and reconciliations, as listed below, are reasonable and should be adopted:</w:t>
      </w:r>
    </w:p>
    <w:p w:rsidR="00C4619F" w:rsidP="00F7519A" w:rsidRDefault="00C4619F" w14:paraId="6D34E559" w14:textId="14B44524">
      <w:pPr>
        <w:pStyle w:val="CoL"/>
        <w:numPr>
          <w:ilvl w:val="1"/>
          <w:numId w:val="23"/>
        </w:numPr>
        <w:spacing w:after="120" w:line="240" w:lineRule="auto"/>
        <w:ind w:left="1080" w:right="1440"/>
      </w:pPr>
      <w:r>
        <w:t>Forecasted 2025 GHG emissions costs incurred from the Cap-and</w:t>
      </w:r>
      <w:r w:rsidR="002807E0">
        <w:t>-Invest</w:t>
      </w:r>
      <w:r>
        <w:t xml:space="preserve"> program after reconciliation with the variance from the previous year’s forecast; </w:t>
      </w:r>
    </w:p>
    <w:p w:rsidRPr="005C7FEC" w:rsidR="00C4619F" w:rsidP="00F7519A" w:rsidRDefault="00C4619F" w14:paraId="214F8969" w14:textId="72B0F48B">
      <w:pPr>
        <w:pStyle w:val="CoL"/>
        <w:numPr>
          <w:ilvl w:val="1"/>
          <w:numId w:val="23"/>
        </w:numPr>
        <w:spacing w:after="120" w:line="240" w:lineRule="auto"/>
        <w:ind w:left="1080" w:right="1440"/>
      </w:pPr>
      <w:r>
        <w:t>Forecasted 2025 administrative and customer outreach expenses associated with the Cap-and</w:t>
      </w:r>
      <w:r w:rsidR="002807E0">
        <w:t>-Invest</w:t>
      </w:r>
      <w:r>
        <w:t xml:space="preserve"> program of $11,050, and Recorded 2024 GHG administrative and </w:t>
      </w:r>
      <w:r w:rsidRPr="005C7FEC">
        <w:t xml:space="preserve">customer outreach expenses of $11,050; </w:t>
      </w:r>
    </w:p>
    <w:p w:rsidRPr="005C7FEC" w:rsidR="00C4619F" w:rsidP="00F7519A" w:rsidRDefault="000D7A9F" w14:paraId="03574136" w14:textId="199711FB">
      <w:pPr>
        <w:pStyle w:val="CoL"/>
        <w:numPr>
          <w:ilvl w:val="1"/>
          <w:numId w:val="23"/>
        </w:numPr>
        <w:spacing w:after="120" w:line="240" w:lineRule="auto"/>
        <w:ind w:left="1080" w:right="1440"/>
      </w:pPr>
      <w:r w:rsidRPr="005C7FEC">
        <w:t xml:space="preserve">Forecasted 2025 GHG allowance revenues, after including the forecasted </w:t>
      </w:r>
      <w:r w:rsidRPr="005C7FEC" w:rsidR="0042682E">
        <w:t>unde</w:t>
      </w:r>
      <w:r w:rsidRPr="005C7FEC">
        <w:t xml:space="preserve">rcollection in the GHG Revenue </w:t>
      </w:r>
      <w:r w:rsidRPr="005C7FEC">
        <w:lastRenderedPageBreak/>
        <w:t>Balancing Account as of December 31, 2025, of $4.909 million, which is lower than the 2024 forecast of $7.776 million</w:t>
      </w:r>
      <w:r w:rsidRPr="005C7FEC" w:rsidR="00C4619F">
        <w:t>; and</w:t>
      </w:r>
    </w:p>
    <w:p w:rsidRPr="001E2A62" w:rsidR="008F143D" w:rsidP="00F7519A" w:rsidRDefault="00C4619F" w14:paraId="45FD3B8E" w14:textId="5AAA95CC">
      <w:pPr>
        <w:pStyle w:val="CoL"/>
        <w:numPr>
          <w:ilvl w:val="1"/>
          <w:numId w:val="23"/>
        </w:numPr>
        <w:spacing w:after="120" w:line="240" w:lineRule="auto"/>
        <w:ind w:left="1080" w:right="1440"/>
      </w:pPr>
      <w:r w:rsidRPr="005C7FEC">
        <w:t>Forecasted</w:t>
      </w:r>
      <w:r>
        <w:t xml:space="preserve"> 2025 Energy-Intensive, Trade-Exposed (EITE) Customer Return of $0</w:t>
      </w:r>
      <w:r w:rsidR="00B9239A">
        <w:t>.</w:t>
      </w:r>
    </w:p>
    <w:p w:rsidR="00BB0243" w:rsidP="000A6E05" w:rsidRDefault="005939A5" w14:paraId="1EE293F3" w14:textId="77777777">
      <w:pPr>
        <w:pStyle w:val="Mainex"/>
      </w:pPr>
      <w:bookmarkStart w:name="_Toc133843858" w:id="21"/>
      <w:r>
        <w:t>O</w:t>
      </w:r>
      <w:r w:rsidR="00722850">
        <w:t>RDER</w:t>
      </w:r>
      <w:bookmarkEnd w:id="21"/>
    </w:p>
    <w:p w:rsidR="00BB0243" w:rsidP="000A6E05" w:rsidRDefault="00BB0243" w14:paraId="75529130" w14:textId="77777777">
      <w:pPr>
        <w:keepNext/>
      </w:pPr>
      <w:r w:rsidRPr="00BB0243">
        <w:rPr>
          <w:b/>
        </w:rPr>
        <w:t>IT IS ORDERED</w:t>
      </w:r>
      <w:r>
        <w:t xml:space="preserve"> that:</w:t>
      </w:r>
    </w:p>
    <w:p w:rsidR="00932865" w:rsidP="001E2A62" w:rsidRDefault="008B7A0C" w14:paraId="7B98DC50" w14:textId="1D388AB9">
      <w:pPr>
        <w:pStyle w:val="OP"/>
      </w:pPr>
      <w:r>
        <w:t>The</w:t>
      </w:r>
      <w:r w:rsidRPr="0088369D" w:rsidR="0088369D">
        <w:t xml:space="preserve"> forecasted 2026 </w:t>
      </w:r>
      <w:r w:rsidR="005A4812">
        <w:t>Energy Cost Adjustment Clause</w:t>
      </w:r>
      <w:r w:rsidR="00AE7DDF">
        <w:t xml:space="preserve"> (ECAC)</w:t>
      </w:r>
      <w:r w:rsidRPr="0088369D" w:rsidR="0088369D">
        <w:t xml:space="preserve"> billing rate of $94.74</w:t>
      </w:r>
      <w:r w:rsidR="005B00F9">
        <w:t xml:space="preserve"> per megawatt-hour</w:t>
      </w:r>
      <w:r w:rsidRPr="0088369D" w:rsidR="0088369D">
        <w:t xml:space="preserve">, with an effective date of January 1, 2026 through December 31, 2027, </w:t>
      </w:r>
      <w:r w:rsidR="005B00F9">
        <w:t>for Liberty Utilities (CalPeco Electric) LLC</w:t>
      </w:r>
      <w:r w:rsidR="007B25C8">
        <w:t xml:space="preserve"> (Liberty)</w:t>
      </w:r>
      <w:r w:rsidR="005B00F9">
        <w:t xml:space="preserve"> </w:t>
      </w:r>
      <w:r w:rsidRPr="0088369D" w:rsidR="0088369D">
        <w:t>is approved.</w:t>
      </w:r>
      <w:r w:rsidR="00FD2836">
        <w:t xml:space="preserve">  </w:t>
      </w:r>
      <w:r w:rsidR="007B25C8">
        <w:t xml:space="preserve">Liberty’s </w:t>
      </w:r>
      <w:r w:rsidR="00FD2836">
        <w:t>2026 ECAC revenue requirement of $53.865 million</w:t>
      </w:r>
      <w:r w:rsidR="007B25C8">
        <w:t xml:space="preserve"> is also approved.</w:t>
      </w:r>
    </w:p>
    <w:p w:rsidR="0088369D" w:rsidP="001E2A62" w:rsidRDefault="005B00F9" w14:paraId="7C89A5BD" w14:textId="75D7930E">
      <w:pPr>
        <w:pStyle w:val="OP"/>
      </w:pPr>
      <w:r>
        <w:t>Liberty Utilities (CalPeco Electric) LLC</w:t>
      </w:r>
      <w:r w:rsidR="00137B51">
        <w:t xml:space="preserve"> is approved to</w:t>
      </w:r>
      <w:r w:rsidRPr="00EB3A5A" w:rsidR="00137B51">
        <w:t xml:space="preserve"> decrease its Carbon Pollution Permit Cost rate by $0.00448</w:t>
      </w:r>
      <w:r>
        <w:t xml:space="preserve"> per kilowatt-hour</w:t>
      </w:r>
      <w:r w:rsidRPr="00EB3A5A" w:rsidR="00137B51">
        <w:t xml:space="preserve"> and</w:t>
      </w:r>
      <w:r w:rsidR="008C0F77">
        <w:t xml:space="preserve"> set</w:t>
      </w:r>
      <w:r w:rsidRPr="00EB3A5A" w:rsidR="00137B51">
        <w:t xml:space="preserve"> the amount of the semi-annual California Climate Credit for residential and applicable small business customers to $43.94</w:t>
      </w:r>
      <w:r w:rsidR="008C0F77">
        <w:t>.</w:t>
      </w:r>
    </w:p>
    <w:p w:rsidRPr="001E2A62" w:rsidR="008C0F77" w:rsidP="001E2A62" w:rsidRDefault="00EF3D38" w14:paraId="22637DB5" w14:textId="6C869758">
      <w:pPr>
        <w:pStyle w:val="OP"/>
      </w:pPr>
      <w:r w:rsidRPr="00EF3D38">
        <w:t xml:space="preserve">Within 30 days of the effective date of this decision, </w:t>
      </w:r>
      <w:r w:rsidR="005A4812">
        <w:t>Liberty Utilities (CalPeco Electric) LLC</w:t>
      </w:r>
      <w:r w:rsidRPr="00EF3D38">
        <w:t xml:space="preserve"> shall file a Tier 1 Advice Letter with the Commission’s Energy Division to implement the 2026 </w:t>
      </w:r>
      <w:r w:rsidR="00F71D4A">
        <w:t>Energy Cost Adjustment Clause</w:t>
      </w:r>
      <w:r w:rsidRPr="00EF3D38">
        <w:t xml:space="preserve"> rate and the </w:t>
      </w:r>
      <w:r w:rsidR="00C851F3">
        <w:t>updated</w:t>
      </w:r>
      <w:r w:rsidRPr="00EF3D38">
        <w:t xml:space="preserve"> California Climate Credit approved in this decision.</w:t>
      </w:r>
    </w:p>
    <w:p w:rsidR="00F6397D" w:rsidP="00B3087D" w:rsidRDefault="00E23CBB" w14:paraId="3248EF43" w14:textId="658A7B11">
      <w:pPr>
        <w:pStyle w:val="OP"/>
      </w:pPr>
      <w:r w:rsidRPr="001E2A62">
        <w:t>Application</w:t>
      </w:r>
      <w:r w:rsidR="00312C06">
        <w:t xml:space="preserve"> 25-10-010</w:t>
      </w:r>
      <w:r w:rsidRPr="001E2A62">
        <w:t xml:space="preserve"> is closed.</w:t>
      </w:r>
    </w:p>
    <w:p w:rsidR="008F0116" w:rsidP="008F0116" w:rsidRDefault="008F0116" w14:paraId="330F9D1B" w14:textId="77777777">
      <w:r>
        <w:t>This order is effective today.</w:t>
      </w:r>
    </w:p>
    <w:p w:rsidR="004B4281" w:rsidP="004B4281" w:rsidRDefault="004B4281" w14:paraId="07E27867" w14:textId="77777777"/>
    <w:p w:rsidR="004B4281" w:rsidP="004B4281" w:rsidRDefault="004B4281" w14:paraId="0C5A5AB0" w14:textId="77777777"/>
    <w:p w:rsidR="004B4281" w:rsidP="004B4281" w:rsidRDefault="004B4281" w14:paraId="517DB0F3" w14:textId="77777777"/>
    <w:p w:rsidR="004B4281" w:rsidP="004B4281" w:rsidRDefault="004B4281" w14:paraId="61526FAE" w14:textId="77777777"/>
    <w:p w:rsidR="004B4281" w:rsidP="004B4281" w:rsidRDefault="004B4281" w14:paraId="5A8510EC" w14:textId="77777777"/>
    <w:p w:rsidR="004B4281" w:rsidP="004B36CA" w:rsidRDefault="008F0116" w14:paraId="6AECB234" w14:textId="292C3C1E">
      <w:r>
        <w:lastRenderedPageBreak/>
        <w:t xml:space="preserve">Dated </w:t>
      </w:r>
      <w:r w:rsidRPr="00502301" w:rsidR="00502301">
        <w:t>October 8, 2026</w:t>
      </w:r>
      <w:r>
        <w:t xml:space="preserve">, at </w:t>
      </w:r>
      <w:r w:rsidR="00616129">
        <w:t>Sacramento</w:t>
      </w:r>
      <w:r>
        <w:t>, California</w:t>
      </w:r>
      <w:r w:rsidR="00502301">
        <w:t>.</w:t>
      </w:r>
    </w:p>
    <w:p w:rsidR="004B36CA" w:rsidP="004B36CA" w:rsidRDefault="004B36CA" w14:paraId="4353BAEB" w14:textId="77777777"/>
    <w:p w:rsidRPr="00756EB3" w:rsidR="004B4281" w:rsidP="004B4281" w:rsidRDefault="004B4281" w14:paraId="1269EABA" w14:textId="77777777">
      <w:pPr>
        <w:autoSpaceDE w:val="0"/>
        <w:autoSpaceDN w:val="0"/>
        <w:adjustRightInd w:val="0"/>
        <w:spacing w:line="240" w:lineRule="auto"/>
        <w:ind w:left="3600" w:firstLine="1598"/>
        <w:jc w:val="both"/>
        <w:rPr>
          <w:rFonts w:eastAsia="Calibri" w:cs="Arial"/>
          <w:szCs w:val="20"/>
        </w:rPr>
      </w:pPr>
      <w:r w:rsidRPr="00756EB3">
        <w:rPr>
          <w:rFonts w:eastAsia="Calibri" w:cs="Arial"/>
          <w:szCs w:val="20"/>
        </w:rPr>
        <w:t>JOHN REYNOLDS</w:t>
      </w:r>
    </w:p>
    <w:p w:rsidRPr="00756EB3" w:rsidR="004B4281" w:rsidP="004B4281" w:rsidRDefault="004B4281" w14:paraId="045E9F77" w14:textId="77777777">
      <w:pPr>
        <w:autoSpaceDE w:val="0"/>
        <w:autoSpaceDN w:val="0"/>
        <w:adjustRightInd w:val="0"/>
        <w:spacing w:line="240" w:lineRule="auto"/>
        <w:ind w:firstLine="1598"/>
        <w:jc w:val="both"/>
        <w:rPr>
          <w:rFonts w:eastAsia="Calibri" w:cs="Arial"/>
          <w:szCs w:val="20"/>
        </w:rPr>
      </w:pPr>
      <w:r w:rsidRPr="00756EB3">
        <w:rPr>
          <w:rFonts w:eastAsia="Calibri" w:cs="Arial"/>
          <w:szCs w:val="20"/>
        </w:rPr>
        <w:tab/>
      </w:r>
      <w:r w:rsidRPr="00756EB3">
        <w:rPr>
          <w:rFonts w:eastAsia="Calibri" w:cs="Arial"/>
          <w:szCs w:val="20"/>
        </w:rPr>
        <w:tab/>
      </w:r>
      <w:r w:rsidRPr="00756EB3">
        <w:rPr>
          <w:rFonts w:eastAsia="Calibri" w:cs="Arial"/>
          <w:szCs w:val="20"/>
        </w:rPr>
        <w:tab/>
      </w:r>
      <w:r w:rsidRPr="00756EB3">
        <w:rPr>
          <w:rFonts w:eastAsia="Calibri" w:cs="Arial"/>
          <w:szCs w:val="20"/>
        </w:rPr>
        <w:tab/>
      </w:r>
      <w:r w:rsidRPr="00756EB3">
        <w:rPr>
          <w:rFonts w:eastAsia="Calibri" w:cs="Arial"/>
          <w:szCs w:val="20"/>
        </w:rPr>
        <w:tab/>
        <w:t xml:space="preserve">                          President</w:t>
      </w:r>
    </w:p>
    <w:p w:rsidRPr="00756EB3" w:rsidR="004B4281" w:rsidP="004B4281" w:rsidRDefault="004B4281" w14:paraId="3D184D0E" w14:textId="77777777">
      <w:pPr>
        <w:autoSpaceDE w:val="0"/>
        <w:autoSpaceDN w:val="0"/>
        <w:adjustRightInd w:val="0"/>
        <w:spacing w:line="240" w:lineRule="auto"/>
        <w:ind w:left="3600" w:firstLine="1598"/>
        <w:jc w:val="both"/>
        <w:rPr>
          <w:rFonts w:eastAsia="Calibri" w:cs="Arial"/>
          <w:szCs w:val="20"/>
        </w:rPr>
      </w:pPr>
      <w:r w:rsidRPr="00756EB3">
        <w:rPr>
          <w:rFonts w:eastAsia="Calibri" w:cs="Arial"/>
          <w:szCs w:val="20"/>
        </w:rPr>
        <w:t>DARCIE L. HOUCK</w:t>
      </w:r>
    </w:p>
    <w:p w:rsidRPr="00756EB3" w:rsidR="004B4281" w:rsidP="004B4281" w:rsidRDefault="004B4281" w14:paraId="6850EE19" w14:textId="77777777">
      <w:pPr>
        <w:autoSpaceDE w:val="0"/>
        <w:autoSpaceDN w:val="0"/>
        <w:adjustRightInd w:val="0"/>
        <w:spacing w:line="240" w:lineRule="auto"/>
        <w:ind w:left="3600" w:firstLine="1598"/>
        <w:jc w:val="both"/>
        <w:rPr>
          <w:rFonts w:eastAsia="Times New Roman" w:cs="Calibri"/>
          <w:color w:val="000000"/>
          <w:szCs w:val="26"/>
        </w:rPr>
      </w:pPr>
      <w:r w:rsidRPr="00756EB3">
        <w:rPr>
          <w:rFonts w:eastAsia="Times New Roman" w:cs="Calibri"/>
          <w:color w:val="000000"/>
          <w:szCs w:val="26"/>
        </w:rPr>
        <w:t>KAREN DOUGLAS</w:t>
      </w:r>
    </w:p>
    <w:p w:rsidRPr="00756EB3" w:rsidR="004B4281" w:rsidP="004B4281" w:rsidRDefault="004B4281" w14:paraId="03CB1106" w14:textId="77777777">
      <w:pPr>
        <w:autoSpaceDE w:val="0"/>
        <w:autoSpaceDN w:val="0"/>
        <w:adjustRightInd w:val="0"/>
        <w:spacing w:line="240" w:lineRule="auto"/>
        <w:ind w:left="3600" w:firstLine="1598"/>
        <w:jc w:val="both"/>
        <w:rPr>
          <w:rFonts w:eastAsia="Times New Roman" w:cs="Calibri"/>
          <w:color w:val="000000"/>
          <w:szCs w:val="26"/>
        </w:rPr>
      </w:pPr>
      <w:r w:rsidRPr="00756EB3">
        <w:rPr>
          <w:rFonts w:eastAsia="Times New Roman" w:cs="Calibri"/>
          <w:color w:val="000000"/>
          <w:szCs w:val="26"/>
        </w:rPr>
        <w:t>MATTHEW BAKER</w:t>
      </w:r>
    </w:p>
    <w:p w:rsidRPr="00756EB3" w:rsidR="004B4281" w:rsidP="004B4281" w:rsidRDefault="004B4281" w14:paraId="2058C1CA" w14:textId="77777777">
      <w:pPr>
        <w:autoSpaceDE w:val="0"/>
        <w:autoSpaceDN w:val="0"/>
        <w:adjustRightInd w:val="0"/>
        <w:spacing w:line="240" w:lineRule="auto"/>
        <w:ind w:left="3600" w:firstLine="1598"/>
        <w:jc w:val="both"/>
        <w:rPr>
          <w:rFonts w:eastAsia="Calibri" w:cs="Arial"/>
          <w:szCs w:val="20"/>
        </w:rPr>
      </w:pPr>
      <w:r w:rsidRPr="00756EB3">
        <w:rPr>
          <w:rFonts w:eastAsia="Calibri" w:cs="Arial"/>
          <w:szCs w:val="20"/>
        </w:rPr>
        <w:t>CHRISTINE HARADA</w:t>
      </w:r>
    </w:p>
    <w:p w:rsidRPr="00756EB3" w:rsidR="004B4281" w:rsidP="004B4281" w:rsidRDefault="004B4281" w14:paraId="080F151D" w14:textId="77777777">
      <w:pPr>
        <w:autoSpaceDE w:val="0"/>
        <w:autoSpaceDN w:val="0"/>
        <w:adjustRightInd w:val="0"/>
        <w:spacing w:line="240" w:lineRule="auto"/>
        <w:ind w:left="4320" w:firstLine="1598"/>
        <w:jc w:val="both"/>
        <w:rPr>
          <w:rFonts w:eastAsia="Calibri" w:cs="Arial"/>
          <w:szCs w:val="20"/>
        </w:rPr>
      </w:pPr>
      <w:r w:rsidRPr="00756EB3">
        <w:rPr>
          <w:rFonts w:eastAsia="Calibri" w:cs="Arial"/>
          <w:szCs w:val="20"/>
        </w:rPr>
        <w:t xml:space="preserve">            Commissioners</w:t>
      </w:r>
    </w:p>
    <w:p w:rsidRPr="00714CF2" w:rsidR="004B4281" w:rsidP="00816E05" w:rsidRDefault="004B4281" w14:paraId="4394E337" w14:textId="77777777"/>
    <w:sectPr w:rsidRPr="00714CF2" w:rsidR="004B4281" w:rsidSect="008C0D5C">
      <w:headerReference w:type="even" r:id="rId11"/>
      <w:headerReference w:type="default" r:id="rId12"/>
      <w:footerReference w:type="even" r:id="rId13"/>
      <w:footerReference w:type="default" r:id="rId14"/>
      <w:headerReference w:type="first" r:id="rId15"/>
      <w:footerReference w:type="first" r:id="rId16"/>
      <w:pgSz w:w="12240" w:h="15840"/>
      <w:pgMar w:top="1728"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D5065" w14:textId="77777777" w:rsidR="00175D08" w:rsidRDefault="00175D08" w:rsidP="0098138E">
      <w:pPr>
        <w:spacing w:line="240" w:lineRule="auto"/>
      </w:pPr>
      <w:r>
        <w:separator/>
      </w:r>
    </w:p>
  </w:endnote>
  <w:endnote w:type="continuationSeparator" w:id="0">
    <w:p w14:paraId="1E883D1F" w14:textId="77777777" w:rsidR="00175D08" w:rsidRDefault="00175D08"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550AF" w14:textId="77777777" w:rsidR="00A5171B" w:rsidRDefault="00A517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41AA" w14:textId="1FC25F43" w:rsidR="00E23CBB" w:rsidRDefault="00E87267" w:rsidP="00E87267">
    <w:pPr>
      <w:tabs>
        <w:tab w:val="left" w:pos="90"/>
        <w:tab w:val="center" w:pos="4680"/>
      </w:tabs>
      <w:ind w:firstLine="0"/>
    </w:pPr>
    <w:r>
      <w:tab/>
    </w:r>
    <w:r>
      <w:tab/>
    </w:r>
    <w:r w:rsidR="00E23CBB">
      <w:t>-</w:t>
    </w:r>
    <w:sdt>
      <w:sdtPr>
        <w:id w:val="-1034043401"/>
        <w:docPartObj>
          <w:docPartGallery w:val="Page Numbers (Bottom of Page)"/>
          <w:docPartUnique/>
        </w:docPartObj>
      </w:sdtPr>
      <w:sdtEndPr>
        <w:rPr>
          <w:noProof/>
        </w:rPr>
      </w:sdtEndPr>
      <w:sdtContent>
        <w:r w:rsidR="00EE4315">
          <w:t xml:space="preserve"> </w:t>
        </w:r>
        <w:r w:rsidR="00E23CBB">
          <w:fldChar w:fldCharType="begin"/>
        </w:r>
        <w:r w:rsidR="00E23CBB">
          <w:instrText xml:space="preserve"> PAGE   \* MERGEFORMAT </w:instrText>
        </w:r>
        <w:r w:rsidR="00E23CBB">
          <w:fldChar w:fldCharType="separate"/>
        </w:r>
        <w:r w:rsidR="00E23CBB">
          <w:rPr>
            <w:noProof/>
          </w:rPr>
          <w:t>2</w:t>
        </w:r>
        <w:r w:rsidR="00E23CBB">
          <w:rPr>
            <w:noProof/>
          </w:rPr>
          <w:fldChar w:fldCharType="end"/>
        </w:r>
        <w:r w:rsidR="00EE4315">
          <w:rPr>
            <w:noProof/>
          </w:rPr>
          <w:t xml:space="preserve"> </w:t>
        </w:r>
        <w:r w:rsidR="00E23CBB">
          <w:rPr>
            <w:noProof/>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157548"/>
      <w:docPartObj>
        <w:docPartGallery w:val="Page Numbers (Bottom of Page)"/>
        <w:docPartUnique/>
      </w:docPartObj>
    </w:sdtPr>
    <w:sdtEndPr>
      <w:rPr>
        <w:noProof/>
      </w:rPr>
    </w:sdtEndPr>
    <w:sdtContent>
      <w:p w14:paraId="039273C4" w14:textId="77777777" w:rsidR="008C0D5C" w:rsidRDefault="008C0D5C">
        <w:pPr>
          <w:pStyle w:val="Footer"/>
          <w:jc w:val="center"/>
        </w:pPr>
      </w:p>
      <w:p w14:paraId="5EB4D0FA" w14:textId="61437DAB" w:rsidR="008C0D5C" w:rsidRDefault="00A5171B" w:rsidP="008C0D5C">
        <w:pPr>
          <w:pStyle w:val="Footer"/>
          <w:tabs>
            <w:tab w:val="center" w:pos="5040"/>
          </w:tabs>
          <w:ind w:firstLine="90"/>
        </w:pPr>
        <w:r w:rsidRPr="00A5171B">
          <w:rPr>
            <w:sz w:val="16"/>
            <w:szCs w:val="16"/>
          </w:rPr>
          <w:t>623985048</w:t>
        </w:r>
        <w:r w:rsidR="008C0D5C">
          <w:tab/>
          <w:t xml:space="preserve">- </w:t>
        </w:r>
        <w:r w:rsidR="008C0D5C">
          <w:fldChar w:fldCharType="begin"/>
        </w:r>
        <w:r w:rsidR="008C0D5C">
          <w:instrText xml:space="preserve"> PAGE   \* MERGEFORMAT </w:instrText>
        </w:r>
        <w:r w:rsidR="008C0D5C">
          <w:fldChar w:fldCharType="separate"/>
        </w:r>
        <w:r w:rsidR="008C0D5C">
          <w:rPr>
            <w:noProof/>
          </w:rPr>
          <w:t>2</w:t>
        </w:r>
        <w:r w:rsidR="008C0D5C">
          <w:rPr>
            <w:noProof/>
          </w:rPr>
          <w:fldChar w:fldCharType="end"/>
        </w:r>
        <w:r w:rsidR="008C0D5C">
          <w:rPr>
            <w:noProof/>
          </w:rPr>
          <w:t xml:space="preserve"> -</w:t>
        </w:r>
      </w:p>
    </w:sdtContent>
  </w:sdt>
  <w:p w14:paraId="4FEBD77F" w14:textId="135FD681" w:rsidR="008C0D5C" w:rsidRDefault="008C0D5C" w:rsidP="008C0D5C">
    <w:pPr>
      <w:pStyle w:val="Footer"/>
      <w:tabs>
        <w:tab w:val="clear" w:pos="4680"/>
        <w:tab w:val="center" w:pos="450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8DE11" w14:textId="77777777" w:rsidR="00175D08" w:rsidRDefault="00175D08" w:rsidP="00DF58E7">
      <w:pPr>
        <w:spacing w:line="240" w:lineRule="auto"/>
        <w:ind w:firstLine="0"/>
      </w:pPr>
      <w:r>
        <w:separator/>
      </w:r>
    </w:p>
  </w:footnote>
  <w:footnote w:type="continuationSeparator" w:id="0">
    <w:p w14:paraId="1E020975" w14:textId="77777777" w:rsidR="00175D08" w:rsidRDefault="00175D08" w:rsidP="00DF58E7">
      <w:pPr>
        <w:spacing w:line="240" w:lineRule="auto"/>
        <w:ind w:firstLine="0"/>
      </w:pPr>
      <w:r>
        <w:continuationSeparator/>
      </w:r>
    </w:p>
  </w:footnote>
  <w:footnote w:type="continuationNotice" w:id="1">
    <w:p w14:paraId="38BAF407" w14:textId="77777777" w:rsidR="00175D08" w:rsidRPr="00DF58E7" w:rsidRDefault="00175D08" w:rsidP="00DF58E7">
      <w:pPr>
        <w:spacing w:line="240" w:lineRule="auto"/>
        <w:ind w:firstLine="0"/>
        <w:jc w:val="right"/>
        <w:rPr>
          <w:i/>
          <w:sz w:val="22"/>
        </w:rPr>
      </w:pPr>
      <w:r w:rsidRPr="00DF58E7">
        <w:rPr>
          <w:i/>
          <w:sz w:val="22"/>
        </w:rPr>
        <w:t>Footnote continued on next page.</w:t>
      </w:r>
    </w:p>
  </w:footnote>
  <w:footnote w:id="2">
    <w:p w14:paraId="653C9617" w14:textId="31232B09" w:rsidR="00267419" w:rsidRDefault="00267419">
      <w:pPr>
        <w:pStyle w:val="FootnoteText"/>
      </w:pPr>
      <w:r>
        <w:rPr>
          <w:rStyle w:val="FootnoteReference"/>
        </w:rPr>
        <w:footnoteRef/>
      </w:r>
      <w:r>
        <w:t xml:space="preserve"> Liberty’s ECAC tariff was originally authorized in Decision (D.) 12-11-030 and </w:t>
      </w:r>
      <w:r w:rsidR="00D552B6">
        <w:t xml:space="preserve">was later </w:t>
      </w:r>
      <w:r>
        <w:t>amended in D.21-05-005</w:t>
      </w:r>
      <w:r w:rsidR="00D552B6">
        <w:t>.</w:t>
      </w:r>
    </w:p>
  </w:footnote>
  <w:footnote w:id="3">
    <w:p w14:paraId="0957D331" w14:textId="1A5F704C" w:rsidR="00305615" w:rsidRPr="00305615" w:rsidRDefault="00305615">
      <w:pPr>
        <w:pStyle w:val="FootnoteText"/>
        <w:rPr>
          <w:lang w:val="en-ZW"/>
        </w:rPr>
      </w:pPr>
      <w:r>
        <w:rPr>
          <w:rStyle w:val="FootnoteReference"/>
        </w:rPr>
        <w:footnoteRef/>
      </w:r>
      <w:r>
        <w:t xml:space="preserve"> </w:t>
      </w:r>
      <w:r w:rsidR="0040476D">
        <w:rPr>
          <w:lang w:val="en-ZW"/>
        </w:rPr>
        <w:t>L</w:t>
      </w:r>
      <w:r w:rsidR="00284F88">
        <w:rPr>
          <w:lang w:val="en-ZW"/>
        </w:rPr>
        <w:t>IB</w:t>
      </w:r>
      <w:r w:rsidR="0040476D">
        <w:rPr>
          <w:lang w:val="en-ZW"/>
        </w:rPr>
        <w:t>-01 at 1.</w:t>
      </w:r>
    </w:p>
  </w:footnote>
  <w:footnote w:id="4">
    <w:p w14:paraId="270D222F" w14:textId="53164AC1" w:rsidR="008E1EE9" w:rsidRDefault="008E1EE9">
      <w:pPr>
        <w:pStyle w:val="FootnoteText"/>
      </w:pPr>
      <w:r w:rsidRPr="003D6034">
        <w:rPr>
          <w:rStyle w:val="FootnoteReference"/>
        </w:rPr>
        <w:footnoteRef/>
      </w:r>
      <w:r w:rsidRPr="003D6034">
        <w:t xml:space="preserve"> </w:t>
      </w:r>
      <w:r w:rsidR="00C973B6" w:rsidRPr="003D6034">
        <w:t>C</w:t>
      </w:r>
      <w:r w:rsidR="00537D3D">
        <w:t>A</w:t>
      </w:r>
      <w:r w:rsidR="00C973B6" w:rsidRPr="003D6034">
        <w:t>-01 at 6-7.</w:t>
      </w:r>
    </w:p>
  </w:footnote>
  <w:footnote w:id="5">
    <w:p w14:paraId="69D109D0" w14:textId="5E4B0CDD" w:rsidR="008A10E1" w:rsidRDefault="008A10E1">
      <w:pPr>
        <w:pStyle w:val="FootnoteText"/>
      </w:pPr>
      <w:r>
        <w:rPr>
          <w:rStyle w:val="FootnoteReference"/>
        </w:rPr>
        <w:footnoteRef/>
      </w:r>
      <w:r>
        <w:t xml:space="preserve"> A-3 Opening Brief at 1-2.</w:t>
      </w:r>
    </w:p>
  </w:footnote>
  <w:footnote w:id="6">
    <w:p w14:paraId="6CBB985D" w14:textId="10952235" w:rsidR="00946105" w:rsidRDefault="00946105" w:rsidP="00946105">
      <w:pPr>
        <w:pStyle w:val="FootnoteText"/>
      </w:pPr>
      <w:r w:rsidRPr="003D6034">
        <w:rPr>
          <w:rStyle w:val="FootnoteReference"/>
        </w:rPr>
        <w:footnoteRef/>
      </w:r>
      <w:r w:rsidRPr="003D6034">
        <w:t xml:space="preserve"> The NV ESA was approved by the Commission in D.15-12-021 for service from January 1, 2016 through December 30, 2020.</w:t>
      </w:r>
      <w:r w:rsidR="00E450BD">
        <w:t xml:space="preserve">  </w:t>
      </w:r>
      <w:r w:rsidR="00E450BD" w:rsidRPr="0094171D">
        <w:rPr>
          <w:i/>
          <w:iCs/>
        </w:rPr>
        <w:t>See</w:t>
      </w:r>
      <w:r w:rsidR="00E450BD">
        <w:t xml:space="preserve"> Liberty Opening Brief at </w:t>
      </w:r>
      <w:r w:rsidR="0094171D">
        <w:t>4</w:t>
      </w:r>
      <w:r w:rsidR="004B75A8">
        <w:t>, Footnote 10</w:t>
      </w:r>
      <w:r w:rsidR="0094171D">
        <w:t>.</w:t>
      </w:r>
    </w:p>
  </w:footnote>
  <w:footnote w:id="7">
    <w:p w14:paraId="0012C054" w14:textId="7B4E0FF9" w:rsidR="00CD794D" w:rsidRDefault="00CD794D">
      <w:pPr>
        <w:pStyle w:val="FootnoteText"/>
      </w:pPr>
      <w:r>
        <w:rPr>
          <w:rStyle w:val="FootnoteReference"/>
        </w:rPr>
        <w:footnoteRef/>
      </w:r>
      <w:r>
        <w:t xml:space="preserve"> L</w:t>
      </w:r>
      <w:r w:rsidR="00537D3D">
        <w:t>IB</w:t>
      </w:r>
      <w:r>
        <w:t>-</w:t>
      </w:r>
      <w:r w:rsidR="000924CC">
        <w:t>0</w:t>
      </w:r>
      <w:r>
        <w:t>1 at</w:t>
      </w:r>
      <w:r w:rsidR="00DD5A3B">
        <w:t xml:space="preserve"> 1.</w:t>
      </w:r>
      <w:r>
        <w:t xml:space="preserve"> </w:t>
      </w:r>
    </w:p>
  </w:footnote>
  <w:footnote w:id="8">
    <w:p w14:paraId="21539BF8" w14:textId="3C9A53A3" w:rsidR="00374930" w:rsidRDefault="00374930">
      <w:pPr>
        <w:pStyle w:val="FootnoteText"/>
      </w:pPr>
      <w:r>
        <w:rPr>
          <w:rStyle w:val="FootnoteReference"/>
        </w:rPr>
        <w:footnoteRef/>
      </w:r>
      <w:r>
        <w:t xml:space="preserve"> Liberty Opening Brief at 6.</w:t>
      </w:r>
    </w:p>
  </w:footnote>
  <w:footnote w:id="9">
    <w:p w14:paraId="350B2A4E" w14:textId="0303B101" w:rsidR="00530EB9" w:rsidRDefault="00530EB9" w:rsidP="00530EB9">
      <w:pPr>
        <w:pStyle w:val="FootnoteText"/>
      </w:pPr>
      <w:r>
        <w:rPr>
          <w:rStyle w:val="FootnoteReference"/>
        </w:rPr>
        <w:footnoteRef/>
      </w:r>
      <w:r>
        <w:t xml:space="preserve"> L</w:t>
      </w:r>
      <w:r w:rsidR="00537D3D">
        <w:t>IB</w:t>
      </w:r>
      <w:r>
        <w:t>-01, Appendix A.</w:t>
      </w:r>
    </w:p>
  </w:footnote>
  <w:footnote w:id="10">
    <w:p w14:paraId="6749DB62" w14:textId="12BC2DFC" w:rsidR="00E3403C" w:rsidRDefault="00E3403C" w:rsidP="00E3403C">
      <w:pPr>
        <w:pStyle w:val="FootnoteText"/>
      </w:pPr>
      <w:r>
        <w:rPr>
          <w:rStyle w:val="FootnoteReference"/>
        </w:rPr>
        <w:footnoteRef/>
      </w:r>
      <w:r>
        <w:t xml:space="preserve"> L</w:t>
      </w:r>
      <w:r w:rsidR="00537D3D">
        <w:t>IB</w:t>
      </w:r>
      <w:r>
        <w:t>-01 at 2-3</w:t>
      </w:r>
    </w:p>
  </w:footnote>
  <w:footnote w:id="11">
    <w:p w14:paraId="75D8A841" w14:textId="1751E533" w:rsidR="00995EF0" w:rsidRDefault="00995EF0">
      <w:pPr>
        <w:pStyle w:val="FootnoteText"/>
      </w:pPr>
      <w:r>
        <w:rPr>
          <w:rStyle w:val="FootnoteReference"/>
        </w:rPr>
        <w:footnoteRef/>
      </w:r>
      <w:r>
        <w:t xml:space="preserve"> Libert</w:t>
      </w:r>
      <w:r w:rsidR="00C52FA9">
        <w:t>y Opening Brief at 8</w:t>
      </w:r>
      <w:r>
        <w:t>.</w:t>
      </w:r>
    </w:p>
  </w:footnote>
  <w:footnote w:id="12">
    <w:p w14:paraId="2B747B89" w14:textId="16CB1C26" w:rsidR="007D58BB" w:rsidRDefault="007D58BB">
      <w:pPr>
        <w:pStyle w:val="FootnoteText"/>
      </w:pPr>
      <w:r>
        <w:rPr>
          <w:rStyle w:val="FootnoteReference"/>
        </w:rPr>
        <w:footnoteRef/>
      </w:r>
      <w:r>
        <w:t xml:space="preserve"> Liberty Opening Brief at</w:t>
      </w:r>
      <w:r w:rsidR="00696BF2">
        <w:t xml:space="preserve"> 7-8.</w:t>
      </w:r>
    </w:p>
  </w:footnote>
  <w:footnote w:id="13">
    <w:p w14:paraId="3C126294" w14:textId="2DFF07D2" w:rsidR="00865E49" w:rsidRDefault="00865E49">
      <w:pPr>
        <w:pStyle w:val="FootnoteText"/>
      </w:pPr>
      <w:r>
        <w:rPr>
          <w:rStyle w:val="FootnoteReference"/>
        </w:rPr>
        <w:footnoteRef/>
      </w:r>
      <w:r>
        <w:t xml:space="preserve"> </w:t>
      </w:r>
      <w:r w:rsidR="007D58BB">
        <w:t>Ibid.</w:t>
      </w:r>
    </w:p>
  </w:footnote>
  <w:footnote w:id="14">
    <w:p w14:paraId="1A9A9E20" w14:textId="129AD909" w:rsidR="007D58BB" w:rsidRDefault="007D58BB">
      <w:pPr>
        <w:pStyle w:val="FootnoteText"/>
      </w:pPr>
      <w:r>
        <w:rPr>
          <w:rStyle w:val="FootnoteReference"/>
        </w:rPr>
        <w:footnoteRef/>
      </w:r>
      <w:r>
        <w:t xml:space="preserve"> L</w:t>
      </w:r>
      <w:r w:rsidR="00C730E0">
        <w:t>IB</w:t>
      </w:r>
      <w:r w:rsidR="00696BF2">
        <w:t>-01 at 2.</w:t>
      </w:r>
      <w:r>
        <w:t xml:space="preserve"> </w:t>
      </w:r>
    </w:p>
  </w:footnote>
  <w:footnote w:id="15">
    <w:p w14:paraId="75AF41ED" w14:textId="38F3757F" w:rsidR="005F0BC5" w:rsidRDefault="005F0BC5">
      <w:pPr>
        <w:pStyle w:val="FootnoteText"/>
      </w:pPr>
      <w:r>
        <w:rPr>
          <w:rStyle w:val="FootnoteReference"/>
        </w:rPr>
        <w:footnoteRef/>
      </w:r>
      <w:r>
        <w:t xml:space="preserve"> Liberty</w:t>
      </w:r>
      <w:r w:rsidR="000A191D">
        <w:t xml:space="preserve"> Opening Brief at 8</w:t>
      </w:r>
      <w:r>
        <w:t>.</w:t>
      </w:r>
    </w:p>
  </w:footnote>
  <w:footnote w:id="16">
    <w:p w14:paraId="05343815" w14:textId="77777777" w:rsidR="002D0CDD" w:rsidRDefault="002D0CDD" w:rsidP="002D0CDD">
      <w:pPr>
        <w:pStyle w:val="FootnoteText"/>
      </w:pPr>
      <w:r>
        <w:rPr>
          <w:rStyle w:val="FootnoteReference"/>
        </w:rPr>
        <w:footnoteRef/>
      </w:r>
      <w:r>
        <w:t xml:space="preserve"> Liberty Opening Brief at </w:t>
      </w:r>
    </w:p>
  </w:footnote>
  <w:footnote w:id="17">
    <w:p w14:paraId="596012E1" w14:textId="65C61DD3" w:rsidR="002D0CDD" w:rsidRDefault="002D0CDD">
      <w:pPr>
        <w:pStyle w:val="FootnoteText"/>
      </w:pPr>
      <w:r>
        <w:rPr>
          <w:rStyle w:val="FootnoteReference"/>
        </w:rPr>
        <w:footnoteRef/>
      </w:r>
      <w:r>
        <w:t xml:space="preserve"> D.25-</w:t>
      </w:r>
      <w:r w:rsidR="00AC7B8F">
        <w:t>08-012, Ordering Paragraph 2.</w:t>
      </w:r>
    </w:p>
  </w:footnote>
  <w:footnote w:id="18">
    <w:p w14:paraId="647F40B1" w14:textId="77777777" w:rsidR="00784820" w:rsidRDefault="00784820" w:rsidP="00784820">
      <w:pPr>
        <w:pStyle w:val="FootnoteText"/>
      </w:pPr>
      <w:r>
        <w:rPr>
          <w:rStyle w:val="FootnoteReference"/>
        </w:rPr>
        <w:footnoteRef/>
      </w:r>
      <w:r>
        <w:t xml:space="preserve"> D.14-10-33, Ordering Paragraph 10.</w:t>
      </w:r>
    </w:p>
  </w:footnote>
  <w:footnote w:id="19">
    <w:p w14:paraId="62D99BAC" w14:textId="06A86BAE" w:rsidR="006B4D2A" w:rsidRDefault="006B4D2A">
      <w:pPr>
        <w:pStyle w:val="FootnoteText"/>
      </w:pPr>
      <w:r>
        <w:rPr>
          <w:rStyle w:val="FootnoteReference"/>
        </w:rPr>
        <w:footnoteRef/>
      </w:r>
      <w:r>
        <w:t xml:space="preserve"> Assembly Bill 1207 updated the name of the “Cap-and-Trade” program to “Cap-and-Invest” program.</w:t>
      </w:r>
    </w:p>
  </w:footnote>
  <w:footnote w:id="20">
    <w:p w14:paraId="4EA161AF" w14:textId="7C64165E" w:rsidR="001D5592" w:rsidRDefault="001D5592">
      <w:pPr>
        <w:pStyle w:val="FootnoteText"/>
      </w:pPr>
      <w:r>
        <w:rPr>
          <w:rStyle w:val="FootnoteReference"/>
        </w:rPr>
        <w:footnoteRef/>
      </w:r>
      <w:r>
        <w:t xml:space="preserve"> Liberty Opening Brief at 9-10.</w:t>
      </w:r>
    </w:p>
  </w:footnote>
  <w:footnote w:id="21">
    <w:p w14:paraId="5D392D41" w14:textId="2CB4FCFE" w:rsidR="004B6865" w:rsidRPr="003F7E92" w:rsidRDefault="004B6865">
      <w:pPr>
        <w:pStyle w:val="FootnoteText"/>
      </w:pPr>
      <w:r w:rsidRPr="003F7E92">
        <w:rPr>
          <w:rStyle w:val="FootnoteReference"/>
        </w:rPr>
        <w:footnoteRef/>
      </w:r>
      <w:r w:rsidRPr="003F7E92">
        <w:t xml:space="preserve"> The total forecasted 20</w:t>
      </w:r>
      <w:r w:rsidR="000C1038" w:rsidRPr="003F7E92">
        <w:t>25 GHG costs is confidential</w:t>
      </w:r>
      <w:r w:rsidR="00D44874" w:rsidRPr="003F7E92">
        <w:t xml:space="preserve">.  </w:t>
      </w:r>
      <w:r w:rsidR="00D44874" w:rsidRPr="00407F9E">
        <w:rPr>
          <w:i/>
          <w:iCs/>
        </w:rPr>
        <w:t>See</w:t>
      </w:r>
      <w:r w:rsidR="00D44874" w:rsidRPr="003F7E92">
        <w:t xml:space="preserve"> Liberty-01</w:t>
      </w:r>
      <w:r w:rsidR="00642CE2" w:rsidRPr="003F7E92">
        <w:t>, Appendix D.</w:t>
      </w:r>
      <w:r w:rsidR="00D44874" w:rsidRPr="003F7E92">
        <w:t xml:space="preserve"> </w:t>
      </w:r>
      <w:r w:rsidR="000C1038" w:rsidRPr="003F7E92">
        <w:t xml:space="preserve"> </w:t>
      </w:r>
    </w:p>
  </w:footnote>
  <w:footnote w:id="22">
    <w:p w14:paraId="511C5C4C" w14:textId="54267365" w:rsidR="00F61AFA" w:rsidRDefault="00F61AFA">
      <w:pPr>
        <w:pStyle w:val="FootnoteText"/>
      </w:pPr>
      <w:r w:rsidRPr="003F7E92">
        <w:rPr>
          <w:rStyle w:val="FootnoteReference"/>
        </w:rPr>
        <w:footnoteRef/>
      </w:r>
      <w:r w:rsidRPr="003F7E92">
        <w:t xml:space="preserve"> </w:t>
      </w:r>
      <w:r w:rsidR="00641F7A" w:rsidRPr="003F7E92">
        <w:t>D.12-</w:t>
      </w:r>
      <w:r w:rsidR="003F7E92" w:rsidRPr="003F7E92">
        <w:t>12</w:t>
      </w:r>
      <w:r w:rsidR="00BC4A0B" w:rsidRPr="003F7E92">
        <w:t>-</w:t>
      </w:r>
      <w:r w:rsidR="00641F7A" w:rsidRPr="003F7E92">
        <w:t xml:space="preserve">033 authorized investor-owned utilities to </w:t>
      </w:r>
      <w:r w:rsidR="0095394E" w:rsidRPr="003F7E92">
        <w:t xml:space="preserve">set aside an appropriate </w:t>
      </w:r>
      <w:r w:rsidR="00BC4A0B" w:rsidRPr="003F7E92">
        <w:t>amount</w:t>
      </w:r>
      <w:r w:rsidR="0095394E" w:rsidRPr="003F7E92">
        <w:t xml:space="preserve"> for customer </w:t>
      </w:r>
      <w:r w:rsidR="00BC4A0B" w:rsidRPr="003F7E92">
        <w:t>outreach</w:t>
      </w:r>
      <w:r w:rsidR="0095394E" w:rsidRPr="003F7E92">
        <w:t xml:space="preserve"> and education activities and ongoing administrative tasks from the distribution of GHG allowance revenues.</w:t>
      </w:r>
      <w:r w:rsidR="00CC0943" w:rsidRPr="003F7E92">
        <w:rPr>
          <w:i/>
          <w:iCs/>
        </w:rPr>
        <w:t xml:space="preserve">  See </w:t>
      </w:r>
      <w:r w:rsidR="00CC0943" w:rsidRPr="003F7E92">
        <w:t>D.12-12-0</w:t>
      </w:r>
      <w:r w:rsidR="005E762A" w:rsidRPr="003F7E92">
        <w:t>33</w:t>
      </w:r>
      <w:r w:rsidR="005E762A" w:rsidRPr="003F7E92">
        <w:rPr>
          <w:i/>
          <w:iCs/>
        </w:rPr>
        <w:t xml:space="preserve">, </w:t>
      </w:r>
      <w:r w:rsidR="005E762A" w:rsidRPr="003F7E92">
        <w:t>Ordering</w:t>
      </w:r>
      <w:r w:rsidR="005E762A" w:rsidRPr="005E762A">
        <w:t xml:space="preserve"> </w:t>
      </w:r>
      <w:r w:rsidR="00BC4A0B" w:rsidRPr="005E762A">
        <w:t>Paragraph</w:t>
      </w:r>
      <w:r w:rsidR="005E762A" w:rsidRPr="005E762A">
        <w:t xml:space="preserve"> </w:t>
      </w:r>
      <w:r w:rsidR="00225CFA">
        <w:t>1</w:t>
      </w:r>
      <w:r w:rsidR="005E762A" w:rsidRPr="005E762A">
        <w:t xml:space="preserve">. </w:t>
      </w:r>
    </w:p>
  </w:footnote>
  <w:footnote w:id="23">
    <w:p w14:paraId="378F1B77" w14:textId="49640987" w:rsidR="00BC4A0B" w:rsidRDefault="00BC4A0B">
      <w:pPr>
        <w:pStyle w:val="FootnoteText"/>
      </w:pPr>
      <w:r>
        <w:rPr>
          <w:rStyle w:val="FootnoteReference"/>
        </w:rPr>
        <w:footnoteRef/>
      </w:r>
      <w:r>
        <w:t xml:space="preserve"> L</w:t>
      </w:r>
      <w:r w:rsidR="00F137FE">
        <w:t>IB</w:t>
      </w:r>
      <w:r>
        <w:t>-01 at 8.</w:t>
      </w:r>
    </w:p>
  </w:footnote>
  <w:footnote w:id="24">
    <w:p w14:paraId="5D0DBE90" w14:textId="49FB9455" w:rsidR="00BC4A0B" w:rsidRDefault="00BC4A0B">
      <w:pPr>
        <w:pStyle w:val="FootnoteText"/>
      </w:pPr>
      <w:r>
        <w:rPr>
          <w:rStyle w:val="FootnoteReference"/>
        </w:rPr>
        <w:footnoteRef/>
      </w:r>
      <w:r>
        <w:t xml:space="preserve"> L</w:t>
      </w:r>
      <w:r w:rsidR="00F137FE">
        <w:t>IB</w:t>
      </w:r>
      <w:r>
        <w:t>-01 at 10.</w:t>
      </w:r>
    </w:p>
  </w:footnote>
  <w:footnote w:id="25">
    <w:p w14:paraId="65732368" w14:textId="52BDC114" w:rsidR="005D0D6C" w:rsidRDefault="005D0D6C">
      <w:pPr>
        <w:pStyle w:val="FootnoteText"/>
      </w:pPr>
      <w:r>
        <w:rPr>
          <w:rStyle w:val="FootnoteReference"/>
        </w:rPr>
        <w:footnoteRef/>
      </w:r>
      <w:r>
        <w:t xml:space="preserve"> L</w:t>
      </w:r>
      <w:r w:rsidR="00F137FE">
        <w:t>IB</w:t>
      </w:r>
      <w:r>
        <w:t>-01</w:t>
      </w:r>
      <w:r w:rsidR="00844E94">
        <w:t>, Appendix D</w:t>
      </w:r>
      <w:r>
        <w:t>.</w:t>
      </w:r>
    </w:p>
  </w:footnote>
  <w:footnote w:id="26">
    <w:p w14:paraId="64FA58F1" w14:textId="77777777" w:rsidR="004C094C" w:rsidRPr="003F7E92" w:rsidRDefault="004C094C" w:rsidP="004C094C">
      <w:pPr>
        <w:pStyle w:val="FootnoteText"/>
      </w:pPr>
      <w:r w:rsidRPr="003F7E92">
        <w:rPr>
          <w:rStyle w:val="FootnoteReference"/>
        </w:rPr>
        <w:footnoteRef/>
      </w:r>
      <w:r w:rsidRPr="003F7E92">
        <w:t xml:space="preserve"> The total forecasted 2025 GHG costs is confidential.  </w:t>
      </w:r>
      <w:r w:rsidRPr="00C443E3">
        <w:rPr>
          <w:i/>
          <w:iCs/>
        </w:rPr>
        <w:t>See</w:t>
      </w:r>
      <w:r w:rsidRPr="003F7E92">
        <w:t xml:space="preserve"> Liberty-01, Appendix D.  </w:t>
      </w:r>
    </w:p>
  </w:footnote>
  <w:footnote w:id="27">
    <w:p w14:paraId="73330557" w14:textId="77777777" w:rsidR="004C094C" w:rsidRDefault="004C094C" w:rsidP="004C094C">
      <w:pPr>
        <w:pStyle w:val="FootnoteText"/>
      </w:pPr>
      <w:r w:rsidRPr="003F7E92">
        <w:rPr>
          <w:rStyle w:val="FootnoteReference"/>
        </w:rPr>
        <w:footnoteRef/>
      </w:r>
      <w:r w:rsidRPr="003F7E92">
        <w:t xml:space="preserve"> D.12-12-033 authorized investor-owned utilities to set aside an appropriate amount for customer outreach and education activities and ongoing administrative tasks from the distribution of GHG allowance revenues.</w:t>
      </w:r>
      <w:r w:rsidRPr="003F7E92">
        <w:rPr>
          <w:i/>
          <w:iCs/>
        </w:rPr>
        <w:t xml:space="preserve">  See </w:t>
      </w:r>
      <w:r w:rsidRPr="003F7E92">
        <w:t>D.12-12-033</w:t>
      </w:r>
      <w:r w:rsidRPr="003F7E92">
        <w:rPr>
          <w:i/>
          <w:iCs/>
        </w:rPr>
        <w:t xml:space="preserve">, </w:t>
      </w:r>
      <w:r w:rsidRPr="003F7E92">
        <w:t>Ordering</w:t>
      </w:r>
      <w:r w:rsidRPr="005E762A">
        <w:t xml:space="preserve"> Paragraph </w:t>
      </w:r>
      <w:r>
        <w:t>1</w:t>
      </w:r>
      <w:r w:rsidRPr="005E762A">
        <w:t xml:space="preserve">. </w:t>
      </w:r>
    </w:p>
  </w:footnote>
  <w:footnote w:id="28">
    <w:p w14:paraId="0760DB1C" w14:textId="4990114C" w:rsidR="004C094C" w:rsidRDefault="004C094C" w:rsidP="004C094C">
      <w:pPr>
        <w:pStyle w:val="FootnoteText"/>
      </w:pPr>
      <w:r>
        <w:rPr>
          <w:rStyle w:val="FootnoteReference"/>
        </w:rPr>
        <w:footnoteRef/>
      </w:r>
      <w:r>
        <w:t xml:space="preserve"> L</w:t>
      </w:r>
      <w:r w:rsidR="00CF78F3">
        <w:t>IB</w:t>
      </w:r>
      <w:r>
        <w:t>-01 at 8.</w:t>
      </w:r>
    </w:p>
  </w:footnote>
  <w:footnote w:id="29">
    <w:p w14:paraId="29C2886E" w14:textId="70CA1E2F" w:rsidR="004C094C" w:rsidRDefault="004C094C" w:rsidP="004C094C">
      <w:pPr>
        <w:pStyle w:val="FootnoteText"/>
      </w:pPr>
      <w:r>
        <w:rPr>
          <w:rStyle w:val="FootnoteReference"/>
        </w:rPr>
        <w:footnoteRef/>
      </w:r>
      <w:r>
        <w:t xml:space="preserve"> L</w:t>
      </w:r>
      <w:r w:rsidR="00CF78F3">
        <w:t>IB</w:t>
      </w:r>
      <w:r>
        <w:t>-01 at 10.</w:t>
      </w:r>
    </w:p>
  </w:footnote>
  <w:footnote w:id="30">
    <w:p w14:paraId="4A656F8D" w14:textId="6BA9E6BD" w:rsidR="007E0C12" w:rsidRDefault="007E0C12" w:rsidP="007E0C12">
      <w:pPr>
        <w:pStyle w:val="FootnoteText"/>
      </w:pPr>
      <w:r>
        <w:rPr>
          <w:rStyle w:val="FootnoteReference"/>
        </w:rPr>
        <w:footnoteRef/>
      </w:r>
      <w:r>
        <w:t xml:space="preserve"> L</w:t>
      </w:r>
      <w:r w:rsidR="00CF78F3">
        <w:t>IB</w:t>
      </w:r>
      <w:r>
        <w:t>-01, Appendix 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694CA" w14:textId="77777777" w:rsidR="00A5171B" w:rsidRDefault="00A517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6477F" w14:textId="66691277" w:rsidR="00FE2351" w:rsidRDefault="008B4270" w:rsidP="00EE4315">
    <w:pPr>
      <w:pStyle w:val="Header"/>
      <w:tabs>
        <w:tab w:val="clear" w:pos="4680"/>
      </w:tabs>
      <w:ind w:firstLine="0"/>
      <w:rPr>
        <w:b/>
      </w:rPr>
    </w:pPr>
    <w:r>
      <w:t>A.25-10-010  ALJ/EC2/vj4</w:t>
    </w:r>
    <w:r w:rsidR="00FE2351">
      <w:tab/>
    </w:r>
  </w:p>
  <w:p w14:paraId="78C023F5" w14:textId="21EF5568" w:rsidR="00FE2351" w:rsidRPr="00B3087D" w:rsidRDefault="00FE2351" w:rsidP="00B3087D">
    <w:pPr>
      <w:pStyle w:val="Header"/>
      <w:tabs>
        <w:tab w:val="clear" w:pos="4680"/>
      </w:tabs>
      <w:ind w:firstLine="0"/>
      <w:rPr>
        <w:i/>
        <w:color w:val="FF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2B39A" w14:textId="77777777" w:rsidR="00A5171B" w:rsidRDefault="00A517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4045"/>
    <w:multiLevelType w:val="hybridMultilevel"/>
    <w:tmpl w:val="03C4CC8C"/>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84317EA"/>
    <w:multiLevelType w:val="hybridMultilevel"/>
    <w:tmpl w:val="2A92A744"/>
    <w:lvl w:ilvl="0" w:tplc="E9EED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4EA0247"/>
    <w:multiLevelType w:val="hybridMultilevel"/>
    <w:tmpl w:val="A9FEDE88"/>
    <w:lvl w:ilvl="0" w:tplc="4D1CC450">
      <w:numFmt w:val="bullet"/>
      <w:lvlText w:val="-"/>
      <w:lvlJc w:val="left"/>
      <w:pPr>
        <w:ind w:left="4752" w:hanging="360"/>
      </w:pPr>
      <w:rPr>
        <w:rFonts w:ascii="Book Antiqua" w:eastAsiaTheme="minorHAnsi" w:hAnsi="Book Antiqua" w:cstheme="minorBidi" w:hint="default"/>
      </w:rPr>
    </w:lvl>
    <w:lvl w:ilvl="1" w:tplc="04090003" w:tentative="1">
      <w:start w:val="1"/>
      <w:numFmt w:val="bullet"/>
      <w:lvlText w:val="o"/>
      <w:lvlJc w:val="left"/>
      <w:pPr>
        <w:ind w:left="5472" w:hanging="360"/>
      </w:pPr>
      <w:rPr>
        <w:rFonts w:ascii="Courier New" w:hAnsi="Courier New" w:cs="Courier New" w:hint="default"/>
      </w:rPr>
    </w:lvl>
    <w:lvl w:ilvl="2" w:tplc="04090005" w:tentative="1">
      <w:start w:val="1"/>
      <w:numFmt w:val="bullet"/>
      <w:lvlText w:val=""/>
      <w:lvlJc w:val="left"/>
      <w:pPr>
        <w:ind w:left="6192" w:hanging="360"/>
      </w:pPr>
      <w:rPr>
        <w:rFonts w:ascii="Wingdings" w:hAnsi="Wingdings" w:hint="default"/>
      </w:rPr>
    </w:lvl>
    <w:lvl w:ilvl="3" w:tplc="04090001" w:tentative="1">
      <w:start w:val="1"/>
      <w:numFmt w:val="bullet"/>
      <w:lvlText w:val=""/>
      <w:lvlJc w:val="left"/>
      <w:pPr>
        <w:ind w:left="6912" w:hanging="360"/>
      </w:pPr>
      <w:rPr>
        <w:rFonts w:ascii="Symbol" w:hAnsi="Symbol" w:hint="default"/>
      </w:rPr>
    </w:lvl>
    <w:lvl w:ilvl="4" w:tplc="04090003" w:tentative="1">
      <w:start w:val="1"/>
      <w:numFmt w:val="bullet"/>
      <w:lvlText w:val="o"/>
      <w:lvlJc w:val="left"/>
      <w:pPr>
        <w:ind w:left="7632" w:hanging="360"/>
      </w:pPr>
      <w:rPr>
        <w:rFonts w:ascii="Courier New" w:hAnsi="Courier New" w:cs="Courier New" w:hint="default"/>
      </w:rPr>
    </w:lvl>
    <w:lvl w:ilvl="5" w:tplc="04090005" w:tentative="1">
      <w:start w:val="1"/>
      <w:numFmt w:val="bullet"/>
      <w:lvlText w:val=""/>
      <w:lvlJc w:val="left"/>
      <w:pPr>
        <w:ind w:left="8352" w:hanging="360"/>
      </w:pPr>
      <w:rPr>
        <w:rFonts w:ascii="Wingdings" w:hAnsi="Wingdings" w:hint="default"/>
      </w:rPr>
    </w:lvl>
    <w:lvl w:ilvl="6" w:tplc="04090001" w:tentative="1">
      <w:start w:val="1"/>
      <w:numFmt w:val="bullet"/>
      <w:lvlText w:val=""/>
      <w:lvlJc w:val="left"/>
      <w:pPr>
        <w:ind w:left="9072" w:hanging="360"/>
      </w:pPr>
      <w:rPr>
        <w:rFonts w:ascii="Symbol" w:hAnsi="Symbol" w:hint="default"/>
      </w:rPr>
    </w:lvl>
    <w:lvl w:ilvl="7" w:tplc="04090003" w:tentative="1">
      <w:start w:val="1"/>
      <w:numFmt w:val="bullet"/>
      <w:lvlText w:val="o"/>
      <w:lvlJc w:val="left"/>
      <w:pPr>
        <w:ind w:left="9792" w:hanging="360"/>
      </w:pPr>
      <w:rPr>
        <w:rFonts w:ascii="Courier New" w:hAnsi="Courier New" w:cs="Courier New" w:hint="default"/>
      </w:rPr>
    </w:lvl>
    <w:lvl w:ilvl="8" w:tplc="04090005" w:tentative="1">
      <w:start w:val="1"/>
      <w:numFmt w:val="bullet"/>
      <w:lvlText w:val=""/>
      <w:lvlJc w:val="left"/>
      <w:pPr>
        <w:ind w:left="10512" w:hanging="360"/>
      </w:pPr>
      <w:rPr>
        <w:rFonts w:ascii="Wingdings" w:hAnsi="Wingdings" w:hint="default"/>
      </w:rPr>
    </w:lvl>
  </w:abstractNum>
  <w:abstractNum w:abstractNumId="5" w15:restartNumberingAfterBreak="0">
    <w:nsid w:val="15F056CB"/>
    <w:multiLevelType w:val="multilevel"/>
    <w:tmpl w:val="18F4A5AC"/>
    <w:numStyleLink w:val="FoFCoLOP"/>
  </w:abstractNum>
  <w:abstractNum w:abstractNumId="6" w15:restartNumberingAfterBreak="0">
    <w:nsid w:val="1C1D40B2"/>
    <w:multiLevelType w:val="multilevel"/>
    <w:tmpl w:val="F23EFC66"/>
    <w:lvl w:ilvl="0">
      <w:start w:val="1"/>
      <w:numFmt w:val="decimal"/>
      <w:lvlText w:val="%1."/>
      <w:lvlJc w:val="right"/>
      <w:pPr>
        <w:ind w:left="0" w:firstLine="540"/>
      </w:pPr>
      <w:rPr>
        <w:rFonts w:hint="default"/>
      </w:rPr>
    </w:lvl>
    <w:lvl w:ilvl="1">
      <w:start w:val="1"/>
      <w:numFmt w:val="lowerLetter"/>
      <w:lvlText w:val="%2."/>
      <w:lvlJc w:val="left"/>
      <w:pPr>
        <w:ind w:left="1440" w:hanging="360"/>
      </w:p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7"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D70038F"/>
    <w:multiLevelType w:val="multilevel"/>
    <w:tmpl w:val="3C526EDE"/>
    <w:numStyleLink w:val="Headings"/>
  </w:abstractNum>
  <w:abstractNum w:abstractNumId="9" w15:restartNumberingAfterBreak="0">
    <w:nsid w:val="1E2242C9"/>
    <w:multiLevelType w:val="multilevel"/>
    <w:tmpl w:val="3C526EDE"/>
    <w:numStyleLink w:val="Headings"/>
  </w:abstractNum>
  <w:abstractNum w:abstractNumId="10" w15:restartNumberingAfterBreak="0">
    <w:nsid w:val="21FB58FE"/>
    <w:multiLevelType w:val="multilevel"/>
    <w:tmpl w:val="3C526EDE"/>
    <w:numStyleLink w:val="Headings"/>
  </w:abstractNum>
  <w:abstractNum w:abstractNumId="11" w15:restartNumberingAfterBreak="0">
    <w:nsid w:val="243663A0"/>
    <w:multiLevelType w:val="multilevel"/>
    <w:tmpl w:val="3C526EDE"/>
    <w:numStyleLink w:val="Headings"/>
  </w:abstractNum>
  <w:abstractNum w:abstractNumId="12" w15:restartNumberingAfterBreak="0">
    <w:nsid w:val="2B8124D7"/>
    <w:multiLevelType w:val="multilevel"/>
    <w:tmpl w:val="3C526EDE"/>
    <w:numStyleLink w:val="Headings"/>
  </w:abstractNum>
  <w:abstractNum w:abstractNumId="13" w15:restartNumberingAfterBreak="0">
    <w:nsid w:val="33127A69"/>
    <w:multiLevelType w:val="multilevel"/>
    <w:tmpl w:val="916C623E"/>
    <w:lvl w:ilvl="0">
      <w:start w:val="1"/>
      <w:numFmt w:val="decimal"/>
      <w:lvlText w:val="%1."/>
      <w:lvlJc w:val="right"/>
      <w:pPr>
        <w:ind w:left="0" w:firstLine="540"/>
      </w:pPr>
      <w:rPr>
        <w:rFonts w:hint="default"/>
      </w:rPr>
    </w:lvl>
    <w:lvl w:ilvl="1">
      <w:start w:val="1"/>
      <w:numFmt w:val="lowerLetter"/>
      <w:lvlText w:val="%2."/>
      <w:lvlJc w:val="left"/>
      <w:pPr>
        <w:ind w:left="1440" w:hanging="360"/>
      </w:p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4"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5" w15:restartNumberingAfterBreak="0">
    <w:nsid w:val="3F13777A"/>
    <w:multiLevelType w:val="hybridMultilevel"/>
    <w:tmpl w:val="52748D28"/>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58B2821"/>
    <w:multiLevelType w:val="multilevel"/>
    <w:tmpl w:val="D13EF710"/>
    <w:lvl w:ilvl="0">
      <w:start w:val="1"/>
      <w:numFmt w:val="decimal"/>
      <w:lvlText w:val="%1."/>
      <w:lvlJc w:val="right"/>
      <w:pPr>
        <w:ind w:left="0" w:firstLine="540"/>
      </w:pPr>
      <w:rPr>
        <w:rFonts w:hint="default"/>
      </w:rPr>
    </w:lvl>
    <w:lvl w:ilvl="1">
      <w:start w:val="1"/>
      <w:numFmt w:val="lowerLetter"/>
      <w:lvlText w:val="%2."/>
      <w:lvlJc w:val="left"/>
      <w:pPr>
        <w:ind w:left="1440" w:hanging="360"/>
      </w:p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17" w15:restartNumberingAfterBreak="0">
    <w:nsid w:val="45A046A0"/>
    <w:multiLevelType w:val="hybridMultilevel"/>
    <w:tmpl w:val="D59AFFDE"/>
    <w:lvl w:ilvl="0" w:tplc="0EDA2A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9D042D7"/>
    <w:multiLevelType w:val="multilevel"/>
    <w:tmpl w:val="18F4A5AC"/>
    <w:numStyleLink w:val="FoFCoLOP"/>
  </w:abstractNum>
  <w:abstractNum w:abstractNumId="19" w15:restartNumberingAfterBreak="0">
    <w:nsid w:val="5A9E2171"/>
    <w:multiLevelType w:val="multilevel"/>
    <w:tmpl w:val="3C526EDE"/>
    <w:numStyleLink w:val="Headings"/>
  </w:abstractNum>
  <w:abstractNum w:abstractNumId="20" w15:restartNumberingAfterBreak="0">
    <w:nsid w:val="61A25780"/>
    <w:multiLevelType w:val="multilevel"/>
    <w:tmpl w:val="3C526EDE"/>
    <w:numStyleLink w:val="Headings"/>
  </w:abstractNum>
  <w:abstractNum w:abstractNumId="21" w15:restartNumberingAfterBreak="0">
    <w:nsid w:val="63BC6E92"/>
    <w:multiLevelType w:val="hybridMultilevel"/>
    <w:tmpl w:val="B99E53D2"/>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66936F33"/>
    <w:multiLevelType w:val="hybridMultilevel"/>
    <w:tmpl w:val="D59AFFD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3"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89A0AFE"/>
    <w:multiLevelType w:val="multilevel"/>
    <w:tmpl w:val="18F4A5AC"/>
    <w:numStyleLink w:val="FoFCoLOP"/>
  </w:abstractNum>
  <w:num w:numId="1" w16cid:durableId="1354526949">
    <w:abstractNumId w:val="19"/>
  </w:num>
  <w:num w:numId="2" w16cid:durableId="140774137">
    <w:abstractNumId w:val="3"/>
  </w:num>
  <w:num w:numId="3" w16cid:durableId="1898543446">
    <w:abstractNumId w:val="18"/>
  </w:num>
  <w:num w:numId="4" w16cid:durableId="701521005">
    <w:abstractNumId w:val="5"/>
  </w:num>
  <w:num w:numId="5" w16cid:durableId="2017029027">
    <w:abstractNumId w:val="24"/>
  </w:num>
  <w:num w:numId="6" w16cid:durableId="973756952">
    <w:abstractNumId w:val="14"/>
  </w:num>
  <w:num w:numId="7" w16cid:durableId="827667741">
    <w:abstractNumId w:val="9"/>
  </w:num>
  <w:num w:numId="8" w16cid:durableId="1760327020">
    <w:abstractNumId w:val="23"/>
  </w:num>
  <w:num w:numId="9" w16cid:durableId="816924040">
    <w:abstractNumId w:val="0"/>
  </w:num>
  <w:num w:numId="10" w16cid:durableId="1817916489">
    <w:abstractNumId w:val="8"/>
  </w:num>
  <w:num w:numId="11" w16cid:durableId="291985460">
    <w:abstractNumId w:val="10"/>
  </w:num>
  <w:num w:numId="12" w16cid:durableId="467941983">
    <w:abstractNumId w:val="7"/>
  </w:num>
  <w:num w:numId="13" w16cid:durableId="712996464">
    <w:abstractNumId w:val="11"/>
  </w:num>
  <w:num w:numId="14" w16cid:durableId="1303778653">
    <w:abstractNumId w:val="12"/>
  </w:num>
  <w:num w:numId="15" w16cid:durableId="1714382259">
    <w:abstractNumId w:val="20"/>
  </w:num>
  <w:num w:numId="16" w16cid:durableId="54810768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20"/>
  </w:num>
  <w:num w:numId="18" w16cid:durableId="1046444737">
    <w:abstractNumId w:val="17"/>
  </w:num>
  <w:num w:numId="19" w16cid:durableId="2078286555">
    <w:abstractNumId w:val="2"/>
  </w:num>
  <w:num w:numId="20" w16cid:durableId="959534687">
    <w:abstractNumId w:val="22"/>
  </w:num>
  <w:num w:numId="21" w16cid:durableId="661203336">
    <w:abstractNumId w:val="6"/>
  </w:num>
  <w:num w:numId="22" w16cid:durableId="1410154671">
    <w:abstractNumId w:val="13"/>
  </w:num>
  <w:num w:numId="23" w16cid:durableId="915673281">
    <w:abstractNumId w:val="16"/>
  </w:num>
  <w:num w:numId="24" w16cid:durableId="1242910445">
    <w:abstractNumId w:val="4"/>
  </w:num>
  <w:num w:numId="25" w16cid:durableId="1387534294">
    <w:abstractNumId w:val="15"/>
  </w:num>
  <w:num w:numId="26" w16cid:durableId="1693994162">
    <w:abstractNumId w:val="1"/>
  </w:num>
  <w:num w:numId="27" w16cid:durableId="820081346">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07D"/>
    <w:rsid w:val="00000F6A"/>
    <w:rsid w:val="00001787"/>
    <w:rsid w:val="00003592"/>
    <w:rsid w:val="000035C2"/>
    <w:rsid w:val="00006E88"/>
    <w:rsid w:val="00015FFE"/>
    <w:rsid w:val="000226AD"/>
    <w:rsid w:val="00030D6E"/>
    <w:rsid w:val="00034BA2"/>
    <w:rsid w:val="00034E69"/>
    <w:rsid w:val="00036C2D"/>
    <w:rsid w:val="000516D8"/>
    <w:rsid w:val="00061163"/>
    <w:rsid w:val="00062EB1"/>
    <w:rsid w:val="00067AD7"/>
    <w:rsid w:val="0007115A"/>
    <w:rsid w:val="0007306E"/>
    <w:rsid w:val="00081BC1"/>
    <w:rsid w:val="00083EEC"/>
    <w:rsid w:val="00086372"/>
    <w:rsid w:val="00086BF6"/>
    <w:rsid w:val="000924CC"/>
    <w:rsid w:val="0009598D"/>
    <w:rsid w:val="00096051"/>
    <w:rsid w:val="000973C8"/>
    <w:rsid w:val="00097C72"/>
    <w:rsid w:val="000A191D"/>
    <w:rsid w:val="000A2AA9"/>
    <w:rsid w:val="000A2E6F"/>
    <w:rsid w:val="000A56F2"/>
    <w:rsid w:val="000A6E05"/>
    <w:rsid w:val="000B12FA"/>
    <w:rsid w:val="000B4E88"/>
    <w:rsid w:val="000C08BF"/>
    <w:rsid w:val="000C0A9A"/>
    <w:rsid w:val="000C1038"/>
    <w:rsid w:val="000C3B9A"/>
    <w:rsid w:val="000C4CD5"/>
    <w:rsid w:val="000C78BD"/>
    <w:rsid w:val="000D2187"/>
    <w:rsid w:val="000D25A8"/>
    <w:rsid w:val="000D7A9F"/>
    <w:rsid w:val="000E270A"/>
    <w:rsid w:val="000E41DA"/>
    <w:rsid w:val="000E4C53"/>
    <w:rsid w:val="000E5563"/>
    <w:rsid w:val="000E6BAE"/>
    <w:rsid w:val="000F48C6"/>
    <w:rsid w:val="000F7F9F"/>
    <w:rsid w:val="00104558"/>
    <w:rsid w:val="00110001"/>
    <w:rsid w:val="00111234"/>
    <w:rsid w:val="00121089"/>
    <w:rsid w:val="00123FB3"/>
    <w:rsid w:val="0012685E"/>
    <w:rsid w:val="00127A45"/>
    <w:rsid w:val="00131A91"/>
    <w:rsid w:val="00137AF3"/>
    <w:rsid w:val="00137B51"/>
    <w:rsid w:val="00142E3C"/>
    <w:rsid w:val="00147B5C"/>
    <w:rsid w:val="001519F2"/>
    <w:rsid w:val="00156A04"/>
    <w:rsid w:val="00167210"/>
    <w:rsid w:val="00175D08"/>
    <w:rsid w:val="0017683C"/>
    <w:rsid w:val="0017733F"/>
    <w:rsid w:val="00184305"/>
    <w:rsid w:val="001848AB"/>
    <w:rsid w:val="00184A8F"/>
    <w:rsid w:val="00187563"/>
    <w:rsid w:val="00190DDB"/>
    <w:rsid w:val="00191B0F"/>
    <w:rsid w:val="00193C13"/>
    <w:rsid w:val="00195015"/>
    <w:rsid w:val="00195304"/>
    <w:rsid w:val="001973E2"/>
    <w:rsid w:val="001A1C3B"/>
    <w:rsid w:val="001A331E"/>
    <w:rsid w:val="001B091B"/>
    <w:rsid w:val="001B4DFC"/>
    <w:rsid w:val="001B5C4A"/>
    <w:rsid w:val="001B696A"/>
    <w:rsid w:val="001B7ADD"/>
    <w:rsid w:val="001C3545"/>
    <w:rsid w:val="001C363F"/>
    <w:rsid w:val="001D1CA1"/>
    <w:rsid w:val="001D41E4"/>
    <w:rsid w:val="001D5592"/>
    <w:rsid w:val="001D68C0"/>
    <w:rsid w:val="001D6DD9"/>
    <w:rsid w:val="001E000F"/>
    <w:rsid w:val="001E1BCD"/>
    <w:rsid w:val="001E23F8"/>
    <w:rsid w:val="001E2A62"/>
    <w:rsid w:val="001E3A2A"/>
    <w:rsid w:val="001F10AF"/>
    <w:rsid w:val="001F2819"/>
    <w:rsid w:val="001F4A14"/>
    <w:rsid w:val="001F5526"/>
    <w:rsid w:val="002000DE"/>
    <w:rsid w:val="00200479"/>
    <w:rsid w:val="002011C6"/>
    <w:rsid w:val="00203344"/>
    <w:rsid w:val="002043EC"/>
    <w:rsid w:val="00213273"/>
    <w:rsid w:val="0021506F"/>
    <w:rsid w:val="002171DC"/>
    <w:rsid w:val="00224232"/>
    <w:rsid w:val="00225754"/>
    <w:rsid w:val="00225CFA"/>
    <w:rsid w:val="00225F0B"/>
    <w:rsid w:val="00227624"/>
    <w:rsid w:val="00230DD7"/>
    <w:rsid w:val="00234CE0"/>
    <w:rsid w:val="00243DC0"/>
    <w:rsid w:val="00243E7C"/>
    <w:rsid w:val="00247477"/>
    <w:rsid w:val="00251024"/>
    <w:rsid w:val="00251B01"/>
    <w:rsid w:val="002523A8"/>
    <w:rsid w:val="00253379"/>
    <w:rsid w:val="00254FCA"/>
    <w:rsid w:val="00256E45"/>
    <w:rsid w:val="00261DED"/>
    <w:rsid w:val="00262F5C"/>
    <w:rsid w:val="00267419"/>
    <w:rsid w:val="00270440"/>
    <w:rsid w:val="002716F8"/>
    <w:rsid w:val="00280370"/>
    <w:rsid w:val="002807E0"/>
    <w:rsid w:val="00284D8D"/>
    <w:rsid w:val="00284F88"/>
    <w:rsid w:val="0028631C"/>
    <w:rsid w:val="00287BC5"/>
    <w:rsid w:val="0029156B"/>
    <w:rsid w:val="00291A63"/>
    <w:rsid w:val="00293356"/>
    <w:rsid w:val="00293DEE"/>
    <w:rsid w:val="0029621A"/>
    <w:rsid w:val="002A0B5D"/>
    <w:rsid w:val="002A1714"/>
    <w:rsid w:val="002A574C"/>
    <w:rsid w:val="002A7B74"/>
    <w:rsid w:val="002B01DC"/>
    <w:rsid w:val="002B0212"/>
    <w:rsid w:val="002B52F0"/>
    <w:rsid w:val="002C2C63"/>
    <w:rsid w:val="002C3A7B"/>
    <w:rsid w:val="002C7FE9"/>
    <w:rsid w:val="002D03CE"/>
    <w:rsid w:val="002D0CDD"/>
    <w:rsid w:val="002D0DC5"/>
    <w:rsid w:val="002D46D6"/>
    <w:rsid w:val="002D4EFD"/>
    <w:rsid w:val="002E1DDD"/>
    <w:rsid w:val="002E52DF"/>
    <w:rsid w:val="002F00BB"/>
    <w:rsid w:val="002F3416"/>
    <w:rsid w:val="00303EFE"/>
    <w:rsid w:val="00305615"/>
    <w:rsid w:val="00306153"/>
    <w:rsid w:val="00311040"/>
    <w:rsid w:val="00312C06"/>
    <w:rsid w:val="00313B5B"/>
    <w:rsid w:val="00315A97"/>
    <w:rsid w:val="00316071"/>
    <w:rsid w:val="0031762B"/>
    <w:rsid w:val="00321966"/>
    <w:rsid w:val="00322CFD"/>
    <w:rsid w:val="00325316"/>
    <w:rsid w:val="00326841"/>
    <w:rsid w:val="00327C61"/>
    <w:rsid w:val="003304ED"/>
    <w:rsid w:val="00331C4E"/>
    <w:rsid w:val="00331FB3"/>
    <w:rsid w:val="00332F3D"/>
    <w:rsid w:val="003368C8"/>
    <w:rsid w:val="00343E5C"/>
    <w:rsid w:val="00344FB8"/>
    <w:rsid w:val="00350855"/>
    <w:rsid w:val="003523A4"/>
    <w:rsid w:val="003527F5"/>
    <w:rsid w:val="00354356"/>
    <w:rsid w:val="00354CD9"/>
    <w:rsid w:val="003571EC"/>
    <w:rsid w:val="00357B6E"/>
    <w:rsid w:val="0036017B"/>
    <w:rsid w:val="00360DBC"/>
    <w:rsid w:val="00362755"/>
    <w:rsid w:val="003638E7"/>
    <w:rsid w:val="00364226"/>
    <w:rsid w:val="003643FC"/>
    <w:rsid w:val="0037117A"/>
    <w:rsid w:val="003730DA"/>
    <w:rsid w:val="00373B93"/>
    <w:rsid w:val="00374930"/>
    <w:rsid w:val="00374DA9"/>
    <w:rsid w:val="003774FC"/>
    <w:rsid w:val="00380CD1"/>
    <w:rsid w:val="003813FC"/>
    <w:rsid w:val="00385327"/>
    <w:rsid w:val="00385427"/>
    <w:rsid w:val="00390A0B"/>
    <w:rsid w:val="00391260"/>
    <w:rsid w:val="003962C9"/>
    <w:rsid w:val="00396360"/>
    <w:rsid w:val="003978AD"/>
    <w:rsid w:val="003A02CA"/>
    <w:rsid w:val="003A38F0"/>
    <w:rsid w:val="003A6C17"/>
    <w:rsid w:val="003B1B09"/>
    <w:rsid w:val="003C599A"/>
    <w:rsid w:val="003C70A6"/>
    <w:rsid w:val="003D13A6"/>
    <w:rsid w:val="003D3C59"/>
    <w:rsid w:val="003D476E"/>
    <w:rsid w:val="003D4D39"/>
    <w:rsid w:val="003D55ED"/>
    <w:rsid w:val="003D5BD0"/>
    <w:rsid w:val="003D6034"/>
    <w:rsid w:val="003D7234"/>
    <w:rsid w:val="003E0E8F"/>
    <w:rsid w:val="003E2E23"/>
    <w:rsid w:val="003E5962"/>
    <w:rsid w:val="003F069A"/>
    <w:rsid w:val="003F4329"/>
    <w:rsid w:val="003F5B8F"/>
    <w:rsid w:val="003F6AC3"/>
    <w:rsid w:val="003F7E92"/>
    <w:rsid w:val="004035BE"/>
    <w:rsid w:val="0040476D"/>
    <w:rsid w:val="00405FC3"/>
    <w:rsid w:val="00407497"/>
    <w:rsid w:val="00407F9E"/>
    <w:rsid w:val="00412534"/>
    <w:rsid w:val="00412C83"/>
    <w:rsid w:val="00417A4F"/>
    <w:rsid w:val="00424EFE"/>
    <w:rsid w:val="00425999"/>
    <w:rsid w:val="00426014"/>
    <w:rsid w:val="004265BB"/>
    <w:rsid w:val="0042682E"/>
    <w:rsid w:val="00427719"/>
    <w:rsid w:val="00427953"/>
    <w:rsid w:val="004365CB"/>
    <w:rsid w:val="00440738"/>
    <w:rsid w:val="00444AEC"/>
    <w:rsid w:val="0044617E"/>
    <w:rsid w:val="0044696A"/>
    <w:rsid w:val="00446BB7"/>
    <w:rsid w:val="004538F0"/>
    <w:rsid w:val="004564BA"/>
    <w:rsid w:val="0045679B"/>
    <w:rsid w:val="0045722A"/>
    <w:rsid w:val="0046078B"/>
    <w:rsid w:val="00460B7D"/>
    <w:rsid w:val="004617EC"/>
    <w:rsid w:val="004628F6"/>
    <w:rsid w:val="00463A31"/>
    <w:rsid w:val="00471BD5"/>
    <w:rsid w:val="00471EC4"/>
    <w:rsid w:val="004732A7"/>
    <w:rsid w:val="004755A9"/>
    <w:rsid w:val="00480CB0"/>
    <w:rsid w:val="00480CE7"/>
    <w:rsid w:val="00483603"/>
    <w:rsid w:val="00483BB6"/>
    <w:rsid w:val="00490F20"/>
    <w:rsid w:val="004A1EAD"/>
    <w:rsid w:val="004A47BE"/>
    <w:rsid w:val="004B1A97"/>
    <w:rsid w:val="004B34EA"/>
    <w:rsid w:val="004B36CA"/>
    <w:rsid w:val="004B4281"/>
    <w:rsid w:val="004B5494"/>
    <w:rsid w:val="004B6865"/>
    <w:rsid w:val="004B75A8"/>
    <w:rsid w:val="004C00A2"/>
    <w:rsid w:val="004C094C"/>
    <w:rsid w:val="004C4E76"/>
    <w:rsid w:val="004C7A2B"/>
    <w:rsid w:val="004C7D3A"/>
    <w:rsid w:val="004D3782"/>
    <w:rsid w:val="004D52F8"/>
    <w:rsid w:val="004D5E22"/>
    <w:rsid w:val="004E2017"/>
    <w:rsid w:val="004E400C"/>
    <w:rsid w:val="004F0341"/>
    <w:rsid w:val="004F0783"/>
    <w:rsid w:val="004F093D"/>
    <w:rsid w:val="004F130A"/>
    <w:rsid w:val="004F7F99"/>
    <w:rsid w:val="005015D5"/>
    <w:rsid w:val="005018A8"/>
    <w:rsid w:val="00501A84"/>
    <w:rsid w:val="00502301"/>
    <w:rsid w:val="00505A39"/>
    <w:rsid w:val="00521885"/>
    <w:rsid w:val="005240BF"/>
    <w:rsid w:val="00525339"/>
    <w:rsid w:val="00525D4D"/>
    <w:rsid w:val="00526715"/>
    <w:rsid w:val="00530EB9"/>
    <w:rsid w:val="005320C3"/>
    <w:rsid w:val="00537D3D"/>
    <w:rsid w:val="00545579"/>
    <w:rsid w:val="0055026B"/>
    <w:rsid w:val="00565FC3"/>
    <w:rsid w:val="005662F4"/>
    <w:rsid w:val="0057407F"/>
    <w:rsid w:val="00580F72"/>
    <w:rsid w:val="00582218"/>
    <w:rsid w:val="005833A9"/>
    <w:rsid w:val="005840C1"/>
    <w:rsid w:val="005848C4"/>
    <w:rsid w:val="00585390"/>
    <w:rsid w:val="005939A5"/>
    <w:rsid w:val="005950A1"/>
    <w:rsid w:val="005A0379"/>
    <w:rsid w:val="005A148C"/>
    <w:rsid w:val="005A2A21"/>
    <w:rsid w:val="005A4812"/>
    <w:rsid w:val="005A7267"/>
    <w:rsid w:val="005B00F9"/>
    <w:rsid w:val="005B517D"/>
    <w:rsid w:val="005C196A"/>
    <w:rsid w:val="005C5848"/>
    <w:rsid w:val="005C58FA"/>
    <w:rsid w:val="005C61F1"/>
    <w:rsid w:val="005C6ACF"/>
    <w:rsid w:val="005C7FEC"/>
    <w:rsid w:val="005D0207"/>
    <w:rsid w:val="005D0D6C"/>
    <w:rsid w:val="005D2DC3"/>
    <w:rsid w:val="005D79C4"/>
    <w:rsid w:val="005E1CA2"/>
    <w:rsid w:val="005E2836"/>
    <w:rsid w:val="005E4778"/>
    <w:rsid w:val="005E51FB"/>
    <w:rsid w:val="005E762A"/>
    <w:rsid w:val="005F0BC5"/>
    <w:rsid w:val="005F2FD0"/>
    <w:rsid w:val="005F4A54"/>
    <w:rsid w:val="005F75C3"/>
    <w:rsid w:val="0060021A"/>
    <w:rsid w:val="00603238"/>
    <w:rsid w:val="006071AC"/>
    <w:rsid w:val="00610F5F"/>
    <w:rsid w:val="006114AC"/>
    <w:rsid w:val="006133AB"/>
    <w:rsid w:val="00616129"/>
    <w:rsid w:val="0062211F"/>
    <w:rsid w:val="00625D77"/>
    <w:rsid w:val="00632207"/>
    <w:rsid w:val="00633555"/>
    <w:rsid w:val="00633593"/>
    <w:rsid w:val="00633FE7"/>
    <w:rsid w:val="0063491C"/>
    <w:rsid w:val="00635FB6"/>
    <w:rsid w:val="00641A5C"/>
    <w:rsid w:val="00641F7A"/>
    <w:rsid w:val="00642CE2"/>
    <w:rsid w:val="00642F5F"/>
    <w:rsid w:val="00643773"/>
    <w:rsid w:val="00643FAB"/>
    <w:rsid w:val="006512D0"/>
    <w:rsid w:val="00653AF6"/>
    <w:rsid w:val="006567A5"/>
    <w:rsid w:val="006610AE"/>
    <w:rsid w:val="0066122B"/>
    <w:rsid w:val="00661288"/>
    <w:rsid w:val="00661AFE"/>
    <w:rsid w:val="00662125"/>
    <w:rsid w:val="00662FBC"/>
    <w:rsid w:val="00664B18"/>
    <w:rsid w:val="00672C3B"/>
    <w:rsid w:val="006805C7"/>
    <w:rsid w:val="00680F19"/>
    <w:rsid w:val="00681157"/>
    <w:rsid w:val="00682E2F"/>
    <w:rsid w:val="0068347B"/>
    <w:rsid w:val="00683B2C"/>
    <w:rsid w:val="00683D2D"/>
    <w:rsid w:val="00686B1C"/>
    <w:rsid w:val="00690E2A"/>
    <w:rsid w:val="00693D46"/>
    <w:rsid w:val="00694552"/>
    <w:rsid w:val="00694DFD"/>
    <w:rsid w:val="0069532E"/>
    <w:rsid w:val="00696BF2"/>
    <w:rsid w:val="006A646E"/>
    <w:rsid w:val="006B4D2A"/>
    <w:rsid w:val="006B68EC"/>
    <w:rsid w:val="006B795C"/>
    <w:rsid w:val="006C1F10"/>
    <w:rsid w:val="006C42CC"/>
    <w:rsid w:val="006D059D"/>
    <w:rsid w:val="006D4052"/>
    <w:rsid w:val="006E4D64"/>
    <w:rsid w:val="006E5E28"/>
    <w:rsid w:val="006E6574"/>
    <w:rsid w:val="006E689E"/>
    <w:rsid w:val="006F373B"/>
    <w:rsid w:val="006F517D"/>
    <w:rsid w:val="007036DD"/>
    <w:rsid w:val="00703A73"/>
    <w:rsid w:val="0071277D"/>
    <w:rsid w:val="0071325B"/>
    <w:rsid w:val="007140E6"/>
    <w:rsid w:val="00714CF2"/>
    <w:rsid w:val="00715568"/>
    <w:rsid w:val="007156B9"/>
    <w:rsid w:val="00715B6A"/>
    <w:rsid w:val="00720817"/>
    <w:rsid w:val="00722850"/>
    <w:rsid w:val="0072347E"/>
    <w:rsid w:val="00723F24"/>
    <w:rsid w:val="00724159"/>
    <w:rsid w:val="00727F03"/>
    <w:rsid w:val="0073353F"/>
    <w:rsid w:val="00734E57"/>
    <w:rsid w:val="00735A91"/>
    <w:rsid w:val="00742E45"/>
    <w:rsid w:val="0074322C"/>
    <w:rsid w:val="00743854"/>
    <w:rsid w:val="007447AF"/>
    <w:rsid w:val="007453A8"/>
    <w:rsid w:val="00750816"/>
    <w:rsid w:val="007557B0"/>
    <w:rsid w:val="007657C1"/>
    <w:rsid w:val="0076662E"/>
    <w:rsid w:val="00773239"/>
    <w:rsid w:val="007742A7"/>
    <w:rsid w:val="00774509"/>
    <w:rsid w:val="00774869"/>
    <w:rsid w:val="0077755F"/>
    <w:rsid w:val="00777BA9"/>
    <w:rsid w:val="00781698"/>
    <w:rsid w:val="00784820"/>
    <w:rsid w:val="00785480"/>
    <w:rsid w:val="00787124"/>
    <w:rsid w:val="00787F97"/>
    <w:rsid w:val="0079099A"/>
    <w:rsid w:val="0079268F"/>
    <w:rsid w:val="0079405E"/>
    <w:rsid w:val="00794966"/>
    <w:rsid w:val="007A3820"/>
    <w:rsid w:val="007A406D"/>
    <w:rsid w:val="007A62B0"/>
    <w:rsid w:val="007B25C8"/>
    <w:rsid w:val="007B5DE2"/>
    <w:rsid w:val="007C0BE2"/>
    <w:rsid w:val="007C5A0C"/>
    <w:rsid w:val="007C60E6"/>
    <w:rsid w:val="007D3F3C"/>
    <w:rsid w:val="007D58BB"/>
    <w:rsid w:val="007D5990"/>
    <w:rsid w:val="007D5DAF"/>
    <w:rsid w:val="007D6AEA"/>
    <w:rsid w:val="007E026F"/>
    <w:rsid w:val="007E09E8"/>
    <w:rsid w:val="007E0C12"/>
    <w:rsid w:val="007E0FEE"/>
    <w:rsid w:val="007E2644"/>
    <w:rsid w:val="007E2B86"/>
    <w:rsid w:val="007E49F6"/>
    <w:rsid w:val="007F13DA"/>
    <w:rsid w:val="007F2017"/>
    <w:rsid w:val="007F507D"/>
    <w:rsid w:val="008011D7"/>
    <w:rsid w:val="008024C3"/>
    <w:rsid w:val="0080390E"/>
    <w:rsid w:val="00805CF8"/>
    <w:rsid w:val="008159CF"/>
    <w:rsid w:val="00816E05"/>
    <w:rsid w:val="00821FC0"/>
    <w:rsid w:val="008339BB"/>
    <w:rsid w:val="00844775"/>
    <w:rsid w:val="00844E94"/>
    <w:rsid w:val="008524CA"/>
    <w:rsid w:val="00856F4C"/>
    <w:rsid w:val="0086419A"/>
    <w:rsid w:val="0086536E"/>
    <w:rsid w:val="00865E49"/>
    <w:rsid w:val="0086646D"/>
    <w:rsid w:val="00867EF5"/>
    <w:rsid w:val="0087023B"/>
    <w:rsid w:val="00873CF7"/>
    <w:rsid w:val="008747A4"/>
    <w:rsid w:val="008752D8"/>
    <w:rsid w:val="00876909"/>
    <w:rsid w:val="0088369D"/>
    <w:rsid w:val="00884EE6"/>
    <w:rsid w:val="00884FA1"/>
    <w:rsid w:val="00890EFE"/>
    <w:rsid w:val="00893E68"/>
    <w:rsid w:val="008A08BF"/>
    <w:rsid w:val="008A10E1"/>
    <w:rsid w:val="008A179F"/>
    <w:rsid w:val="008A4E35"/>
    <w:rsid w:val="008A7CA8"/>
    <w:rsid w:val="008B04CF"/>
    <w:rsid w:val="008B0864"/>
    <w:rsid w:val="008B175A"/>
    <w:rsid w:val="008B3430"/>
    <w:rsid w:val="008B3D5C"/>
    <w:rsid w:val="008B4270"/>
    <w:rsid w:val="008B57FD"/>
    <w:rsid w:val="008B720F"/>
    <w:rsid w:val="008B7A0C"/>
    <w:rsid w:val="008C0D5C"/>
    <w:rsid w:val="008C0F77"/>
    <w:rsid w:val="008C3CB7"/>
    <w:rsid w:val="008C7413"/>
    <w:rsid w:val="008D16B7"/>
    <w:rsid w:val="008D2408"/>
    <w:rsid w:val="008D2764"/>
    <w:rsid w:val="008E1EE9"/>
    <w:rsid w:val="008E424A"/>
    <w:rsid w:val="008E598E"/>
    <w:rsid w:val="008E5E93"/>
    <w:rsid w:val="008E6AE6"/>
    <w:rsid w:val="008F0116"/>
    <w:rsid w:val="008F122B"/>
    <w:rsid w:val="008F143D"/>
    <w:rsid w:val="008F1975"/>
    <w:rsid w:val="008F1A55"/>
    <w:rsid w:val="008F62B1"/>
    <w:rsid w:val="00900837"/>
    <w:rsid w:val="00900A90"/>
    <w:rsid w:val="009014D2"/>
    <w:rsid w:val="0090262D"/>
    <w:rsid w:val="009028C9"/>
    <w:rsid w:val="00905956"/>
    <w:rsid w:val="009059CE"/>
    <w:rsid w:val="00925E93"/>
    <w:rsid w:val="00932865"/>
    <w:rsid w:val="00935087"/>
    <w:rsid w:val="009359AF"/>
    <w:rsid w:val="00936749"/>
    <w:rsid w:val="0094171D"/>
    <w:rsid w:val="00942963"/>
    <w:rsid w:val="009439F5"/>
    <w:rsid w:val="009454F7"/>
    <w:rsid w:val="00945C2C"/>
    <w:rsid w:val="00946105"/>
    <w:rsid w:val="00946923"/>
    <w:rsid w:val="0095394E"/>
    <w:rsid w:val="00957013"/>
    <w:rsid w:val="009576CB"/>
    <w:rsid w:val="009613D3"/>
    <w:rsid w:val="00961909"/>
    <w:rsid w:val="00962EA4"/>
    <w:rsid w:val="009668F8"/>
    <w:rsid w:val="00972AE3"/>
    <w:rsid w:val="009733F3"/>
    <w:rsid w:val="009763F2"/>
    <w:rsid w:val="009772D7"/>
    <w:rsid w:val="0097748A"/>
    <w:rsid w:val="0098138E"/>
    <w:rsid w:val="00981DF5"/>
    <w:rsid w:val="00983E5E"/>
    <w:rsid w:val="009862F9"/>
    <w:rsid w:val="0098655A"/>
    <w:rsid w:val="00995EF0"/>
    <w:rsid w:val="009A59DA"/>
    <w:rsid w:val="009A6A99"/>
    <w:rsid w:val="009A6E36"/>
    <w:rsid w:val="009A6F8A"/>
    <w:rsid w:val="009A75E8"/>
    <w:rsid w:val="009B3616"/>
    <w:rsid w:val="009B5E62"/>
    <w:rsid w:val="009B6CCD"/>
    <w:rsid w:val="009C3B41"/>
    <w:rsid w:val="009C6FB4"/>
    <w:rsid w:val="009C6FD4"/>
    <w:rsid w:val="009D3821"/>
    <w:rsid w:val="009D5E38"/>
    <w:rsid w:val="009D6B6C"/>
    <w:rsid w:val="009E2213"/>
    <w:rsid w:val="009E42BA"/>
    <w:rsid w:val="009E6052"/>
    <w:rsid w:val="009E7C7F"/>
    <w:rsid w:val="009F0400"/>
    <w:rsid w:val="009F4AB5"/>
    <w:rsid w:val="009F5E8E"/>
    <w:rsid w:val="00A01946"/>
    <w:rsid w:val="00A01E76"/>
    <w:rsid w:val="00A058AA"/>
    <w:rsid w:val="00A10B6B"/>
    <w:rsid w:val="00A14C5B"/>
    <w:rsid w:val="00A15E75"/>
    <w:rsid w:val="00A17CE0"/>
    <w:rsid w:val="00A20F27"/>
    <w:rsid w:val="00A210FC"/>
    <w:rsid w:val="00A2238E"/>
    <w:rsid w:val="00A23D48"/>
    <w:rsid w:val="00A26F89"/>
    <w:rsid w:val="00A32AFA"/>
    <w:rsid w:val="00A34DB8"/>
    <w:rsid w:val="00A37949"/>
    <w:rsid w:val="00A42306"/>
    <w:rsid w:val="00A42CDA"/>
    <w:rsid w:val="00A44DBD"/>
    <w:rsid w:val="00A44E8D"/>
    <w:rsid w:val="00A463B3"/>
    <w:rsid w:val="00A46EA8"/>
    <w:rsid w:val="00A5171B"/>
    <w:rsid w:val="00A55ACD"/>
    <w:rsid w:val="00A561F4"/>
    <w:rsid w:val="00A56F97"/>
    <w:rsid w:val="00A67B93"/>
    <w:rsid w:val="00A72CB4"/>
    <w:rsid w:val="00A73877"/>
    <w:rsid w:val="00A81DDD"/>
    <w:rsid w:val="00A85D27"/>
    <w:rsid w:val="00A90400"/>
    <w:rsid w:val="00A93CB1"/>
    <w:rsid w:val="00A952A1"/>
    <w:rsid w:val="00AA109D"/>
    <w:rsid w:val="00AA3FE7"/>
    <w:rsid w:val="00AA4363"/>
    <w:rsid w:val="00AA55F5"/>
    <w:rsid w:val="00AB0EC2"/>
    <w:rsid w:val="00AB2ECF"/>
    <w:rsid w:val="00AB3882"/>
    <w:rsid w:val="00AB3F37"/>
    <w:rsid w:val="00AB5D1A"/>
    <w:rsid w:val="00AB7875"/>
    <w:rsid w:val="00AC0E39"/>
    <w:rsid w:val="00AC518F"/>
    <w:rsid w:val="00AC68EE"/>
    <w:rsid w:val="00AC7B8F"/>
    <w:rsid w:val="00AD1DA2"/>
    <w:rsid w:val="00AD36B5"/>
    <w:rsid w:val="00AE05E4"/>
    <w:rsid w:val="00AE1570"/>
    <w:rsid w:val="00AE6870"/>
    <w:rsid w:val="00AE7712"/>
    <w:rsid w:val="00AE7DDF"/>
    <w:rsid w:val="00AF0003"/>
    <w:rsid w:val="00AF496D"/>
    <w:rsid w:val="00AF5716"/>
    <w:rsid w:val="00B00ED8"/>
    <w:rsid w:val="00B01CC6"/>
    <w:rsid w:val="00B01F7E"/>
    <w:rsid w:val="00B03905"/>
    <w:rsid w:val="00B04C37"/>
    <w:rsid w:val="00B103EB"/>
    <w:rsid w:val="00B10BAD"/>
    <w:rsid w:val="00B16B63"/>
    <w:rsid w:val="00B16C2A"/>
    <w:rsid w:val="00B27C62"/>
    <w:rsid w:val="00B3087D"/>
    <w:rsid w:val="00B31A60"/>
    <w:rsid w:val="00B32F1C"/>
    <w:rsid w:val="00B34794"/>
    <w:rsid w:val="00B34FB1"/>
    <w:rsid w:val="00B37D34"/>
    <w:rsid w:val="00B4572E"/>
    <w:rsid w:val="00B521FD"/>
    <w:rsid w:val="00B54B59"/>
    <w:rsid w:val="00B60421"/>
    <w:rsid w:val="00B6177E"/>
    <w:rsid w:val="00B65044"/>
    <w:rsid w:val="00B7418F"/>
    <w:rsid w:val="00B80856"/>
    <w:rsid w:val="00B81EB6"/>
    <w:rsid w:val="00B9239A"/>
    <w:rsid w:val="00B949F4"/>
    <w:rsid w:val="00B97F5D"/>
    <w:rsid w:val="00BA063E"/>
    <w:rsid w:val="00BA11B3"/>
    <w:rsid w:val="00BA3DE5"/>
    <w:rsid w:val="00BA7822"/>
    <w:rsid w:val="00BA791C"/>
    <w:rsid w:val="00BB0243"/>
    <w:rsid w:val="00BB5094"/>
    <w:rsid w:val="00BB5292"/>
    <w:rsid w:val="00BC4A0B"/>
    <w:rsid w:val="00BD1544"/>
    <w:rsid w:val="00BE0104"/>
    <w:rsid w:val="00BE4DA1"/>
    <w:rsid w:val="00BE5B21"/>
    <w:rsid w:val="00BE5B62"/>
    <w:rsid w:val="00BF3E5E"/>
    <w:rsid w:val="00C02F32"/>
    <w:rsid w:val="00C10B5F"/>
    <w:rsid w:val="00C10D8A"/>
    <w:rsid w:val="00C11F2B"/>
    <w:rsid w:val="00C13A34"/>
    <w:rsid w:val="00C150B7"/>
    <w:rsid w:val="00C17A4C"/>
    <w:rsid w:val="00C2152E"/>
    <w:rsid w:val="00C26CDA"/>
    <w:rsid w:val="00C33E59"/>
    <w:rsid w:val="00C37F88"/>
    <w:rsid w:val="00C443E3"/>
    <w:rsid w:val="00C4619F"/>
    <w:rsid w:val="00C51ECD"/>
    <w:rsid w:val="00C52FA9"/>
    <w:rsid w:val="00C53669"/>
    <w:rsid w:val="00C57FF7"/>
    <w:rsid w:val="00C6198E"/>
    <w:rsid w:val="00C66B85"/>
    <w:rsid w:val="00C67A3F"/>
    <w:rsid w:val="00C729C9"/>
    <w:rsid w:val="00C72EB5"/>
    <w:rsid w:val="00C730E0"/>
    <w:rsid w:val="00C81CF3"/>
    <w:rsid w:val="00C851F3"/>
    <w:rsid w:val="00C878D5"/>
    <w:rsid w:val="00C9033B"/>
    <w:rsid w:val="00C913A1"/>
    <w:rsid w:val="00C91C18"/>
    <w:rsid w:val="00C973B6"/>
    <w:rsid w:val="00CA07A4"/>
    <w:rsid w:val="00CA376E"/>
    <w:rsid w:val="00CB0777"/>
    <w:rsid w:val="00CB20B3"/>
    <w:rsid w:val="00CB3F4F"/>
    <w:rsid w:val="00CB49BD"/>
    <w:rsid w:val="00CB4CED"/>
    <w:rsid w:val="00CB542F"/>
    <w:rsid w:val="00CB607E"/>
    <w:rsid w:val="00CC0943"/>
    <w:rsid w:val="00CC6A99"/>
    <w:rsid w:val="00CD51FD"/>
    <w:rsid w:val="00CD794D"/>
    <w:rsid w:val="00CE3370"/>
    <w:rsid w:val="00CE5314"/>
    <w:rsid w:val="00CF781E"/>
    <w:rsid w:val="00CF78F3"/>
    <w:rsid w:val="00D00AA3"/>
    <w:rsid w:val="00D011FD"/>
    <w:rsid w:val="00D0504E"/>
    <w:rsid w:val="00D07F73"/>
    <w:rsid w:val="00D10BB2"/>
    <w:rsid w:val="00D11B04"/>
    <w:rsid w:val="00D132F3"/>
    <w:rsid w:val="00D14635"/>
    <w:rsid w:val="00D14844"/>
    <w:rsid w:val="00D1562A"/>
    <w:rsid w:val="00D157B2"/>
    <w:rsid w:val="00D2041C"/>
    <w:rsid w:val="00D21B94"/>
    <w:rsid w:val="00D253D6"/>
    <w:rsid w:val="00D25ADE"/>
    <w:rsid w:val="00D270CC"/>
    <w:rsid w:val="00D273BE"/>
    <w:rsid w:val="00D27FC6"/>
    <w:rsid w:val="00D3008A"/>
    <w:rsid w:val="00D32551"/>
    <w:rsid w:val="00D36539"/>
    <w:rsid w:val="00D37139"/>
    <w:rsid w:val="00D40A02"/>
    <w:rsid w:val="00D43297"/>
    <w:rsid w:val="00D44874"/>
    <w:rsid w:val="00D44BEA"/>
    <w:rsid w:val="00D44DB6"/>
    <w:rsid w:val="00D500B7"/>
    <w:rsid w:val="00D50119"/>
    <w:rsid w:val="00D552B6"/>
    <w:rsid w:val="00D65D5C"/>
    <w:rsid w:val="00D65F76"/>
    <w:rsid w:val="00D705FD"/>
    <w:rsid w:val="00D70C95"/>
    <w:rsid w:val="00D71A4F"/>
    <w:rsid w:val="00D72B08"/>
    <w:rsid w:val="00D74C6A"/>
    <w:rsid w:val="00D74D79"/>
    <w:rsid w:val="00D82A43"/>
    <w:rsid w:val="00D8607C"/>
    <w:rsid w:val="00D957A2"/>
    <w:rsid w:val="00D965A0"/>
    <w:rsid w:val="00D97A5E"/>
    <w:rsid w:val="00DA4385"/>
    <w:rsid w:val="00DA45A5"/>
    <w:rsid w:val="00DA7B5D"/>
    <w:rsid w:val="00DB2A51"/>
    <w:rsid w:val="00DB388C"/>
    <w:rsid w:val="00DC38DF"/>
    <w:rsid w:val="00DC70F9"/>
    <w:rsid w:val="00DD2FD1"/>
    <w:rsid w:val="00DD5A3B"/>
    <w:rsid w:val="00DE10CA"/>
    <w:rsid w:val="00DE1ACE"/>
    <w:rsid w:val="00DE265D"/>
    <w:rsid w:val="00DE32FE"/>
    <w:rsid w:val="00DE3A8D"/>
    <w:rsid w:val="00DF58E7"/>
    <w:rsid w:val="00E03033"/>
    <w:rsid w:val="00E07935"/>
    <w:rsid w:val="00E11876"/>
    <w:rsid w:val="00E12B21"/>
    <w:rsid w:val="00E20DA7"/>
    <w:rsid w:val="00E219EF"/>
    <w:rsid w:val="00E23CBB"/>
    <w:rsid w:val="00E25304"/>
    <w:rsid w:val="00E3000C"/>
    <w:rsid w:val="00E3403C"/>
    <w:rsid w:val="00E353A8"/>
    <w:rsid w:val="00E371BF"/>
    <w:rsid w:val="00E37B59"/>
    <w:rsid w:val="00E450BD"/>
    <w:rsid w:val="00E46759"/>
    <w:rsid w:val="00E47AA2"/>
    <w:rsid w:val="00E47FF5"/>
    <w:rsid w:val="00E502C0"/>
    <w:rsid w:val="00E519FC"/>
    <w:rsid w:val="00E53438"/>
    <w:rsid w:val="00E677E0"/>
    <w:rsid w:val="00E70FF0"/>
    <w:rsid w:val="00E725FC"/>
    <w:rsid w:val="00E7393C"/>
    <w:rsid w:val="00E815C8"/>
    <w:rsid w:val="00E83833"/>
    <w:rsid w:val="00E84EFB"/>
    <w:rsid w:val="00E87267"/>
    <w:rsid w:val="00EA05C2"/>
    <w:rsid w:val="00EA1F17"/>
    <w:rsid w:val="00EA23B9"/>
    <w:rsid w:val="00EA36C6"/>
    <w:rsid w:val="00EB0322"/>
    <w:rsid w:val="00EB2A19"/>
    <w:rsid w:val="00EB5D09"/>
    <w:rsid w:val="00EB7AE1"/>
    <w:rsid w:val="00EC30F9"/>
    <w:rsid w:val="00EC4D54"/>
    <w:rsid w:val="00ED4ED6"/>
    <w:rsid w:val="00ED571C"/>
    <w:rsid w:val="00ED5725"/>
    <w:rsid w:val="00ED6434"/>
    <w:rsid w:val="00ED7031"/>
    <w:rsid w:val="00ED7EC6"/>
    <w:rsid w:val="00EE1275"/>
    <w:rsid w:val="00EE3060"/>
    <w:rsid w:val="00EE3D6A"/>
    <w:rsid w:val="00EE4315"/>
    <w:rsid w:val="00EE525D"/>
    <w:rsid w:val="00EE58C1"/>
    <w:rsid w:val="00EF2B51"/>
    <w:rsid w:val="00EF3D38"/>
    <w:rsid w:val="00EF5BCE"/>
    <w:rsid w:val="00EF6925"/>
    <w:rsid w:val="00F011A5"/>
    <w:rsid w:val="00F05E81"/>
    <w:rsid w:val="00F12118"/>
    <w:rsid w:val="00F137FE"/>
    <w:rsid w:val="00F14B58"/>
    <w:rsid w:val="00F163A0"/>
    <w:rsid w:val="00F24934"/>
    <w:rsid w:val="00F24CF8"/>
    <w:rsid w:val="00F250F5"/>
    <w:rsid w:val="00F265C1"/>
    <w:rsid w:val="00F26ED3"/>
    <w:rsid w:val="00F30149"/>
    <w:rsid w:val="00F3174F"/>
    <w:rsid w:val="00F33F72"/>
    <w:rsid w:val="00F3414A"/>
    <w:rsid w:val="00F354A1"/>
    <w:rsid w:val="00F36FFF"/>
    <w:rsid w:val="00F375CF"/>
    <w:rsid w:val="00F415C8"/>
    <w:rsid w:val="00F41902"/>
    <w:rsid w:val="00F4506E"/>
    <w:rsid w:val="00F46F4C"/>
    <w:rsid w:val="00F47F89"/>
    <w:rsid w:val="00F523CA"/>
    <w:rsid w:val="00F5247E"/>
    <w:rsid w:val="00F53C0C"/>
    <w:rsid w:val="00F54445"/>
    <w:rsid w:val="00F55AEC"/>
    <w:rsid w:val="00F61AFA"/>
    <w:rsid w:val="00F6276F"/>
    <w:rsid w:val="00F62B7A"/>
    <w:rsid w:val="00F63061"/>
    <w:rsid w:val="00F6397D"/>
    <w:rsid w:val="00F7042A"/>
    <w:rsid w:val="00F70B75"/>
    <w:rsid w:val="00F71D4A"/>
    <w:rsid w:val="00F7293E"/>
    <w:rsid w:val="00F7519A"/>
    <w:rsid w:val="00F76650"/>
    <w:rsid w:val="00F775C2"/>
    <w:rsid w:val="00F77AB4"/>
    <w:rsid w:val="00F9187B"/>
    <w:rsid w:val="00F92385"/>
    <w:rsid w:val="00F932EF"/>
    <w:rsid w:val="00F95080"/>
    <w:rsid w:val="00F95099"/>
    <w:rsid w:val="00F97029"/>
    <w:rsid w:val="00F97FC5"/>
    <w:rsid w:val="00FA1B4F"/>
    <w:rsid w:val="00FB2698"/>
    <w:rsid w:val="00FB291D"/>
    <w:rsid w:val="00FB3B97"/>
    <w:rsid w:val="00FC47F9"/>
    <w:rsid w:val="00FC621B"/>
    <w:rsid w:val="00FD05C3"/>
    <w:rsid w:val="00FD198E"/>
    <w:rsid w:val="00FD2836"/>
    <w:rsid w:val="00FD3C80"/>
    <w:rsid w:val="00FD4FE0"/>
    <w:rsid w:val="00FD5B0E"/>
    <w:rsid w:val="00FE2351"/>
    <w:rsid w:val="00FE247A"/>
    <w:rsid w:val="00FE2D54"/>
    <w:rsid w:val="00FE337D"/>
    <w:rsid w:val="00FE3B14"/>
    <w:rsid w:val="00FE5580"/>
    <w:rsid w:val="00FE6878"/>
    <w:rsid w:val="00FE701C"/>
    <w:rsid w:val="00FF110C"/>
    <w:rsid w:val="00FF13A3"/>
    <w:rsid w:val="00FF3638"/>
    <w:rsid w:val="00FF45E3"/>
    <w:rsid w:val="00FF4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80EE2"/>
  <w15:chartTrackingRefBased/>
  <w15:docId w15:val="{D80D3DC5-2AF3-4A87-8F50-224FBA7521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character" w:styleId="CommentReference">
    <w:name w:val="annotation reference"/>
    <w:basedOn w:val="DefaultParagraphFont"/>
    <w:uiPriority w:val="99"/>
    <w:semiHidden/>
    <w:unhideWhenUsed/>
    <w:rsid w:val="00727F03"/>
    <w:rPr>
      <w:sz w:val="16"/>
      <w:szCs w:val="16"/>
    </w:rPr>
  </w:style>
  <w:style w:type="paragraph" w:styleId="CommentText">
    <w:name w:val="annotation text"/>
    <w:basedOn w:val="Normal"/>
    <w:link w:val="CommentTextChar"/>
    <w:uiPriority w:val="99"/>
    <w:unhideWhenUsed/>
    <w:rsid w:val="00727F03"/>
    <w:pPr>
      <w:spacing w:line="240" w:lineRule="auto"/>
    </w:pPr>
    <w:rPr>
      <w:sz w:val="20"/>
      <w:szCs w:val="20"/>
    </w:rPr>
  </w:style>
  <w:style w:type="character" w:customStyle="1" w:styleId="CommentTextChar">
    <w:name w:val="Comment Text Char"/>
    <w:basedOn w:val="DefaultParagraphFont"/>
    <w:link w:val="CommentText"/>
    <w:uiPriority w:val="99"/>
    <w:rsid w:val="00727F03"/>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727F03"/>
    <w:rPr>
      <w:b/>
      <w:bCs/>
    </w:rPr>
  </w:style>
  <w:style w:type="character" w:customStyle="1" w:styleId="CommentSubjectChar">
    <w:name w:val="Comment Subject Char"/>
    <w:basedOn w:val="CommentTextChar"/>
    <w:link w:val="CommentSubject"/>
    <w:uiPriority w:val="99"/>
    <w:semiHidden/>
    <w:rsid w:val="00727F03"/>
    <w:rPr>
      <w:rFonts w:ascii="Book Antiqua" w:hAnsi="Book Antiqu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3c51fd4b-b0a8-4cee-8b97-77eacc5af0f7">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a24cfdaa-3f84-4543-8006-7aafcb05bc28">
      <Terms xmlns="http://schemas.microsoft.com/office/infopath/2007/PartnerControls"/>
    </lcf76f155ced4ddcb4097134ff3c332f>
    <TaxCatchAll xmlns="3c51fd4b-b0a8-4cee-8b97-77eacc5af0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67D49496411704C98823D97BD8A3AEF" ma:contentTypeVersion="16" ma:contentTypeDescription="Create a new document." ma:contentTypeScope="" ma:versionID="129bdc740f4af5bc5bce3e64490311db">
  <xsd:schema xmlns:xsd="http://www.w3.org/2001/XMLSchema" xmlns:xs="http://www.w3.org/2001/XMLSchema" xmlns:p="http://schemas.microsoft.com/office/2006/metadata/properties" xmlns:ns2="a24cfdaa-3f84-4543-8006-7aafcb05bc28" xmlns:ns3="3c51fd4b-b0a8-4cee-8b97-77eacc5af0f7" targetNamespace="http://schemas.microsoft.com/office/2006/metadata/properties" ma:root="true" ma:fieldsID="a77d2ffb77d2c2317744030685f74046" ns2:_="" ns3:_="">
    <xsd:import namespace="a24cfdaa-3f84-4543-8006-7aafcb05bc28"/>
    <xsd:import namespace="3c51fd4b-b0a8-4cee-8b97-77eacc5af0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cfdaa-3f84-4543-8006-7aafcb05b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51fd4b-b0a8-4cee-8b97-77eacc5af0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d313bba-19fc-4463-aea9-079b48bf6d0f}" ma:internalName="TaxCatchAll" ma:showField="CatchAllData" ma:web="3c51fd4b-b0a8-4cee-8b97-77eacc5af0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3c51fd4b-b0a8-4cee-8b97-77eacc5af0f7"/>
    <ds:schemaRef ds:uri="a24cfdaa-3f84-4543-8006-7aafcb05bc28"/>
  </ds:schemaRefs>
</ds:datastoreItem>
</file>

<file path=customXml/itemProps3.xml><?xml version="1.0" encoding="utf-8"?>
<ds:datastoreItem xmlns:ds="http://schemas.openxmlformats.org/officeDocument/2006/customXml" ds:itemID="{95D3972E-65FA-460C-89B5-F025AF633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4cfdaa-3f84-4543-8006-7aafcb05bc28"/>
    <ds:schemaRef ds:uri="3c51fd4b-b0a8-4cee-8b97-77eacc5af0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30DE7C-9577-4EA8-AC89-8E2B6CC952CB}">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3187</ap:Words>
  <ap:Characters>18167</ap:Characters>
  <ap:Application>Microsoft Office Word</ap:Application>
  <ap:DocSecurity>0</ap:DocSecurity>
  <ap:Lines>151</ap:Lines>
  <ap:Paragraphs>42</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21312</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2026-10-14T10:26:24Z</dcterms:created>
  <dcterms:modified xsi:type="dcterms:W3CDTF">2026-10-14T10:26:24Z</dcterms:modified>
</cp:coreProperties>
</file>