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6F359D" w:rsidRDefault="00A76F4A" w14:paraId="1038F1A9" w14:textId="77777777">
      <w:pPr>
        <w:spacing w:before="240" w:after="0" w:line="276"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3147DD" w:rsidRDefault="00A76F4A" w14:paraId="3530C4E8" w14:textId="77777777">
      <w:pPr>
        <w:suppressAutoHyphens/>
        <w:spacing w:after="0" w:line="276" w:lineRule="auto"/>
        <w:rPr>
          <w:rFonts w:ascii="Palatino" w:hAnsi="Palatino" w:eastAsia="Times New Roman" w:cs="Times New Roman"/>
          <w:kern w:val="0"/>
          <w:sz w:val="26"/>
          <w:szCs w:val="20"/>
          <w14:ligatures w14:val="none"/>
        </w:rPr>
      </w:pPr>
    </w:p>
    <w:p w:rsidRPr="00547641" w:rsidR="00A76F4A" w:rsidP="0001369D" w:rsidRDefault="00A76F4A" w14:paraId="2AFEBBF1" w14:textId="2C8DC1CE">
      <w:pPr>
        <w:tabs>
          <w:tab w:val="left" w:pos="6480"/>
          <w:tab w:val="right" w:pos="8820"/>
        </w:tabs>
        <w:spacing w:after="0" w:line="276" w:lineRule="auto"/>
        <w:rPr>
          <w:rFonts w:ascii="Palatino Linotype" w:hAnsi="Palatino Linotype" w:eastAsia="Times New Roman" w:cs="Times New Roman"/>
          <w:b/>
          <w:color w:val="000000" w:themeColor="text1"/>
          <w:kern w:val="0"/>
          <w14:ligatures w14:val="none"/>
        </w:rPr>
      </w:pPr>
      <w:r w:rsidRPr="001942D0">
        <w:rPr>
          <w:rFonts w:ascii="Palatino Linotype" w:hAnsi="Palatino Linotype" w:eastAsia="Times New Roman" w:cs="Times New Roman"/>
          <w:b/>
          <w:kern w:val="0"/>
          <w14:ligatures w14:val="none"/>
        </w:rPr>
        <w:tab/>
      </w:r>
      <w:r w:rsidR="0001369D">
        <w:rPr>
          <w:rFonts w:ascii="Palatino Linotype" w:hAnsi="Palatino Linotype" w:eastAsia="Times New Roman" w:cs="Times New Roman"/>
          <w:b/>
          <w:kern w:val="0"/>
          <w14:ligatures w14:val="none"/>
        </w:rPr>
        <w:t xml:space="preserve">      </w:t>
      </w:r>
      <w:r w:rsidRPr="00547641">
        <w:rPr>
          <w:rFonts w:ascii="Palatino Linotype" w:hAnsi="Palatino Linotype" w:eastAsia="Times New Roman" w:cs="Times New Roman"/>
          <w:b/>
          <w:color w:val="000000" w:themeColor="text1"/>
          <w:kern w:val="0"/>
          <w14:ligatures w14:val="none"/>
        </w:rPr>
        <w:t>Agenda ID</w:t>
      </w:r>
      <w:r w:rsidR="000C4CBF">
        <w:rPr>
          <w:rFonts w:ascii="Palatino Linotype" w:hAnsi="Palatino Linotype" w:eastAsia="Times New Roman" w:cs="Times New Roman"/>
          <w:b/>
          <w:color w:val="000000" w:themeColor="text1"/>
          <w:kern w:val="0"/>
          <w14:ligatures w14:val="none"/>
        </w:rPr>
        <w:t>#</w:t>
      </w:r>
      <w:r w:rsidR="0001369D">
        <w:rPr>
          <w:rFonts w:ascii="Palatino Linotype" w:hAnsi="Palatino Linotype" w:eastAsia="Times New Roman" w:cs="Times New Roman"/>
          <w:b/>
          <w:color w:val="000000" w:themeColor="text1"/>
          <w:kern w:val="0"/>
          <w14:ligatures w14:val="none"/>
        </w:rPr>
        <w:t xml:space="preserve"> </w:t>
      </w:r>
      <w:r w:rsidRPr="0001369D" w:rsidR="0001369D">
        <w:rPr>
          <w:rFonts w:ascii="Palatino Linotype" w:hAnsi="Palatino Linotype" w:eastAsia="Times New Roman" w:cs="Times New Roman"/>
          <w:b/>
          <w:bCs/>
          <w:color w:val="000000" w:themeColor="text1"/>
          <w:kern w:val="0"/>
          <w14:ligatures w14:val="none"/>
        </w:rPr>
        <w:t>24445</w:t>
      </w:r>
    </w:p>
    <w:p w:rsidRPr="00547641" w:rsidR="00A76F4A" w:rsidP="003147DD" w:rsidRDefault="00204B1B" w14:paraId="097CE738" w14:textId="50138F4F">
      <w:pPr>
        <w:tabs>
          <w:tab w:val="right" w:pos="8820"/>
        </w:tabs>
        <w:spacing w:after="0" w:line="276" w:lineRule="auto"/>
        <w:rPr>
          <w:rFonts w:ascii="Palatino Linotype" w:hAnsi="Palatino Linotype" w:eastAsia="Palatino Linotype" w:cs="Times New Roman"/>
          <w:b/>
          <w:color w:val="000000" w:themeColor="text1"/>
          <w:kern w:val="0"/>
          <w14:ligatures w14:val="none"/>
        </w:rPr>
      </w:pPr>
      <w:r w:rsidRPr="00547641">
        <w:rPr>
          <w:rFonts w:ascii="Palatino Linotype" w:hAnsi="Palatino Linotype" w:eastAsia="Palatino Linotype" w:cs="Times New Roman"/>
          <w:b/>
          <w:color w:val="000000" w:themeColor="text1"/>
          <w:kern w:val="0"/>
          <w14:ligatures w14:val="none"/>
        </w:rPr>
        <w:t>ENERGY DIVISION</w:t>
      </w:r>
      <w:r w:rsidRPr="00547641" w:rsidR="00A76F4A">
        <w:rPr>
          <w:rFonts w:ascii="Palatino Linotype" w:hAnsi="Palatino Linotype" w:eastAsia="Times New Roman" w:cs="Times New Roman"/>
          <w:b/>
          <w:color w:val="000000" w:themeColor="text1"/>
          <w:kern w:val="0"/>
          <w14:ligatures w14:val="none"/>
        </w:rPr>
        <w:tab/>
      </w:r>
      <w:r w:rsidRPr="00547641" w:rsidR="00A76F4A">
        <w:rPr>
          <w:rFonts w:ascii="Palatino Linotype" w:hAnsi="Palatino Linotype" w:eastAsia="Palatino Linotype" w:cs="Times New Roman"/>
          <w:b/>
          <w:color w:val="000000" w:themeColor="text1"/>
          <w:kern w:val="0"/>
          <w14:ligatures w14:val="none"/>
        </w:rPr>
        <w:t xml:space="preserve">       </w:t>
      </w:r>
      <w:r w:rsidRPr="00547641" w:rsidR="00547641">
        <w:rPr>
          <w:rFonts w:ascii="Palatino Linotype" w:hAnsi="Palatino Linotype" w:eastAsia="Palatino Linotype" w:cs="Times New Roman"/>
          <w:b/>
          <w:color w:val="000000" w:themeColor="text1"/>
          <w:kern w:val="0"/>
          <w14:ligatures w14:val="none"/>
        </w:rPr>
        <w:t xml:space="preserve"> </w:t>
      </w:r>
      <w:r w:rsidRPr="00547641" w:rsidR="00A76F4A">
        <w:rPr>
          <w:rFonts w:ascii="Palatino Linotype" w:hAnsi="Palatino Linotype" w:eastAsia="Palatino Linotype" w:cs="Times New Roman"/>
          <w:b/>
          <w:color w:val="000000" w:themeColor="text1"/>
        </w:rPr>
        <w:t xml:space="preserve">RESOLUTION </w:t>
      </w:r>
      <w:r w:rsidRPr="00547641" w:rsidR="00547641">
        <w:rPr>
          <w:rFonts w:ascii="Palatino Linotype" w:hAnsi="Palatino Linotype" w:eastAsia="Palatino Linotype" w:cs="Times New Roman"/>
          <w:b/>
          <w:color w:val="000000" w:themeColor="text1"/>
        </w:rPr>
        <w:t>G</w:t>
      </w:r>
      <w:r w:rsidR="002E0702">
        <w:rPr>
          <w:rFonts w:ascii="Palatino Linotype" w:hAnsi="Palatino Linotype" w:eastAsia="Palatino Linotype" w:cs="Times New Roman"/>
          <w:b/>
          <w:color w:val="000000" w:themeColor="text1"/>
        </w:rPr>
        <w:t>-3622</w:t>
      </w:r>
    </w:p>
    <w:p w:rsidRPr="006A4E16" w:rsidR="00A76F4A" w:rsidP="5248F298" w:rsidRDefault="00883CF5" w14:paraId="17BEFA95" w14:textId="0F304548">
      <w:pPr>
        <w:tabs>
          <w:tab w:val="right" w:pos="8820"/>
        </w:tabs>
        <w:spacing w:after="0" w:line="276" w:lineRule="auto"/>
        <w:ind w:left="5040"/>
        <w:rPr>
          <w:rFonts w:ascii="Palatino Linotype" w:hAnsi="Palatino Linotype" w:eastAsia="Times New Roman" w:cs="Times New Roman"/>
          <w:b/>
          <w:bCs/>
          <w:color w:val="000000" w:themeColor="text1"/>
          <w:kern w:val="0"/>
          <w14:ligatures w14:val="none"/>
        </w:rPr>
      </w:pPr>
      <w:r w:rsidRPr="006A4E16">
        <w:rPr>
          <w:rFonts w:ascii="Palatino Linotype" w:hAnsi="Palatino Linotype" w:eastAsia="Times New Roman" w:cs="Times New Roman"/>
          <w:b/>
          <w:color w:val="000000" w:themeColor="text1"/>
          <w:kern w:val="0"/>
          <w14:ligatures w14:val="none"/>
        </w:rPr>
        <w:tab/>
      </w:r>
      <w:r w:rsidR="00E21964">
        <w:rPr>
          <w:rFonts w:ascii="Palatino Linotype" w:hAnsi="Palatino Linotype" w:eastAsia="Times New Roman" w:cs="Times New Roman"/>
          <w:b/>
          <w:bCs/>
          <w:color w:val="000000" w:themeColor="text1"/>
          <w:kern w:val="0"/>
          <w14:ligatures w14:val="none"/>
        </w:rPr>
        <w:t xml:space="preserve">October </w:t>
      </w:r>
      <w:r w:rsidR="001764BB">
        <w:rPr>
          <w:rFonts w:ascii="Palatino Linotype" w:hAnsi="Palatino Linotype" w:eastAsia="Times New Roman" w:cs="Times New Roman"/>
          <w:b/>
          <w:bCs/>
          <w:color w:val="000000" w:themeColor="text1"/>
          <w:kern w:val="0"/>
          <w14:ligatures w14:val="none"/>
        </w:rPr>
        <w:t>29</w:t>
      </w:r>
      <w:r w:rsidRPr="64D338A6" w:rsidR="006A4E16">
        <w:rPr>
          <w:rFonts w:ascii="Palatino Linotype" w:hAnsi="Palatino Linotype" w:eastAsia="Times New Roman" w:cs="Times New Roman"/>
          <w:b/>
          <w:color w:val="000000" w:themeColor="text1"/>
        </w:rPr>
        <w:t>, 2026</w:t>
      </w:r>
      <w:r w:rsidRPr="64D338A6" w:rsidR="00FA394A">
        <w:rPr>
          <w:rFonts w:ascii="Palatino Linotype" w:hAnsi="Palatino Linotype" w:eastAsia="Times New Roman" w:cs="Times New Roman"/>
          <w:b/>
          <w:color w:val="000000" w:themeColor="text1"/>
        </w:rPr>
        <w:t xml:space="preserve"> </w:t>
      </w:r>
    </w:p>
    <w:p w:rsidRPr="00552778" w:rsidR="00A76F4A" w:rsidP="004B742B" w:rsidRDefault="00A76F4A" w14:paraId="524F4DC8" w14:textId="1BBB5769">
      <w:pPr>
        <w:tabs>
          <w:tab w:val="right" w:pos="8910"/>
        </w:tabs>
        <w:spacing w:after="0" w:line="276" w:lineRule="auto"/>
        <w:ind w:left="1440" w:firstLine="720"/>
        <w:rPr>
          <w:rFonts w:ascii="Palatino Linotype" w:hAnsi="Palatino Linotype" w:eastAsia="Times New Roman" w:cs="Times New Roman"/>
          <w:b/>
          <w:kern w:val="0"/>
          <w:sz w:val="28"/>
          <w:szCs w:val="28"/>
          <w14:ligatures w14:val="none"/>
        </w:rPr>
      </w:pPr>
      <w:r w:rsidRPr="00552778">
        <w:rPr>
          <w:rFonts w:ascii="Palatino Linotype" w:hAnsi="Palatino Linotype" w:eastAsia="Times New Roman" w:cs="Times New Roman"/>
          <w:b/>
          <w:kern w:val="0"/>
          <w:sz w:val="28"/>
          <w:szCs w:val="28"/>
          <w14:ligatures w14:val="none"/>
        </w:rPr>
        <w:tab/>
      </w:r>
    </w:p>
    <w:p w:rsidRPr="001942D0" w:rsidR="00A76F4A" w:rsidP="003147DD" w:rsidRDefault="00A76F4A" w14:paraId="4767E366" w14:textId="77777777">
      <w:pPr>
        <w:keepNext/>
        <w:spacing w:after="0" w:line="276"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3147DD" w:rsidRDefault="00A76F4A" w14:paraId="778B8F8D" w14:textId="77777777">
      <w:pPr>
        <w:spacing w:after="0" w:line="276" w:lineRule="auto"/>
        <w:rPr>
          <w:rFonts w:ascii="Palatino" w:hAnsi="Palatino" w:eastAsia="Palatino Linotype" w:cs="Times New Roman"/>
          <w:kern w:val="0"/>
          <w:sz w:val="26"/>
          <w:szCs w:val="20"/>
          <w14:ligatures w14:val="none"/>
        </w:rPr>
      </w:pPr>
    </w:p>
    <w:p w:rsidRPr="001942D0" w:rsidR="00A76F4A" w:rsidP="003147DD" w:rsidRDefault="00A76F4A" w14:paraId="400F09B6" w14:textId="19B391E8">
      <w:pPr>
        <w:spacing w:after="0" w:line="276" w:lineRule="auto"/>
        <w:ind w:left="720" w:right="72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 xml:space="preserve">Resolution </w:t>
      </w:r>
      <w:r w:rsidR="00B4078F">
        <w:rPr>
          <w:rFonts w:ascii="Palatino Linotype" w:hAnsi="Palatino Linotype" w:eastAsia="Times New Roman" w:cs="Times New Roman"/>
          <w:kern w:val="0"/>
          <w14:ligatures w14:val="none"/>
        </w:rPr>
        <w:t>G-</w:t>
      </w:r>
      <w:r w:rsidRPr="002E0702" w:rsidR="002E0702">
        <w:rPr>
          <w:rFonts w:ascii="Palatino Linotype" w:hAnsi="Palatino Linotype" w:eastAsia="Times New Roman" w:cs="Times New Roman"/>
          <w:color w:val="000000" w:themeColor="text1"/>
          <w:kern w:val="0"/>
          <w14:ligatures w14:val="none"/>
        </w:rPr>
        <w:t>3622</w:t>
      </w:r>
      <w:r w:rsidR="00B4078F">
        <w:rPr>
          <w:rFonts w:ascii="Palatino Linotype" w:hAnsi="Palatino Linotype" w:eastAsia="Times New Roman" w:cs="Times New Roman"/>
          <w:kern w:val="0"/>
          <w14:ligatures w14:val="none"/>
        </w:rPr>
        <w:t xml:space="preserve">. </w:t>
      </w:r>
      <w:r w:rsidR="00DF30A3">
        <w:rPr>
          <w:rFonts w:ascii="Palatino Linotype" w:hAnsi="Palatino Linotype" w:eastAsia="Times New Roman" w:cs="Times New Roman"/>
          <w:kern w:val="0"/>
          <w14:ligatures w14:val="none"/>
        </w:rPr>
        <w:t>California Energy Commission</w:t>
      </w:r>
      <w:r w:rsidRPr="00210D1B" w:rsidR="00DF30A3">
        <w:rPr>
          <w:rFonts w:ascii="Palatino Linotype" w:hAnsi="Palatino Linotype" w:eastAsia="Times New Roman" w:cs="Times New Roman"/>
          <w:color w:val="000000" w:themeColor="text1"/>
          <w:kern w:val="0"/>
          <w14:ligatures w14:val="none"/>
        </w:rPr>
        <w:t xml:space="preserve">’s </w:t>
      </w:r>
      <w:r w:rsidRPr="36E52FAA" w:rsidR="6B8E70D5">
        <w:rPr>
          <w:rFonts w:ascii="Palatino Linotype" w:hAnsi="Palatino Linotype" w:eastAsia="Times New Roman" w:cs="Times New Roman"/>
          <w:color w:val="000000" w:themeColor="text1"/>
        </w:rPr>
        <w:t xml:space="preserve">(CEC’s) </w:t>
      </w:r>
      <w:r w:rsidRPr="36E52FAA" w:rsidR="00E14F40">
        <w:rPr>
          <w:rFonts w:ascii="Palatino Linotype" w:hAnsi="Palatino Linotype" w:eastAsia="Times New Roman" w:cs="Times New Roman"/>
        </w:rPr>
        <w:t xml:space="preserve">Gas </w:t>
      </w:r>
      <w:r w:rsidRPr="36E52FAA" w:rsidR="00166F97">
        <w:rPr>
          <w:rFonts w:ascii="Palatino Linotype" w:hAnsi="Palatino Linotype" w:eastAsia="Times New Roman" w:cs="Times New Roman"/>
        </w:rPr>
        <w:t xml:space="preserve">Research, Development, and Demonstration </w:t>
      </w:r>
      <w:r w:rsidRPr="36E52FAA" w:rsidR="00DE79ED">
        <w:rPr>
          <w:rFonts w:ascii="Palatino Linotype" w:hAnsi="Palatino Linotype" w:eastAsia="Times New Roman" w:cs="Times New Roman"/>
        </w:rPr>
        <w:t>Plan</w:t>
      </w:r>
      <w:r w:rsidRPr="36E52FAA" w:rsidR="00EE2202">
        <w:rPr>
          <w:rFonts w:ascii="Palatino Linotype" w:hAnsi="Palatino Linotype" w:eastAsia="Times New Roman" w:cs="Times New Roman"/>
        </w:rPr>
        <w:t>s</w:t>
      </w:r>
      <w:r w:rsidRPr="36E52FAA" w:rsidR="00166F97">
        <w:rPr>
          <w:rFonts w:ascii="Palatino Linotype" w:hAnsi="Palatino Linotype" w:eastAsia="Times New Roman" w:cs="Times New Roman"/>
        </w:rPr>
        <w:t xml:space="preserve"> for </w:t>
      </w:r>
      <w:r w:rsidRPr="36E52FAA" w:rsidR="00C94CFC">
        <w:rPr>
          <w:rFonts w:ascii="Palatino Linotype" w:hAnsi="Palatino Linotype" w:eastAsia="Times New Roman" w:cs="Times New Roman"/>
        </w:rPr>
        <w:t>F</w:t>
      </w:r>
      <w:r w:rsidRPr="36E52FAA" w:rsidR="00186BEB">
        <w:rPr>
          <w:rFonts w:ascii="Palatino Linotype" w:hAnsi="Palatino Linotype" w:eastAsia="Times New Roman" w:cs="Times New Roman"/>
        </w:rPr>
        <w:t xml:space="preserve">iscal Years </w:t>
      </w:r>
      <w:r w:rsidRPr="36E52FAA" w:rsidR="00C94CFC">
        <w:rPr>
          <w:rFonts w:ascii="Palatino Linotype" w:hAnsi="Palatino Linotype" w:eastAsia="Times New Roman" w:cs="Times New Roman"/>
        </w:rPr>
        <w:t xml:space="preserve">2024-2025 </w:t>
      </w:r>
      <w:r w:rsidRPr="36E52FAA" w:rsidR="004A5025">
        <w:rPr>
          <w:rFonts w:ascii="Palatino Linotype" w:hAnsi="Palatino Linotype" w:eastAsia="Times New Roman" w:cs="Times New Roman"/>
        </w:rPr>
        <w:t>(</w:t>
      </w:r>
      <w:r w:rsidRPr="36E52FAA" w:rsidR="40EC61EC">
        <w:rPr>
          <w:rFonts w:ascii="Palatino Linotype" w:hAnsi="Palatino Linotype" w:eastAsia="Times New Roman" w:cs="Times New Roman"/>
        </w:rPr>
        <w:t xml:space="preserve">CEC </w:t>
      </w:r>
      <w:r w:rsidRPr="36E52FAA" w:rsidR="004A5025">
        <w:rPr>
          <w:rFonts w:ascii="Palatino Linotype" w:hAnsi="Palatino Linotype" w:eastAsia="Times New Roman" w:cs="Times New Roman"/>
        </w:rPr>
        <w:t xml:space="preserve">Advice Letter 12-G) </w:t>
      </w:r>
      <w:r w:rsidRPr="36E52FAA" w:rsidR="00DF30A3">
        <w:rPr>
          <w:rFonts w:ascii="Palatino Linotype" w:hAnsi="Palatino Linotype" w:eastAsia="Times New Roman" w:cs="Times New Roman"/>
        </w:rPr>
        <w:t xml:space="preserve">and </w:t>
      </w:r>
      <w:r w:rsidRPr="36E52FAA" w:rsidR="00C94CFC">
        <w:rPr>
          <w:rFonts w:ascii="Palatino Linotype" w:hAnsi="Palatino Linotype" w:eastAsia="Times New Roman" w:cs="Times New Roman"/>
        </w:rPr>
        <w:t>2025-2026</w:t>
      </w:r>
      <w:r w:rsidRPr="36E52FAA" w:rsidR="004A5025">
        <w:rPr>
          <w:rFonts w:ascii="Palatino Linotype" w:hAnsi="Palatino Linotype" w:eastAsia="Times New Roman" w:cs="Times New Roman"/>
        </w:rPr>
        <w:t xml:space="preserve"> (</w:t>
      </w:r>
      <w:r w:rsidRPr="4AC31249" w:rsidR="3FFAB575">
        <w:rPr>
          <w:rFonts w:ascii="Palatino Linotype" w:hAnsi="Palatino Linotype" w:eastAsia="Times New Roman" w:cs="Times New Roman"/>
        </w:rPr>
        <w:t xml:space="preserve">CEC </w:t>
      </w:r>
      <w:r w:rsidRPr="4AC31249" w:rsidR="004A5025">
        <w:rPr>
          <w:rFonts w:ascii="Palatino Linotype" w:hAnsi="Palatino Linotype" w:eastAsia="Times New Roman" w:cs="Times New Roman"/>
        </w:rPr>
        <w:t>Advice</w:t>
      </w:r>
      <w:r w:rsidRPr="36E52FAA" w:rsidR="004A5025">
        <w:rPr>
          <w:rFonts w:ascii="Palatino Linotype" w:hAnsi="Palatino Linotype" w:eastAsia="Times New Roman" w:cs="Times New Roman"/>
        </w:rPr>
        <w:t xml:space="preserve"> Letter 10-G</w:t>
      </w:r>
      <w:r w:rsidRPr="36E52FAA" w:rsidR="004A5025">
        <w:rPr>
          <w:rFonts w:ascii="Palatino Linotype" w:hAnsi="Palatino Linotype" w:eastAsia="Times New Roman" w:cs="Times New Roman"/>
          <w:color w:val="000000" w:themeColor="text1"/>
        </w:rPr>
        <w:t>-A</w:t>
      </w:r>
      <w:r w:rsidRPr="36E52FAA" w:rsidR="004A5025">
        <w:rPr>
          <w:rFonts w:ascii="Palatino Linotype" w:hAnsi="Palatino Linotype" w:eastAsia="Times New Roman" w:cs="Times New Roman"/>
        </w:rPr>
        <w:t>)</w:t>
      </w:r>
      <w:r w:rsidRPr="36E52FAA" w:rsidR="00E14F40">
        <w:rPr>
          <w:rFonts w:ascii="Palatino Linotype" w:hAnsi="Palatino Linotype" w:eastAsia="Times New Roman" w:cs="Times New Roman"/>
        </w:rPr>
        <w:t>.</w:t>
      </w:r>
    </w:p>
    <w:p w:rsidRPr="001942D0" w:rsidR="00A76F4A" w:rsidP="003147DD" w:rsidRDefault="00A76F4A" w14:paraId="0054523B" w14:textId="77777777">
      <w:pPr>
        <w:spacing w:after="0" w:line="276" w:lineRule="auto"/>
        <w:ind w:right="720"/>
        <w:rPr>
          <w:rFonts w:ascii="Palatino Linotype" w:hAnsi="Palatino Linotype" w:eastAsia="Palatino Linotype" w:cs="Times New Roman"/>
          <w:kern w:val="0"/>
          <w14:ligatures w14:val="none"/>
        </w:rPr>
      </w:pPr>
    </w:p>
    <w:p w:rsidRPr="00041AD5" w:rsidR="00A76F4A" w:rsidP="003147DD" w:rsidRDefault="00A76F4A" w14:paraId="3DE3512A"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1942D0">
        <w:rPr>
          <w:rFonts w:ascii="Palatino Linotype" w:hAnsi="Palatino Linotype" w:eastAsia="Palatino Linotype" w:cs="Times New Roman"/>
          <w:kern w:val="0"/>
          <w14:ligatures w14:val="none"/>
        </w:rPr>
        <w:t xml:space="preserve">PROPOSED OUTCOME: </w:t>
      </w:r>
    </w:p>
    <w:p w:rsidRPr="008F51D1" w:rsidR="00015F80" w:rsidP="008F51D1" w:rsidRDefault="00E14F40" w14:paraId="228CF6C2" w14:textId="036613EB">
      <w:pPr>
        <w:pStyle w:val="ListParagraph"/>
        <w:numPr>
          <w:ilvl w:val="0"/>
          <w:numId w:val="2"/>
        </w:numPr>
        <w:spacing w:after="0" w:line="276" w:lineRule="auto"/>
        <w:ind w:right="720"/>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rPr>
        <w:t>Approves</w:t>
      </w:r>
      <w:r w:rsidRPr="00041AD5" w:rsidR="002005C1">
        <w:rPr>
          <w:rFonts w:ascii="Palatino Linotype" w:hAnsi="Palatino Linotype" w:eastAsia="Times New Roman" w:cs="Times New Roman"/>
          <w:color w:val="000000" w:themeColor="text1"/>
        </w:rPr>
        <w:t xml:space="preserve">, in part, </w:t>
      </w:r>
      <w:r w:rsidRPr="00041AD5">
        <w:rPr>
          <w:rFonts w:ascii="Palatino Linotype" w:hAnsi="Palatino Linotype" w:eastAsia="Times New Roman" w:cs="Times New Roman"/>
          <w:color w:val="000000" w:themeColor="text1"/>
        </w:rPr>
        <w:t>the</w:t>
      </w:r>
      <w:r w:rsidRPr="00041AD5" w:rsidR="005C3E89">
        <w:rPr>
          <w:rFonts w:ascii="Palatino Linotype" w:hAnsi="Palatino Linotype" w:eastAsia="Times New Roman" w:cs="Times New Roman"/>
          <w:color w:val="000000" w:themeColor="text1"/>
        </w:rPr>
        <w:t xml:space="preserve"> California Energy Commission</w:t>
      </w:r>
      <w:r w:rsidRPr="00041AD5">
        <w:rPr>
          <w:rFonts w:ascii="Palatino Linotype" w:hAnsi="Palatino Linotype" w:eastAsia="Times New Roman" w:cs="Times New Roman"/>
          <w:color w:val="000000" w:themeColor="text1"/>
        </w:rPr>
        <w:t xml:space="preserve">’s </w:t>
      </w:r>
      <w:r w:rsidRPr="00041AD5" w:rsidR="005C3E89">
        <w:rPr>
          <w:rFonts w:ascii="Palatino Linotype" w:hAnsi="Palatino Linotype" w:eastAsia="Times New Roman" w:cs="Times New Roman"/>
          <w:color w:val="000000" w:themeColor="text1"/>
        </w:rPr>
        <w:t xml:space="preserve">(CEC’s) </w:t>
      </w:r>
      <w:r w:rsidRPr="00041AD5">
        <w:rPr>
          <w:rFonts w:ascii="Palatino Linotype" w:hAnsi="Palatino Linotype" w:eastAsia="Times New Roman" w:cs="Times New Roman"/>
          <w:color w:val="000000" w:themeColor="text1"/>
        </w:rPr>
        <w:t>Gas Research, Development, and Demonstration</w:t>
      </w:r>
      <w:r w:rsidRPr="00041AD5" w:rsidR="00F0441C">
        <w:rPr>
          <w:rFonts w:ascii="Palatino Linotype" w:hAnsi="Palatino Linotype" w:eastAsia="Times New Roman" w:cs="Times New Roman"/>
          <w:color w:val="000000" w:themeColor="text1"/>
        </w:rPr>
        <w:t xml:space="preserve"> (RD&amp;D)</w:t>
      </w:r>
      <w:r w:rsidRPr="00041AD5">
        <w:rPr>
          <w:rFonts w:ascii="Palatino Linotype" w:hAnsi="Palatino Linotype" w:eastAsia="Times New Roman" w:cs="Times New Roman"/>
          <w:color w:val="000000" w:themeColor="text1"/>
        </w:rPr>
        <w:t xml:space="preserve"> </w:t>
      </w:r>
      <w:r w:rsidRPr="00041AD5" w:rsidR="00DE79ED">
        <w:rPr>
          <w:rFonts w:ascii="Palatino Linotype" w:hAnsi="Palatino Linotype" w:eastAsia="Times New Roman" w:cs="Times New Roman"/>
          <w:color w:val="000000" w:themeColor="text1"/>
        </w:rPr>
        <w:t>Plan</w:t>
      </w:r>
      <w:r w:rsidRPr="00041AD5" w:rsidR="00EE2202">
        <w:rPr>
          <w:rFonts w:ascii="Palatino Linotype" w:hAnsi="Palatino Linotype" w:eastAsia="Times New Roman" w:cs="Times New Roman"/>
          <w:color w:val="000000" w:themeColor="text1"/>
        </w:rPr>
        <w:t>s</w:t>
      </w:r>
      <w:r w:rsidRPr="00041AD5" w:rsidR="004B6D53">
        <w:rPr>
          <w:rFonts w:ascii="Palatino Linotype" w:hAnsi="Palatino Linotype" w:eastAsia="Times New Roman" w:cs="Times New Roman"/>
          <w:color w:val="000000" w:themeColor="text1"/>
        </w:rPr>
        <w:t xml:space="preserve"> for</w:t>
      </w:r>
      <w:r w:rsidRPr="00041AD5">
        <w:rPr>
          <w:rFonts w:ascii="Palatino Linotype" w:hAnsi="Palatino Linotype" w:eastAsia="Times New Roman" w:cs="Times New Roman"/>
          <w:color w:val="000000" w:themeColor="text1"/>
        </w:rPr>
        <w:t xml:space="preserve"> </w:t>
      </w:r>
      <w:r w:rsidRPr="00041AD5" w:rsidR="003D6579">
        <w:rPr>
          <w:rFonts w:ascii="Palatino Linotype" w:hAnsi="Palatino Linotype" w:eastAsia="Times New Roman" w:cs="Times New Roman"/>
          <w:color w:val="000000" w:themeColor="text1"/>
        </w:rPr>
        <w:t>F</w:t>
      </w:r>
      <w:r w:rsidRPr="00041AD5" w:rsidR="007D1510">
        <w:rPr>
          <w:rFonts w:ascii="Palatino Linotype" w:hAnsi="Palatino Linotype" w:eastAsia="Times New Roman" w:cs="Times New Roman"/>
          <w:color w:val="000000" w:themeColor="text1"/>
        </w:rPr>
        <w:t>iscal Years</w:t>
      </w:r>
      <w:r w:rsidR="00CD1CE4">
        <w:rPr>
          <w:rFonts w:ascii="Palatino Linotype" w:hAnsi="Palatino Linotype" w:eastAsia="Times New Roman" w:cs="Times New Roman"/>
          <w:color w:val="000000" w:themeColor="text1"/>
        </w:rPr>
        <w:t xml:space="preserve"> </w:t>
      </w:r>
      <w:r w:rsidR="00DA668C">
        <w:rPr>
          <w:rFonts w:ascii="Palatino Linotype" w:hAnsi="Palatino Linotype" w:eastAsia="Times New Roman" w:cs="Times New Roman"/>
          <w:color w:val="000000" w:themeColor="text1"/>
        </w:rPr>
        <w:t xml:space="preserve">(FYs) </w:t>
      </w:r>
      <w:r w:rsidRPr="00041AD5" w:rsidR="005C3E89">
        <w:rPr>
          <w:rFonts w:ascii="Palatino Linotype" w:hAnsi="Palatino Linotype" w:eastAsia="Times New Roman" w:cs="Times New Roman"/>
          <w:color w:val="000000" w:themeColor="text1"/>
        </w:rPr>
        <w:t>2024</w:t>
      </w:r>
      <w:r w:rsidRPr="00041AD5" w:rsidR="003D6579">
        <w:rPr>
          <w:rFonts w:ascii="Palatino Linotype" w:hAnsi="Palatino Linotype" w:eastAsia="Times New Roman" w:cs="Times New Roman"/>
          <w:color w:val="000000" w:themeColor="text1"/>
        </w:rPr>
        <w:t>-2025</w:t>
      </w:r>
      <w:r w:rsidRPr="00041AD5" w:rsidR="005C3E89">
        <w:rPr>
          <w:rFonts w:ascii="Palatino Linotype" w:hAnsi="Palatino Linotype" w:eastAsia="Times New Roman" w:cs="Times New Roman"/>
          <w:color w:val="000000" w:themeColor="text1"/>
        </w:rPr>
        <w:t xml:space="preserve"> </w:t>
      </w:r>
      <w:r w:rsidRPr="00041AD5" w:rsidR="00ED2B79">
        <w:rPr>
          <w:rFonts w:ascii="Palatino Linotype" w:hAnsi="Palatino Linotype" w:eastAsia="Times New Roman" w:cs="Times New Roman"/>
          <w:color w:val="000000" w:themeColor="text1"/>
        </w:rPr>
        <w:t>(</w:t>
      </w:r>
      <w:r w:rsidRPr="00041AD5" w:rsidR="0085611B">
        <w:rPr>
          <w:rFonts w:ascii="Palatino Linotype" w:hAnsi="Palatino Linotype" w:eastAsia="Times New Roman" w:cs="Times New Roman"/>
          <w:color w:val="000000" w:themeColor="text1"/>
        </w:rPr>
        <w:t xml:space="preserve">CEC </w:t>
      </w:r>
      <w:r w:rsidRPr="00041AD5" w:rsidR="00ED2B79">
        <w:rPr>
          <w:rFonts w:ascii="Palatino Linotype" w:hAnsi="Palatino Linotype" w:eastAsia="Times New Roman" w:cs="Times New Roman"/>
          <w:color w:val="000000" w:themeColor="text1"/>
        </w:rPr>
        <w:t>A</w:t>
      </w:r>
      <w:r w:rsidRPr="00041AD5" w:rsidR="0085611B">
        <w:rPr>
          <w:rFonts w:ascii="Palatino Linotype" w:hAnsi="Palatino Linotype" w:eastAsia="Times New Roman" w:cs="Times New Roman"/>
          <w:color w:val="000000" w:themeColor="text1"/>
        </w:rPr>
        <w:t>dvice Letter</w:t>
      </w:r>
      <w:r w:rsidRPr="00041AD5" w:rsidR="00ED2B79">
        <w:rPr>
          <w:rFonts w:ascii="Palatino Linotype" w:hAnsi="Palatino Linotype" w:eastAsia="Times New Roman" w:cs="Times New Roman"/>
          <w:color w:val="000000" w:themeColor="text1"/>
        </w:rPr>
        <w:t xml:space="preserve"> </w:t>
      </w:r>
      <w:r w:rsidRPr="00041AD5" w:rsidR="002005C1">
        <w:rPr>
          <w:rFonts w:ascii="Palatino Linotype" w:hAnsi="Palatino Linotype" w:eastAsia="Times New Roman" w:cs="Times New Roman"/>
          <w:color w:val="000000" w:themeColor="text1"/>
        </w:rPr>
        <w:t>12</w:t>
      </w:r>
      <w:r w:rsidRPr="00041AD5" w:rsidR="00ED2B79">
        <w:rPr>
          <w:rFonts w:ascii="Palatino Linotype" w:hAnsi="Palatino Linotype" w:eastAsia="Times New Roman" w:cs="Times New Roman"/>
          <w:color w:val="000000" w:themeColor="text1"/>
        </w:rPr>
        <w:t xml:space="preserve">-G) </w:t>
      </w:r>
      <w:r w:rsidRPr="00041AD5" w:rsidR="003D6579">
        <w:rPr>
          <w:rFonts w:ascii="Palatino Linotype" w:hAnsi="Palatino Linotype" w:eastAsia="Times New Roman" w:cs="Times New Roman"/>
          <w:color w:val="000000" w:themeColor="text1"/>
        </w:rPr>
        <w:t xml:space="preserve">and 2025-2026 </w:t>
      </w:r>
      <w:r w:rsidRPr="00041AD5" w:rsidR="00ED2B79">
        <w:rPr>
          <w:rFonts w:ascii="Palatino Linotype" w:hAnsi="Palatino Linotype" w:eastAsia="Times New Roman" w:cs="Times New Roman"/>
          <w:color w:val="000000" w:themeColor="text1"/>
        </w:rPr>
        <w:t>(</w:t>
      </w:r>
      <w:r w:rsidRPr="00041AD5" w:rsidR="0085611B">
        <w:rPr>
          <w:rFonts w:ascii="Palatino Linotype" w:hAnsi="Palatino Linotype" w:eastAsia="Times New Roman" w:cs="Times New Roman"/>
          <w:color w:val="000000" w:themeColor="text1"/>
        </w:rPr>
        <w:t>CEC Advice Letter</w:t>
      </w:r>
      <w:r w:rsidRPr="00041AD5" w:rsidR="00ED2B79">
        <w:rPr>
          <w:rFonts w:ascii="Palatino Linotype" w:hAnsi="Palatino Linotype" w:eastAsia="Times New Roman" w:cs="Times New Roman"/>
          <w:color w:val="000000" w:themeColor="text1"/>
        </w:rPr>
        <w:t xml:space="preserve"> </w:t>
      </w:r>
      <w:r w:rsidRPr="00041AD5" w:rsidR="002005C1">
        <w:rPr>
          <w:rFonts w:ascii="Palatino Linotype" w:hAnsi="Palatino Linotype" w:eastAsia="Times New Roman" w:cs="Times New Roman"/>
          <w:color w:val="000000" w:themeColor="text1"/>
        </w:rPr>
        <w:t>10</w:t>
      </w:r>
      <w:r w:rsidRPr="00041AD5" w:rsidR="00ED2B79">
        <w:rPr>
          <w:rFonts w:ascii="Palatino Linotype" w:hAnsi="Palatino Linotype" w:eastAsia="Times New Roman" w:cs="Times New Roman"/>
          <w:color w:val="000000" w:themeColor="text1"/>
        </w:rPr>
        <w:t>-G</w:t>
      </w:r>
      <w:r w:rsidRPr="00041AD5" w:rsidR="002005C1">
        <w:rPr>
          <w:rFonts w:ascii="Palatino Linotype" w:hAnsi="Palatino Linotype" w:eastAsia="Times New Roman" w:cs="Times New Roman"/>
          <w:color w:val="000000" w:themeColor="text1"/>
        </w:rPr>
        <w:t>-A</w:t>
      </w:r>
      <w:r w:rsidRPr="00041AD5" w:rsidR="00ED2B79">
        <w:rPr>
          <w:rFonts w:ascii="Palatino Linotype" w:hAnsi="Palatino Linotype" w:eastAsia="Times New Roman" w:cs="Times New Roman"/>
          <w:color w:val="000000" w:themeColor="text1"/>
        </w:rPr>
        <w:t xml:space="preserve">) </w:t>
      </w:r>
      <w:r w:rsidRPr="00041AD5" w:rsidR="004B6D53">
        <w:rPr>
          <w:rFonts w:ascii="Palatino Linotype" w:hAnsi="Palatino Linotype" w:eastAsia="Times New Roman" w:cs="Times New Roman"/>
          <w:color w:val="000000" w:themeColor="text1"/>
        </w:rPr>
        <w:t>with</w:t>
      </w:r>
      <w:r w:rsidRPr="00041AD5" w:rsidR="003D6579">
        <w:rPr>
          <w:rFonts w:ascii="Palatino Linotype" w:hAnsi="Palatino Linotype" w:eastAsia="Times New Roman" w:cs="Times New Roman"/>
          <w:color w:val="000000" w:themeColor="text1"/>
        </w:rPr>
        <w:t xml:space="preserve"> </w:t>
      </w:r>
      <w:r w:rsidRPr="00041AD5" w:rsidR="004B6D53">
        <w:rPr>
          <w:rFonts w:ascii="Palatino Linotype" w:hAnsi="Palatino Linotype" w:eastAsia="Times New Roman" w:cs="Times New Roman"/>
          <w:color w:val="000000" w:themeColor="text1"/>
        </w:rPr>
        <w:t>budget</w:t>
      </w:r>
      <w:r w:rsidRPr="00041AD5" w:rsidR="003D6579">
        <w:rPr>
          <w:rFonts w:ascii="Palatino Linotype" w:hAnsi="Palatino Linotype" w:eastAsia="Times New Roman" w:cs="Times New Roman"/>
          <w:color w:val="000000" w:themeColor="text1"/>
        </w:rPr>
        <w:t>s</w:t>
      </w:r>
      <w:r w:rsidRPr="00041AD5" w:rsidR="004B6D53">
        <w:rPr>
          <w:rFonts w:ascii="Palatino Linotype" w:hAnsi="Palatino Linotype" w:eastAsia="Times New Roman" w:cs="Times New Roman"/>
          <w:color w:val="000000" w:themeColor="text1"/>
        </w:rPr>
        <w:t xml:space="preserve"> of </w:t>
      </w:r>
      <w:r w:rsidRPr="00041AD5" w:rsidR="00EE2202">
        <w:rPr>
          <w:rFonts w:ascii="Palatino Linotype" w:hAnsi="Palatino Linotype" w:eastAsia="Times New Roman" w:cs="Times New Roman"/>
          <w:color w:val="000000" w:themeColor="text1"/>
        </w:rPr>
        <w:t>$24</w:t>
      </w:r>
      <w:r w:rsidR="00DA668C">
        <w:rPr>
          <w:rFonts w:ascii="Palatino Linotype" w:hAnsi="Palatino Linotype" w:eastAsia="Times New Roman" w:cs="Times New Roman"/>
          <w:color w:val="000000" w:themeColor="text1"/>
        </w:rPr>
        <w:t>M</w:t>
      </w:r>
      <w:r w:rsidRPr="00041AD5" w:rsidR="003D6579">
        <w:rPr>
          <w:rFonts w:ascii="Palatino Linotype" w:hAnsi="Palatino Linotype" w:eastAsia="Times New Roman" w:cs="Times New Roman"/>
          <w:color w:val="000000" w:themeColor="text1"/>
        </w:rPr>
        <w:t xml:space="preserve"> </w:t>
      </w:r>
      <w:r w:rsidRPr="00041AD5" w:rsidR="00990FB7">
        <w:rPr>
          <w:rFonts w:ascii="Palatino Linotype" w:hAnsi="Palatino Linotype" w:eastAsia="Times New Roman" w:cs="Times New Roman"/>
          <w:color w:val="000000" w:themeColor="text1"/>
        </w:rPr>
        <w:t xml:space="preserve">requested in </w:t>
      </w:r>
      <w:r w:rsidRPr="00041AD5" w:rsidR="003D6579">
        <w:rPr>
          <w:rFonts w:ascii="Palatino Linotype" w:hAnsi="Palatino Linotype" w:eastAsia="Times New Roman" w:cs="Times New Roman"/>
          <w:color w:val="000000" w:themeColor="text1"/>
        </w:rPr>
        <w:t>each, totaling $</w:t>
      </w:r>
      <w:r w:rsidRPr="00041AD5" w:rsidR="002F1723">
        <w:rPr>
          <w:rFonts w:ascii="Palatino Linotype" w:hAnsi="Palatino Linotype" w:eastAsia="Times New Roman" w:cs="Times New Roman"/>
          <w:color w:val="000000" w:themeColor="text1"/>
        </w:rPr>
        <w:t>48</w:t>
      </w:r>
      <w:r w:rsidR="00DA668C">
        <w:rPr>
          <w:rFonts w:ascii="Palatino Linotype" w:hAnsi="Palatino Linotype" w:eastAsia="Times New Roman" w:cs="Times New Roman"/>
          <w:color w:val="000000" w:themeColor="text1"/>
        </w:rPr>
        <w:t>M</w:t>
      </w:r>
      <w:r w:rsidRPr="00041AD5" w:rsidR="003D6579">
        <w:rPr>
          <w:rFonts w:ascii="Palatino Linotype" w:hAnsi="Palatino Linotype" w:eastAsia="Times New Roman" w:cs="Times New Roman"/>
          <w:color w:val="000000" w:themeColor="text1"/>
        </w:rPr>
        <w:t>,</w:t>
      </w:r>
      <w:r w:rsidRPr="00041AD5" w:rsidR="00617C53">
        <w:rPr>
          <w:rFonts w:ascii="Palatino Linotype" w:hAnsi="Palatino Linotype" w:eastAsia="Times New Roman" w:cs="Times New Roman"/>
          <w:color w:val="000000" w:themeColor="text1"/>
        </w:rPr>
        <w:t xml:space="preserve"> </w:t>
      </w:r>
      <w:r w:rsidRPr="00041AD5" w:rsidR="00B4078F">
        <w:rPr>
          <w:rFonts w:ascii="Palatino Linotype" w:hAnsi="Palatino Linotype" w:eastAsia="Times New Roman" w:cs="Times New Roman"/>
          <w:color w:val="000000" w:themeColor="text1"/>
        </w:rPr>
        <w:t>pursuant to</w:t>
      </w:r>
      <w:r w:rsidRPr="00041AD5" w:rsidR="00F11156">
        <w:rPr>
          <w:rFonts w:ascii="Palatino Linotype" w:hAnsi="Palatino Linotype" w:eastAsia="Times New Roman" w:cs="Times New Roman"/>
          <w:color w:val="000000" w:themeColor="text1"/>
        </w:rPr>
        <w:t xml:space="preserve"> </w:t>
      </w:r>
      <w:r w:rsidRPr="00041AD5" w:rsidR="00617C53">
        <w:rPr>
          <w:rFonts w:ascii="Palatino Linotype" w:hAnsi="Palatino Linotype" w:eastAsia="Times New Roman" w:cs="Times New Roman"/>
          <w:color w:val="000000" w:themeColor="text1"/>
        </w:rPr>
        <w:t>Decision (D.)</w:t>
      </w:r>
      <w:r w:rsidRPr="00041AD5" w:rsidR="003F64F2">
        <w:rPr>
          <w:rFonts w:ascii="Palatino Linotype" w:hAnsi="Palatino Linotype" w:eastAsia="Times New Roman" w:cs="Times New Roman"/>
          <w:color w:val="000000" w:themeColor="text1"/>
        </w:rPr>
        <w:t xml:space="preserve"> </w:t>
      </w:r>
      <w:r w:rsidRPr="00041AD5" w:rsidR="00617C53">
        <w:rPr>
          <w:rFonts w:ascii="Palatino Linotype" w:hAnsi="Palatino Linotype" w:eastAsia="Times New Roman" w:cs="Times New Roman"/>
          <w:color w:val="000000" w:themeColor="text1"/>
        </w:rPr>
        <w:t>04-08-010</w:t>
      </w:r>
      <w:r w:rsidRPr="00041AD5" w:rsidR="00B4078F">
        <w:rPr>
          <w:rFonts w:ascii="Palatino Linotype" w:hAnsi="Palatino Linotype" w:eastAsia="Times New Roman" w:cs="Times New Roman"/>
          <w:color w:val="000000" w:themeColor="text1"/>
        </w:rPr>
        <w:t>.</w:t>
      </w:r>
      <w:r w:rsidR="008F51D1">
        <w:rPr>
          <w:rFonts w:ascii="Palatino Linotype" w:hAnsi="Palatino Linotype" w:eastAsia="Times New Roman" w:cs="Times New Roman"/>
          <w:color w:val="000000" w:themeColor="text1"/>
        </w:rPr>
        <w:t xml:space="preserve"> </w:t>
      </w:r>
      <w:r w:rsidRPr="008F51D1" w:rsidR="002C06B0">
        <w:rPr>
          <w:rFonts w:ascii="Palatino Linotype" w:hAnsi="Palatino Linotype" w:eastAsia="Times New Roman" w:cs="Times New Roman"/>
          <w:color w:val="000000" w:themeColor="text1"/>
        </w:rPr>
        <w:t>D</w:t>
      </w:r>
      <w:r w:rsidRPr="008F51D1" w:rsidR="001158D6">
        <w:rPr>
          <w:rFonts w:ascii="Palatino Linotype" w:hAnsi="Palatino Linotype" w:eastAsia="Times New Roman" w:cs="Times New Roman"/>
          <w:color w:val="000000" w:themeColor="text1"/>
        </w:rPr>
        <w:t xml:space="preserve">irects </w:t>
      </w:r>
      <w:r w:rsidRPr="008F51D1" w:rsidR="0022227A">
        <w:rPr>
          <w:rFonts w:ascii="Palatino Linotype" w:hAnsi="Palatino Linotype" w:eastAsia="Times New Roman" w:cs="Times New Roman"/>
          <w:color w:val="000000" w:themeColor="text1"/>
        </w:rPr>
        <w:t xml:space="preserve">the </w:t>
      </w:r>
      <w:r w:rsidRPr="008F51D1" w:rsidR="001158D6">
        <w:rPr>
          <w:rFonts w:ascii="Palatino Linotype" w:hAnsi="Palatino Linotype" w:eastAsia="Times New Roman" w:cs="Times New Roman"/>
          <w:color w:val="000000" w:themeColor="text1"/>
        </w:rPr>
        <w:t>CEC to submit revised Gas RD&amp;D Plans via Tier 2 Advice Letter</w:t>
      </w:r>
      <w:r w:rsidR="004B742B">
        <w:rPr>
          <w:rFonts w:ascii="Palatino Linotype" w:hAnsi="Palatino Linotype" w:eastAsia="Times New Roman" w:cs="Times New Roman"/>
          <w:color w:val="000000" w:themeColor="text1"/>
        </w:rPr>
        <w:t>s</w:t>
      </w:r>
      <w:r w:rsidRPr="008F51D1" w:rsidR="001158D6">
        <w:rPr>
          <w:rFonts w:ascii="Palatino Linotype" w:hAnsi="Palatino Linotype" w:eastAsia="Times New Roman" w:cs="Times New Roman"/>
          <w:color w:val="000000" w:themeColor="text1"/>
        </w:rPr>
        <w:t xml:space="preserve"> with modifications described in this Resolution.</w:t>
      </w:r>
      <w:r w:rsidRPr="008F51D1" w:rsidR="001D6760">
        <w:rPr>
          <w:rFonts w:ascii="Palatino Linotype" w:hAnsi="Palatino Linotype" w:eastAsia="Times New Roman" w:cs="Times New Roman"/>
          <w:color w:val="000000" w:themeColor="text1"/>
        </w:rPr>
        <w:t xml:space="preserve"> </w:t>
      </w:r>
    </w:p>
    <w:p w:rsidRPr="00041AD5" w:rsidR="00785517" w:rsidP="00C81649" w:rsidRDefault="00785517" w14:paraId="5C630314" w14:textId="23999376">
      <w:pPr>
        <w:numPr>
          <w:ilvl w:val="0"/>
          <w:numId w:val="2"/>
        </w:numPr>
        <w:spacing w:after="0" w:line="276" w:lineRule="auto"/>
        <w:ind w:right="720"/>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Modifies the CEC’s Gas RD&amp;D</w:t>
      </w:r>
      <w:r w:rsidRPr="00041AD5" w:rsidR="00630554">
        <w:rPr>
          <w:rFonts w:ascii="Palatino Linotype" w:hAnsi="Palatino Linotype" w:eastAsia="Times New Roman" w:cs="Times New Roman"/>
          <w:color w:val="000000" w:themeColor="text1"/>
          <w:kern w:val="0"/>
          <w14:ligatures w14:val="none"/>
        </w:rPr>
        <w:t xml:space="preserve"> </w:t>
      </w:r>
      <w:r w:rsidRPr="00041AD5">
        <w:rPr>
          <w:rFonts w:ascii="Palatino Linotype" w:hAnsi="Palatino Linotype" w:eastAsia="Times New Roman" w:cs="Times New Roman"/>
          <w:color w:val="000000" w:themeColor="text1"/>
          <w:kern w:val="0"/>
          <w14:ligatures w14:val="none"/>
        </w:rPr>
        <w:t>compliance filing requirements</w:t>
      </w:r>
      <w:r w:rsidR="009441A3">
        <w:rPr>
          <w:rFonts w:ascii="Palatino Linotype" w:hAnsi="Palatino Linotype" w:eastAsia="Times New Roman" w:cs="Times New Roman"/>
          <w:color w:val="000000" w:themeColor="text1"/>
          <w:kern w:val="0"/>
          <w14:ligatures w14:val="none"/>
        </w:rPr>
        <w:t>.</w:t>
      </w:r>
    </w:p>
    <w:p w:rsidRPr="00C5347D" w:rsidR="00A76F4A" w:rsidP="003147DD" w:rsidRDefault="00A76F4A" w14:paraId="711BBA7A" w14:textId="77777777">
      <w:pPr>
        <w:spacing w:after="0" w:line="276" w:lineRule="auto"/>
        <w:rPr>
          <w:rFonts w:ascii="Palatino" w:hAnsi="Palatino" w:eastAsia="Palatino Linotype" w:cs="Times New Roman"/>
          <w:kern w:val="0"/>
          <w:sz w:val="10"/>
          <w:szCs w:val="10"/>
          <w14:ligatures w14:val="none"/>
        </w:rPr>
      </w:pPr>
    </w:p>
    <w:p w:rsidRPr="00F92380" w:rsidR="00A76F4A" w:rsidP="003147DD" w:rsidRDefault="00A76F4A" w14:paraId="4FCDC265"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F92380">
        <w:rPr>
          <w:rFonts w:ascii="Palatino Linotype" w:hAnsi="Palatino Linotype" w:eastAsia="Palatino Linotype" w:cs="Times New Roman"/>
          <w:color w:val="000000" w:themeColor="text1"/>
          <w:kern w:val="0"/>
          <w14:ligatures w14:val="none"/>
        </w:rPr>
        <w:t>SAFETY CONSIDERATIONS:</w:t>
      </w:r>
    </w:p>
    <w:p w:rsidRPr="00F92380" w:rsidR="00A76F4A" w:rsidP="00A556C9" w:rsidRDefault="008F11A4" w14:paraId="5760DCB3" w14:textId="771CE4E3">
      <w:pPr>
        <w:numPr>
          <w:ilvl w:val="0"/>
          <w:numId w:val="1"/>
        </w:numPr>
        <w:spacing w:after="0" w:line="276" w:lineRule="auto"/>
        <w:ind w:right="720"/>
        <w:rPr>
          <w:rFonts w:ascii="Palatino Linotype" w:hAnsi="Palatino Linotype" w:eastAsia="Times New Roman" w:cs="Times New Roman"/>
          <w:color w:val="000000" w:themeColor="text1"/>
          <w:kern w:val="0"/>
          <w14:ligatures w14:val="none"/>
        </w:rPr>
      </w:pPr>
      <w:r w:rsidRPr="00F92380">
        <w:rPr>
          <w:rFonts w:ascii="Palatino Linotype" w:hAnsi="Palatino Linotype" w:eastAsia="Times New Roman" w:cs="Times New Roman"/>
          <w:color w:val="000000" w:themeColor="text1"/>
          <w:kern w:val="0"/>
          <w14:ligatures w14:val="none"/>
        </w:rPr>
        <w:t>This Resolu</w:t>
      </w:r>
      <w:r w:rsidRPr="00041AD5">
        <w:rPr>
          <w:rFonts w:ascii="Palatino Linotype" w:hAnsi="Palatino Linotype" w:eastAsia="Times New Roman" w:cs="Times New Roman"/>
          <w:color w:val="000000" w:themeColor="text1"/>
          <w:kern w:val="0"/>
          <w14:ligatures w14:val="none"/>
        </w:rPr>
        <w:t>tion approves</w:t>
      </w:r>
      <w:r w:rsidR="00C230F3">
        <w:rPr>
          <w:rFonts w:ascii="Palatino Linotype" w:hAnsi="Palatino Linotype" w:eastAsia="Times New Roman" w:cs="Times New Roman"/>
          <w:color w:val="000000" w:themeColor="text1"/>
          <w:kern w:val="0"/>
          <w14:ligatures w14:val="none"/>
        </w:rPr>
        <w:t xml:space="preserve"> safety-related</w:t>
      </w:r>
      <w:r w:rsidRPr="00041AD5">
        <w:rPr>
          <w:rFonts w:ascii="Palatino Linotype" w:hAnsi="Palatino Linotype" w:eastAsia="Times New Roman" w:cs="Times New Roman"/>
          <w:color w:val="000000" w:themeColor="text1"/>
          <w:kern w:val="0"/>
          <w14:ligatures w14:val="none"/>
        </w:rPr>
        <w:t xml:space="preserve"> </w:t>
      </w:r>
      <w:r w:rsidRPr="00041AD5" w:rsidR="003C5718">
        <w:rPr>
          <w:rFonts w:ascii="Palatino Linotype" w:hAnsi="Palatino Linotype" w:eastAsia="Times New Roman" w:cs="Times New Roman"/>
          <w:color w:val="000000" w:themeColor="text1"/>
          <w:kern w:val="0"/>
          <w14:ligatures w14:val="none"/>
        </w:rPr>
        <w:t>RD&amp;D funding.</w:t>
      </w:r>
    </w:p>
    <w:p w:rsidRPr="00C5347D" w:rsidR="00A76F4A" w:rsidP="003147DD" w:rsidRDefault="00A76F4A" w14:paraId="64A6B8D1" w14:textId="77777777">
      <w:pPr>
        <w:spacing w:after="0" w:line="276" w:lineRule="auto"/>
        <w:ind w:left="720" w:right="720"/>
        <w:rPr>
          <w:rFonts w:ascii="Palatino Linotype" w:hAnsi="Palatino Linotype" w:eastAsia="Palatino Linotype" w:cs="Times New Roman"/>
          <w:kern w:val="0"/>
          <w:sz w:val="16"/>
          <w:szCs w:val="16"/>
          <w14:ligatures w14:val="none"/>
        </w:rPr>
      </w:pPr>
    </w:p>
    <w:p w:rsidRPr="00354E4F" w:rsidR="00A76F4A" w:rsidP="003147DD" w:rsidRDefault="00A76F4A" w14:paraId="6B0D0B8E"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354E4F">
        <w:rPr>
          <w:rFonts w:ascii="Palatino Linotype" w:hAnsi="Palatino Linotype" w:eastAsia="Palatino Linotype" w:cs="Times New Roman"/>
          <w:color w:val="000000" w:themeColor="text1"/>
          <w:kern w:val="0"/>
          <w14:ligatures w14:val="none"/>
        </w:rPr>
        <w:t xml:space="preserve">ESTIMATED COST:  </w:t>
      </w:r>
    </w:p>
    <w:p w:rsidRPr="00D86735" w:rsidR="00A76F4A" w:rsidP="00D86735" w:rsidRDefault="00210D1B" w14:paraId="0ADF6FD2" w14:textId="389FD883">
      <w:pPr>
        <w:numPr>
          <w:ilvl w:val="0"/>
          <w:numId w:val="1"/>
        </w:numPr>
        <w:spacing w:after="0" w:line="276" w:lineRule="auto"/>
        <w:ind w:right="720"/>
        <w:rPr>
          <w:rFonts w:ascii="Palatino Linotype" w:hAnsi="Palatino Linotype" w:eastAsia="Times New Roman" w:cs="Times New Roman"/>
          <w:color w:val="000000" w:themeColor="text1"/>
          <w:kern w:val="0"/>
          <w14:ligatures w14:val="none"/>
        </w:rPr>
      </w:pPr>
      <w:r w:rsidRPr="00354E4F">
        <w:rPr>
          <w:rFonts w:ascii="Palatino Linotype" w:hAnsi="Palatino Linotype" w:eastAsia="Times New Roman" w:cs="Times New Roman"/>
          <w:color w:val="000000" w:themeColor="text1"/>
          <w:kern w:val="0"/>
          <w14:ligatures w14:val="none"/>
        </w:rPr>
        <w:t>Approves</w:t>
      </w:r>
      <w:r w:rsidRPr="16FC2C50" w:rsidR="3683125F">
        <w:rPr>
          <w:rFonts w:ascii="Palatino Linotype" w:hAnsi="Palatino Linotype" w:eastAsia="Times New Roman" w:cs="Times New Roman"/>
          <w:color w:val="000000" w:themeColor="text1"/>
        </w:rPr>
        <w:t xml:space="preserve"> CEC</w:t>
      </w:r>
      <w:r w:rsidRPr="16FC2C50">
        <w:rPr>
          <w:rFonts w:ascii="Palatino Linotype" w:hAnsi="Palatino Linotype" w:eastAsia="Times New Roman" w:cs="Times New Roman"/>
          <w:color w:val="000000" w:themeColor="text1"/>
        </w:rPr>
        <w:t xml:space="preserve"> </w:t>
      </w:r>
      <w:r w:rsidRPr="007033DF" w:rsidR="3E8C39F7">
        <w:rPr>
          <w:rFonts w:ascii="Palatino Linotype" w:hAnsi="Palatino Linotype" w:eastAsia="Times New Roman" w:cs="Times New Roman"/>
          <w:color w:val="000000" w:themeColor="text1"/>
        </w:rPr>
        <w:t>utilization of</w:t>
      </w:r>
      <w:r w:rsidRPr="007033DF">
        <w:rPr>
          <w:rFonts w:ascii="Palatino Linotype" w:hAnsi="Palatino Linotype" w:eastAsia="Times New Roman" w:cs="Times New Roman"/>
          <w:color w:val="000000" w:themeColor="text1"/>
        </w:rPr>
        <w:t xml:space="preserve"> </w:t>
      </w:r>
      <w:r w:rsidRPr="007033DF" w:rsidR="003D6579">
        <w:rPr>
          <w:rFonts w:ascii="Palatino Linotype" w:hAnsi="Palatino Linotype" w:eastAsia="Times New Roman" w:cs="Times New Roman"/>
          <w:color w:val="000000" w:themeColor="text1"/>
        </w:rPr>
        <w:t>$</w:t>
      </w:r>
      <w:r w:rsidRPr="007033DF" w:rsidR="006167E2">
        <w:rPr>
          <w:rFonts w:ascii="Palatino Linotype" w:hAnsi="Palatino Linotype" w:eastAsia="Times New Roman" w:cs="Times New Roman"/>
          <w:color w:val="000000" w:themeColor="text1"/>
        </w:rPr>
        <w:t>21.6M</w:t>
      </w:r>
      <w:r w:rsidR="00D86735">
        <w:rPr>
          <w:rFonts w:ascii="Palatino Linotype" w:hAnsi="Palatino Linotype" w:eastAsia="Times New Roman" w:cs="Times New Roman"/>
          <w:color w:val="000000" w:themeColor="text1"/>
        </w:rPr>
        <w:t xml:space="preserve"> and </w:t>
      </w:r>
      <w:r w:rsidRPr="007033DF" w:rsidR="00D86735">
        <w:rPr>
          <w:rFonts w:ascii="Palatino Linotype" w:hAnsi="Palatino Linotype" w:eastAsia="Times New Roman" w:cs="Times New Roman"/>
          <w:color w:val="000000" w:themeColor="text1"/>
        </w:rPr>
        <w:t>$9,476,691</w:t>
      </w:r>
      <w:r w:rsidRPr="007033DF" w:rsidR="003D6579">
        <w:rPr>
          <w:rFonts w:ascii="Palatino Linotype" w:hAnsi="Palatino Linotype" w:eastAsia="Times New Roman" w:cs="Times New Roman"/>
          <w:color w:val="000000" w:themeColor="text1"/>
        </w:rPr>
        <w:t xml:space="preserve"> </w:t>
      </w:r>
      <w:r w:rsidRPr="007033DF">
        <w:rPr>
          <w:rFonts w:ascii="Palatino Linotype" w:hAnsi="Palatino Linotype" w:eastAsia="Times New Roman" w:cs="Times New Roman"/>
          <w:color w:val="000000" w:themeColor="text1"/>
        </w:rPr>
        <w:t xml:space="preserve">in </w:t>
      </w:r>
      <w:r w:rsidRPr="007033DF" w:rsidR="006167E2">
        <w:rPr>
          <w:rFonts w:ascii="Palatino Linotype" w:hAnsi="Palatino Linotype" w:eastAsia="Times New Roman" w:cs="Times New Roman"/>
          <w:color w:val="000000" w:themeColor="text1"/>
        </w:rPr>
        <w:t xml:space="preserve">previously </w:t>
      </w:r>
      <w:r w:rsidRPr="007033DF" w:rsidR="00CE71FF">
        <w:rPr>
          <w:rFonts w:ascii="Palatino Linotype" w:hAnsi="Palatino Linotype" w:eastAsia="Times New Roman" w:cs="Times New Roman"/>
          <w:color w:val="000000" w:themeColor="text1"/>
        </w:rPr>
        <w:t>collected</w:t>
      </w:r>
      <w:r w:rsidRPr="007033DF" w:rsidR="006167E2">
        <w:rPr>
          <w:rFonts w:ascii="Palatino Linotype" w:hAnsi="Palatino Linotype" w:eastAsia="Times New Roman" w:cs="Times New Roman"/>
          <w:color w:val="000000" w:themeColor="text1"/>
        </w:rPr>
        <w:t xml:space="preserve"> </w:t>
      </w:r>
      <w:r w:rsidRPr="007033DF" w:rsidR="00485248">
        <w:rPr>
          <w:rFonts w:ascii="Palatino Linotype" w:hAnsi="Palatino Linotype" w:eastAsia="Times New Roman" w:cs="Times New Roman"/>
          <w:color w:val="000000" w:themeColor="text1"/>
        </w:rPr>
        <w:t xml:space="preserve">unspent </w:t>
      </w:r>
      <w:r w:rsidRPr="007033DF">
        <w:rPr>
          <w:rFonts w:ascii="Palatino Linotype" w:hAnsi="Palatino Linotype" w:eastAsia="Times New Roman" w:cs="Times New Roman"/>
          <w:color w:val="000000" w:themeColor="text1"/>
        </w:rPr>
        <w:t xml:space="preserve">ratepayer </w:t>
      </w:r>
      <w:r w:rsidRPr="007033DF" w:rsidR="006167E2">
        <w:rPr>
          <w:rFonts w:ascii="Palatino Linotype" w:hAnsi="Palatino Linotype" w:eastAsia="Times New Roman" w:cs="Times New Roman"/>
          <w:color w:val="000000" w:themeColor="text1"/>
        </w:rPr>
        <w:t xml:space="preserve">funds </w:t>
      </w:r>
      <w:r w:rsidR="009441A3">
        <w:rPr>
          <w:rFonts w:ascii="Palatino Linotype" w:hAnsi="Palatino Linotype" w:eastAsia="Times New Roman" w:cs="Times New Roman"/>
          <w:color w:val="000000" w:themeColor="text1"/>
        </w:rPr>
        <w:t>with</w:t>
      </w:r>
      <w:r w:rsidRPr="007033DF" w:rsidR="00524EAB">
        <w:rPr>
          <w:rFonts w:ascii="Palatino Linotype" w:hAnsi="Palatino Linotype" w:eastAsia="Times New Roman" w:cs="Times New Roman"/>
          <w:color w:val="000000" w:themeColor="text1"/>
        </w:rPr>
        <w:t xml:space="preserve"> associated Program Administration funds </w:t>
      </w:r>
      <w:r w:rsidRPr="007033DF" w:rsidR="00604C73">
        <w:rPr>
          <w:rFonts w:ascii="Palatino Linotype" w:hAnsi="Palatino Linotype" w:eastAsia="Times New Roman" w:cs="Times New Roman"/>
          <w:color w:val="000000" w:themeColor="text1"/>
        </w:rPr>
        <w:t>to be used first</w:t>
      </w:r>
      <w:r w:rsidRPr="007033DF" w:rsidR="00485248">
        <w:rPr>
          <w:rFonts w:ascii="Palatino Linotype" w:hAnsi="Palatino Linotype" w:eastAsia="Times New Roman" w:cs="Times New Roman"/>
          <w:color w:val="000000" w:themeColor="text1"/>
        </w:rPr>
        <w:t xml:space="preserve"> </w:t>
      </w:r>
      <w:r w:rsidRPr="007033DF" w:rsidR="002B3892">
        <w:rPr>
          <w:rFonts w:ascii="Palatino Linotype" w:hAnsi="Palatino Linotype" w:eastAsia="Times New Roman" w:cs="Times New Roman"/>
          <w:color w:val="000000" w:themeColor="text1"/>
        </w:rPr>
        <w:t xml:space="preserve">for </w:t>
      </w:r>
      <w:r w:rsidR="00BF004D">
        <w:rPr>
          <w:rFonts w:ascii="Palatino Linotype" w:hAnsi="Palatino Linotype" w:eastAsia="Times New Roman" w:cs="Times New Roman"/>
          <w:color w:val="000000" w:themeColor="text1"/>
        </w:rPr>
        <w:t>each Plan</w:t>
      </w:r>
      <w:r w:rsidR="005A5A07">
        <w:rPr>
          <w:rFonts w:ascii="Palatino Linotype" w:hAnsi="Palatino Linotype" w:eastAsia="Times New Roman" w:cs="Times New Roman"/>
          <w:color w:val="000000" w:themeColor="text1"/>
        </w:rPr>
        <w:t>,</w:t>
      </w:r>
      <w:r w:rsidR="00F51BB4">
        <w:rPr>
          <w:rFonts w:ascii="Palatino Linotype" w:hAnsi="Palatino Linotype" w:eastAsia="Times New Roman" w:cs="Times New Roman"/>
          <w:color w:val="000000" w:themeColor="text1"/>
        </w:rPr>
        <w:t xml:space="preserve"> </w:t>
      </w:r>
      <w:r w:rsidR="00D86735">
        <w:rPr>
          <w:rFonts w:ascii="Palatino Linotype" w:hAnsi="Palatino Linotype" w:eastAsia="Times New Roman" w:cs="Times New Roman"/>
          <w:color w:val="000000" w:themeColor="text1"/>
        </w:rPr>
        <w:t xml:space="preserve">respectively. </w:t>
      </w:r>
      <w:r w:rsidRPr="00D86735" w:rsidR="00CA336C">
        <w:rPr>
          <w:rFonts w:ascii="Palatino Linotype" w:hAnsi="Palatino Linotype" w:eastAsia="Times New Roman" w:cs="Times New Roman"/>
          <w:color w:val="000000" w:themeColor="text1"/>
        </w:rPr>
        <w:t xml:space="preserve">Total </w:t>
      </w:r>
      <w:r w:rsidRPr="00D86735" w:rsidR="00CE71FF">
        <w:rPr>
          <w:rFonts w:ascii="Palatino Linotype" w:hAnsi="Palatino Linotype" w:eastAsia="Times New Roman" w:cs="Times New Roman"/>
          <w:color w:val="000000" w:themeColor="text1"/>
        </w:rPr>
        <w:t xml:space="preserve">additional </w:t>
      </w:r>
      <w:r w:rsidRPr="00D86735" w:rsidR="00CA336C">
        <w:rPr>
          <w:rFonts w:ascii="Palatino Linotype" w:hAnsi="Palatino Linotype" w:eastAsia="Times New Roman" w:cs="Times New Roman"/>
          <w:color w:val="000000" w:themeColor="text1"/>
        </w:rPr>
        <w:t xml:space="preserve">Ratepayer Cost is </w:t>
      </w:r>
      <w:r w:rsidRPr="00D86735" w:rsidR="00593564">
        <w:rPr>
          <w:rFonts w:ascii="Palatino Linotype" w:hAnsi="Palatino Linotype" w:eastAsia="Times New Roman" w:cs="Times New Roman"/>
          <w:color w:val="000000" w:themeColor="text1"/>
        </w:rPr>
        <w:t>$</w:t>
      </w:r>
      <w:r w:rsidRPr="00D86735" w:rsidR="000022C1">
        <w:rPr>
          <w:rFonts w:ascii="Palatino Linotype" w:hAnsi="Palatino Linotype" w:eastAsia="Times New Roman" w:cs="Times New Roman"/>
          <w:color w:val="000000" w:themeColor="text1"/>
        </w:rPr>
        <w:t>13,470,429</w:t>
      </w:r>
      <w:r w:rsidR="00D86735">
        <w:rPr>
          <w:rFonts w:ascii="Palatino Linotype" w:hAnsi="Palatino Linotype" w:eastAsia="Times New Roman" w:cs="Times New Roman"/>
          <w:color w:val="000000" w:themeColor="text1"/>
        </w:rPr>
        <w:t>.</w:t>
      </w:r>
    </w:p>
    <w:p w:rsidRPr="00C5347D" w:rsidR="00A76F4A" w:rsidP="003147DD" w:rsidRDefault="00A76F4A" w14:paraId="38D179E5" w14:textId="77777777">
      <w:pPr>
        <w:spacing w:after="0" w:line="276" w:lineRule="auto"/>
        <w:ind w:left="720" w:right="720"/>
        <w:rPr>
          <w:rFonts w:ascii="Palatino Linotype" w:hAnsi="Palatino Linotype" w:eastAsia="Palatino Linotype" w:cs="Times New Roman"/>
          <w:kern w:val="0"/>
          <w:sz w:val="10"/>
          <w:szCs w:val="10"/>
          <w14:ligatures w14:val="none"/>
        </w:rPr>
      </w:pPr>
    </w:p>
    <w:p w:rsidRPr="001942D0" w:rsidR="00A76F4A" w:rsidP="00C21ECC" w:rsidRDefault="00A76F4A" w14:paraId="573E1F48" w14:textId="76297CD7">
      <w:pPr>
        <w:spacing w:after="0" w:line="276" w:lineRule="auto"/>
        <w:ind w:left="720" w:right="54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By </w:t>
      </w:r>
      <w:r w:rsidR="00A529A5">
        <w:rPr>
          <w:rFonts w:ascii="Palatino Linotype" w:hAnsi="Palatino Linotype" w:eastAsia="Palatino Linotype" w:cs="Times New Roman"/>
          <w:kern w:val="0"/>
          <w14:ligatures w14:val="none"/>
        </w:rPr>
        <w:t xml:space="preserve">CEC </w:t>
      </w:r>
      <w:r w:rsidRPr="001942D0">
        <w:rPr>
          <w:rFonts w:ascii="Palatino Linotype" w:hAnsi="Palatino Linotype" w:eastAsia="Palatino Linotype" w:cs="Times New Roman"/>
          <w:kern w:val="0"/>
          <w14:ligatures w14:val="none"/>
        </w:rPr>
        <w:t xml:space="preserve">Advice Letter </w:t>
      </w:r>
      <w:r w:rsidR="004E78BD">
        <w:rPr>
          <w:rFonts w:ascii="Palatino Linotype" w:hAnsi="Palatino Linotype" w:eastAsia="Palatino Linotype" w:cs="Times New Roman"/>
          <w:kern w:val="0"/>
          <w14:ligatures w14:val="none"/>
        </w:rPr>
        <w:t>12</w:t>
      </w:r>
      <w:r w:rsidR="00DD7332">
        <w:rPr>
          <w:rFonts w:ascii="Palatino Linotype" w:hAnsi="Palatino Linotype" w:eastAsia="Palatino Linotype" w:cs="Times New Roman"/>
          <w:kern w:val="0"/>
          <w14:ligatures w14:val="none"/>
        </w:rPr>
        <w:t>-G</w:t>
      </w:r>
      <w:r w:rsidR="00E876E5">
        <w:rPr>
          <w:rFonts w:ascii="Palatino Linotype" w:hAnsi="Palatino Linotype" w:eastAsia="Palatino Linotype" w:cs="Times New Roman"/>
          <w:kern w:val="0"/>
          <w14:ligatures w14:val="none"/>
        </w:rPr>
        <w:t xml:space="preserve"> for </w:t>
      </w:r>
      <w:r w:rsidR="004B742B">
        <w:rPr>
          <w:rFonts w:ascii="Palatino Linotype" w:hAnsi="Palatino Linotype" w:eastAsia="Palatino Linotype" w:cs="Times New Roman"/>
          <w:kern w:val="0"/>
          <w14:ligatures w14:val="none"/>
        </w:rPr>
        <w:t>FY</w:t>
      </w:r>
      <w:r w:rsidR="00E876E5">
        <w:rPr>
          <w:rFonts w:ascii="Palatino Linotype" w:hAnsi="Palatino Linotype" w:eastAsia="Palatino Linotype" w:cs="Times New Roman"/>
          <w:kern w:val="0"/>
          <w14:ligatures w14:val="none"/>
        </w:rPr>
        <w:t xml:space="preserve"> 2024-2025</w:t>
      </w:r>
      <w:r w:rsidRPr="001942D0">
        <w:rPr>
          <w:rFonts w:ascii="Palatino Linotype" w:hAnsi="Palatino Linotype" w:eastAsia="Palatino Linotype" w:cs="Times New Roman"/>
          <w:kern w:val="0"/>
          <w14:ligatures w14:val="none"/>
        </w:rPr>
        <w:t xml:space="preserve">, </w:t>
      </w:r>
      <w:r w:rsidR="00271CAA">
        <w:rPr>
          <w:rFonts w:ascii="Palatino Linotype" w:hAnsi="Palatino Linotype" w:eastAsia="Palatino Linotype" w:cs="Times New Roman"/>
          <w:kern w:val="0"/>
          <w14:ligatures w14:val="none"/>
        </w:rPr>
        <w:t>F</w:t>
      </w:r>
      <w:r w:rsidRPr="001942D0">
        <w:rPr>
          <w:rFonts w:ascii="Palatino Linotype" w:hAnsi="Palatino Linotype" w:eastAsia="Palatino Linotype" w:cs="Times New Roman"/>
          <w:kern w:val="0"/>
          <w14:ligatures w14:val="none"/>
        </w:rPr>
        <w:t xml:space="preserve">iled on </w:t>
      </w:r>
      <w:r w:rsidR="00754435">
        <w:rPr>
          <w:rFonts w:ascii="Palatino Linotype" w:hAnsi="Palatino Linotype" w:eastAsia="Palatino Linotype" w:cs="Times New Roman"/>
          <w:kern w:val="0"/>
          <w14:ligatures w14:val="none"/>
        </w:rPr>
        <w:t>August 8</w:t>
      </w:r>
      <w:r w:rsidR="004B742B">
        <w:rPr>
          <w:rFonts w:ascii="Palatino Linotype" w:hAnsi="Palatino Linotype" w:eastAsia="Palatino Linotype" w:cs="Times New Roman"/>
          <w:kern w:val="0"/>
          <w14:ligatures w14:val="none"/>
        </w:rPr>
        <w:t>, 2025</w:t>
      </w:r>
      <w:r w:rsidR="00E876E5">
        <w:rPr>
          <w:rFonts w:ascii="Palatino Linotype" w:hAnsi="Palatino Linotype" w:eastAsia="Palatino Linotype" w:cs="Times New Roman"/>
          <w:kern w:val="0"/>
          <w14:ligatures w14:val="none"/>
        </w:rPr>
        <w:t>,</w:t>
      </w:r>
      <w:r w:rsidR="00C5347D">
        <w:rPr>
          <w:rFonts w:ascii="Palatino Linotype" w:hAnsi="Palatino Linotype" w:eastAsia="Palatino Linotype" w:cs="Times New Roman"/>
          <w:kern w:val="0"/>
          <w14:ligatures w14:val="none"/>
        </w:rPr>
        <w:t xml:space="preserve"> and </w:t>
      </w:r>
      <w:r w:rsidR="00A529A5">
        <w:rPr>
          <w:rFonts w:ascii="Palatino Linotype" w:hAnsi="Palatino Linotype" w:eastAsia="Palatino Linotype" w:cs="Times New Roman"/>
          <w:kern w:val="0"/>
          <w14:ligatures w14:val="none"/>
        </w:rPr>
        <w:t>CEC</w:t>
      </w:r>
      <w:r w:rsidR="002F1723">
        <w:rPr>
          <w:rFonts w:ascii="Palatino Linotype" w:hAnsi="Palatino Linotype" w:eastAsia="Palatino Linotype" w:cs="Times New Roman"/>
          <w:kern w:val="0"/>
          <w14:ligatures w14:val="none"/>
        </w:rPr>
        <w:t xml:space="preserve"> </w:t>
      </w:r>
      <w:r w:rsidRPr="001942D0" w:rsidR="002F1723">
        <w:rPr>
          <w:rFonts w:ascii="Palatino Linotype" w:hAnsi="Palatino Linotype" w:eastAsia="Palatino Linotype" w:cs="Times New Roman"/>
          <w:kern w:val="0"/>
          <w14:ligatures w14:val="none"/>
        </w:rPr>
        <w:t xml:space="preserve">Advice Letter </w:t>
      </w:r>
      <w:r w:rsidR="004E78BD">
        <w:rPr>
          <w:rFonts w:ascii="Palatino Linotype" w:hAnsi="Palatino Linotype" w:eastAsia="Palatino Linotype" w:cs="Times New Roman"/>
          <w:kern w:val="0"/>
          <w14:ligatures w14:val="none"/>
        </w:rPr>
        <w:t>10</w:t>
      </w:r>
      <w:r w:rsidR="002F1723">
        <w:rPr>
          <w:rFonts w:ascii="Palatino Linotype" w:hAnsi="Palatino Linotype" w:eastAsia="Palatino Linotype" w:cs="Times New Roman"/>
          <w:kern w:val="0"/>
          <w14:ligatures w14:val="none"/>
        </w:rPr>
        <w:t>-G</w:t>
      </w:r>
      <w:r w:rsidR="00C21ECC">
        <w:rPr>
          <w:rFonts w:ascii="Palatino Linotype" w:hAnsi="Palatino Linotype" w:eastAsia="Palatino Linotype" w:cs="Times New Roman"/>
          <w:kern w:val="0"/>
          <w14:ligatures w14:val="none"/>
        </w:rPr>
        <w:t>;</w:t>
      </w:r>
      <w:r w:rsidR="00C5347D">
        <w:rPr>
          <w:rFonts w:ascii="Palatino Linotype" w:hAnsi="Palatino Linotype" w:eastAsia="Palatino Linotype" w:cs="Times New Roman"/>
          <w:kern w:val="0"/>
          <w14:ligatures w14:val="none"/>
        </w:rPr>
        <w:t xml:space="preserve"> 10-G-A </w:t>
      </w:r>
      <w:r w:rsidR="00E876E5">
        <w:rPr>
          <w:rFonts w:ascii="Palatino Linotype" w:hAnsi="Palatino Linotype" w:eastAsia="Palatino Linotype" w:cs="Times New Roman"/>
          <w:kern w:val="0"/>
          <w14:ligatures w14:val="none"/>
        </w:rPr>
        <w:t xml:space="preserve">for </w:t>
      </w:r>
      <w:r w:rsidR="004B742B">
        <w:rPr>
          <w:rFonts w:ascii="Palatino Linotype" w:hAnsi="Palatino Linotype" w:eastAsia="Palatino Linotype" w:cs="Times New Roman"/>
          <w:kern w:val="0"/>
          <w14:ligatures w14:val="none"/>
        </w:rPr>
        <w:t>FY</w:t>
      </w:r>
      <w:r w:rsidR="00E876E5">
        <w:rPr>
          <w:rFonts w:ascii="Palatino Linotype" w:hAnsi="Palatino Linotype" w:eastAsia="Palatino Linotype" w:cs="Times New Roman"/>
          <w:kern w:val="0"/>
          <w14:ligatures w14:val="none"/>
        </w:rPr>
        <w:t xml:space="preserve"> 2025-2026</w:t>
      </w:r>
      <w:r w:rsidRPr="001942D0" w:rsidR="002F1723">
        <w:rPr>
          <w:rFonts w:ascii="Palatino Linotype" w:hAnsi="Palatino Linotype" w:eastAsia="Palatino Linotype" w:cs="Times New Roman"/>
          <w:kern w:val="0"/>
          <w14:ligatures w14:val="none"/>
        </w:rPr>
        <w:t>, Filed on</w:t>
      </w:r>
      <w:r w:rsidR="00C5347D">
        <w:rPr>
          <w:rFonts w:ascii="Palatino Linotype" w:hAnsi="Palatino Linotype" w:eastAsia="Palatino Linotype" w:cs="Times New Roman"/>
          <w:kern w:val="0"/>
          <w14:ligatures w14:val="none"/>
        </w:rPr>
        <w:t xml:space="preserve"> March 28, 2025</w:t>
      </w:r>
      <w:r w:rsidR="00C21ECC">
        <w:rPr>
          <w:rFonts w:ascii="Palatino Linotype" w:hAnsi="Palatino Linotype" w:eastAsia="Palatino Linotype" w:cs="Times New Roman"/>
          <w:kern w:val="0"/>
          <w14:ligatures w14:val="none"/>
        </w:rPr>
        <w:t xml:space="preserve">; </w:t>
      </w:r>
      <w:r w:rsidR="00271CAA">
        <w:rPr>
          <w:rFonts w:ascii="Palatino Linotype" w:hAnsi="Palatino Linotype" w:eastAsia="Palatino Linotype" w:cs="Times New Roman"/>
          <w:kern w:val="0"/>
          <w14:ligatures w14:val="none"/>
        </w:rPr>
        <w:t xml:space="preserve">October 3, </w:t>
      </w:r>
      <w:r w:rsidR="0011768B">
        <w:rPr>
          <w:rFonts w:ascii="Palatino Linotype" w:hAnsi="Palatino Linotype" w:eastAsia="Palatino Linotype" w:cs="Times New Roman"/>
          <w:kern w:val="0"/>
          <w14:ligatures w14:val="none"/>
        </w:rPr>
        <w:t>2025</w:t>
      </w:r>
      <w:r w:rsidR="00C5347D">
        <w:rPr>
          <w:rFonts w:ascii="Palatino Linotype" w:hAnsi="Palatino Linotype" w:eastAsia="Palatino Linotype" w:cs="Times New Roman"/>
          <w:kern w:val="0"/>
          <w14:ligatures w14:val="none"/>
        </w:rPr>
        <w:t xml:space="preserve"> </w:t>
      </w:r>
    </w:p>
    <w:p w:rsidRPr="001942D0" w:rsidR="00A76F4A" w:rsidP="003147DD" w:rsidRDefault="00A76F4A" w14:paraId="0542E5E0" w14:textId="77777777">
      <w:pPr>
        <w:spacing w:after="0" w:line="276"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3147DD" w:rsidRDefault="00A76F4A" w14:paraId="3906F9BB" w14:textId="77777777">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Pr="00041AD5" w:rsidR="00540DB4" w:rsidP="00537703" w:rsidRDefault="007D1510" w14:paraId="45447310" w14:textId="2DCAE670">
      <w:p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This Resolution approves in part </w:t>
      </w:r>
      <w:r w:rsidRPr="00041AD5" w:rsidR="006E68DE">
        <w:rPr>
          <w:rFonts w:ascii="Palatino Linotype" w:hAnsi="Palatino Linotype" w:eastAsia="Palatino Linotype" w:cs="Times New Roman"/>
          <w:color w:val="000000" w:themeColor="text1"/>
          <w:kern w:val="0"/>
          <w14:ligatures w14:val="none"/>
        </w:rPr>
        <w:t xml:space="preserve">and modifies in part </w:t>
      </w:r>
      <w:r w:rsidRPr="00041AD5">
        <w:rPr>
          <w:rFonts w:ascii="Palatino Linotype" w:hAnsi="Palatino Linotype" w:eastAsia="Palatino Linotype" w:cs="Times New Roman"/>
          <w:color w:val="000000" w:themeColor="text1"/>
          <w:kern w:val="0"/>
          <w14:ligatures w14:val="none"/>
        </w:rPr>
        <w:t xml:space="preserve">the California Energy Commission’s (CEC’s) </w:t>
      </w:r>
      <w:r w:rsidRPr="00041AD5" w:rsidR="005E272E">
        <w:rPr>
          <w:rFonts w:ascii="Palatino Linotype" w:hAnsi="Palatino Linotype" w:eastAsia="Palatino Linotype" w:cs="Times New Roman"/>
          <w:color w:val="000000" w:themeColor="text1"/>
          <w:kern w:val="0"/>
          <w14:ligatures w14:val="none"/>
        </w:rPr>
        <w:t>Advi</w:t>
      </w:r>
      <w:r w:rsidRPr="00041AD5" w:rsidR="001A4830">
        <w:rPr>
          <w:rFonts w:ascii="Palatino Linotype" w:hAnsi="Palatino Linotype" w:eastAsia="Palatino Linotype" w:cs="Times New Roman"/>
          <w:color w:val="000000" w:themeColor="text1"/>
          <w:kern w:val="0"/>
          <w14:ligatures w14:val="none"/>
        </w:rPr>
        <w:t>c</w:t>
      </w:r>
      <w:r w:rsidRPr="00041AD5" w:rsidR="005E272E">
        <w:rPr>
          <w:rFonts w:ascii="Palatino Linotype" w:hAnsi="Palatino Linotype" w:eastAsia="Palatino Linotype" w:cs="Times New Roman"/>
          <w:color w:val="000000" w:themeColor="text1"/>
          <w:kern w:val="0"/>
          <w14:ligatures w14:val="none"/>
        </w:rPr>
        <w:t xml:space="preserve">e Letters </w:t>
      </w:r>
      <w:r w:rsidRPr="00041AD5" w:rsidR="00B94045">
        <w:rPr>
          <w:rFonts w:ascii="Palatino Linotype" w:hAnsi="Palatino Linotype" w:eastAsia="Palatino Linotype" w:cs="Times New Roman"/>
          <w:color w:val="000000" w:themeColor="text1"/>
          <w:kern w:val="0"/>
          <w14:ligatures w14:val="none"/>
        </w:rPr>
        <w:t xml:space="preserve">(ALs) </w:t>
      </w:r>
      <w:r w:rsidRPr="00041AD5" w:rsidR="005E272E">
        <w:rPr>
          <w:rFonts w:ascii="Palatino Linotype" w:hAnsi="Palatino Linotype" w:eastAsia="Palatino Linotype" w:cs="Times New Roman"/>
          <w:color w:val="000000" w:themeColor="text1"/>
          <w:kern w:val="0"/>
          <w14:ligatures w14:val="none"/>
        </w:rPr>
        <w:t xml:space="preserve">12-G and 10-G-A </w:t>
      </w:r>
      <w:r w:rsidRPr="00041AD5" w:rsidR="00A923A4">
        <w:rPr>
          <w:rFonts w:ascii="Palatino Linotype" w:hAnsi="Palatino Linotype" w:eastAsia="Palatino Linotype" w:cs="Times New Roman"/>
          <w:color w:val="000000" w:themeColor="text1"/>
          <w:kern w:val="0"/>
          <w14:ligatures w14:val="none"/>
        </w:rPr>
        <w:t xml:space="preserve">filed on August 8, 2025, and October 3, 2025, respectively. These ALs contain </w:t>
      </w:r>
      <w:r w:rsidRPr="00041AD5" w:rsidR="00425E49">
        <w:rPr>
          <w:rFonts w:ascii="Palatino Linotype" w:hAnsi="Palatino Linotype" w:eastAsia="Palatino Linotype" w:cs="Times New Roman"/>
          <w:color w:val="000000" w:themeColor="text1"/>
          <w:kern w:val="0"/>
          <w14:ligatures w14:val="none"/>
        </w:rPr>
        <w:t xml:space="preserve">proposed </w:t>
      </w:r>
      <w:r w:rsidRPr="00041AD5">
        <w:rPr>
          <w:rFonts w:ascii="Palatino Linotype" w:hAnsi="Palatino Linotype" w:eastAsia="Palatino Linotype" w:cs="Times New Roman"/>
          <w:color w:val="000000" w:themeColor="text1"/>
          <w:kern w:val="0"/>
          <w14:ligatures w14:val="none"/>
        </w:rPr>
        <w:t>Gas Research, Development, and Demonstration</w:t>
      </w:r>
      <w:r w:rsidRPr="00041AD5" w:rsidR="0029010A">
        <w:rPr>
          <w:rFonts w:ascii="Palatino Linotype" w:hAnsi="Palatino Linotype" w:eastAsia="Palatino Linotype" w:cs="Times New Roman"/>
          <w:color w:val="000000" w:themeColor="text1"/>
          <w:kern w:val="0"/>
          <w14:ligatures w14:val="none"/>
        </w:rPr>
        <w:t xml:space="preserve"> (RD&amp;D)</w:t>
      </w:r>
      <w:r w:rsidRPr="00041AD5">
        <w:rPr>
          <w:rFonts w:ascii="Palatino Linotype" w:hAnsi="Palatino Linotype" w:eastAsia="Palatino Linotype" w:cs="Times New Roman"/>
          <w:color w:val="000000" w:themeColor="text1"/>
          <w:kern w:val="0"/>
          <w14:ligatures w14:val="none"/>
        </w:rPr>
        <w:t xml:space="preserve"> </w:t>
      </w:r>
      <w:r w:rsidRPr="00041AD5" w:rsidR="0029010A">
        <w:rPr>
          <w:rFonts w:ascii="Palatino Linotype" w:hAnsi="Palatino Linotype" w:eastAsia="Palatino Linotype" w:cs="Times New Roman"/>
          <w:color w:val="000000" w:themeColor="text1"/>
          <w:kern w:val="0"/>
          <w14:ligatures w14:val="none"/>
        </w:rPr>
        <w:t xml:space="preserve">Investment Plans </w:t>
      </w:r>
      <w:r w:rsidRPr="00041AD5" w:rsidR="00425E49">
        <w:rPr>
          <w:rFonts w:ascii="Palatino Linotype" w:hAnsi="Palatino Linotype" w:eastAsia="Palatino Linotype" w:cs="Times New Roman"/>
          <w:color w:val="000000" w:themeColor="text1"/>
          <w:kern w:val="0"/>
          <w14:ligatures w14:val="none"/>
        </w:rPr>
        <w:t xml:space="preserve">(Gas RD&amp;D Plans or Plans) </w:t>
      </w:r>
      <w:r w:rsidRPr="00041AD5" w:rsidR="0029010A">
        <w:rPr>
          <w:rFonts w:ascii="Palatino Linotype" w:hAnsi="Palatino Linotype" w:eastAsia="Palatino Linotype" w:cs="Times New Roman"/>
          <w:color w:val="000000" w:themeColor="text1"/>
          <w:kern w:val="0"/>
          <w14:ligatures w14:val="none"/>
        </w:rPr>
        <w:t xml:space="preserve">for </w:t>
      </w:r>
      <w:r w:rsidRPr="00041AD5">
        <w:rPr>
          <w:rFonts w:ascii="Palatino Linotype" w:hAnsi="Palatino Linotype" w:eastAsia="Palatino Linotype" w:cs="Times New Roman"/>
          <w:color w:val="000000" w:themeColor="text1"/>
          <w:kern w:val="0"/>
          <w14:ligatures w14:val="none"/>
        </w:rPr>
        <w:t>Fiscal Year</w:t>
      </w:r>
      <w:r w:rsidRPr="00041AD5" w:rsidR="0029010A">
        <w:rPr>
          <w:rFonts w:ascii="Palatino Linotype" w:hAnsi="Palatino Linotype" w:eastAsia="Palatino Linotype" w:cs="Times New Roman"/>
          <w:color w:val="000000" w:themeColor="text1"/>
          <w:kern w:val="0"/>
          <w14:ligatures w14:val="none"/>
        </w:rPr>
        <w:t>s</w:t>
      </w:r>
      <w:r w:rsidRPr="00041AD5">
        <w:rPr>
          <w:rFonts w:ascii="Palatino Linotype" w:hAnsi="Palatino Linotype" w:eastAsia="Palatino Linotype" w:cs="Times New Roman"/>
          <w:color w:val="000000" w:themeColor="text1"/>
          <w:kern w:val="0"/>
          <w14:ligatures w14:val="none"/>
        </w:rPr>
        <w:t xml:space="preserve"> </w:t>
      </w:r>
      <w:r w:rsidRPr="00041AD5" w:rsidR="004569E6">
        <w:rPr>
          <w:rFonts w:ascii="Palatino Linotype" w:hAnsi="Palatino Linotype" w:eastAsia="Palatino Linotype" w:cs="Times New Roman"/>
          <w:color w:val="000000" w:themeColor="text1"/>
          <w:kern w:val="0"/>
          <w14:ligatures w14:val="none"/>
        </w:rPr>
        <w:t xml:space="preserve">(FYs) </w:t>
      </w:r>
      <w:r w:rsidRPr="00041AD5">
        <w:rPr>
          <w:rFonts w:ascii="Palatino Linotype" w:hAnsi="Palatino Linotype" w:eastAsia="Palatino Linotype" w:cs="Times New Roman"/>
          <w:color w:val="000000" w:themeColor="text1"/>
          <w:kern w:val="0"/>
          <w14:ligatures w14:val="none"/>
        </w:rPr>
        <w:t>202</w:t>
      </w:r>
      <w:r w:rsidRPr="00041AD5" w:rsidR="0029010A">
        <w:rPr>
          <w:rFonts w:ascii="Palatino Linotype" w:hAnsi="Palatino Linotype" w:eastAsia="Palatino Linotype" w:cs="Times New Roman"/>
          <w:color w:val="000000" w:themeColor="text1"/>
          <w:kern w:val="0"/>
          <w14:ligatures w14:val="none"/>
        </w:rPr>
        <w:t>4</w:t>
      </w:r>
      <w:r w:rsidRPr="00041AD5">
        <w:rPr>
          <w:rFonts w:ascii="Palatino Linotype" w:hAnsi="Palatino Linotype" w:eastAsia="Palatino Linotype" w:cs="Times New Roman"/>
          <w:color w:val="000000" w:themeColor="text1"/>
          <w:kern w:val="0"/>
          <w14:ligatures w14:val="none"/>
        </w:rPr>
        <w:t>-202</w:t>
      </w:r>
      <w:r w:rsidRPr="00041AD5" w:rsidR="0029010A">
        <w:rPr>
          <w:rFonts w:ascii="Palatino Linotype" w:hAnsi="Palatino Linotype" w:eastAsia="Palatino Linotype" w:cs="Times New Roman"/>
          <w:color w:val="000000" w:themeColor="text1"/>
          <w:kern w:val="0"/>
          <w14:ligatures w14:val="none"/>
        </w:rPr>
        <w:t>5</w:t>
      </w:r>
      <w:r w:rsidRPr="00041AD5">
        <w:rPr>
          <w:rFonts w:ascii="Palatino Linotype" w:hAnsi="Palatino Linotype" w:eastAsia="Palatino Linotype" w:cs="Times New Roman"/>
          <w:color w:val="000000" w:themeColor="text1"/>
          <w:kern w:val="0"/>
          <w14:ligatures w14:val="none"/>
        </w:rPr>
        <w:t xml:space="preserve"> (the 202</w:t>
      </w:r>
      <w:r w:rsidRPr="00041AD5" w:rsidR="006A57AD">
        <w:rPr>
          <w:rFonts w:ascii="Palatino Linotype" w:hAnsi="Palatino Linotype" w:eastAsia="Palatino Linotype" w:cs="Times New Roman"/>
          <w:color w:val="000000" w:themeColor="text1"/>
          <w:kern w:val="0"/>
          <w14:ligatures w14:val="none"/>
        </w:rPr>
        <w:t>4</w:t>
      </w:r>
      <w:r w:rsidRPr="00041AD5">
        <w:rPr>
          <w:rFonts w:ascii="Palatino Linotype" w:hAnsi="Palatino Linotype" w:eastAsia="Palatino Linotype" w:cs="Times New Roman"/>
          <w:color w:val="000000" w:themeColor="text1"/>
          <w:kern w:val="0"/>
          <w14:ligatures w14:val="none"/>
        </w:rPr>
        <w:t xml:space="preserve"> Plan)</w:t>
      </w:r>
      <w:r w:rsidRPr="00041AD5" w:rsidR="006A57AD">
        <w:rPr>
          <w:rFonts w:ascii="Palatino Linotype" w:hAnsi="Palatino Linotype" w:eastAsia="Palatino Linotype" w:cs="Times New Roman"/>
          <w:color w:val="000000" w:themeColor="text1"/>
          <w:kern w:val="0"/>
          <w14:ligatures w14:val="none"/>
        </w:rPr>
        <w:t xml:space="preserve"> and 2025-2026 (the 2025 Plan)</w:t>
      </w:r>
      <w:r w:rsidRPr="00041AD5">
        <w:rPr>
          <w:rFonts w:ascii="Palatino Linotype" w:hAnsi="Palatino Linotype" w:eastAsia="Palatino Linotype" w:cs="Times New Roman"/>
          <w:color w:val="000000" w:themeColor="text1"/>
          <w:kern w:val="0"/>
          <w14:ligatures w14:val="none"/>
        </w:rPr>
        <w:t>. Th</w:t>
      </w:r>
      <w:r w:rsidRPr="00041AD5" w:rsidR="00381925">
        <w:rPr>
          <w:rFonts w:ascii="Palatino Linotype" w:hAnsi="Palatino Linotype" w:eastAsia="Palatino Linotype" w:cs="Times New Roman"/>
          <w:color w:val="000000" w:themeColor="text1"/>
          <w:kern w:val="0"/>
          <w14:ligatures w14:val="none"/>
        </w:rPr>
        <w:t>is Resolution approves</w:t>
      </w:r>
      <w:r w:rsidRPr="00041AD5" w:rsidR="00D874CE">
        <w:rPr>
          <w:rFonts w:ascii="Palatino Linotype" w:hAnsi="Palatino Linotype" w:eastAsia="Palatino Linotype" w:cs="Times New Roman"/>
          <w:color w:val="000000" w:themeColor="text1"/>
          <w:kern w:val="0"/>
          <w14:ligatures w14:val="none"/>
        </w:rPr>
        <w:t>,</w:t>
      </w:r>
      <w:r w:rsidRPr="00041AD5" w:rsidR="00B506F1">
        <w:rPr>
          <w:rFonts w:ascii="Palatino Linotype" w:hAnsi="Palatino Linotype" w:eastAsia="Palatino Linotype" w:cs="Times New Roman"/>
          <w:color w:val="000000" w:themeColor="text1"/>
          <w:kern w:val="0"/>
          <w14:ligatures w14:val="none"/>
        </w:rPr>
        <w:t xml:space="preserve"> in part,</w:t>
      </w:r>
      <w:r w:rsidRPr="00041AD5">
        <w:rPr>
          <w:rFonts w:ascii="Palatino Linotype" w:hAnsi="Palatino Linotype" w:eastAsia="Palatino Linotype" w:cs="Times New Roman"/>
          <w:color w:val="000000" w:themeColor="text1"/>
          <w:kern w:val="0"/>
          <w14:ligatures w14:val="none"/>
        </w:rPr>
        <w:t xml:space="preserve"> the CEC’s</w:t>
      </w:r>
      <w:r w:rsidRPr="00041AD5" w:rsidR="003866D9">
        <w:rPr>
          <w:rFonts w:ascii="Palatino Linotype" w:hAnsi="Palatino Linotype" w:eastAsia="Palatino Linotype" w:cs="Times New Roman"/>
          <w:color w:val="000000" w:themeColor="text1"/>
          <w:kern w:val="0"/>
          <w14:ligatures w14:val="none"/>
        </w:rPr>
        <w:t xml:space="preserve"> Gas RD&amp;D Plans with</w:t>
      </w:r>
      <w:r w:rsidRPr="00041AD5">
        <w:rPr>
          <w:rFonts w:ascii="Palatino Linotype" w:hAnsi="Palatino Linotype" w:eastAsia="Palatino Linotype" w:cs="Times New Roman"/>
          <w:color w:val="000000" w:themeColor="text1"/>
          <w:kern w:val="0"/>
          <w14:ligatures w14:val="none"/>
        </w:rPr>
        <w:t xml:space="preserve"> proposed </w:t>
      </w:r>
      <w:r w:rsidRPr="00041AD5" w:rsidR="003866D9">
        <w:rPr>
          <w:rFonts w:ascii="Palatino Linotype" w:hAnsi="Palatino Linotype" w:eastAsia="Palatino Linotype" w:cs="Times New Roman"/>
          <w:color w:val="000000" w:themeColor="text1"/>
          <w:kern w:val="0"/>
          <w14:ligatures w14:val="none"/>
        </w:rPr>
        <w:t xml:space="preserve">budgets of </w:t>
      </w:r>
      <w:r w:rsidRPr="00041AD5">
        <w:rPr>
          <w:rFonts w:ascii="Palatino Linotype" w:hAnsi="Palatino Linotype" w:eastAsia="Palatino Linotype" w:cs="Times New Roman"/>
          <w:color w:val="000000" w:themeColor="text1"/>
          <w:kern w:val="0"/>
          <w14:ligatures w14:val="none"/>
        </w:rPr>
        <w:t>$24</w:t>
      </w:r>
      <w:r w:rsidRPr="00041AD5" w:rsidR="008F11A4">
        <w:rPr>
          <w:rFonts w:ascii="Palatino Linotype" w:hAnsi="Palatino Linotype" w:eastAsia="Palatino Linotype" w:cs="Times New Roman"/>
          <w:color w:val="000000" w:themeColor="text1"/>
          <w:kern w:val="0"/>
          <w14:ligatures w14:val="none"/>
        </w:rPr>
        <w:t xml:space="preserve"> million</w:t>
      </w:r>
      <w:r w:rsidRPr="00041AD5">
        <w:rPr>
          <w:rFonts w:ascii="Palatino Linotype" w:hAnsi="Palatino Linotype" w:eastAsia="Palatino Linotype" w:cs="Times New Roman"/>
          <w:color w:val="000000" w:themeColor="text1"/>
          <w:kern w:val="0"/>
          <w14:ligatures w14:val="none"/>
        </w:rPr>
        <w:t xml:space="preserve"> </w:t>
      </w:r>
      <w:r w:rsidRPr="00041AD5" w:rsidR="008A0F1B">
        <w:rPr>
          <w:rFonts w:ascii="Palatino Linotype" w:hAnsi="Palatino Linotype" w:eastAsia="Palatino Linotype" w:cs="Times New Roman"/>
          <w:color w:val="000000" w:themeColor="text1"/>
          <w:kern w:val="0"/>
          <w14:ligatures w14:val="none"/>
        </w:rPr>
        <w:t xml:space="preserve">each </w:t>
      </w:r>
      <w:r w:rsidRPr="00041AD5" w:rsidR="001E30F3">
        <w:rPr>
          <w:rFonts w:ascii="Palatino Linotype" w:hAnsi="Palatino Linotype" w:eastAsia="Palatino Linotype" w:cs="Times New Roman"/>
          <w:color w:val="000000" w:themeColor="text1"/>
          <w:kern w:val="0"/>
          <w14:ligatures w14:val="none"/>
        </w:rPr>
        <w:t xml:space="preserve">for </w:t>
      </w:r>
      <w:r w:rsidRPr="00041AD5" w:rsidR="0084442B">
        <w:rPr>
          <w:rFonts w:ascii="Palatino Linotype" w:hAnsi="Palatino Linotype" w:eastAsia="Palatino Linotype" w:cs="Times New Roman"/>
          <w:color w:val="000000" w:themeColor="text1"/>
          <w:kern w:val="0"/>
          <w14:ligatures w14:val="none"/>
        </w:rPr>
        <w:t>its</w:t>
      </w:r>
      <w:r w:rsidRPr="00041AD5" w:rsidR="003866D9">
        <w:rPr>
          <w:rFonts w:ascii="Palatino Linotype" w:hAnsi="Palatino Linotype" w:eastAsia="Palatino Linotype" w:cs="Times New Roman"/>
          <w:color w:val="000000" w:themeColor="text1"/>
          <w:kern w:val="0"/>
          <w14:ligatures w14:val="none"/>
        </w:rPr>
        <w:t xml:space="preserve"> 2024</w:t>
      </w:r>
      <w:r w:rsidRPr="00041AD5" w:rsidR="0084442B">
        <w:rPr>
          <w:rFonts w:ascii="Palatino Linotype" w:hAnsi="Palatino Linotype" w:eastAsia="Palatino Linotype" w:cs="Times New Roman"/>
          <w:color w:val="000000" w:themeColor="text1"/>
          <w:kern w:val="0"/>
          <w14:ligatures w14:val="none"/>
        </w:rPr>
        <w:t xml:space="preserve"> </w:t>
      </w:r>
      <w:r w:rsidRPr="00041AD5" w:rsidR="00C46FB6">
        <w:rPr>
          <w:rFonts w:ascii="Palatino Linotype" w:hAnsi="Palatino Linotype" w:eastAsia="Palatino Linotype" w:cs="Times New Roman"/>
          <w:color w:val="000000" w:themeColor="text1"/>
          <w:kern w:val="0"/>
          <w14:ligatures w14:val="none"/>
        </w:rPr>
        <w:t xml:space="preserve">Plan </w:t>
      </w:r>
      <w:r w:rsidRPr="00041AD5" w:rsidR="0084442B">
        <w:rPr>
          <w:rFonts w:ascii="Palatino Linotype" w:hAnsi="Palatino Linotype" w:eastAsia="Palatino Linotype" w:cs="Times New Roman"/>
          <w:color w:val="000000" w:themeColor="text1"/>
          <w:kern w:val="0"/>
          <w14:ligatures w14:val="none"/>
        </w:rPr>
        <w:t xml:space="preserve">and </w:t>
      </w:r>
      <w:r w:rsidRPr="00041AD5" w:rsidR="00C46FB6">
        <w:rPr>
          <w:rFonts w:ascii="Palatino Linotype" w:hAnsi="Palatino Linotype" w:eastAsia="Palatino Linotype" w:cs="Times New Roman"/>
          <w:color w:val="000000" w:themeColor="text1"/>
          <w:kern w:val="0"/>
          <w14:ligatures w14:val="none"/>
        </w:rPr>
        <w:t xml:space="preserve">its </w:t>
      </w:r>
      <w:r w:rsidRPr="00041AD5" w:rsidR="003866D9">
        <w:rPr>
          <w:rFonts w:ascii="Palatino Linotype" w:hAnsi="Palatino Linotype" w:eastAsia="Palatino Linotype" w:cs="Times New Roman"/>
          <w:color w:val="000000" w:themeColor="text1"/>
          <w:kern w:val="0"/>
          <w14:ligatures w14:val="none"/>
        </w:rPr>
        <w:t xml:space="preserve">2025 </w:t>
      </w:r>
      <w:r w:rsidRPr="00041AD5" w:rsidR="002D69B1">
        <w:rPr>
          <w:rFonts w:ascii="Palatino Linotype" w:hAnsi="Palatino Linotype" w:eastAsia="Palatino Linotype" w:cs="Times New Roman"/>
          <w:color w:val="000000" w:themeColor="text1"/>
          <w:kern w:val="0"/>
          <w14:ligatures w14:val="none"/>
        </w:rPr>
        <w:t>Plan</w:t>
      </w:r>
      <w:r w:rsidRPr="00041AD5" w:rsidR="001E30F3">
        <w:rPr>
          <w:rFonts w:ascii="Palatino Linotype" w:hAnsi="Palatino Linotype" w:eastAsia="Palatino Linotype" w:cs="Times New Roman"/>
          <w:color w:val="000000" w:themeColor="text1"/>
          <w:kern w:val="0"/>
          <w14:ligatures w14:val="none"/>
        </w:rPr>
        <w:t>, totaling $48</w:t>
      </w:r>
      <w:r w:rsidRPr="00041AD5" w:rsidR="008F11A4">
        <w:rPr>
          <w:rFonts w:ascii="Palatino Linotype" w:hAnsi="Palatino Linotype" w:eastAsia="Palatino Linotype" w:cs="Times New Roman"/>
          <w:color w:val="000000" w:themeColor="text1"/>
          <w:kern w:val="0"/>
          <w14:ligatures w14:val="none"/>
        </w:rPr>
        <w:t xml:space="preserve"> million.</w:t>
      </w:r>
      <w:r w:rsidRPr="00041AD5">
        <w:rPr>
          <w:rFonts w:ascii="Palatino Linotype" w:hAnsi="Palatino Linotype" w:eastAsia="Palatino Linotype" w:cs="Times New Roman"/>
          <w:color w:val="000000" w:themeColor="text1"/>
          <w:kern w:val="0"/>
          <w14:ligatures w14:val="none"/>
        </w:rPr>
        <w:t xml:space="preserve"> </w:t>
      </w:r>
      <w:r w:rsidRPr="00041AD5" w:rsidR="009A485A">
        <w:rPr>
          <w:rFonts w:ascii="Palatino Linotype" w:hAnsi="Palatino Linotype" w:eastAsia="Times New Roman" w:cs="Times New Roman"/>
          <w:color w:val="000000" w:themeColor="text1"/>
          <w:kern w:val="0"/>
          <w14:ligatures w14:val="none"/>
        </w:rPr>
        <w:t xml:space="preserve">This Resolution reviews the CEC’s 2024 and 2025 Plans against a list of consolidated requirements from prior decisions and resolutions. </w:t>
      </w:r>
      <w:r w:rsidRPr="00041AD5" w:rsidDel="00236214" w:rsidR="0031639E">
        <w:rPr>
          <w:rFonts w:ascii="Palatino Linotype" w:hAnsi="Palatino Linotype" w:eastAsia="Times New Roman" w:cs="Times New Roman"/>
          <w:color w:val="000000" w:themeColor="text1"/>
          <w:kern w:val="0"/>
          <w14:ligatures w14:val="none"/>
        </w:rPr>
        <w:t xml:space="preserve">This Resolution </w:t>
      </w:r>
      <w:r w:rsidRPr="00041AD5" w:rsidR="0031639E">
        <w:rPr>
          <w:rFonts w:ascii="Palatino Linotype" w:hAnsi="Palatino Linotype" w:eastAsia="Times New Roman" w:cs="Times New Roman"/>
          <w:color w:val="000000" w:themeColor="text1"/>
          <w:kern w:val="0"/>
          <w14:ligatures w14:val="none"/>
        </w:rPr>
        <w:t xml:space="preserve">finds that CEC </w:t>
      </w:r>
      <w:r w:rsidR="00A171B0">
        <w:rPr>
          <w:rFonts w:ascii="Palatino Linotype" w:hAnsi="Palatino Linotype" w:eastAsia="Times New Roman" w:cs="Times New Roman"/>
          <w:color w:val="000000" w:themeColor="text1"/>
          <w:kern w:val="0"/>
          <w14:ligatures w14:val="none"/>
        </w:rPr>
        <w:t>P</w:t>
      </w:r>
      <w:r w:rsidRPr="00041AD5" w:rsidR="0031639E">
        <w:rPr>
          <w:rFonts w:ascii="Palatino Linotype" w:hAnsi="Palatino Linotype" w:eastAsia="Times New Roman" w:cs="Times New Roman"/>
          <w:color w:val="000000" w:themeColor="text1"/>
          <w:kern w:val="0"/>
          <w14:ligatures w14:val="none"/>
        </w:rPr>
        <w:t xml:space="preserve">lan omissions can be remedied with additional information and </w:t>
      </w:r>
      <w:r w:rsidRPr="00041AD5" w:rsidDel="00236214" w:rsidR="0031639E">
        <w:rPr>
          <w:rFonts w:ascii="Palatino Linotype" w:hAnsi="Palatino Linotype" w:eastAsia="Times New Roman" w:cs="Times New Roman"/>
          <w:color w:val="000000" w:themeColor="text1"/>
          <w:kern w:val="0"/>
          <w14:ligatures w14:val="none"/>
        </w:rPr>
        <w:t xml:space="preserve">directs the CEC to submit </w:t>
      </w:r>
      <w:r w:rsidRPr="00041AD5" w:rsidR="0031639E">
        <w:rPr>
          <w:rFonts w:ascii="Palatino Linotype" w:hAnsi="Palatino Linotype" w:eastAsia="Times New Roman" w:cs="Times New Roman"/>
          <w:color w:val="000000" w:themeColor="text1"/>
          <w:kern w:val="0"/>
          <w14:ligatures w14:val="none"/>
        </w:rPr>
        <w:t xml:space="preserve">its </w:t>
      </w:r>
      <w:r w:rsidRPr="00041AD5" w:rsidDel="00236214" w:rsidR="0031639E">
        <w:rPr>
          <w:rFonts w:ascii="Palatino Linotype" w:hAnsi="Palatino Linotype" w:eastAsia="Times New Roman" w:cs="Times New Roman"/>
          <w:color w:val="000000" w:themeColor="text1"/>
          <w:kern w:val="0"/>
          <w14:ligatures w14:val="none"/>
        </w:rPr>
        <w:t xml:space="preserve">revised 2024 and 2025 Gas RD&amp;D Plans via Tier 2 </w:t>
      </w:r>
      <w:r w:rsidR="00942AB0">
        <w:rPr>
          <w:rFonts w:ascii="Palatino Linotype" w:hAnsi="Palatino Linotype" w:eastAsia="Times New Roman" w:cs="Times New Roman"/>
          <w:color w:val="000000" w:themeColor="text1"/>
          <w:kern w:val="0"/>
          <w14:ligatures w14:val="none"/>
        </w:rPr>
        <w:t>ALs</w:t>
      </w:r>
      <w:r w:rsidRPr="00041AD5" w:rsidDel="00236214" w:rsidR="0031639E">
        <w:rPr>
          <w:rFonts w:ascii="Palatino Linotype" w:hAnsi="Palatino Linotype" w:eastAsia="Times New Roman" w:cs="Times New Roman"/>
          <w:color w:val="000000" w:themeColor="text1"/>
          <w:kern w:val="0"/>
          <w14:ligatures w14:val="none"/>
        </w:rPr>
        <w:t xml:space="preserve"> </w:t>
      </w:r>
      <w:r w:rsidRPr="00041AD5" w:rsidR="0031639E">
        <w:rPr>
          <w:rFonts w:ascii="Palatino Linotype" w:hAnsi="Palatino Linotype" w:eastAsia="Times New Roman" w:cs="Times New Roman"/>
          <w:color w:val="000000" w:themeColor="text1"/>
          <w:kern w:val="0"/>
          <w14:ligatures w14:val="none"/>
        </w:rPr>
        <w:t xml:space="preserve">within 90 days </w:t>
      </w:r>
      <w:r w:rsidRPr="00041AD5" w:rsidDel="00236214" w:rsidR="0031639E">
        <w:rPr>
          <w:rFonts w:ascii="Palatino Linotype" w:hAnsi="Palatino Linotype" w:eastAsia="Times New Roman" w:cs="Times New Roman"/>
          <w:color w:val="000000" w:themeColor="text1"/>
          <w:kern w:val="0"/>
          <w14:ligatures w14:val="none"/>
        </w:rPr>
        <w:t>with modifications as described below</w:t>
      </w:r>
      <w:r w:rsidRPr="00041AD5" w:rsidR="0031639E">
        <w:rPr>
          <w:rFonts w:ascii="Palatino Linotype" w:hAnsi="Palatino Linotype" w:eastAsia="Times New Roman" w:cs="Times New Roman"/>
          <w:color w:val="000000" w:themeColor="text1"/>
          <w:kern w:val="0"/>
          <w14:ligatures w14:val="none"/>
        </w:rPr>
        <w:t xml:space="preserve">. </w:t>
      </w:r>
    </w:p>
    <w:p w:rsidRPr="00041AD5" w:rsidR="00DB4A4B" w:rsidP="00946BD9" w:rsidRDefault="002F3816" w14:paraId="2750FB8B" w14:textId="607D5A20">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This</w:t>
      </w:r>
      <w:r w:rsidRPr="00041AD5" w:rsidR="003A6DD3">
        <w:rPr>
          <w:rFonts w:ascii="Palatino Linotype" w:hAnsi="Palatino Linotype" w:eastAsia="Times New Roman" w:cs="Times New Roman"/>
          <w:color w:val="000000" w:themeColor="text1"/>
          <w:kern w:val="0"/>
          <w14:ligatures w14:val="none"/>
        </w:rPr>
        <w:t xml:space="preserve"> Resolution reviewed the </w:t>
      </w:r>
      <w:r w:rsidRPr="00041AD5" w:rsidR="005439B2">
        <w:rPr>
          <w:rFonts w:ascii="Palatino Linotype" w:hAnsi="Palatino Linotype" w:eastAsia="Times New Roman" w:cs="Times New Roman"/>
          <w:color w:val="000000" w:themeColor="text1"/>
          <w:kern w:val="0"/>
          <w14:ligatures w14:val="none"/>
        </w:rPr>
        <w:t xml:space="preserve">CEC’s response to </w:t>
      </w:r>
      <w:r w:rsidRPr="00041AD5" w:rsidR="003A6DD3">
        <w:rPr>
          <w:rFonts w:ascii="Palatino Linotype" w:hAnsi="Palatino Linotype" w:eastAsia="Times New Roman" w:cs="Times New Roman"/>
          <w:color w:val="000000" w:themeColor="text1"/>
          <w:kern w:val="0"/>
          <w14:ligatures w14:val="none"/>
        </w:rPr>
        <w:t xml:space="preserve">Energy Division’s </w:t>
      </w:r>
      <w:r w:rsidRPr="00041AD5" w:rsidR="0056763F">
        <w:rPr>
          <w:rFonts w:ascii="Palatino Linotype" w:hAnsi="Palatino Linotype" w:eastAsia="Times New Roman" w:cs="Times New Roman"/>
          <w:color w:val="000000" w:themeColor="text1"/>
          <w:kern w:val="0"/>
          <w14:ligatures w14:val="none"/>
        </w:rPr>
        <w:t>d</w:t>
      </w:r>
      <w:r w:rsidRPr="00041AD5" w:rsidR="003A6DD3">
        <w:rPr>
          <w:rFonts w:ascii="Palatino Linotype" w:hAnsi="Palatino Linotype" w:eastAsia="Times New Roman" w:cs="Times New Roman"/>
          <w:color w:val="000000" w:themeColor="text1"/>
          <w:kern w:val="0"/>
          <w14:ligatures w14:val="none"/>
        </w:rPr>
        <w:t xml:space="preserve">ata </w:t>
      </w:r>
      <w:r w:rsidRPr="00041AD5" w:rsidR="0056763F">
        <w:rPr>
          <w:rFonts w:ascii="Palatino Linotype" w:hAnsi="Palatino Linotype" w:eastAsia="Times New Roman" w:cs="Times New Roman"/>
          <w:color w:val="000000" w:themeColor="text1"/>
          <w:kern w:val="0"/>
          <w14:ligatures w14:val="none"/>
        </w:rPr>
        <w:t>r</w:t>
      </w:r>
      <w:r w:rsidRPr="00041AD5" w:rsidR="003A6DD3">
        <w:rPr>
          <w:rFonts w:ascii="Palatino Linotype" w:hAnsi="Palatino Linotype" w:eastAsia="Times New Roman" w:cs="Times New Roman"/>
          <w:color w:val="000000" w:themeColor="text1"/>
          <w:kern w:val="0"/>
          <w14:ligatures w14:val="none"/>
        </w:rPr>
        <w:t xml:space="preserve">equest for detailed information on </w:t>
      </w:r>
      <w:r w:rsidRPr="00041AD5" w:rsidR="0054209A">
        <w:rPr>
          <w:rFonts w:ascii="Palatino Linotype" w:hAnsi="Palatino Linotype" w:eastAsia="Times New Roman" w:cs="Times New Roman"/>
          <w:color w:val="000000" w:themeColor="text1"/>
          <w:kern w:val="0"/>
          <w14:ligatures w14:val="none"/>
        </w:rPr>
        <w:t xml:space="preserve">balances </w:t>
      </w:r>
      <w:r w:rsidRPr="00041AD5" w:rsidR="002D2C7A">
        <w:rPr>
          <w:rFonts w:ascii="Palatino Linotype" w:hAnsi="Palatino Linotype" w:eastAsia="Times New Roman" w:cs="Times New Roman"/>
          <w:color w:val="000000" w:themeColor="text1"/>
          <w:kern w:val="0"/>
          <w14:ligatures w14:val="none"/>
        </w:rPr>
        <w:t>of</w:t>
      </w:r>
      <w:r w:rsidRPr="00041AD5" w:rsidR="0054209A">
        <w:rPr>
          <w:rFonts w:ascii="Palatino Linotype" w:hAnsi="Palatino Linotype" w:eastAsia="Times New Roman" w:cs="Times New Roman"/>
          <w:color w:val="000000" w:themeColor="text1"/>
          <w:kern w:val="0"/>
          <w14:ligatures w14:val="none"/>
        </w:rPr>
        <w:t xml:space="preserve"> previously authorized unspent funding</w:t>
      </w:r>
      <w:r w:rsidRPr="00041AD5" w:rsidR="00EA773A">
        <w:rPr>
          <w:rFonts w:ascii="Palatino Linotype" w:hAnsi="Palatino Linotype" w:eastAsia="Times New Roman" w:cs="Times New Roman"/>
          <w:color w:val="000000" w:themeColor="text1"/>
          <w:kern w:val="0"/>
          <w14:ligatures w14:val="none"/>
        </w:rPr>
        <w:t xml:space="preserve"> </w:t>
      </w:r>
      <w:r w:rsidRPr="00041AD5" w:rsidR="00DD49CD">
        <w:rPr>
          <w:rFonts w:ascii="Palatino Linotype" w:hAnsi="Palatino Linotype" w:eastAsia="Times New Roman" w:cs="Times New Roman"/>
          <w:color w:val="000000" w:themeColor="text1"/>
          <w:kern w:val="0"/>
          <w14:ligatures w14:val="none"/>
        </w:rPr>
        <w:t xml:space="preserve">and </w:t>
      </w:r>
      <w:r w:rsidRPr="00041AD5" w:rsidR="003A6DD3">
        <w:rPr>
          <w:rFonts w:ascii="Palatino Linotype" w:hAnsi="Palatino Linotype" w:eastAsia="Times New Roman" w:cs="Times New Roman"/>
          <w:color w:val="000000" w:themeColor="text1"/>
          <w:kern w:val="0"/>
          <w14:ligatures w14:val="none"/>
        </w:rPr>
        <w:t xml:space="preserve">establishes how the CEC </w:t>
      </w:r>
      <w:r w:rsidRPr="00041AD5" w:rsidR="00A64540">
        <w:rPr>
          <w:rFonts w:ascii="Palatino Linotype" w:hAnsi="Palatino Linotype" w:eastAsia="Times New Roman" w:cs="Times New Roman"/>
          <w:color w:val="000000" w:themeColor="text1"/>
          <w:kern w:val="0"/>
          <w14:ligatures w14:val="none"/>
        </w:rPr>
        <w:t>shall</w:t>
      </w:r>
      <w:r w:rsidRPr="00041AD5" w:rsidR="003A6DD3">
        <w:rPr>
          <w:rFonts w:ascii="Palatino Linotype" w:hAnsi="Palatino Linotype" w:eastAsia="Times New Roman" w:cs="Times New Roman"/>
          <w:color w:val="000000" w:themeColor="text1"/>
          <w:kern w:val="0"/>
          <w14:ligatures w14:val="none"/>
        </w:rPr>
        <w:t xml:space="preserve"> use applicable </w:t>
      </w:r>
      <w:r w:rsidRPr="00041AD5" w:rsidR="00207091">
        <w:rPr>
          <w:rFonts w:ascii="Palatino Linotype" w:hAnsi="Palatino Linotype" w:eastAsia="Times New Roman" w:cs="Times New Roman"/>
          <w:color w:val="000000" w:themeColor="text1"/>
          <w:kern w:val="0"/>
          <w14:ligatures w14:val="none"/>
        </w:rPr>
        <w:t xml:space="preserve">funds </w:t>
      </w:r>
      <w:r w:rsidRPr="00041AD5" w:rsidR="003A6DD3">
        <w:rPr>
          <w:rFonts w:ascii="Palatino Linotype" w:hAnsi="Palatino Linotype" w:eastAsia="Times New Roman" w:cs="Times New Roman"/>
          <w:color w:val="000000" w:themeColor="text1"/>
          <w:kern w:val="0"/>
          <w14:ligatures w14:val="none"/>
        </w:rPr>
        <w:t xml:space="preserve">to minimize new additional costs to ratepayers. </w:t>
      </w:r>
      <w:r w:rsidRPr="00041AD5" w:rsidR="00537703">
        <w:rPr>
          <w:rFonts w:ascii="Palatino Linotype" w:hAnsi="Palatino Linotype" w:eastAsia="Palatino Linotype" w:cs="Times New Roman"/>
          <w:color w:val="000000" w:themeColor="text1"/>
          <w:kern w:val="0"/>
          <w14:ligatures w14:val="none"/>
        </w:rPr>
        <w:t>This Resolution explains why the CEC must use previously authorized funds, why the CEC can collect only a portion of funds f</w:t>
      </w:r>
      <w:r w:rsidRPr="00041AD5" w:rsidR="00DE52AD">
        <w:rPr>
          <w:rFonts w:ascii="Palatino Linotype" w:hAnsi="Palatino Linotype" w:eastAsia="Palatino Linotype" w:cs="Times New Roman"/>
          <w:color w:val="000000" w:themeColor="text1"/>
          <w:kern w:val="0"/>
          <w14:ligatures w14:val="none"/>
        </w:rPr>
        <w:t>rom</w:t>
      </w:r>
      <w:r w:rsidRPr="00041AD5" w:rsidR="00537703">
        <w:rPr>
          <w:rFonts w:ascii="Palatino Linotype" w:hAnsi="Palatino Linotype" w:eastAsia="Palatino Linotype" w:cs="Times New Roman"/>
          <w:color w:val="000000" w:themeColor="text1"/>
          <w:kern w:val="0"/>
          <w14:ligatures w14:val="none"/>
        </w:rPr>
        <w:t xml:space="preserve"> the surcharge, and what the CEC must do if there is a need to update the CPUC on the exact unspent fund balances.</w:t>
      </w:r>
      <w:r w:rsidRPr="00041AD5" w:rsidR="00E93A4B">
        <w:rPr>
          <w:rFonts w:ascii="Palatino Linotype" w:hAnsi="Palatino Linotype" w:eastAsia="Palatino Linotype" w:cs="Times New Roman"/>
          <w:color w:val="000000" w:themeColor="text1"/>
          <w:kern w:val="0"/>
          <w14:ligatures w14:val="none"/>
        </w:rPr>
        <w:t xml:space="preserve"> </w:t>
      </w:r>
    </w:p>
    <w:p w:rsidR="008364C2" w:rsidP="00503AF5" w:rsidRDefault="002F3816" w14:paraId="08AACAB7" w14:textId="606E9001">
      <w:pPr>
        <w:spacing w:before="240"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003805">
        <w:rPr>
          <w:rFonts w:ascii="Palatino Linotype" w:hAnsi="Palatino Linotype" w:eastAsia="Times New Roman" w:cs="Times New Roman"/>
          <w:color w:val="000000" w:themeColor="text1"/>
          <w:kern w:val="0"/>
          <w14:ligatures w14:val="none"/>
        </w:rPr>
        <w:t xml:space="preserve">CEC shall </w:t>
      </w:r>
      <w:r w:rsidRPr="00041AD5" w:rsidR="00236214">
        <w:rPr>
          <w:rFonts w:ascii="Palatino Linotype" w:hAnsi="Palatino Linotype" w:eastAsia="Times New Roman" w:cs="Times New Roman"/>
          <w:color w:val="000000" w:themeColor="text1"/>
          <w:kern w:val="0"/>
          <w14:ligatures w14:val="none"/>
        </w:rPr>
        <w:t xml:space="preserve">first </w:t>
      </w:r>
      <w:r w:rsidRPr="00041AD5" w:rsidR="00003805">
        <w:rPr>
          <w:rFonts w:ascii="Palatino Linotype" w:hAnsi="Palatino Linotype" w:eastAsia="Times New Roman" w:cs="Times New Roman"/>
          <w:color w:val="000000" w:themeColor="text1"/>
          <w:kern w:val="0"/>
          <w14:ligatures w14:val="none"/>
        </w:rPr>
        <w:t xml:space="preserve">utilize its </w:t>
      </w:r>
      <w:r w:rsidRPr="00041AD5" w:rsidR="00003805">
        <w:rPr>
          <w:rFonts w:ascii="Palatino Linotype" w:hAnsi="Palatino Linotype" w:eastAsia="Palatino Linotype"/>
          <w:color w:val="000000" w:themeColor="text1"/>
        </w:rPr>
        <w:t>current balance of unspent</w:t>
      </w:r>
      <w:r w:rsidRPr="00041AD5" w:rsidR="00003805">
        <w:rPr>
          <w:rFonts w:ascii="Palatino Linotype" w:hAnsi="Palatino Linotype" w:eastAsia="Palatino Linotype"/>
          <w:b/>
          <w:bCs/>
          <w:color w:val="000000" w:themeColor="text1"/>
        </w:rPr>
        <w:t xml:space="preserve"> </w:t>
      </w:r>
      <w:r w:rsidRPr="00041AD5" w:rsidR="00003805">
        <w:rPr>
          <w:rFonts w:ascii="Palatino Linotype" w:hAnsi="Palatino Linotype" w:eastAsia="Palatino Linotype"/>
          <w:color w:val="000000" w:themeColor="text1"/>
        </w:rPr>
        <w:t xml:space="preserve">funds </w:t>
      </w:r>
      <w:r w:rsidRPr="00041AD5" w:rsidR="00383EF9">
        <w:rPr>
          <w:rFonts w:ascii="Palatino Linotype" w:hAnsi="Palatino Linotype" w:eastAsia="Palatino Linotype"/>
          <w:color w:val="000000" w:themeColor="text1"/>
        </w:rPr>
        <w:t xml:space="preserve">falling </w:t>
      </w:r>
      <w:r w:rsidRPr="00041AD5" w:rsidR="00DE7311">
        <w:rPr>
          <w:rFonts w:ascii="Palatino Linotype" w:hAnsi="Palatino Linotype" w:eastAsia="Palatino Linotype"/>
          <w:color w:val="000000" w:themeColor="text1"/>
        </w:rPr>
        <w:t xml:space="preserve">outside of encumbrance and spending windows </w:t>
      </w:r>
      <w:r w:rsidRPr="00041AD5" w:rsidR="00003805">
        <w:rPr>
          <w:rFonts w:ascii="Palatino Linotype" w:hAnsi="Palatino Linotype" w:eastAsia="Palatino Linotype"/>
          <w:color w:val="000000" w:themeColor="text1"/>
        </w:rPr>
        <w:t xml:space="preserve">from previously approved </w:t>
      </w:r>
      <w:r w:rsidRPr="00041AD5" w:rsidR="00DE7311">
        <w:rPr>
          <w:rFonts w:ascii="Palatino Linotype" w:hAnsi="Palatino Linotype" w:eastAsia="Palatino Linotype"/>
          <w:color w:val="000000" w:themeColor="text1"/>
        </w:rPr>
        <w:t xml:space="preserve">Gas RD&amp;D </w:t>
      </w:r>
      <w:r w:rsidRPr="00041AD5" w:rsidR="00003805">
        <w:rPr>
          <w:rFonts w:ascii="Palatino Linotype" w:hAnsi="Palatino Linotype" w:eastAsia="Palatino Linotype"/>
          <w:color w:val="000000" w:themeColor="text1"/>
        </w:rPr>
        <w:t>Plans</w:t>
      </w:r>
      <w:r w:rsidRPr="00041AD5" w:rsidR="00F51583">
        <w:rPr>
          <w:rFonts w:ascii="Palatino Linotype" w:hAnsi="Palatino Linotype" w:eastAsia="Palatino Linotype"/>
          <w:color w:val="000000" w:themeColor="text1"/>
        </w:rPr>
        <w:t xml:space="preserve"> (applicable unspent funds</w:t>
      </w:r>
      <w:r w:rsidRPr="00041AD5" w:rsidR="00B724E8">
        <w:rPr>
          <w:rFonts w:ascii="Palatino Linotype" w:hAnsi="Palatino Linotype" w:eastAsia="Palatino Linotype"/>
          <w:color w:val="000000" w:themeColor="text1"/>
        </w:rPr>
        <w:t>) in full for its 2024 and 2025 Plans prior to accessing additional ratepayer funds</w:t>
      </w:r>
      <w:r w:rsidRPr="00041AD5" w:rsidR="009C2723">
        <w:rPr>
          <w:rFonts w:ascii="Palatino Linotype" w:hAnsi="Palatino Linotype" w:eastAsia="Palatino Linotype"/>
          <w:color w:val="000000" w:themeColor="text1"/>
        </w:rPr>
        <w:t xml:space="preserve">. These </w:t>
      </w:r>
      <w:r w:rsidRPr="00041AD5" w:rsidR="00F51583">
        <w:rPr>
          <w:rFonts w:ascii="Palatino Linotype" w:hAnsi="Palatino Linotype" w:eastAsia="Palatino Linotype"/>
          <w:color w:val="000000" w:themeColor="text1"/>
        </w:rPr>
        <w:t>applicable</w:t>
      </w:r>
      <w:r w:rsidRPr="00041AD5" w:rsidR="009C2723">
        <w:rPr>
          <w:rFonts w:ascii="Palatino Linotype" w:hAnsi="Palatino Linotype" w:eastAsia="Palatino Linotype"/>
          <w:color w:val="000000" w:themeColor="text1"/>
        </w:rPr>
        <w:t xml:space="preserve"> unspent funds</w:t>
      </w:r>
      <w:r w:rsidRPr="00041AD5" w:rsidR="00003805">
        <w:rPr>
          <w:rFonts w:ascii="Palatino Linotype" w:hAnsi="Palatino Linotype" w:eastAsia="Palatino Linotype"/>
          <w:color w:val="000000" w:themeColor="text1"/>
        </w:rPr>
        <w:t>, amounting to</w:t>
      </w:r>
      <w:r w:rsidRPr="00041AD5" w:rsidR="00205045">
        <w:rPr>
          <w:rFonts w:ascii="Palatino Linotype" w:hAnsi="Palatino Linotype" w:eastAsia="Palatino Linotype"/>
          <w:color w:val="000000" w:themeColor="text1"/>
        </w:rPr>
        <w:t xml:space="preserve"> a</w:t>
      </w:r>
      <w:r w:rsidRPr="00041AD5" w:rsidR="00003805">
        <w:rPr>
          <w:rFonts w:ascii="Palatino Linotype" w:hAnsi="Palatino Linotype" w:eastAsia="Palatino Linotype"/>
          <w:color w:val="000000" w:themeColor="text1"/>
        </w:rPr>
        <w:t xml:space="preserve"> </w:t>
      </w:r>
      <w:r w:rsidRPr="00041AD5" w:rsidR="00706189">
        <w:rPr>
          <w:rFonts w:ascii="Palatino Linotype" w:hAnsi="Palatino Linotype" w:eastAsia="Palatino Linotype"/>
          <w:color w:val="000000" w:themeColor="text1"/>
        </w:rPr>
        <w:t xml:space="preserve">total of </w:t>
      </w:r>
      <w:r w:rsidRPr="00041AD5" w:rsidR="00003805">
        <w:rPr>
          <w:rFonts w:ascii="Palatino Linotype" w:hAnsi="Palatino Linotype" w:eastAsia="Palatino Linotype"/>
          <w:color w:val="000000" w:themeColor="text1"/>
        </w:rPr>
        <w:t>$31,076,691</w:t>
      </w:r>
      <w:r w:rsidRPr="00041AD5" w:rsidR="002F0C83">
        <w:rPr>
          <w:rFonts w:ascii="Palatino Linotype" w:hAnsi="Palatino Linotype" w:eastAsia="Palatino Linotype"/>
          <w:color w:val="000000" w:themeColor="text1"/>
        </w:rPr>
        <w:t>,</w:t>
      </w:r>
      <w:r w:rsidRPr="00041AD5" w:rsidR="00003805">
        <w:rPr>
          <w:rFonts w:ascii="Palatino Linotype" w:hAnsi="Palatino Linotype" w:eastAsia="Palatino Linotype"/>
          <w:color w:val="000000" w:themeColor="text1"/>
        </w:rPr>
        <w:t xml:space="preserve"> </w:t>
      </w:r>
      <w:r w:rsidRPr="00041AD5" w:rsidR="002F0C83">
        <w:rPr>
          <w:rFonts w:ascii="Palatino Linotype" w:hAnsi="Palatino Linotype" w:eastAsia="Palatino Linotype"/>
          <w:color w:val="000000" w:themeColor="text1"/>
        </w:rPr>
        <w:t xml:space="preserve">are </w:t>
      </w:r>
      <w:r w:rsidRPr="00041AD5" w:rsidR="00CE30EE">
        <w:rPr>
          <w:rFonts w:ascii="Palatino Linotype" w:hAnsi="Palatino Linotype" w:eastAsia="Palatino Linotype"/>
          <w:color w:val="000000" w:themeColor="text1"/>
        </w:rPr>
        <w:t>comprised of</w:t>
      </w:r>
      <w:r w:rsidRPr="00041AD5" w:rsidR="00003805">
        <w:rPr>
          <w:rFonts w:ascii="Palatino Linotype" w:hAnsi="Palatino Linotype" w:eastAsia="Palatino Linotype"/>
          <w:color w:val="000000" w:themeColor="text1"/>
        </w:rPr>
        <w:t xml:space="preserve"> CEC’s </w:t>
      </w:r>
      <w:r w:rsidRPr="00041AD5" w:rsidR="009C2723">
        <w:rPr>
          <w:rFonts w:ascii="Palatino Linotype" w:hAnsi="Palatino Linotype" w:eastAsia="Palatino Linotype"/>
          <w:color w:val="000000" w:themeColor="text1"/>
        </w:rPr>
        <w:t xml:space="preserve">unspent program funds from </w:t>
      </w:r>
      <w:r w:rsidRPr="00041AD5" w:rsidR="00514877">
        <w:rPr>
          <w:rFonts w:ascii="Palatino Linotype" w:hAnsi="Palatino Linotype" w:eastAsia="Palatino Linotype"/>
          <w:color w:val="000000" w:themeColor="text1"/>
        </w:rPr>
        <w:t xml:space="preserve">its </w:t>
      </w:r>
      <w:r w:rsidRPr="00041AD5" w:rsidR="00003805">
        <w:rPr>
          <w:rFonts w:ascii="Palatino Linotype" w:hAnsi="Palatino Linotype" w:eastAsia="Palatino Linotype"/>
          <w:color w:val="000000" w:themeColor="text1"/>
        </w:rPr>
        <w:t>FY 2015-2016 Plan to April 30, 2026</w:t>
      </w:r>
      <w:r w:rsidRPr="00041AD5" w:rsidR="00AC52F7">
        <w:rPr>
          <w:rFonts w:ascii="Palatino Linotype" w:hAnsi="Palatino Linotype" w:eastAsia="Palatino Linotype"/>
          <w:color w:val="000000" w:themeColor="text1"/>
        </w:rPr>
        <w:t>,</w:t>
      </w:r>
      <w:r w:rsidRPr="00041AD5" w:rsidR="00003805">
        <w:rPr>
          <w:rStyle w:val="FootnoteReference"/>
          <w:rFonts w:ascii="Palatino Linotype" w:hAnsi="Palatino Linotype" w:eastAsia="Palatino Linotype"/>
          <w:color w:val="000000" w:themeColor="text1"/>
        </w:rPr>
        <w:footnoteReference w:id="1"/>
      </w:r>
      <w:r w:rsidRPr="00041AD5" w:rsidR="00AC52F7">
        <w:rPr>
          <w:rFonts w:ascii="Palatino Linotype" w:hAnsi="Palatino Linotype" w:eastAsia="Palatino Linotype"/>
          <w:color w:val="000000" w:themeColor="text1"/>
        </w:rPr>
        <w:t xml:space="preserve"> </w:t>
      </w:r>
      <w:r w:rsidRPr="00041AD5" w:rsidR="002F0C83">
        <w:rPr>
          <w:rFonts w:ascii="Palatino Linotype" w:hAnsi="Palatino Linotype" w:eastAsia="Palatino Linotype"/>
          <w:color w:val="000000" w:themeColor="text1"/>
        </w:rPr>
        <w:t xml:space="preserve">which are </w:t>
      </w:r>
      <w:r w:rsidRPr="00041AD5" w:rsidR="00A509B8">
        <w:rPr>
          <w:rFonts w:ascii="Palatino Linotype" w:hAnsi="Palatino Linotype" w:eastAsia="Palatino Linotype"/>
          <w:color w:val="000000" w:themeColor="text1"/>
        </w:rPr>
        <w:t>in addition to the associated Program Administration funds</w:t>
      </w:r>
      <w:r w:rsidRPr="00041AD5" w:rsidR="00CC0A04">
        <w:rPr>
          <w:rFonts w:ascii="Palatino Linotype" w:hAnsi="Palatino Linotype" w:eastAsia="Palatino Linotype"/>
          <w:color w:val="000000" w:themeColor="text1"/>
        </w:rPr>
        <w:t xml:space="preserve"> previously approved</w:t>
      </w:r>
      <w:r w:rsidRPr="00041AD5" w:rsidR="00CA20DA">
        <w:rPr>
          <w:rFonts w:ascii="Palatino Linotype" w:hAnsi="Palatino Linotype" w:eastAsia="Palatino Linotype"/>
          <w:color w:val="000000" w:themeColor="text1"/>
        </w:rPr>
        <w:t xml:space="preserve"> for these funds</w:t>
      </w:r>
      <w:r w:rsidRPr="00041AD5" w:rsidR="006709F4">
        <w:rPr>
          <w:rFonts w:ascii="Palatino Linotype" w:hAnsi="Palatino Linotype" w:eastAsia="Palatino Linotype"/>
          <w:color w:val="000000" w:themeColor="text1"/>
        </w:rPr>
        <w:t xml:space="preserve">; each of these funds </w:t>
      </w:r>
      <w:r w:rsidRPr="00041AD5" w:rsidR="00642A67">
        <w:rPr>
          <w:rFonts w:ascii="Palatino Linotype" w:hAnsi="Palatino Linotype" w:eastAsia="Palatino Linotype"/>
          <w:color w:val="000000" w:themeColor="text1"/>
        </w:rPr>
        <w:t>must</w:t>
      </w:r>
      <w:r w:rsidRPr="00041AD5" w:rsidR="00AC52F7">
        <w:rPr>
          <w:rFonts w:ascii="Palatino Linotype" w:hAnsi="Palatino Linotype" w:eastAsia="Palatino Linotype"/>
          <w:color w:val="000000" w:themeColor="text1"/>
        </w:rPr>
        <w:t xml:space="preserve"> </w:t>
      </w:r>
      <w:r w:rsidRPr="00041AD5" w:rsidR="00383EF9">
        <w:rPr>
          <w:rFonts w:ascii="Palatino Linotype" w:hAnsi="Palatino Linotype" w:eastAsia="Palatino Linotype"/>
          <w:color w:val="000000" w:themeColor="text1"/>
        </w:rPr>
        <w:t xml:space="preserve">first </w:t>
      </w:r>
      <w:r w:rsidRPr="00041AD5" w:rsidR="00AC52F7">
        <w:rPr>
          <w:rFonts w:ascii="Palatino Linotype" w:hAnsi="Palatino Linotype" w:eastAsia="Palatino Linotype"/>
          <w:color w:val="000000" w:themeColor="text1"/>
        </w:rPr>
        <w:t xml:space="preserve">offset </w:t>
      </w:r>
      <w:r w:rsidRPr="00041AD5" w:rsidR="00383EF9">
        <w:rPr>
          <w:rFonts w:ascii="Palatino Linotype" w:hAnsi="Palatino Linotype" w:eastAsia="Palatino Linotype"/>
          <w:color w:val="000000" w:themeColor="text1"/>
        </w:rPr>
        <w:t xml:space="preserve">any </w:t>
      </w:r>
      <w:r w:rsidRPr="00041AD5" w:rsidR="00AC52F7">
        <w:rPr>
          <w:rFonts w:ascii="Palatino Linotype" w:hAnsi="Palatino Linotype" w:eastAsia="Palatino Linotype"/>
          <w:color w:val="000000" w:themeColor="text1"/>
        </w:rPr>
        <w:t>new ratepayer costs for these Plans.</w:t>
      </w:r>
      <w:r w:rsidRPr="00041AD5" w:rsidR="004A0F67">
        <w:rPr>
          <w:rFonts w:ascii="Palatino Linotype" w:hAnsi="Palatino Linotype" w:eastAsia="Times New Roman" w:cs="Times New Roman"/>
          <w:color w:val="000000" w:themeColor="text1"/>
          <w:kern w:val="0"/>
          <w14:ligatures w14:val="none"/>
        </w:rPr>
        <w:t xml:space="preserve"> </w:t>
      </w:r>
      <w:r w:rsidRPr="00041AD5" w:rsidR="007615B2">
        <w:rPr>
          <w:rFonts w:ascii="Palatino Linotype" w:hAnsi="Palatino Linotype" w:eastAsia="Times New Roman" w:cs="Times New Roman"/>
          <w:color w:val="000000" w:themeColor="text1"/>
          <w:kern w:val="0"/>
          <w14:ligatures w14:val="none"/>
        </w:rPr>
        <w:t xml:space="preserve">Upon Commission approval of </w:t>
      </w:r>
      <w:r w:rsidRPr="00041AD5" w:rsidR="00AE583F">
        <w:rPr>
          <w:rFonts w:ascii="Palatino Linotype" w:hAnsi="Palatino Linotype" w:eastAsia="Times New Roman" w:cs="Times New Roman"/>
          <w:color w:val="000000" w:themeColor="text1"/>
          <w:kern w:val="0"/>
          <w14:ligatures w14:val="none"/>
        </w:rPr>
        <w:t xml:space="preserve">the </w:t>
      </w:r>
      <w:r w:rsidRPr="00041AD5" w:rsidR="007615B2">
        <w:rPr>
          <w:rFonts w:ascii="Palatino Linotype" w:hAnsi="Palatino Linotype" w:eastAsia="Times New Roman" w:cs="Times New Roman"/>
          <w:color w:val="000000" w:themeColor="text1"/>
          <w:kern w:val="0"/>
          <w14:ligatures w14:val="none"/>
        </w:rPr>
        <w:t>CEC’s 2024 and 2025 Plans</w:t>
      </w:r>
      <w:r w:rsidRPr="00041AD5" w:rsidR="00F510EC">
        <w:rPr>
          <w:rFonts w:ascii="Palatino Linotype" w:hAnsi="Palatino Linotype" w:eastAsia="Times New Roman" w:cs="Times New Roman"/>
          <w:color w:val="000000" w:themeColor="text1"/>
          <w:kern w:val="0"/>
          <w14:ligatures w14:val="none"/>
        </w:rPr>
        <w:t xml:space="preserve"> via Tier 2 AL</w:t>
      </w:r>
      <w:r w:rsidRPr="00041AD5" w:rsidR="007615B2">
        <w:rPr>
          <w:rFonts w:ascii="Palatino Linotype" w:hAnsi="Palatino Linotype" w:eastAsia="Times New Roman" w:cs="Times New Roman"/>
          <w:color w:val="000000" w:themeColor="text1"/>
          <w:kern w:val="0"/>
          <w14:ligatures w14:val="none"/>
        </w:rPr>
        <w:t xml:space="preserve">, </w:t>
      </w:r>
      <w:r w:rsidRPr="00041AD5" w:rsidR="00B73A09">
        <w:rPr>
          <w:rFonts w:ascii="Palatino Linotype" w:hAnsi="Palatino Linotype" w:eastAsia="Times New Roman" w:cs="Times New Roman"/>
          <w:color w:val="000000" w:themeColor="text1"/>
          <w:kern w:val="0"/>
          <w14:ligatures w14:val="none"/>
        </w:rPr>
        <w:t xml:space="preserve">the </w:t>
      </w:r>
      <w:r w:rsidRPr="00041AD5" w:rsidR="007615B2">
        <w:rPr>
          <w:rFonts w:ascii="Palatino Linotype" w:hAnsi="Palatino Linotype" w:eastAsia="Times New Roman" w:cs="Times New Roman"/>
          <w:color w:val="000000" w:themeColor="text1"/>
          <w:kern w:val="0"/>
          <w14:ligatures w14:val="none"/>
        </w:rPr>
        <w:t xml:space="preserve">CEC </w:t>
      </w:r>
      <w:r w:rsidRPr="00041AD5" w:rsidR="00E17A5E">
        <w:rPr>
          <w:rFonts w:ascii="Palatino Linotype" w:hAnsi="Palatino Linotype" w:eastAsia="Times New Roman" w:cs="Times New Roman"/>
          <w:color w:val="000000" w:themeColor="text1"/>
          <w:kern w:val="0"/>
          <w14:ligatures w14:val="none"/>
        </w:rPr>
        <w:t>is authorized to request</w:t>
      </w:r>
      <w:r w:rsidRPr="00041AD5" w:rsidR="00724AF5">
        <w:rPr>
          <w:rFonts w:ascii="Palatino Linotype" w:hAnsi="Palatino Linotype" w:eastAsia="Times New Roman" w:cs="Times New Roman"/>
          <w:color w:val="000000" w:themeColor="text1"/>
          <w:kern w:val="0"/>
          <w14:ligatures w14:val="none"/>
        </w:rPr>
        <w:t xml:space="preserve"> a total of </w:t>
      </w:r>
      <w:r w:rsidRPr="00041AD5" w:rsidR="007615B2">
        <w:rPr>
          <w:rFonts w:ascii="Palatino Linotype" w:hAnsi="Palatino Linotype"/>
          <w:color w:val="000000" w:themeColor="text1"/>
        </w:rPr>
        <w:t xml:space="preserve">$13,470,429 </w:t>
      </w:r>
      <w:r w:rsidRPr="00041AD5" w:rsidR="00724AF5">
        <w:rPr>
          <w:rFonts w:ascii="Palatino Linotype" w:hAnsi="Palatino Linotype"/>
          <w:color w:val="000000" w:themeColor="text1"/>
        </w:rPr>
        <w:t xml:space="preserve">in new ratepayer funds </w:t>
      </w:r>
      <w:r w:rsidRPr="00041AD5" w:rsidR="007615B2">
        <w:rPr>
          <w:rFonts w:ascii="Palatino Linotype" w:hAnsi="Palatino Linotype"/>
          <w:color w:val="000000" w:themeColor="text1"/>
        </w:rPr>
        <w:t xml:space="preserve">from the </w:t>
      </w:r>
      <w:r w:rsidRPr="00041AD5" w:rsidR="004B0D95">
        <w:rPr>
          <w:rFonts w:ascii="Palatino Linotype" w:hAnsi="Palatino Linotype"/>
          <w:color w:val="000000" w:themeColor="text1"/>
        </w:rPr>
        <w:t xml:space="preserve">CPUC’s </w:t>
      </w:r>
      <w:r w:rsidRPr="00041AD5" w:rsidR="001D01B3">
        <w:rPr>
          <w:rFonts w:ascii="Palatino Linotype" w:hAnsi="Palatino Linotype"/>
          <w:color w:val="000000" w:themeColor="text1"/>
        </w:rPr>
        <w:t xml:space="preserve">Gas Consumption Surcharge </w:t>
      </w:r>
      <w:r w:rsidRPr="00041AD5" w:rsidR="007615B2">
        <w:rPr>
          <w:rFonts w:ascii="Palatino Linotype" w:hAnsi="Palatino Linotype"/>
          <w:color w:val="000000" w:themeColor="text1"/>
        </w:rPr>
        <w:t>Fund</w:t>
      </w:r>
      <w:r w:rsidRPr="00041AD5" w:rsidR="009A6EA0">
        <w:rPr>
          <w:rFonts w:ascii="Palatino Linotype" w:hAnsi="Palatino Linotype"/>
          <w:color w:val="000000" w:themeColor="text1"/>
        </w:rPr>
        <w:t xml:space="preserve"> as follows:</w:t>
      </w:r>
    </w:p>
    <w:p w:rsidRPr="00041AD5" w:rsidR="008364C2" w:rsidP="0008368A" w:rsidRDefault="008364C2" w14:paraId="08238AFB" w14:textId="77777777">
      <w:pPr>
        <w:spacing w:after="0" w:line="276" w:lineRule="auto"/>
        <w:rPr>
          <w:rFonts w:ascii="Palatino Linotype" w:hAnsi="Palatino Linotype" w:eastAsia="Palatino Linotype" w:cs="Times New Roman"/>
          <w:color w:val="000000" w:themeColor="text1"/>
          <w:kern w:val="0"/>
          <w14:ligatures w14:val="none"/>
        </w:rPr>
      </w:pPr>
    </w:p>
    <w:tbl>
      <w:tblPr>
        <w:tblStyle w:val="TableGrid"/>
        <w:tblW w:w="9558" w:type="dxa"/>
        <w:tblInd w:w="-113" w:type="dxa"/>
        <w:tblLayout w:type="fixed"/>
        <w:tblLook w:val="04A0" w:firstRow="1" w:lastRow="0" w:firstColumn="1" w:lastColumn="0" w:noHBand="0" w:noVBand="1"/>
      </w:tblPr>
      <w:tblGrid>
        <w:gridCol w:w="5148"/>
        <w:gridCol w:w="270"/>
        <w:gridCol w:w="90"/>
        <w:gridCol w:w="1890"/>
        <w:gridCol w:w="846"/>
        <w:gridCol w:w="1314"/>
      </w:tblGrid>
      <w:tr w:rsidRPr="00041AD5" w:rsidR="00F52736" w:rsidTr="008D2F6D" w14:paraId="4D20DCF3" w14:textId="77777777">
        <w:trPr>
          <w:cantSplit/>
        </w:trPr>
        <w:tc>
          <w:tcPr>
            <w:tcW w:w="9558" w:type="dxa"/>
            <w:gridSpan w:val="6"/>
          </w:tcPr>
          <w:p w:rsidRPr="00041AD5" w:rsidR="00F52736" w:rsidRDefault="00F52736" w14:paraId="0EA78EE0" w14:textId="77777777">
            <w:pPr>
              <w:jc w:val="center"/>
              <w:rPr>
                <w:rFonts w:ascii="Palatino Linotype" w:hAnsi="Palatino Linotype"/>
                <w:b/>
                <w:color w:val="000000" w:themeColor="text1"/>
                <w:sz w:val="20"/>
                <w:szCs w:val="20"/>
              </w:rPr>
            </w:pPr>
            <w:r w:rsidRPr="001A7203">
              <w:rPr>
                <w:rFonts w:ascii="Palatino Linotype" w:hAnsi="Palatino Linotype"/>
                <w:b/>
                <w:color w:val="000000" w:themeColor="text1"/>
              </w:rPr>
              <w:t>Table 1: Calculations of CEC’s 2024 &amp; 2025 Gas RD&amp;D Plan Budgets</w:t>
            </w:r>
          </w:p>
        </w:tc>
      </w:tr>
      <w:tr w:rsidRPr="00041AD5" w:rsidR="00F52736" w:rsidTr="0013083F" w14:paraId="420C4A78" w14:textId="77777777">
        <w:trPr>
          <w:cantSplit/>
        </w:trPr>
        <w:tc>
          <w:tcPr>
            <w:tcW w:w="5148" w:type="dxa"/>
          </w:tcPr>
          <w:p w:rsidRPr="00041AD5" w:rsidR="00F52736" w:rsidRDefault="00F52736" w14:paraId="00C92B40" w14:textId="77777777">
            <w:pPr>
              <w:rPr>
                <w:rFonts w:ascii="Palatino Linotype" w:hAnsi="Palatino Linotype"/>
                <w:b/>
                <w:color w:val="000000" w:themeColor="text1"/>
                <w:sz w:val="20"/>
                <w:szCs w:val="20"/>
              </w:rPr>
            </w:pPr>
          </w:p>
        </w:tc>
        <w:tc>
          <w:tcPr>
            <w:tcW w:w="2250" w:type="dxa"/>
            <w:gridSpan w:val="3"/>
            <w:tcBorders>
              <w:bottom w:val="single" w:color="auto" w:sz="4" w:space="0"/>
            </w:tcBorders>
          </w:tcPr>
          <w:p w:rsidRPr="00041AD5" w:rsidR="00F52736" w:rsidRDefault="00F52736" w14:paraId="408CE8FA" w14:textId="77777777">
            <w:pPr>
              <w:jc w:val="cente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2024 Plan Budget</w:t>
            </w:r>
          </w:p>
        </w:tc>
        <w:tc>
          <w:tcPr>
            <w:tcW w:w="2160" w:type="dxa"/>
            <w:gridSpan w:val="2"/>
            <w:tcBorders>
              <w:bottom w:val="single" w:color="auto" w:sz="4" w:space="0"/>
            </w:tcBorders>
          </w:tcPr>
          <w:p w:rsidRPr="00041AD5" w:rsidR="00F52736" w:rsidRDefault="00F52736" w14:paraId="78D29789" w14:textId="77777777">
            <w:pPr>
              <w:jc w:val="cente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2025 Plan Budget</w:t>
            </w:r>
          </w:p>
        </w:tc>
      </w:tr>
      <w:tr w:rsidRPr="00041AD5" w:rsidR="00F52736" w:rsidTr="0013083F" w14:paraId="55E73076" w14:textId="77777777">
        <w:trPr>
          <w:cantSplit/>
        </w:trPr>
        <w:tc>
          <w:tcPr>
            <w:tcW w:w="5148" w:type="dxa"/>
            <w:tcBorders>
              <w:right w:val="single" w:color="auto" w:sz="4" w:space="0"/>
            </w:tcBorders>
          </w:tcPr>
          <w:p w:rsidRPr="00041AD5" w:rsidR="00F52736" w:rsidRDefault="00CD4C78" w14:paraId="6C91C66B" w14:textId="4369A6B0">
            <w:pPr>
              <w:rPr>
                <w:rFonts w:ascii="Palatino Linotype" w:hAnsi="Palatino Linotype"/>
                <w:color w:val="000000" w:themeColor="text1"/>
                <w:sz w:val="20"/>
                <w:szCs w:val="20"/>
              </w:rPr>
            </w:pPr>
            <w:r>
              <w:rPr>
                <w:rFonts w:ascii="Palatino Linotype" w:hAnsi="Palatino Linotype"/>
                <w:b/>
                <w:color w:val="000000" w:themeColor="text1"/>
                <w:sz w:val="20"/>
                <w:szCs w:val="20"/>
              </w:rPr>
              <w:t xml:space="preserve">Utilized </w:t>
            </w:r>
            <w:r w:rsidRPr="00041AD5" w:rsidR="00960FA3">
              <w:rPr>
                <w:rFonts w:ascii="Palatino Linotype" w:hAnsi="Palatino Linotype"/>
                <w:b/>
                <w:color w:val="000000" w:themeColor="text1"/>
                <w:sz w:val="20"/>
                <w:szCs w:val="20"/>
              </w:rPr>
              <w:t xml:space="preserve">Applicable </w:t>
            </w:r>
            <w:r w:rsidRPr="00041AD5" w:rsidR="00F52736">
              <w:rPr>
                <w:rFonts w:ascii="Palatino Linotype" w:hAnsi="Palatino Linotype"/>
                <w:b/>
                <w:color w:val="000000" w:themeColor="text1"/>
                <w:sz w:val="20"/>
                <w:szCs w:val="20"/>
              </w:rPr>
              <w:t>Unspent Funds</w:t>
            </w:r>
            <w:r w:rsidRPr="00041AD5" w:rsidR="000D1293">
              <w:rPr>
                <w:rFonts w:ascii="Palatino Linotype" w:hAnsi="Palatino Linotype"/>
                <w:b/>
                <w:color w:val="000000" w:themeColor="text1"/>
                <w:sz w:val="20"/>
                <w:szCs w:val="20"/>
              </w:rPr>
              <w:t xml:space="preserve"> for Initiatives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2F75D522"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67E404F" w14:textId="26095B14">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21,600,000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4475F110"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7BADCEE5"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9,476,691</w:t>
            </w:r>
          </w:p>
        </w:tc>
      </w:tr>
      <w:tr w:rsidRPr="00041AD5" w:rsidR="00D47C2B" w:rsidTr="0013083F" w14:paraId="5294CFB0" w14:textId="77777777">
        <w:trPr>
          <w:cantSplit/>
        </w:trPr>
        <w:tc>
          <w:tcPr>
            <w:tcW w:w="5148" w:type="dxa"/>
            <w:tcBorders>
              <w:right w:val="single" w:color="auto" w:sz="4" w:space="0"/>
            </w:tcBorders>
          </w:tcPr>
          <w:p w:rsidRPr="00041AD5" w:rsidR="00D47C2B" w:rsidRDefault="00084A4F" w14:paraId="58D4DA8B" w14:textId="77777777">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Previously Approved Program Administration Funds</w:t>
            </w:r>
          </w:p>
          <w:p w:rsidRPr="00041AD5" w:rsidR="00A611DF" w:rsidRDefault="004A4FF1" w14:paraId="0653A8E0" w14:textId="4215B6DA">
            <w:pPr>
              <w:rPr>
                <w:rFonts w:ascii="Palatino Linotype" w:hAnsi="Palatino Linotype"/>
                <w:bCs/>
                <w:i/>
                <w:iCs/>
                <w:color w:val="000000" w:themeColor="text1"/>
                <w:sz w:val="20"/>
                <w:szCs w:val="20"/>
                <w:highlight w:val="yellow"/>
              </w:rPr>
            </w:pPr>
            <w:r w:rsidRPr="00041AD5">
              <w:rPr>
                <w:rFonts w:ascii="Palatino Linotype" w:hAnsi="Palatino Linotype"/>
                <w:bCs/>
                <w:i/>
                <w:iCs/>
                <w:color w:val="000000" w:themeColor="text1"/>
                <w:sz w:val="20"/>
                <w:szCs w:val="20"/>
              </w:rPr>
              <w:t>To be utilized prior to new ratepayer funds</w:t>
            </w:r>
          </w:p>
        </w:tc>
        <w:tc>
          <w:tcPr>
            <w:tcW w:w="360" w:type="dxa"/>
            <w:gridSpan w:val="2"/>
            <w:tcBorders>
              <w:top w:val="single" w:color="auto" w:sz="4" w:space="0"/>
              <w:left w:val="single" w:color="auto" w:sz="4" w:space="0"/>
              <w:bottom w:val="single" w:color="auto" w:sz="4" w:space="0"/>
              <w:right w:val="nil"/>
            </w:tcBorders>
            <w:vAlign w:val="center"/>
          </w:tcPr>
          <w:p w:rsidRPr="00041AD5" w:rsidR="00D47C2B" w:rsidRDefault="000D1293" w14:paraId="52824E20" w14:textId="31EA076F">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D47C2B" w:rsidRDefault="000D1293" w14:paraId="6BFBF6AB" w14:textId="2F35323B">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2,400,000</w:t>
            </w:r>
          </w:p>
        </w:tc>
        <w:tc>
          <w:tcPr>
            <w:tcW w:w="846" w:type="dxa"/>
            <w:tcBorders>
              <w:top w:val="single" w:color="auto" w:sz="4" w:space="0"/>
              <w:left w:val="single" w:color="auto" w:sz="4" w:space="0"/>
              <w:bottom w:val="single" w:color="auto" w:sz="4" w:space="0"/>
              <w:right w:val="nil"/>
            </w:tcBorders>
            <w:vAlign w:val="center"/>
          </w:tcPr>
          <w:p w:rsidRPr="00041AD5" w:rsidR="00D47C2B" w:rsidRDefault="000D1293" w14:paraId="3C32DE2E" w14:textId="7A2BFED8">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vAlign w:val="center"/>
          </w:tcPr>
          <w:p w:rsidRPr="00041AD5" w:rsidR="00D47C2B" w:rsidP="00D45D7A" w:rsidRDefault="000D1293" w14:paraId="06825F75" w14:textId="1679479C">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1,052,880</w:t>
            </w:r>
          </w:p>
        </w:tc>
      </w:tr>
      <w:tr w:rsidRPr="00041AD5" w:rsidR="00F52736" w:rsidTr="0013083F" w14:paraId="6DF62DB0" w14:textId="77777777">
        <w:trPr>
          <w:cantSplit/>
        </w:trPr>
        <w:tc>
          <w:tcPr>
            <w:tcW w:w="5148" w:type="dxa"/>
            <w:tcBorders>
              <w:right w:val="single" w:color="auto" w:sz="4" w:space="0"/>
            </w:tcBorders>
          </w:tcPr>
          <w:p w:rsidRPr="00041AD5" w:rsidR="00F52736" w:rsidRDefault="00F52736" w14:paraId="213AEFB8"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New Ratepayer Funds for Initiatives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6D0B18F1"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DC8D11B"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7C0AE6E0"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4948190F" w14:textId="6A100656">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12,123,309</w:t>
            </w:r>
            <w:r w:rsidRPr="00041AD5" w:rsidR="0056250F">
              <w:rPr>
                <w:rStyle w:val="FootnoteReference"/>
                <w:rFonts w:ascii="Palatino Linotype" w:hAnsi="Palatino Linotype"/>
                <w:color w:val="000000" w:themeColor="text1"/>
                <w:sz w:val="20"/>
                <w:szCs w:val="20"/>
              </w:rPr>
              <w:footnoteReference w:id="2"/>
            </w:r>
          </w:p>
        </w:tc>
      </w:tr>
      <w:tr w:rsidRPr="00041AD5" w:rsidR="00F52736" w:rsidTr="0013083F" w14:paraId="04142EE9" w14:textId="77777777">
        <w:trPr>
          <w:cantSplit/>
        </w:trPr>
        <w:tc>
          <w:tcPr>
            <w:tcW w:w="5148" w:type="dxa"/>
            <w:tcBorders>
              <w:right w:val="single" w:color="auto" w:sz="4" w:space="0"/>
            </w:tcBorders>
          </w:tcPr>
          <w:p w:rsidRPr="00041AD5" w:rsidR="00F52736" w:rsidRDefault="00F52736" w14:paraId="18439F98"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New Ratepayer Funds for Program Administration</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54E37FF"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4C7312A"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78B5F817"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77FB7068" w14:textId="67721C5D">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1,347,120</w:t>
            </w:r>
            <w:r w:rsidRPr="00041AD5" w:rsidR="0068562C">
              <w:rPr>
                <w:rStyle w:val="FootnoteReference"/>
                <w:rFonts w:ascii="Palatino Linotype" w:hAnsi="Palatino Linotype"/>
                <w:color w:val="000000" w:themeColor="text1"/>
                <w:sz w:val="20"/>
                <w:szCs w:val="20"/>
              </w:rPr>
              <w:footnoteReference w:id="3"/>
            </w:r>
          </w:p>
        </w:tc>
      </w:tr>
      <w:tr w:rsidRPr="00041AD5" w:rsidR="00F52736" w:rsidTr="0013083F" w14:paraId="584C1B14" w14:textId="77777777">
        <w:trPr>
          <w:cantSplit/>
        </w:trPr>
        <w:tc>
          <w:tcPr>
            <w:tcW w:w="5148" w:type="dxa"/>
            <w:tcBorders>
              <w:right w:val="single" w:color="auto" w:sz="4" w:space="0"/>
            </w:tcBorders>
          </w:tcPr>
          <w:p w:rsidRPr="00041AD5" w:rsidR="00F52736" w:rsidRDefault="00F52736" w14:paraId="15584E21" w14:textId="77777777">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Total New Ratepayer Funds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7BA0547"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366964F6"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 xml:space="preserve">0     </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04530810"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0069075D"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13,470,429</w:t>
            </w:r>
          </w:p>
        </w:tc>
      </w:tr>
      <w:tr w:rsidRPr="00041AD5" w:rsidR="00F52736" w:rsidTr="0013083F" w14:paraId="731D162F" w14:textId="77777777">
        <w:trPr>
          <w:cantSplit/>
        </w:trPr>
        <w:tc>
          <w:tcPr>
            <w:tcW w:w="5148" w:type="dxa"/>
            <w:tcBorders>
              <w:right w:val="single" w:color="auto" w:sz="4" w:space="0"/>
            </w:tcBorders>
          </w:tcPr>
          <w:p w:rsidRPr="00041AD5" w:rsidR="00F52736" w:rsidRDefault="00F52736" w14:paraId="7AB7B31E" w14:textId="4F03A138">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 xml:space="preserve">Total </w:t>
            </w:r>
            <w:r w:rsidRPr="00041AD5" w:rsidR="00985EF6">
              <w:rPr>
                <w:rFonts w:ascii="Palatino Linotype" w:hAnsi="Palatino Linotype"/>
                <w:b/>
                <w:color w:val="000000" w:themeColor="text1"/>
                <w:sz w:val="20"/>
                <w:szCs w:val="20"/>
              </w:rPr>
              <w:t xml:space="preserve">Authorized </w:t>
            </w:r>
            <w:r w:rsidRPr="00041AD5">
              <w:rPr>
                <w:rFonts w:ascii="Palatino Linotype" w:hAnsi="Palatino Linotype"/>
                <w:b/>
                <w:color w:val="000000" w:themeColor="text1"/>
                <w:sz w:val="20"/>
                <w:szCs w:val="20"/>
              </w:rPr>
              <w:t>Budget for Initiatives</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45F80DA"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0EDF2E40"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21,600,000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22FDF4E4"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03A885AE" w14:textId="77777777">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21,600,000</w:t>
            </w:r>
          </w:p>
        </w:tc>
      </w:tr>
      <w:tr w:rsidRPr="00041AD5" w:rsidR="00F52736" w:rsidTr="0013083F" w14:paraId="0AFC0416" w14:textId="77777777">
        <w:trPr>
          <w:cantSplit/>
        </w:trPr>
        <w:tc>
          <w:tcPr>
            <w:tcW w:w="5148" w:type="dxa"/>
            <w:tcBorders>
              <w:right w:val="single" w:color="auto" w:sz="4" w:space="0"/>
            </w:tcBorders>
          </w:tcPr>
          <w:p w:rsidRPr="00041AD5" w:rsidR="00F52736" w:rsidRDefault="00F52736" w14:paraId="3DE90F32" w14:textId="105F7EB6">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 xml:space="preserve">Total </w:t>
            </w:r>
            <w:r w:rsidRPr="00041AD5" w:rsidR="00985EF6">
              <w:rPr>
                <w:rFonts w:ascii="Palatino Linotype" w:hAnsi="Palatino Linotype"/>
                <w:b/>
                <w:color w:val="000000" w:themeColor="text1"/>
                <w:sz w:val="20"/>
                <w:szCs w:val="20"/>
              </w:rPr>
              <w:t xml:space="preserve">Authorized </w:t>
            </w:r>
            <w:r w:rsidRPr="00041AD5">
              <w:rPr>
                <w:rFonts w:ascii="Palatino Linotype" w:hAnsi="Palatino Linotype"/>
                <w:b/>
                <w:color w:val="000000" w:themeColor="text1"/>
                <w:sz w:val="20"/>
                <w:szCs w:val="20"/>
              </w:rPr>
              <w:t>Budget for Program Administration</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30F8D066"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0D1293" w14:paraId="545FADB9" w14:textId="7BAC154A">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2,400,000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759875C9" w14:textId="77777777">
            <w:pPr>
              <w:rPr>
                <w:rFonts w:ascii="Palatino Linotype" w:hAnsi="Palatino Linotype"/>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0D1293" w14:paraId="74EB8937" w14:textId="2BB1D661">
            <w:pPr>
              <w:jc w:val="right"/>
              <w:rPr>
                <w:rFonts w:ascii="Palatino Linotype" w:hAnsi="Palatino Linotype"/>
                <w:color w:val="000000" w:themeColor="text1"/>
                <w:sz w:val="20"/>
                <w:szCs w:val="20"/>
              </w:rPr>
            </w:pPr>
            <w:r w:rsidRPr="00041AD5">
              <w:rPr>
                <w:rFonts w:ascii="Palatino Linotype" w:hAnsi="Palatino Linotype"/>
                <w:color w:val="000000" w:themeColor="text1"/>
                <w:sz w:val="20"/>
                <w:szCs w:val="20"/>
              </w:rPr>
              <w:t>2,400,000</w:t>
            </w:r>
          </w:p>
        </w:tc>
      </w:tr>
      <w:tr w:rsidRPr="00041AD5" w:rsidR="00F52736" w:rsidTr="0013083F" w14:paraId="6E71E9A5" w14:textId="77777777">
        <w:trPr>
          <w:cantSplit/>
        </w:trPr>
        <w:tc>
          <w:tcPr>
            <w:tcW w:w="5148" w:type="dxa"/>
            <w:tcBorders>
              <w:right w:val="single" w:color="auto" w:sz="4" w:space="0"/>
            </w:tcBorders>
          </w:tcPr>
          <w:p w:rsidRPr="00041AD5" w:rsidR="00F52736" w:rsidRDefault="00F52736" w14:paraId="01357246" w14:textId="3A8CB64D">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 xml:space="preserve">Total </w:t>
            </w:r>
            <w:r w:rsidRPr="00041AD5" w:rsidR="00985EF6">
              <w:rPr>
                <w:rFonts w:ascii="Palatino Linotype" w:hAnsi="Palatino Linotype"/>
                <w:b/>
                <w:color w:val="000000" w:themeColor="text1"/>
                <w:sz w:val="20"/>
                <w:szCs w:val="20"/>
              </w:rPr>
              <w:t xml:space="preserve">Authorized </w:t>
            </w:r>
            <w:r w:rsidRPr="00041AD5">
              <w:rPr>
                <w:rFonts w:ascii="Palatino Linotype" w:hAnsi="Palatino Linotype"/>
                <w:b/>
                <w:color w:val="000000" w:themeColor="text1"/>
                <w:sz w:val="20"/>
                <w:szCs w:val="20"/>
              </w:rPr>
              <w:t>Annual Budget</w:t>
            </w:r>
          </w:p>
        </w:tc>
        <w:tc>
          <w:tcPr>
            <w:tcW w:w="360" w:type="dxa"/>
            <w:gridSpan w:val="2"/>
            <w:tcBorders>
              <w:top w:val="single" w:color="auto" w:sz="4" w:space="0"/>
              <w:left w:val="single" w:color="auto" w:sz="4" w:space="0"/>
              <w:bottom w:val="single" w:color="auto" w:sz="4" w:space="0"/>
              <w:right w:val="nil"/>
            </w:tcBorders>
            <w:vAlign w:val="center"/>
          </w:tcPr>
          <w:p w:rsidRPr="00041AD5" w:rsidR="00F52736" w:rsidRDefault="00F52736" w14:paraId="7A6D9655" w14:textId="77777777">
            <w:pPr>
              <w:rPr>
                <w:rFonts w:ascii="Palatino Linotype" w:hAnsi="Palatino Linotype"/>
                <w:b/>
                <w:color w:val="000000" w:themeColor="text1"/>
                <w:sz w:val="20"/>
                <w:szCs w:val="20"/>
              </w:rPr>
            </w:pPr>
            <w:r w:rsidRPr="00041AD5">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041AD5" w:rsidR="00F52736" w:rsidRDefault="00F52736" w14:paraId="592D2FD8" w14:textId="387873B6">
            <w:pPr>
              <w:jc w:val="right"/>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w:t>
            </w:r>
            <w:r w:rsidRPr="00041AD5" w:rsidR="000D1293">
              <w:rPr>
                <w:rFonts w:ascii="Palatino Linotype" w:hAnsi="Palatino Linotype"/>
                <w:b/>
                <w:color w:val="000000" w:themeColor="text1"/>
                <w:sz w:val="20"/>
                <w:szCs w:val="20"/>
              </w:rPr>
              <w:t>4,000,000</w:t>
            </w:r>
          </w:p>
        </w:tc>
        <w:tc>
          <w:tcPr>
            <w:tcW w:w="846" w:type="dxa"/>
            <w:tcBorders>
              <w:top w:val="single" w:color="auto" w:sz="4" w:space="0"/>
              <w:left w:val="single" w:color="auto" w:sz="4" w:space="0"/>
              <w:bottom w:val="single" w:color="auto" w:sz="4" w:space="0"/>
              <w:right w:val="nil"/>
            </w:tcBorders>
            <w:vAlign w:val="center"/>
          </w:tcPr>
          <w:p w:rsidRPr="00041AD5" w:rsidR="00F52736" w:rsidRDefault="00F52736" w14:paraId="35914551" w14:textId="77777777">
            <w:pPr>
              <w:rPr>
                <w:rFonts w:ascii="Palatino Linotype" w:hAnsi="Palatino Linotype"/>
                <w:b/>
                <w:color w:val="000000" w:themeColor="text1"/>
                <w:sz w:val="20"/>
                <w:szCs w:val="20"/>
              </w:rPr>
            </w:pPr>
            <w:r w:rsidRPr="00041AD5">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041AD5" w:rsidR="00F52736" w:rsidRDefault="00F52736" w14:paraId="211CF1B8" w14:textId="1AAFDB05">
            <w:pPr>
              <w:jc w:val="right"/>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2</w:t>
            </w:r>
            <w:r w:rsidRPr="00041AD5" w:rsidR="000D1293">
              <w:rPr>
                <w:rFonts w:ascii="Palatino Linotype" w:hAnsi="Palatino Linotype"/>
                <w:b/>
                <w:color w:val="000000" w:themeColor="text1"/>
                <w:sz w:val="20"/>
                <w:szCs w:val="20"/>
              </w:rPr>
              <w:t>4,000,000</w:t>
            </w:r>
          </w:p>
        </w:tc>
      </w:tr>
      <w:tr w:rsidRPr="00041AD5" w:rsidR="007A0AC8" w:rsidTr="0013083F" w14:paraId="46E9C8A0" w14:textId="77777777">
        <w:trPr>
          <w:cantSplit/>
        </w:trPr>
        <w:tc>
          <w:tcPr>
            <w:tcW w:w="5148" w:type="dxa"/>
            <w:tcBorders>
              <w:right w:val="single" w:color="auto" w:sz="4" w:space="0"/>
            </w:tcBorders>
          </w:tcPr>
          <w:p w:rsidRPr="00041AD5" w:rsidR="007A0AC8" w:rsidP="000C5F27" w:rsidRDefault="007A0AC8" w14:paraId="231D5BED" w14:textId="7CBA8B4B">
            <w:pPr>
              <w:rPr>
                <w:rFonts w:ascii="Palatino Linotype" w:hAnsi="Palatino Linotype"/>
                <w:b/>
                <w:color w:val="000000" w:themeColor="text1"/>
                <w:sz w:val="20"/>
                <w:szCs w:val="20"/>
              </w:rPr>
            </w:pPr>
            <w:r w:rsidRPr="00041AD5">
              <w:rPr>
                <w:rFonts w:ascii="Palatino Linotype" w:hAnsi="Palatino Linotype"/>
                <w:b/>
                <w:color w:val="000000" w:themeColor="text1"/>
                <w:sz w:val="20"/>
                <w:szCs w:val="20"/>
              </w:rPr>
              <w:t>Total Utilized Applicable Unspent Funds</w:t>
            </w:r>
          </w:p>
        </w:tc>
        <w:tc>
          <w:tcPr>
            <w:tcW w:w="270" w:type="dxa"/>
            <w:tcBorders>
              <w:top w:val="single" w:color="auto" w:sz="4" w:space="0"/>
              <w:left w:val="single" w:color="auto" w:sz="4" w:space="0"/>
              <w:bottom w:val="single" w:color="auto" w:sz="4" w:space="0"/>
              <w:right w:val="nil"/>
            </w:tcBorders>
            <w:vAlign w:val="center"/>
          </w:tcPr>
          <w:p w:rsidRPr="00041AD5" w:rsidR="007A0AC8" w:rsidP="0013083F" w:rsidRDefault="007A0AC8" w14:paraId="14B988B9" w14:textId="77777777">
            <w:pPr>
              <w:rPr>
                <w:rFonts w:ascii="Palatino Linotype" w:hAnsi="Palatino Linotype"/>
                <w:b/>
                <w:color w:val="000000" w:themeColor="text1"/>
                <w:sz w:val="20"/>
                <w:szCs w:val="20"/>
              </w:rPr>
            </w:pPr>
            <w:r w:rsidRPr="00041AD5">
              <w:rPr>
                <w:rFonts w:ascii="Palatino Linotype" w:hAnsi="Palatino Linotype"/>
                <w:color w:val="000000" w:themeColor="text1"/>
                <w:sz w:val="20"/>
                <w:szCs w:val="20"/>
              </w:rPr>
              <w:t xml:space="preserve">$                   </w:t>
            </w:r>
            <w:r w:rsidRPr="00041AD5">
              <w:rPr>
                <w:rFonts w:ascii="Palatino Linotype" w:hAnsi="Palatino Linotype"/>
                <w:color w:val="000000" w:themeColor="text1"/>
                <w:sz w:val="18"/>
                <w:szCs w:val="18"/>
              </w:rPr>
              <w:t xml:space="preserve"> </w:t>
            </w:r>
            <w:r w:rsidRPr="00041AD5">
              <w:rPr>
                <w:rFonts w:ascii="Palatino Linotype" w:hAnsi="Palatino Linotype"/>
                <w:color w:val="000000" w:themeColor="text1"/>
                <w:sz w:val="20"/>
                <w:szCs w:val="20"/>
              </w:rPr>
              <w:t xml:space="preserve">  </w:t>
            </w:r>
          </w:p>
        </w:tc>
        <w:tc>
          <w:tcPr>
            <w:tcW w:w="4140" w:type="dxa"/>
            <w:gridSpan w:val="4"/>
            <w:tcBorders>
              <w:top w:val="single" w:color="auto" w:sz="4" w:space="0"/>
              <w:left w:val="nil"/>
              <w:bottom w:val="single" w:color="auto" w:sz="4" w:space="0"/>
              <w:right w:val="single" w:color="auto" w:sz="4" w:space="0"/>
            </w:tcBorders>
            <w:vAlign w:val="center"/>
          </w:tcPr>
          <w:p w:rsidRPr="00041AD5" w:rsidR="007A0AC8" w:rsidP="000C5F27" w:rsidRDefault="007A0AC8" w14:paraId="385C45AD" w14:textId="06628C07">
            <w:pPr>
              <w:jc w:val="center"/>
              <w:rPr>
                <w:rFonts w:ascii="Palatino Linotype" w:hAnsi="Palatino Linotype"/>
                <w:b/>
                <w:color w:val="000000" w:themeColor="text1"/>
                <w:sz w:val="20"/>
                <w:szCs w:val="20"/>
              </w:rPr>
            </w:pPr>
            <w:r w:rsidRPr="00041AD5">
              <w:rPr>
                <w:rFonts w:ascii="Palatino Linotype" w:hAnsi="Palatino Linotype"/>
                <w:b/>
                <w:bCs/>
                <w:color w:val="000000" w:themeColor="text1"/>
                <w:sz w:val="20"/>
                <w:szCs w:val="20"/>
              </w:rPr>
              <w:t xml:space="preserve">31,076,691                  </w:t>
            </w:r>
          </w:p>
        </w:tc>
      </w:tr>
    </w:tbl>
    <w:p w:rsidRPr="00041AD5" w:rsidR="00E93A4B" w:rsidP="007D0030" w:rsidRDefault="00E93A4B" w14:paraId="75ACDB0C" w14:textId="77777777">
      <w:pPr>
        <w:spacing w:after="0" w:line="276" w:lineRule="auto"/>
        <w:rPr>
          <w:rFonts w:ascii="Palatino Linotype" w:hAnsi="Palatino Linotype" w:eastAsia="Times New Roman" w:cs="Times New Roman"/>
          <w:color w:val="000000" w:themeColor="text1"/>
          <w:kern w:val="0"/>
          <w14:ligatures w14:val="none"/>
        </w:rPr>
      </w:pPr>
    </w:p>
    <w:p w:rsidRPr="00041AD5" w:rsidR="00FA5B78" w:rsidP="0003593C" w:rsidRDefault="00E93A4B" w14:paraId="174802B0" w14:textId="4D8288FA">
      <w:pPr>
        <w:spacing w:after="0" w:line="276" w:lineRule="auto"/>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This Resolution provides a consolidated list of</w:t>
      </w:r>
      <w:r w:rsidRPr="00041AD5" w:rsidR="00014440">
        <w:rPr>
          <w:rFonts w:ascii="Palatino Linotype" w:hAnsi="Palatino Linotype" w:eastAsia="Times New Roman" w:cs="Times New Roman"/>
          <w:color w:val="000000" w:themeColor="text1"/>
          <w:kern w:val="0"/>
          <w14:ligatures w14:val="none"/>
        </w:rPr>
        <w:t xml:space="preserve"> program</w:t>
      </w:r>
      <w:r w:rsidRPr="00041AD5">
        <w:rPr>
          <w:rFonts w:ascii="Palatino Linotype" w:hAnsi="Palatino Linotype" w:eastAsia="Times New Roman" w:cs="Times New Roman"/>
          <w:color w:val="000000" w:themeColor="text1"/>
          <w:kern w:val="0"/>
          <w14:ligatures w14:val="none"/>
        </w:rPr>
        <w:t xml:space="preserve"> requirements</w:t>
      </w:r>
      <w:r w:rsidRPr="00041AD5" w:rsidR="00014440">
        <w:rPr>
          <w:rFonts w:ascii="Palatino Linotype" w:hAnsi="Palatino Linotype" w:eastAsia="Times New Roman" w:cs="Times New Roman"/>
          <w:color w:val="000000" w:themeColor="text1"/>
          <w:kern w:val="0"/>
          <w14:ligatures w14:val="none"/>
        </w:rPr>
        <w:t xml:space="preserve"> based on prior decisions and resolutions</w:t>
      </w:r>
      <w:r w:rsidRPr="00041AD5" w:rsidR="008E6989">
        <w:rPr>
          <w:rFonts w:ascii="Palatino Linotype" w:hAnsi="Palatino Linotype" w:eastAsia="Times New Roman" w:cs="Times New Roman"/>
          <w:color w:val="000000" w:themeColor="text1"/>
          <w:kern w:val="0"/>
          <w14:ligatures w14:val="none"/>
        </w:rPr>
        <w:t xml:space="preserve"> </w:t>
      </w:r>
      <w:r w:rsidRPr="00041AD5" w:rsidR="001836A3">
        <w:rPr>
          <w:rFonts w:ascii="Palatino Linotype" w:hAnsi="Palatino Linotype" w:eastAsia="Times New Roman" w:cs="Times New Roman"/>
          <w:color w:val="000000" w:themeColor="text1"/>
          <w:kern w:val="0"/>
          <w14:ligatures w14:val="none"/>
        </w:rPr>
        <w:t xml:space="preserve">as well as </w:t>
      </w:r>
      <w:r w:rsidRPr="00041AD5" w:rsidR="00014440">
        <w:rPr>
          <w:rFonts w:ascii="Palatino Linotype" w:hAnsi="Palatino Linotype" w:eastAsia="Times New Roman" w:cs="Times New Roman"/>
          <w:color w:val="000000" w:themeColor="text1"/>
          <w:kern w:val="0"/>
          <w14:ligatures w14:val="none"/>
        </w:rPr>
        <w:t>establishe</w:t>
      </w:r>
      <w:r w:rsidRPr="00041AD5" w:rsidR="00374800">
        <w:rPr>
          <w:rFonts w:ascii="Palatino Linotype" w:hAnsi="Palatino Linotype" w:eastAsia="Times New Roman" w:cs="Times New Roman"/>
          <w:color w:val="000000" w:themeColor="text1"/>
          <w:kern w:val="0"/>
          <w14:ligatures w14:val="none"/>
        </w:rPr>
        <w:t>s</w:t>
      </w:r>
      <w:r w:rsidRPr="00041AD5" w:rsidR="00014440">
        <w:rPr>
          <w:rFonts w:ascii="Palatino Linotype" w:hAnsi="Palatino Linotype" w:eastAsia="Times New Roman" w:cs="Times New Roman"/>
          <w:color w:val="000000" w:themeColor="text1"/>
          <w:kern w:val="0"/>
          <w14:ligatures w14:val="none"/>
        </w:rPr>
        <w:t xml:space="preserve"> new requirements for improved Commission oversight</w:t>
      </w:r>
      <w:r w:rsidRPr="00041AD5">
        <w:rPr>
          <w:rFonts w:ascii="Palatino Linotype" w:hAnsi="Palatino Linotype" w:eastAsia="Times New Roman" w:cs="Times New Roman"/>
          <w:color w:val="000000" w:themeColor="text1"/>
          <w:kern w:val="0"/>
          <w14:ligatures w14:val="none"/>
        </w:rPr>
        <w:t xml:space="preserve">. The list of consolidated program requirements is intended to </w:t>
      </w:r>
      <w:r w:rsidRPr="00041AD5">
        <w:rPr>
          <w:rFonts w:ascii="Palatino Linotype" w:hAnsi="Palatino Linotype"/>
          <w:color w:val="000000" w:themeColor="text1"/>
        </w:rPr>
        <w:t>aid the efficient development and streamlined review of future proposed Gas RD&amp;D Plans.</w:t>
      </w:r>
      <w:r w:rsidRPr="00041AD5" w:rsidR="00374800">
        <w:rPr>
          <w:rFonts w:ascii="Palatino Linotype" w:hAnsi="Palatino Linotype" w:eastAsia="Times New Roman"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kern w:val="0"/>
          <w14:ligatures w14:val="none"/>
        </w:rPr>
        <w:t xml:space="preserve">This Resolution modifies the Annual Report deadline set in </w:t>
      </w:r>
      <w:r w:rsidRPr="00041AD5" w:rsidR="00FA5B78">
        <w:rPr>
          <w:rFonts w:ascii="Palatino Linotype" w:hAnsi="Palatino Linotype"/>
          <w:color w:val="000000" w:themeColor="text1"/>
        </w:rPr>
        <w:t>Resolution G-3394 (</w:t>
      </w:r>
      <w:r w:rsidRPr="00041AD5" w:rsidR="006A476A">
        <w:rPr>
          <w:rFonts w:ascii="Palatino Linotype" w:hAnsi="Palatino Linotype"/>
          <w:color w:val="000000" w:themeColor="text1"/>
        </w:rPr>
        <w:t>October 31</w:t>
      </w:r>
      <w:r w:rsidRPr="00041AD5" w:rsidR="00FA5B78">
        <w:rPr>
          <w:rFonts w:ascii="Palatino Linotype" w:hAnsi="Palatino Linotype"/>
          <w:color w:val="000000" w:themeColor="text1"/>
        </w:rPr>
        <w:t>)</w:t>
      </w:r>
      <w:r w:rsidRPr="00041AD5" w:rsidR="006A476A">
        <w:rPr>
          <w:rStyle w:val="FootnoteReference"/>
          <w:rFonts w:ascii="Palatino Linotype" w:hAnsi="Palatino Linotype" w:eastAsia="Palatino Linotype" w:cs="Times New Roman"/>
          <w:b/>
          <w:bCs/>
          <w:color w:val="000000" w:themeColor="text1"/>
          <w:kern w:val="0"/>
          <w14:ligatures w14:val="none"/>
        </w:rPr>
        <w:footnoteReference w:id="4"/>
      </w:r>
      <w:r w:rsidRPr="00041AD5" w:rsidR="006A476A">
        <w:rPr>
          <w:rFonts w:ascii="Palatino Linotype" w:hAnsi="Palatino Linotype" w:eastAsia="Palatino Linotype"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kern w:val="0"/>
          <w14:ligatures w14:val="none"/>
        </w:rPr>
        <w:t xml:space="preserve">to promote </w:t>
      </w:r>
      <w:r w:rsidRPr="00041AD5" w:rsidR="00FF4145">
        <w:rPr>
          <w:rFonts w:ascii="Palatino Linotype" w:hAnsi="Palatino Linotype" w:eastAsia="Palatino Linotype" w:cs="Times New Roman"/>
          <w:color w:val="000000" w:themeColor="text1"/>
          <w:kern w:val="0"/>
          <w14:ligatures w14:val="none"/>
        </w:rPr>
        <w:t xml:space="preserve">coordination and </w:t>
      </w:r>
      <w:r w:rsidRPr="00041AD5" w:rsidR="00FA5B78">
        <w:rPr>
          <w:rFonts w:ascii="Palatino Linotype" w:hAnsi="Palatino Linotype" w:eastAsia="Palatino Linotype" w:cs="Times New Roman"/>
          <w:color w:val="000000" w:themeColor="text1"/>
          <w:kern w:val="0"/>
          <w14:ligatures w14:val="none"/>
        </w:rPr>
        <w:t>transparency in comparing</w:t>
      </w:r>
      <w:r w:rsidRPr="00041AD5" w:rsidR="00F116A7">
        <w:rPr>
          <w:rFonts w:ascii="Palatino Linotype" w:hAnsi="Palatino Linotype" w:eastAsia="Palatino Linotype"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kern w:val="0"/>
          <w14:ligatures w14:val="none"/>
        </w:rPr>
        <w:t>outcomes across CPUC ratepayer-funded RD&amp;D programs</w:t>
      </w:r>
      <w:r w:rsidRPr="00041AD5" w:rsidR="004315AC">
        <w:rPr>
          <w:rFonts w:ascii="Palatino Linotype" w:hAnsi="Palatino Linotype" w:eastAsia="Palatino Linotype" w:cs="Times New Roman"/>
          <w:color w:val="000000" w:themeColor="text1"/>
          <w:kern w:val="0"/>
          <w14:ligatures w14:val="none"/>
        </w:rPr>
        <w:t xml:space="preserve">. </w:t>
      </w:r>
      <w:r w:rsidRPr="00041AD5" w:rsidR="00FA5B78">
        <w:rPr>
          <w:rFonts w:ascii="Palatino Linotype" w:hAnsi="Palatino Linotype" w:eastAsia="Palatino Linotype" w:cs="Times New Roman"/>
          <w:color w:val="000000" w:themeColor="text1"/>
        </w:rPr>
        <w:t>Annual Reports shall be due June 1 of each year</w:t>
      </w:r>
      <w:r w:rsidRPr="00041AD5" w:rsidR="006A476A">
        <w:rPr>
          <w:rFonts w:ascii="Palatino Linotype" w:hAnsi="Palatino Linotype" w:eastAsia="Palatino Linotype" w:cs="Times New Roman"/>
          <w:color w:val="000000" w:themeColor="text1"/>
        </w:rPr>
        <w:t xml:space="preserve">, </w:t>
      </w:r>
      <w:r w:rsidRPr="00041AD5" w:rsidR="00FA5B78">
        <w:rPr>
          <w:rFonts w:ascii="Palatino Linotype" w:hAnsi="Palatino Linotype" w:eastAsia="Palatino Linotype" w:cs="Times New Roman"/>
          <w:color w:val="000000" w:themeColor="text1"/>
        </w:rPr>
        <w:t xml:space="preserve">pertaining to the previous </w:t>
      </w:r>
      <w:r w:rsidRPr="00041AD5" w:rsidR="006267A3">
        <w:rPr>
          <w:rFonts w:ascii="Palatino Linotype" w:hAnsi="Palatino Linotype" w:eastAsia="Palatino Linotype" w:cs="Times New Roman"/>
          <w:color w:val="000000" w:themeColor="text1"/>
        </w:rPr>
        <w:t>CY</w:t>
      </w:r>
      <w:r w:rsidRPr="00041AD5" w:rsidR="00FA5B78">
        <w:rPr>
          <w:rFonts w:ascii="Palatino Linotype" w:hAnsi="Palatino Linotype" w:eastAsia="Palatino Linotype" w:cs="Times New Roman"/>
          <w:color w:val="000000" w:themeColor="text1"/>
        </w:rPr>
        <w:t>. To accommodate the transition from FY to CY reporting,</w:t>
      </w:r>
      <w:r w:rsidRPr="00041AD5" w:rsidR="008D1E83">
        <w:rPr>
          <w:rFonts w:ascii="Palatino Linotype" w:hAnsi="Palatino Linotype" w:eastAsia="Palatino Linotype" w:cs="Times New Roman"/>
          <w:color w:val="000000" w:themeColor="text1"/>
        </w:rPr>
        <w:t xml:space="preserve"> the</w:t>
      </w:r>
      <w:r w:rsidRPr="00041AD5" w:rsidR="00FA5B78">
        <w:rPr>
          <w:rFonts w:ascii="Palatino Linotype" w:hAnsi="Palatino Linotype" w:eastAsia="Palatino Linotype" w:cs="Times New Roman"/>
          <w:color w:val="000000" w:themeColor="text1"/>
        </w:rPr>
        <w:t xml:space="preserve"> CEC’s FY 2025-2026 Gas RD&amp;D Annual Report, currently due October 31, 2026, shall be due June 1, 2027, and </w:t>
      </w:r>
      <w:r w:rsidRPr="00041AD5" w:rsidR="00E57985">
        <w:rPr>
          <w:rFonts w:ascii="Palatino Linotype" w:hAnsi="Palatino Linotype" w:eastAsia="Palatino Linotype" w:cs="Times New Roman"/>
          <w:color w:val="000000" w:themeColor="text1"/>
        </w:rPr>
        <w:t>cover</w:t>
      </w:r>
      <w:r w:rsidRPr="00041AD5" w:rsidR="00FA5B78">
        <w:rPr>
          <w:rFonts w:ascii="Palatino Linotype" w:hAnsi="Palatino Linotype" w:eastAsia="Palatino Linotype" w:cs="Times New Roman"/>
          <w:color w:val="000000" w:themeColor="text1"/>
        </w:rPr>
        <w:t xml:space="preserve"> a one-and-a-half-year period: July 2025 through December 2026.</w:t>
      </w:r>
      <w:r w:rsidRPr="00041AD5" w:rsidR="00BA4B6A">
        <w:rPr>
          <w:rFonts w:ascii="Palatino Linotype" w:hAnsi="Palatino Linotype" w:eastAsia="Palatino Linotype" w:cs="Times New Roman"/>
          <w:color w:val="000000" w:themeColor="text1"/>
        </w:rPr>
        <w:t xml:space="preserve"> </w:t>
      </w:r>
    </w:p>
    <w:p w:rsidRPr="00041AD5" w:rsidR="00B744B9" w:rsidP="0003593C" w:rsidRDefault="00B744B9" w14:paraId="4679BBD0"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791C33" w:rsidP="003147DD" w:rsidRDefault="00A76F4A" w14:paraId="5078E906" w14:textId="39D9F5B0">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lastRenderedPageBreak/>
        <w:t>Background</w:t>
      </w:r>
    </w:p>
    <w:p w:rsidR="00B34737" w:rsidP="00503AF5" w:rsidRDefault="00F34295" w14:paraId="149D2BA7" w14:textId="0A793EA1">
      <w:p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CPUC’s Gas RD&amp;D program is governed by </w:t>
      </w:r>
      <w:r w:rsidRPr="00041AD5" w:rsidR="00B34737">
        <w:rPr>
          <w:rFonts w:ascii="Palatino Linotype" w:hAnsi="Palatino Linotype"/>
          <w:color w:val="000000" w:themeColor="text1"/>
        </w:rPr>
        <w:t xml:space="preserve">statute, as well as CPUC </w:t>
      </w:r>
      <w:r w:rsidRPr="00041AD5" w:rsidR="0056763F">
        <w:rPr>
          <w:rFonts w:ascii="Palatino Linotype" w:hAnsi="Palatino Linotype"/>
          <w:color w:val="000000" w:themeColor="text1"/>
        </w:rPr>
        <w:t>d</w:t>
      </w:r>
      <w:r w:rsidRPr="00041AD5" w:rsidR="00B34737">
        <w:rPr>
          <w:rFonts w:ascii="Palatino Linotype" w:hAnsi="Palatino Linotype"/>
          <w:color w:val="000000" w:themeColor="text1"/>
        </w:rPr>
        <w:t xml:space="preserve">ecisions and </w:t>
      </w:r>
      <w:r w:rsidRPr="00041AD5" w:rsidR="0056763F">
        <w:rPr>
          <w:rFonts w:ascii="Palatino Linotype" w:hAnsi="Palatino Linotype"/>
          <w:color w:val="000000" w:themeColor="text1"/>
        </w:rPr>
        <w:t>r</w:t>
      </w:r>
      <w:r w:rsidRPr="00041AD5" w:rsidR="00B34737">
        <w:rPr>
          <w:rFonts w:ascii="Palatino Linotype" w:hAnsi="Palatino Linotype"/>
          <w:color w:val="000000" w:themeColor="text1"/>
        </w:rPr>
        <w:t>esolutions related to the program.</w:t>
      </w:r>
    </w:p>
    <w:p w:rsidRPr="00041AD5" w:rsidR="00503AF5" w:rsidP="00503AF5" w:rsidRDefault="00503AF5" w14:paraId="6FC788C6" w14:textId="77777777">
      <w:pPr>
        <w:spacing w:after="0" w:line="276" w:lineRule="auto"/>
        <w:rPr>
          <w:rFonts w:ascii="Palatino Linotype" w:hAnsi="Palatino Linotype"/>
          <w:color w:val="000000" w:themeColor="text1"/>
        </w:rPr>
      </w:pPr>
    </w:p>
    <w:p w:rsidRPr="00041AD5" w:rsidR="00B34737" w:rsidP="00B34737" w:rsidRDefault="00B34737" w14:paraId="5DA2BC75" w14:textId="7F58C49D">
      <w:pPr>
        <w:spacing w:after="0" w:line="276" w:lineRule="auto"/>
        <w:rPr>
          <w:rFonts w:ascii="Palatino Linotype" w:hAnsi="Palatino Linotype"/>
          <w:b/>
          <w:bCs/>
          <w:color w:val="000000" w:themeColor="text1"/>
        </w:rPr>
      </w:pPr>
      <w:r w:rsidRPr="00041AD5">
        <w:rPr>
          <w:rFonts w:ascii="Palatino Linotype" w:hAnsi="Palatino Linotype"/>
          <w:b/>
          <w:bCs/>
          <w:color w:val="000000" w:themeColor="text1"/>
        </w:rPr>
        <w:t>Statutory Authority for Gas R</w:t>
      </w:r>
      <w:r w:rsidR="00BA67E3">
        <w:rPr>
          <w:rFonts w:ascii="Palatino Linotype" w:hAnsi="Palatino Linotype"/>
          <w:b/>
          <w:bCs/>
          <w:color w:val="000000" w:themeColor="text1"/>
        </w:rPr>
        <w:t>D</w:t>
      </w:r>
      <w:r w:rsidRPr="00041AD5">
        <w:rPr>
          <w:rFonts w:ascii="Palatino Linotype" w:hAnsi="Palatino Linotype"/>
          <w:b/>
          <w:bCs/>
          <w:color w:val="000000" w:themeColor="text1"/>
        </w:rPr>
        <w:t xml:space="preserve">&amp;D </w:t>
      </w:r>
      <w:r w:rsidRPr="00041AD5" w:rsidR="00D90B66">
        <w:rPr>
          <w:rFonts w:ascii="Palatino Linotype" w:hAnsi="Palatino Linotype"/>
          <w:b/>
          <w:bCs/>
          <w:color w:val="000000" w:themeColor="text1"/>
        </w:rPr>
        <w:t>P</w:t>
      </w:r>
      <w:r w:rsidRPr="00041AD5">
        <w:rPr>
          <w:rFonts w:ascii="Palatino Linotype" w:hAnsi="Palatino Linotype"/>
          <w:b/>
          <w:bCs/>
          <w:color w:val="000000" w:themeColor="text1"/>
        </w:rPr>
        <w:t xml:space="preserve">rogram </w:t>
      </w:r>
    </w:p>
    <w:p w:rsidRPr="00041AD5" w:rsidR="00F34295" w:rsidP="00D90B66" w:rsidRDefault="00B34737" w14:paraId="7B85BB3E" w14:textId="3A28B9DF">
      <w:pPr>
        <w:spacing w:before="240"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primary statute governing the </w:t>
      </w:r>
      <w:r w:rsidRPr="00041AD5" w:rsidR="00675791">
        <w:rPr>
          <w:rFonts w:ascii="Palatino Linotype" w:hAnsi="Palatino Linotype"/>
          <w:color w:val="000000" w:themeColor="text1"/>
        </w:rPr>
        <w:t xml:space="preserve">Gas </w:t>
      </w:r>
      <w:r w:rsidRPr="00041AD5">
        <w:rPr>
          <w:rFonts w:ascii="Palatino Linotype" w:hAnsi="Palatino Linotype"/>
          <w:color w:val="000000" w:themeColor="text1"/>
        </w:rPr>
        <w:t>R</w:t>
      </w:r>
      <w:r w:rsidRPr="00041AD5" w:rsidR="00675791">
        <w:rPr>
          <w:rFonts w:ascii="Palatino Linotype" w:hAnsi="Palatino Linotype"/>
          <w:color w:val="000000" w:themeColor="text1"/>
        </w:rPr>
        <w:t>D</w:t>
      </w:r>
      <w:r w:rsidRPr="00041AD5">
        <w:rPr>
          <w:rFonts w:ascii="Palatino Linotype" w:hAnsi="Palatino Linotype"/>
          <w:color w:val="000000" w:themeColor="text1"/>
        </w:rPr>
        <w:t xml:space="preserve">&amp;D program was created via </w:t>
      </w:r>
      <w:r w:rsidRPr="00041AD5">
        <w:rPr>
          <w:rFonts w:ascii="Palatino Linotype" w:hAnsi="Palatino Linotype" w:eastAsia="Palatino Linotype" w:cs="Times New Roman"/>
          <w:bCs/>
          <w:color w:val="000000" w:themeColor="text1"/>
          <w:kern w:val="0"/>
          <w14:ligatures w14:val="none"/>
        </w:rPr>
        <w:t>Assembly Bill (AB) 1002 (Wright, 2002)</w:t>
      </w:r>
      <w:r w:rsidRPr="00041AD5" w:rsidR="00AA23D7">
        <w:rPr>
          <w:rStyle w:val="FootnoteReference"/>
          <w:rFonts w:ascii="Palatino Linotype" w:hAnsi="Palatino Linotype" w:eastAsia="Palatino Linotype" w:cs="Times New Roman"/>
          <w:bCs/>
          <w:color w:val="000000" w:themeColor="text1"/>
          <w:kern w:val="0"/>
          <w14:ligatures w14:val="none"/>
        </w:rPr>
        <w:footnoteReference w:id="5"/>
      </w:r>
      <w:r w:rsidRPr="00041AD5">
        <w:rPr>
          <w:rFonts w:ascii="Palatino Linotype" w:hAnsi="Palatino Linotype" w:eastAsia="Palatino Linotype" w:cs="Times New Roman"/>
          <w:bCs/>
          <w:color w:val="000000" w:themeColor="text1"/>
          <w:kern w:val="0"/>
          <w14:ligatures w14:val="none"/>
        </w:rPr>
        <w:t xml:space="preserve"> which required the Commission to </w:t>
      </w:r>
      <w:r w:rsidRPr="00041AD5">
        <w:rPr>
          <w:rFonts w:ascii="Palatino Linotype" w:hAnsi="Palatino Linotype" w:eastAsia="Palatino Linotype" w:cs="Times New Roman"/>
          <w:color w:val="000000" w:themeColor="text1"/>
        </w:rPr>
        <w:t>establish a natural gas surcharge to fund gas</w:t>
      </w:r>
      <w:r w:rsidRPr="00041AD5">
        <w:rPr>
          <w:rFonts w:ascii="Palatino Linotype" w:hAnsi="Palatino Linotype" w:eastAsia="Palatino Linotype" w:cs="Times New Roman"/>
          <w:bCs/>
          <w:color w:val="000000" w:themeColor="text1"/>
          <w:kern w:val="0"/>
          <w14:ligatures w14:val="none"/>
        </w:rPr>
        <w:t>-related Public Purpose Programs (PPP).</w:t>
      </w:r>
    </w:p>
    <w:p w:rsidRPr="00041AD5" w:rsidR="00CD785B" w:rsidP="004459A5" w:rsidRDefault="00CD785B" w14:paraId="476503FF" w14:textId="77777777">
      <w:pPr>
        <w:keepNext/>
        <w:spacing w:after="0" w:line="276" w:lineRule="auto"/>
        <w:outlineLvl w:val="0"/>
        <w:rPr>
          <w:rFonts w:ascii="Palatino Linotype" w:hAnsi="Palatino Linotype" w:eastAsia="Palatino Linotype" w:cs="Times New Roman"/>
          <w:b/>
          <w:color w:val="000000" w:themeColor="text1"/>
          <w:kern w:val="0"/>
          <w14:ligatures w14:val="none"/>
        </w:rPr>
      </w:pPr>
    </w:p>
    <w:p w:rsidRPr="00041AD5" w:rsidR="00791C33" w:rsidP="00CD785B" w:rsidRDefault="00EE71FC" w14:paraId="6EB53F76" w14:textId="001C06AC">
      <w:pPr>
        <w:keepNext/>
        <w:spacing w:after="240" w:line="276" w:lineRule="auto"/>
        <w:outlineLvl w:val="0"/>
        <w:rPr>
          <w:rFonts w:ascii="Palatino Linotype" w:hAnsi="Palatino Linotype" w:eastAsia="Palatino Linotype" w:cs="Times New Roman"/>
          <w:bCs/>
          <w:caps/>
          <w:color w:val="000000" w:themeColor="text1"/>
          <w:kern w:val="28"/>
          <w:u w:val="single"/>
          <w14:ligatures w14:val="none"/>
        </w:rPr>
      </w:pPr>
      <w:r w:rsidRPr="00041AD5">
        <w:rPr>
          <w:rFonts w:ascii="Palatino Linotype" w:hAnsi="Palatino Linotype" w:eastAsia="Palatino Linotype" w:cs="Times New Roman"/>
          <w:color w:val="000000" w:themeColor="text1"/>
          <w:kern w:val="0"/>
          <w:u w:val="single"/>
          <w14:ligatures w14:val="none"/>
        </w:rPr>
        <w:t xml:space="preserve">Gas RD&amp;D Program 2004 </w:t>
      </w:r>
      <w:r w:rsidRPr="00041AD5" w:rsidR="00CD785B">
        <w:rPr>
          <w:rFonts w:ascii="Palatino Linotype" w:hAnsi="Palatino Linotype" w:eastAsia="Palatino Linotype" w:cs="Times New Roman"/>
          <w:color w:val="000000" w:themeColor="text1"/>
          <w:kern w:val="0"/>
          <w:u w:val="single"/>
          <w14:ligatures w14:val="none"/>
        </w:rPr>
        <w:t>Foundational</w:t>
      </w:r>
      <w:r w:rsidRPr="00041AD5" w:rsidR="00287E15">
        <w:rPr>
          <w:rFonts w:ascii="Palatino Linotype" w:hAnsi="Palatino Linotype" w:eastAsia="Palatino Linotype" w:cs="Times New Roman"/>
          <w:color w:val="000000" w:themeColor="text1"/>
          <w:kern w:val="0"/>
          <w:u w:val="single"/>
          <w14:ligatures w14:val="none"/>
        </w:rPr>
        <w:t xml:space="preserve"> Decision</w:t>
      </w:r>
    </w:p>
    <w:p w:rsidRPr="00041AD5" w:rsidR="0033190A" w:rsidP="00BA049B" w:rsidRDefault="00EA401C" w14:paraId="255742F6" w14:textId="580BAE00">
      <w:pPr>
        <w:keepNext/>
        <w:spacing w:line="276" w:lineRule="auto"/>
        <w:outlineLvl w:val="0"/>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In 2002, the CPUC instituted Rulemaking (R.)</w:t>
      </w:r>
      <w:r w:rsidRPr="00041AD5" w:rsidR="00F72EE7">
        <w:rPr>
          <w:rFonts w:ascii="Palatino Linotype" w:hAnsi="Palatino Linotype" w:eastAsia="Palatino Linotype" w:cs="Times New Roman"/>
          <w:bCs/>
          <w:color w:val="000000" w:themeColor="text1"/>
          <w:kern w:val="0"/>
          <w14:ligatures w14:val="none"/>
        </w:rPr>
        <w:t xml:space="preserve"> </w:t>
      </w:r>
      <w:r w:rsidRPr="00041AD5">
        <w:rPr>
          <w:rFonts w:ascii="Palatino Linotype" w:hAnsi="Palatino Linotype" w:eastAsia="Palatino Linotype" w:cs="Times New Roman"/>
          <w:bCs/>
          <w:color w:val="000000" w:themeColor="text1"/>
          <w:kern w:val="0"/>
          <w14:ligatures w14:val="none"/>
        </w:rPr>
        <w:t xml:space="preserve">02-10-001 to implement </w:t>
      </w:r>
      <w:r w:rsidRPr="00041AD5" w:rsidR="004A2CE9">
        <w:rPr>
          <w:rFonts w:ascii="Palatino Linotype" w:hAnsi="Palatino Linotype" w:eastAsia="Palatino Linotype" w:cs="Times New Roman"/>
          <w:bCs/>
          <w:color w:val="000000" w:themeColor="text1"/>
          <w:kern w:val="0"/>
          <w14:ligatures w14:val="none"/>
        </w:rPr>
        <w:t xml:space="preserve">AB 1002, </w:t>
      </w:r>
      <w:r w:rsidRPr="00041AD5" w:rsidR="006A0047">
        <w:rPr>
          <w:rFonts w:ascii="Palatino Linotype" w:hAnsi="Palatino Linotype" w:eastAsia="Palatino Linotype" w:cs="Times New Roman"/>
          <w:bCs/>
          <w:color w:val="000000" w:themeColor="text1"/>
          <w:kern w:val="0"/>
          <w14:ligatures w14:val="none"/>
        </w:rPr>
        <w:t>resulting in</w:t>
      </w:r>
      <w:r w:rsidRPr="00041AD5" w:rsidR="0073067F">
        <w:rPr>
          <w:rFonts w:ascii="Palatino Linotype" w:hAnsi="Palatino Linotype" w:eastAsia="Palatino Linotype" w:cs="Times New Roman"/>
          <w:bCs/>
          <w:color w:val="000000" w:themeColor="text1"/>
          <w:kern w:val="0"/>
          <w14:ligatures w14:val="none"/>
        </w:rPr>
        <w:t xml:space="preserve"> </w:t>
      </w:r>
      <w:r w:rsidRPr="00041AD5" w:rsidR="006B0618">
        <w:rPr>
          <w:rFonts w:ascii="Palatino Linotype" w:hAnsi="Palatino Linotype" w:eastAsia="Palatino Linotype" w:cs="Times New Roman"/>
          <w:bCs/>
          <w:color w:val="000000" w:themeColor="text1"/>
          <w:kern w:val="0"/>
          <w14:ligatures w14:val="none"/>
        </w:rPr>
        <w:t>D.04-08-010,</w:t>
      </w:r>
      <w:r w:rsidRPr="00041AD5" w:rsidR="00AC49EA">
        <w:rPr>
          <w:rStyle w:val="FootnoteReference"/>
          <w:rFonts w:ascii="Palatino Linotype" w:hAnsi="Palatino Linotype" w:eastAsia="Palatino Linotype" w:cs="Times New Roman"/>
          <w:bCs/>
          <w:color w:val="000000" w:themeColor="text1"/>
          <w:kern w:val="0"/>
          <w14:ligatures w14:val="none"/>
        </w:rPr>
        <w:footnoteReference w:id="6"/>
      </w:r>
      <w:r w:rsidRPr="00041AD5" w:rsidR="006B0618">
        <w:rPr>
          <w:rFonts w:ascii="Palatino Linotype" w:hAnsi="Palatino Linotype" w:eastAsia="Palatino Linotype" w:cs="Times New Roman"/>
          <w:bCs/>
          <w:color w:val="000000" w:themeColor="text1"/>
          <w:kern w:val="0"/>
          <w14:ligatures w14:val="none"/>
        </w:rPr>
        <w:t xml:space="preserve"> </w:t>
      </w:r>
      <w:r w:rsidRPr="00041AD5" w:rsidR="0073067F">
        <w:rPr>
          <w:rFonts w:ascii="Palatino Linotype" w:hAnsi="Palatino Linotype" w:eastAsia="Palatino Linotype" w:cs="Times New Roman"/>
          <w:bCs/>
          <w:color w:val="000000" w:themeColor="text1"/>
          <w:kern w:val="0"/>
          <w14:ligatures w14:val="none"/>
        </w:rPr>
        <w:t xml:space="preserve">the </w:t>
      </w:r>
      <w:r w:rsidRPr="00041AD5" w:rsidR="00A86BBE">
        <w:rPr>
          <w:rFonts w:ascii="Palatino Linotype" w:hAnsi="Palatino Linotype" w:eastAsia="Palatino Linotype" w:cs="Times New Roman"/>
          <w:bCs/>
          <w:color w:val="000000" w:themeColor="text1"/>
          <w:kern w:val="0"/>
          <w14:ligatures w14:val="none"/>
        </w:rPr>
        <w:t xml:space="preserve">Gas Research, Development, and Demonstration (RD&amp;D) </w:t>
      </w:r>
      <w:r w:rsidRPr="00041AD5" w:rsidR="00DD20F1">
        <w:rPr>
          <w:rFonts w:ascii="Palatino Linotype" w:hAnsi="Palatino Linotype" w:eastAsia="Palatino Linotype" w:cs="Times New Roman"/>
          <w:bCs/>
          <w:color w:val="000000" w:themeColor="text1"/>
          <w:kern w:val="0"/>
          <w14:ligatures w14:val="none"/>
        </w:rPr>
        <w:t xml:space="preserve">Program’s </w:t>
      </w:r>
      <w:r w:rsidRPr="00041AD5" w:rsidR="0073067F">
        <w:rPr>
          <w:rFonts w:ascii="Palatino Linotype" w:hAnsi="Palatino Linotype" w:eastAsia="Palatino Linotype" w:cs="Times New Roman"/>
          <w:bCs/>
          <w:color w:val="000000" w:themeColor="text1"/>
          <w:kern w:val="0"/>
          <w14:ligatures w14:val="none"/>
        </w:rPr>
        <w:t xml:space="preserve">foundational </w:t>
      </w:r>
      <w:r w:rsidRPr="00041AD5" w:rsidR="006B0618">
        <w:rPr>
          <w:rFonts w:ascii="Palatino Linotype" w:hAnsi="Palatino Linotype" w:eastAsia="Palatino Linotype" w:cs="Times New Roman"/>
          <w:bCs/>
          <w:color w:val="000000" w:themeColor="text1"/>
          <w:kern w:val="0"/>
          <w14:ligatures w14:val="none"/>
        </w:rPr>
        <w:t>decision</w:t>
      </w:r>
      <w:r w:rsidRPr="00041AD5" w:rsidR="006A0047">
        <w:rPr>
          <w:rFonts w:ascii="Palatino Linotype" w:hAnsi="Palatino Linotype" w:eastAsia="Palatino Linotype" w:cs="Times New Roman"/>
          <w:bCs/>
          <w:color w:val="000000" w:themeColor="text1"/>
          <w:kern w:val="0"/>
          <w14:ligatures w14:val="none"/>
        </w:rPr>
        <w:t>.</w:t>
      </w:r>
      <w:r w:rsidRPr="00041AD5" w:rsidR="00D15678">
        <w:rPr>
          <w:rFonts w:ascii="Palatino Linotype" w:hAnsi="Palatino Linotype" w:eastAsia="Palatino Linotype" w:cs="Times New Roman"/>
          <w:bCs/>
          <w:color w:val="000000" w:themeColor="text1"/>
          <w:kern w:val="0"/>
          <w14:ligatures w14:val="none"/>
        </w:rPr>
        <w:t xml:space="preserve"> </w:t>
      </w:r>
      <w:r w:rsidRPr="00041AD5" w:rsidR="00B00D19">
        <w:rPr>
          <w:rFonts w:ascii="Palatino Linotype" w:hAnsi="Palatino Linotype" w:eastAsia="Palatino Linotype" w:cs="Times New Roman"/>
          <w:bCs/>
          <w:color w:val="000000" w:themeColor="text1"/>
          <w:kern w:val="0"/>
          <w14:ligatures w14:val="none"/>
        </w:rPr>
        <w:t>In t</w:t>
      </w:r>
      <w:r w:rsidRPr="00041AD5" w:rsidR="005A7171">
        <w:rPr>
          <w:rFonts w:ascii="Palatino Linotype" w:hAnsi="Palatino Linotype" w:eastAsia="Palatino Linotype" w:cs="Times New Roman"/>
          <w:bCs/>
          <w:color w:val="000000" w:themeColor="text1"/>
          <w:kern w:val="0"/>
          <w14:ligatures w14:val="none"/>
        </w:rPr>
        <w:t>he d</w:t>
      </w:r>
      <w:r w:rsidRPr="00041AD5" w:rsidR="00B00D19">
        <w:rPr>
          <w:rFonts w:ascii="Palatino Linotype" w:hAnsi="Palatino Linotype" w:eastAsia="Palatino Linotype" w:cs="Times New Roman"/>
          <w:bCs/>
          <w:color w:val="000000" w:themeColor="text1"/>
          <w:kern w:val="0"/>
          <w14:ligatures w14:val="none"/>
        </w:rPr>
        <w:t>ecision</w:t>
      </w:r>
      <w:r w:rsidRPr="00041AD5" w:rsidR="00B54EB8">
        <w:rPr>
          <w:rFonts w:ascii="Palatino Linotype" w:hAnsi="Palatino Linotype" w:eastAsia="Palatino Linotype" w:cs="Times New Roman"/>
          <w:bCs/>
          <w:color w:val="000000" w:themeColor="text1"/>
          <w:kern w:val="0"/>
          <w14:ligatures w14:val="none"/>
        </w:rPr>
        <w:t>,</w:t>
      </w:r>
      <w:r w:rsidRPr="00041AD5" w:rsidR="00B00D19">
        <w:rPr>
          <w:rFonts w:ascii="Palatino Linotype" w:hAnsi="Palatino Linotype" w:eastAsia="Palatino Linotype" w:cs="Times New Roman"/>
          <w:bCs/>
          <w:color w:val="000000" w:themeColor="text1"/>
          <w:kern w:val="0"/>
          <w14:ligatures w14:val="none"/>
        </w:rPr>
        <w:t xml:space="preserve"> the Commission appointed the CEC as its administrator of the Gas RD&amp;D </w:t>
      </w:r>
      <w:r w:rsidRPr="00041AD5" w:rsidR="00B00D19">
        <w:rPr>
          <w:rFonts w:ascii="Palatino Linotype" w:hAnsi="Palatino Linotype" w:eastAsia="Palatino Linotype" w:cs="Times New Roman"/>
          <w:color w:val="000000" w:themeColor="text1"/>
        </w:rPr>
        <w:t>Program.</w:t>
      </w:r>
      <w:r w:rsidRPr="00041AD5" w:rsidR="00B00D19">
        <w:rPr>
          <w:rStyle w:val="FootnoteReference"/>
          <w:rFonts w:ascii="Palatino Linotype" w:hAnsi="Palatino Linotype" w:eastAsia="Palatino Linotype" w:cs="Times New Roman"/>
          <w:bCs/>
          <w:color w:val="000000" w:themeColor="text1"/>
          <w:kern w:val="0"/>
          <w14:ligatures w14:val="none"/>
        </w:rPr>
        <w:footnoteReference w:id="7"/>
      </w:r>
      <w:r w:rsidRPr="00041AD5" w:rsidR="0F9C5AEF">
        <w:rPr>
          <w:rFonts w:ascii="Palatino Linotype" w:hAnsi="Palatino Linotype" w:eastAsia="Palatino Linotype" w:cs="Times New Roman"/>
          <w:color w:val="000000" w:themeColor="text1"/>
          <w:kern w:val="0"/>
          <w14:ligatures w14:val="none"/>
        </w:rPr>
        <w:t xml:space="preserve"> </w:t>
      </w:r>
      <w:r w:rsidRPr="00041AD5" w:rsidR="0033190A">
        <w:rPr>
          <w:rFonts w:ascii="Palatino Linotype" w:hAnsi="Palatino Linotype" w:eastAsia="Palatino Linotype" w:cs="Times New Roman"/>
          <w:color w:val="000000" w:themeColor="text1"/>
        </w:rPr>
        <w:t xml:space="preserve">The </w:t>
      </w:r>
      <w:r w:rsidRPr="00041AD5" w:rsidR="0033190A">
        <w:rPr>
          <w:rFonts w:ascii="Palatino Linotype" w:hAnsi="Palatino Linotype"/>
          <w:color w:val="000000" w:themeColor="text1"/>
        </w:rPr>
        <w:t xml:space="preserve">CEC is required to submit proposed Annual Gas RD&amp;D Investment Plans (Plans) for consideration, subject to Commission approval via </w:t>
      </w:r>
      <w:r w:rsidRPr="00041AD5" w:rsidR="0056763F">
        <w:rPr>
          <w:rFonts w:ascii="Palatino Linotype" w:hAnsi="Palatino Linotype"/>
          <w:color w:val="000000" w:themeColor="text1"/>
        </w:rPr>
        <w:t>r</w:t>
      </w:r>
      <w:r w:rsidRPr="00041AD5" w:rsidR="0033190A">
        <w:rPr>
          <w:rFonts w:ascii="Palatino Linotype" w:hAnsi="Palatino Linotype"/>
          <w:color w:val="000000" w:themeColor="text1"/>
        </w:rPr>
        <w:t>esolution.</w:t>
      </w:r>
      <w:r w:rsidRPr="00041AD5" w:rsidR="0033190A">
        <w:rPr>
          <w:rStyle w:val="FootnoteReference"/>
          <w:rFonts w:ascii="Palatino Linotype" w:hAnsi="Palatino Linotype"/>
          <w:color w:val="000000" w:themeColor="text1"/>
        </w:rPr>
        <w:footnoteReference w:id="8"/>
      </w:r>
      <w:r w:rsidRPr="00041AD5" w:rsidR="0033190A">
        <w:rPr>
          <w:rFonts w:ascii="Palatino Linotype" w:hAnsi="Palatino Linotype"/>
          <w:color w:val="000000" w:themeColor="text1"/>
        </w:rPr>
        <w:t xml:space="preserve"> For this, the </w:t>
      </w:r>
      <w:r w:rsidRPr="00041AD5" w:rsidR="0056763F">
        <w:rPr>
          <w:rFonts w:ascii="Palatino Linotype" w:hAnsi="Palatino Linotype"/>
          <w:color w:val="000000" w:themeColor="text1"/>
        </w:rPr>
        <w:t>d</w:t>
      </w:r>
      <w:r w:rsidRPr="00041AD5" w:rsidR="0033190A">
        <w:rPr>
          <w:rFonts w:ascii="Palatino Linotype" w:hAnsi="Palatino Linotype"/>
          <w:color w:val="000000" w:themeColor="text1"/>
        </w:rPr>
        <w:t>ecision designates Energy Division as the Commission’s advisor in assisting with reviewing and adopting Plans.</w:t>
      </w:r>
      <w:r w:rsidRPr="00041AD5" w:rsidR="0033190A">
        <w:rPr>
          <w:rStyle w:val="FootnoteReference"/>
          <w:rFonts w:ascii="Palatino Linotype" w:hAnsi="Palatino Linotype"/>
          <w:color w:val="000000" w:themeColor="text1"/>
        </w:rPr>
        <w:footnoteReference w:id="9"/>
      </w:r>
    </w:p>
    <w:p w:rsidRPr="00041AD5" w:rsidR="00BD4655" w:rsidP="00B65AF1" w:rsidRDefault="00C766CC" w14:paraId="60FD6C4B" w14:textId="1AA0C8EE">
      <w:pPr>
        <w:keepNext/>
        <w:spacing w:before="240"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In adopting the Gas RD&amp;D </w:t>
      </w:r>
      <w:r w:rsidRPr="00041AD5" w:rsidR="005B4D54">
        <w:rPr>
          <w:rFonts w:ascii="Palatino Linotype" w:hAnsi="Palatino Linotype" w:eastAsia="Palatino Linotype" w:cs="Times New Roman"/>
          <w:bCs/>
          <w:color w:val="000000" w:themeColor="text1"/>
          <w:kern w:val="0"/>
          <w14:ligatures w14:val="none"/>
        </w:rPr>
        <w:t>p</w:t>
      </w:r>
      <w:r w:rsidRPr="00041AD5">
        <w:rPr>
          <w:rFonts w:ascii="Palatino Linotype" w:hAnsi="Palatino Linotype" w:eastAsia="Palatino Linotype" w:cs="Times New Roman"/>
          <w:bCs/>
          <w:color w:val="000000" w:themeColor="text1"/>
          <w:kern w:val="0"/>
          <w14:ligatures w14:val="none"/>
        </w:rPr>
        <w:t xml:space="preserve">rogram, the CPUC referred to Public Utilities </w:t>
      </w:r>
      <w:r w:rsidRPr="00041AD5" w:rsidR="00B65AF1">
        <w:rPr>
          <w:rFonts w:ascii="Palatino Linotype" w:hAnsi="Palatino Linotype" w:eastAsia="Palatino Linotype" w:cs="Times New Roman"/>
          <w:bCs/>
          <w:color w:val="000000" w:themeColor="text1"/>
          <w:kern w:val="0"/>
          <w14:ligatures w14:val="none"/>
        </w:rPr>
        <w:t xml:space="preserve">(PU) </w:t>
      </w:r>
      <w:r w:rsidRPr="00041AD5">
        <w:rPr>
          <w:rFonts w:ascii="Palatino Linotype" w:hAnsi="Palatino Linotype" w:eastAsia="Palatino Linotype" w:cs="Times New Roman"/>
          <w:bCs/>
          <w:color w:val="000000" w:themeColor="text1"/>
          <w:kern w:val="0"/>
          <w14:ligatures w14:val="none"/>
        </w:rPr>
        <w:t>Code Section 740.1 as the adopted definition of public interest R&amp;D</w:t>
      </w:r>
      <w:r w:rsidRPr="00041AD5" w:rsidR="00B65AF1">
        <w:rPr>
          <w:rFonts w:ascii="Palatino Linotype" w:hAnsi="Palatino Linotype" w:eastAsia="Palatino Linotype" w:cs="Times New Roman"/>
          <w:bCs/>
          <w:color w:val="000000" w:themeColor="text1"/>
          <w:kern w:val="0"/>
          <w14:ligatures w14:val="none"/>
        </w:rPr>
        <w:t>,</w:t>
      </w:r>
      <w:r w:rsidRPr="00041AD5">
        <w:rPr>
          <w:rStyle w:val="FootnoteReference"/>
          <w:rFonts w:ascii="Palatino Linotype" w:hAnsi="Palatino Linotype" w:eastAsia="Palatino Linotype" w:cs="Times New Roman"/>
          <w:bCs/>
          <w:color w:val="000000" w:themeColor="text1"/>
          <w:kern w:val="0"/>
          <w14:ligatures w14:val="none"/>
        </w:rPr>
        <w:footnoteReference w:id="10"/>
      </w:r>
      <w:r w:rsidRPr="00041AD5">
        <w:rPr>
          <w:rFonts w:ascii="Palatino Linotype" w:hAnsi="Palatino Linotype" w:eastAsia="Palatino Linotype" w:cs="Times New Roman"/>
          <w:bCs/>
          <w:color w:val="000000" w:themeColor="text1"/>
          <w:kern w:val="0"/>
          <w14:ligatures w14:val="none"/>
        </w:rPr>
        <w:t xml:space="preserve"> </w:t>
      </w:r>
      <w:r w:rsidRPr="00041AD5" w:rsidR="00B65AF1">
        <w:rPr>
          <w:rFonts w:ascii="Palatino Linotype" w:hAnsi="Palatino Linotype" w:eastAsia="Palatino Linotype" w:cs="Times New Roman"/>
          <w:bCs/>
          <w:color w:val="000000" w:themeColor="text1"/>
          <w:kern w:val="0"/>
          <w14:ligatures w14:val="none"/>
        </w:rPr>
        <w:t xml:space="preserve">which </w:t>
      </w:r>
      <w:r w:rsidRPr="00041AD5" w:rsidR="00BD4655">
        <w:rPr>
          <w:rFonts w:ascii="Palatino Linotype" w:hAnsi="Palatino Linotype" w:eastAsia="Palatino Linotype" w:cs="Times New Roman"/>
          <w:bCs/>
          <w:color w:val="000000" w:themeColor="text1"/>
          <w:kern w:val="0"/>
          <w14:ligatures w14:val="none"/>
        </w:rPr>
        <w:t xml:space="preserve">directs the Commission to consider the following guidelines in evaluating proposed Gas RD&amp;D investments: </w:t>
      </w:r>
    </w:p>
    <w:p w:rsidRPr="00041AD5" w:rsidR="00BD4655" w:rsidP="00BD4655" w:rsidRDefault="00BD4655" w14:paraId="753059E7"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Projects should offer a reasonable probability of providing benefits to ratepayers.</w:t>
      </w:r>
    </w:p>
    <w:p w:rsidRPr="00041AD5" w:rsidR="00BD4655" w:rsidP="00BD4655" w:rsidRDefault="00BD4655" w14:paraId="5AF5D8E5"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Expenditures on projects which have a low probability for success should be minimized.</w:t>
      </w:r>
      <w:r w:rsidRPr="00041AD5">
        <w:rPr>
          <w:rStyle w:val="FootnoteReference"/>
          <w:rFonts w:ascii="Palatino Linotype" w:hAnsi="Palatino Linotype" w:eastAsia="Palatino Linotype" w:cs="Times New Roman"/>
          <w:bCs/>
          <w:i/>
          <w:iCs/>
          <w:color w:val="000000" w:themeColor="text1"/>
          <w:kern w:val="0"/>
          <w14:ligatures w14:val="none"/>
        </w:rPr>
        <w:footnoteReference w:id="11"/>
      </w:r>
    </w:p>
    <w:p w:rsidRPr="00041AD5" w:rsidR="00BD4655" w:rsidP="00BD4655" w:rsidRDefault="00BD4655" w14:paraId="248EAB46" w14:textId="77777777">
      <w:pPr>
        <w:pStyle w:val="ListParagraph"/>
        <w:numPr>
          <w:ilvl w:val="0"/>
          <w:numId w:val="6"/>
        </w:numPr>
        <w:spacing w:after="0"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lastRenderedPageBreak/>
        <w:t>Projects should be consistent with the corporation's resource plan.</w:t>
      </w:r>
      <w:r w:rsidRPr="00041AD5">
        <w:rPr>
          <w:rStyle w:val="FootnoteReference"/>
          <w:rFonts w:ascii="Palatino Linotype" w:hAnsi="Palatino Linotype" w:eastAsia="Palatino Linotype" w:cs="Times New Roman"/>
          <w:bCs/>
          <w:i/>
          <w:iCs/>
          <w:color w:val="000000" w:themeColor="text1"/>
          <w:kern w:val="0"/>
          <w14:ligatures w14:val="none"/>
        </w:rPr>
        <w:footnoteReference w:id="12"/>
      </w:r>
    </w:p>
    <w:p w:rsidRPr="00041AD5" w:rsidR="00BD4655" w:rsidP="00BD4655" w:rsidRDefault="00BD4655" w14:paraId="104D6D5B"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 xml:space="preserve">Projects should not unnecessarily duplicate research currently, previously, or imminently undertaken by other electrical or gas corporations or research organizations. </w:t>
      </w:r>
    </w:p>
    <w:p w:rsidRPr="00041AD5" w:rsidR="00BD4655" w:rsidP="00BD4655" w:rsidRDefault="00BD4655" w14:paraId="0568F622"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Each project should also support one or more of the following objectives:</w:t>
      </w:r>
    </w:p>
    <w:p w:rsidRPr="00041AD5" w:rsidR="00BD4655" w:rsidP="00BD4655" w:rsidRDefault="00BD4655" w14:paraId="26B72110"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Environmental improvement.</w:t>
      </w:r>
    </w:p>
    <w:p w:rsidRPr="00041AD5" w:rsidR="00BD4655" w:rsidP="00BD4655" w:rsidRDefault="00BD4655" w14:paraId="5A7C2AD1"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Public and employee safety.</w:t>
      </w:r>
    </w:p>
    <w:p w:rsidRPr="00041AD5" w:rsidR="00BD4655" w:rsidP="00BD4655" w:rsidRDefault="00BD4655" w14:paraId="6883831E"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Conservation by efficient resource use or by reducing or shifting system load.</w:t>
      </w:r>
    </w:p>
    <w:p w:rsidRPr="00041AD5" w:rsidR="00BD4655" w:rsidP="00BD4655" w:rsidRDefault="00BD4655" w14:paraId="184A0505"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Development of new resources and processes, particularly renewable resources and processes which further supply technologies.</w:t>
      </w:r>
    </w:p>
    <w:p w:rsidRPr="00041AD5" w:rsidR="00BD4655" w:rsidP="008C7B92" w:rsidRDefault="00BD4655" w14:paraId="3121B375" w14:textId="030B8B31">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Improve operating efficiency and reliability or otherwise reduce operating costs.</w:t>
      </w:r>
      <w:r w:rsidRPr="00041AD5">
        <w:rPr>
          <w:rStyle w:val="FootnoteReference"/>
          <w:rFonts w:ascii="Palatino Linotype" w:hAnsi="Palatino Linotype" w:eastAsia="Palatino Linotype" w:cs="Times New Roman"/>
          <w:bCs/>
          <w:i/>
          <w:iCs/>
          <w:color w:val="000000" w:themeColor="text1"/>
          <w:kern w:val="0"/>
          <w14:ligatures w14:val="none"/>
        </w:rPr>
        <w:footnoteReference w:id="13"/>
      </w:r>
      <w:r w:rsidRPr="00041AD5">
        <w:rPr>
          <w:rFonts w:ascii="Palatino Linotype" w:hAnsi="Palatino Linotype" w:eastAsia="Palatino Linotype" w:cs="Times New Roman"/>
          <w:bCs/>
          <w:i/>
          <w:iCs/>
          <w:color w:val="000000" w:themeColor="text1"/>
          <w:kern w:val="0"/>
          <w14:ligatures w14:val="none"/>
        </w:rPr>
        <w:t xml:space="preserve"> </w:t>
      </w:r>
    </w:p>
    <w:p w:rsidRPr="00041AD5" w:rsidR="00C766CC" w:rsidP="00C766CC" w:rsidRDefault="00B65AF1" w14:paraId="6B0525FE" w14:textId="626CD7B9">
      <w:pPr>
        <w:keepNext/>
        <w:spacing w:before="240"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In D.04-08-010, the CPUC </w:t>
      </w:r>
      <w:r w:rsidRPr="00041AD5" w:rsidR="00C766CC">
        <w:rPr>
          <w:rFonts w:ascii="Palatino Linotype" w:hAnsi="Palatino Linotype" w:eastAsia="Palatino Linotype" w:cs="Times New Roman"/>
          <w:bCs/>
          <w:color w:val="000000" w:themeColor="text1"/>
          <w:kern w:val="0"/>
          <w14:ligatures w14:val="none"/>
        </w:rPr>
        <w:t>set</w:t>
      </w:r>
      <w:r w:rsidRPr="00041AD5">
        <w:rPr>
          <w:rFonts w:ascii="Palatino Linotype" w:hAnsi="Palatino Linotype" w:eastAsia="Palatino Linotype" w:cs="Times New Roman"/>
          <w:bCs/>
          <w:color w:val="000000" w:themeColor="text1"/>
          <w:kern w:val="0"/>
          <w14:ligatures w14:val="none"/>
        </w:rPr>
        <w:t xml:space="preserve"> </w:t>
      </w:r>
      <w:r w:rsidRPr="00041AD5" w:rsidR="00C766CC">
        <w:rPr>
          <w:rFonts w:ascii="Palatino Linotype" w:hAnsi="Palatino Linotype" w:eastAsia="Palatino Linotype" w:cs="Times New Roman"/>
          <w:bCs/>
          <w:color w:val="000000" w:themeColor="text1"/>
          <w:kern w:val="0"/>
          <w14:ligatures w14:val="none"/>
        </w:rPr>
        <w:t xml:space="preserve">the following additional criteria for approved Gas R&amp;D projects: </w:t>
      </w:r>
    </w:p>
    <w:p w:rsidRPr="00041AD5" w:rsidR="00C766CC" w:rsidP="00C766CC" w:rsidRDefault="00C766CC" w14:paraId="3F8F81ED"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Focus on energy efficiency, renewable technologies, conservation and environmental issues,</w:t>
      </w:r>
      <w:r w:rsidRPr="00041AD5">
        <w:rPr>
          <w:rStyle w:val="FootnoteReference"/>
          <w:rFonts w:ascii="Palatino Linotype" w:hAnsi="Palatino Linotype" w:eastAsia="Palatino Linotype" w:cs="Times New Roman"/>
          <w:bCs/>
          <w:color w:val="000000" w:themeColor="text1"/>
          <w:kern w:val="0"/>
          <w14:ligatures w14:val="none"/>
        </w:rPr>
        <w:footnoteReference w:id="14"/>
      </w:r>
      <w:r w:rsidRPr="00041AD5">
        <w:rPr>
          <w:rFonts w:ascii="Palatino Linotype" w:hAnsi="Palatino Linotype" w:eastAsia="Palatino Linotype" w:cs="Times New Roman"/>
          <w:bCs/>
          <w:color w:val="000000" w:themeColor="text1"/>
          <w:kern w:val="0"/>
          <w14:ligatures w14:val="none"/>
        </w:rPr>
        <w:t xml:space="preserve"> </w:t>
      </w:r>
    </w:p>
    <w:p w:rsidRPr="00041AD5" w:rsidR="00C766CC" w:rsidP="00C766CC" w:rsidRDefault="00C766CC" w14:paraId="7F78364A"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Support State Energy policy, </w:t>
      </w:r>
    </w:p>
    <w:p w:rsidRPr="00041AD5" w:rsidR="00C766CC" w:rsidP="00C766CC" w:rsidRDefault="00C766CC" w14:paraId="41C7A2E1"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Offer a reasonable probability of providing benefits to the general public,</w:t>
      </w:r>
      <w:r w:rsidRPr="00041AD5">
        <w:rPr>
          <w:rStyle w:val="FootnoteReference"/>
          <w:rFonts w:ascii="Palatino Linotype" w:hAnsi="Palatino Linotype" w:eastAsia="Palatino Linotype" w:cs="Times New Roman"/>
          <w:bCs/>
          <w:color w:val="000000" w:themeColor="text1"/>
          <w:kern w:val="0"/>
          <w14:ligatures w14:val="none"/>
        </w:rPr>
        <w:footnoteReference w:id="15"/>
      </w:r>
      <w:r w:rsidRPr="00041AD5">
        <w:rPr>
          <w:rFonts w:ascii="Palatino Linotype" w:hAnsi="Palatino Linotype" w:eastAsia="Palatino Linotype" w:cs="Times New Roman"/>
          <w:bCs/>
          <w:color w:val="000000" w:themeColor="text1"/>
          <w:kern w:val="0"/>
          <w14:ligatures w14:val="none"/>
        </w:rPr>
        <w:t xml:space="preserve"> and </w:t>
      </w:r>
    </w:p>
    <w:p w:rsidRPr="00041AD5" w:rsidR="00C766CC" w:rsidP="00C766CC" w:rsidRDefault="00C766CC" w14:paraId="22C05E18" w14:textId="77777777">
      <w:pPr>
        <w:pStyle w:val="ListParagraph"/>
        <w:numPr>
          <w:ilvl w:val="0"/>
          <w:numId w:val="8"/>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lastRenderedPageBreak/>
        <w:t>Consider opportunities for collaboration and co-funding opportunities</w:t>
      </w:r>
      <w:r w:rsidRPr="00041AD5">
        <w:rPr>
          <w:rStyle w:val="FootnoteReference"/>
          <w:rFonts w:ascii="Palatino Linotype" w:hAnsi="Palatino Linotype" w:eastAsia="Palatino Linotype" w:cs="Times New Roman"/>
          <w:color w:val="000000" w:themeColor="text1"/>
          <w:kern w:val="0"/>
          <w14:ligatures w14:val="none"/>
        </w:rPr>
        <w:footnoteReference w:id="16"/>
      </w:r>
      <w:r w:rsidRPr="00041AD5">
        <w:rPr>
          <w:rFonts w:ascii="Palatino Linotype" w:hAnsi="Palatino Linotype" w:eastAsia="Palatino Linotype" w:cs="Times New Roman"/>
          <w:color w:val="000000" w:themeColor="text1"/>
          <w:kern w:val="0"/>
          <w14:ligatures w14:val="none"/>
        </w:rPr>
        <w:t xml:space="preserve"> with other entities.</w:t>
      </w:r>
      <w:r w:rsidRPr="00041AD5">
        <w:rPr>
          <w:rStyle w:val="FootnoteReference"/>
          <w:rFonts w:ascii="Palatino Linotype" w:hAnsi="Palatino Linotype" w:eastAsia="Palatino Linotype" w:cs="Times New Roman"/>
          <w:color w:val="000000" w:themeColor="text1"/>
          <w:kern w:val="0"/>
          <w14:ligatures w14:val="none"/>
        </w:rPr>
        <w:footnoteReference w:id="17"/>
      </w:r>
      <w:r w:rsidRPr="00041AD5">
        <w:rPr>
          <w:rFonts w:ascii="Palatino Linotype" w:hAnsi="Palatino Linotype" w:eastAsia="Palatino Linotype" w:cs="Times New Roman"/>
          <w:color w:val="000000" w:themeColor="text1"/>
          <w:kern w:val="0"/>
          <w14:ligatures w14:val="none"/>
        </w:rPr>
        <w:t xml:space="preserve"> </w:t>
      </w:r>
    </w:p>
    <w:p w:rsidRPr="00041AD5" w:rsidR="007C1ADD" w:rsidP="008C7B92" w:rsidRDefault="007C1ADD" w14:paraId="336457BF" w14:textId="77777777">
      <w:pPr>
        <w:keepNext/>
        <w:spacing w:after="0" w:line="276" w:lineRule="auto"/>
        <w:outlineLvl w:val="0"/>
        <w:rPr>
          <w:rFonts w:ascii="Palatino Linotype" w:hAnsi="Palatino Linotype" w:eastAsia="Palatino Linotype" w:cs="Times New Roman"/>
          <w:color w:val="000000" w:themeColor="text1"/>
        </w:rPr>
      </w:pPr>
    </w:p>
    <w:p w:rsidRPr="00041AD5" w:rsidR="007C1ADD" w:rsidP="00BA049B" w:rsidRDefault="007C1ADD" w14:paraId="7590643A" w14:textId="002B90ED">
      <w:pPr>
        <w:keepNext/>
        <w:spacing w:line="276" w:lineRule="auto"/>
        <w:outlineLvl w:val="0"/>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t>Gas RD&amp;D Program Budget</w:t>
      </w:r>
    </w:p>
    <w:p w:rsidRPr="00041AD5" w:rsidR="3F8DE55E" w:rsidP="00D064E4" w:rsidRDefault="00B00D19" w14:paraId="5063B647" w14:textId="1AC5A7F0">
      <w:pPr>
        <w:keepNext/>
        <w:spacing w:after="0" w:line="276" w:lineRule="auto"/>
        <w:outlineLvl w:val="0"/>
        <w:rPr>
          <w:rFonts w:ascii="Palatino Linotype" w:hAnsi="Palatino Linotype"/>
          <w:color w:val="000000" w:themeColor="text1"/>
        </w:rPr>
      </w:pPr>
      <w:r w:rsidRPr="00041AD5">
        <w:rPr>
          <w:rFonts w:ascii="Palatino Linotype" w:hAnsi="Palatino Linotype" w:eastAsia="Palatino Linotype" w:cs="Times New Roman"/>
          <w:color w:val="000000" w:themeColor="text1"/>
        </w:rPr>
        <w:t>T</w:t>
      </w:r>
      <w:r w:rsidRPr="00041AD5" w:rsidR="0082414B">
        <w:rPr>
          <w:rFonts w:ascii="Palatino Linotype" w:hAnsi="Palatino Linotype" w:eastAsia="Palatino Linotype" w:cs="Times New Roman"/>
          <w:color w:val="000000" w:themeColor="text1"/>
        </w:rPr>
        <w:t xml:space="preserve">he Commission capped </w:t>
      </w:r>
      <w:r w:rsidRPr="00041AD5" w:rsidR="00E0086A">
        <w:rPr>
          <w:rFonts w:ascii="Palatino Linotype" w:hAnsi="Palatino Linotype" w:eastAsia="Palatino Linotype" w:cs="Times New Roman"/>
          <w:color w:val="000000" w:themeColor="text1"/>
        </w:rPr>
        <w:t xml:space="preserve">CEC’s Gas RD&amp;D Program </w:t>
      </w:r>
      <w:r w:rsidRPr="00041AD5" w:rsidR="0082414B">
        <w:rPr>
          <w:rFonts w:ascii="Palatino Linotype" w:hAnsi="Palatino Linotype" w:eastAsia="Palatino Linotype" w:cs="Times New Roman"/>
          <w:color w:val="000000" w:themeColor="text1"/>
        </w:rPr>
        <w:t>budget</w:t>
      </w:r>
      <w:r w:rsidRPr="00041AD5" w:rsidR="00E0086A">
        <w:rPr>
          <w:rFonts w:ascii="Palatino Linotype" w:hAnsi="Palatino Linotype" w:eastAsia="Palatino Linotype" w:cs="Times New Roman"/>
          <w:color w:val="000000" w:themeColor="text1"/>
        </w:rPr>
        <w:t xml:space="preserve"> </w:t>
      </w:r>
      <w:r w:rsidRPr="00041AD5" w:rsidR="00E0086A">
        <w:rPr>
          <w:rFonts w:ascii="Palatino Linotype" w:hAnsi="Palatino Linotype"/>
          <w:color w:val="000000" w:themeColor="text1"/>
        </w:rPr>
        <w:t xml:space="preserve">at $24 million in annual funding, including all necessary administrative costs; the budget reached the maximum amount allowed in 2009 and has remained at this </w:t>
      </w:r>
      <w:r w:rsidRPr="00041AD5" w:rsidR="00EE60F9">
        <w:rPr>
          <w:rFonts w:ascii="Palatino Linotype" w:hAnsi="Palatino Linotype"/>
          <w:color w:val="000000" w:themeColor="text1"/>
        </w:rPr>
        <w:t xml:space="preserve">same </w:t>
      </w:r>
      <w:r w:rsidRPr="00041AD5" w:rsidR="00E0086A">
        <w:rPr>
          <w:rFonts w:ascii="Palatino Linotype" w:hAnsi="Palatino Linotype"/>
          <w:color w:val="000000" w:themeColor="text1"/>
        </w:rPr>
        <w:t>level to the present.</w:t>
      </w:r>
      <w:r w:rsidRPr="00041AD5" w:rsidR="00E0086A">
        <w:rPr>
          <w:rStyle w:val="FootnoteReference"/>
          <w:rFonts w:ascii="Palatino Linotype" w:hAnsi="Palatino Linotype"/>
          <w:color w:val="000000" w:themeColor="text1"/>
        </w:rPr>
        <w:footnoteReference w:id="18"/>
      </w:r>
      <w:r w:rsidRPr="00041AD5" w:rsidR="00E0086A">
        <w:rPr>
          <w:rFonts w:ascii="Palatino Linotype" w:hAnsi="Palatino Linotype"/>
          <w:color w:val="000000" w:themeColor="text1"/>
        </w:rPr>
        <w:t xml:space="preserve"> </w:t>
      </w:r>
      <w:r w:rsidRPr="00041AD5" w:rsidR="00CC68C2">
        <w:rPr>
          <w:rFonts w:ascii="Palatino Linotype" w:hAnsi="Palatino Linotype"/>
          <w:color w:val="000000" w:themeColor="text1"/>
        </w:rPr>
        <w:t>T</w:t>
      </w:r>
      <w:r w:rsidRPr="00041AD5" w:rsidR="00CC68C2">
        <w:rPr>
          <w:rFonts w:ascii="Palatino Linotype" w:hAnsi="Palatino Linotype" w:eastAsia="Palatino Linotype" w:cs="Times New Roman"/>
          <w:color w:val="000000" w:themeColor="text1"/>
        </w:rPr>
        <w:t>he Commission adopted a zero-based budget,</w:t>
      </w:r>
      <w:r w:rsidRPr="00041AD5" w:rsidR="00CC68C2">
        <w:rPr>
          <w:rStyle w:val="FootnoteReference"/>
          <w:rFonts w:ascii="Palatino Linotype" w:hAnsi="Palatino Linotype" w:eastAsia="Palatino Linotype" w:cs="Times New Roman"/>
          <w:color w:val="000000" w:themeColor="text1"/>
        </w:rPr>
        <w:footnoteReference w:id="19"/>
      </w:r>
      <w:r w:rsidRPr="00041AD5" w:rsidR="00CC68C2">
        <w:rPr>
          <w:rFonts w:ascii="Palatino Linotype" w:hAnsi="Palatino Linotype" w:eastAsia="Palatino Linotype" w:cs="Times New Roman"/>
          <w:color w:val="000000" w:themeColor="text1"/>
        </w:rPr>
        <w:t xml:space="preserve"> </w:t>
      </w:r>
      <w:r w:rsidRPr="00041AD5" w:rsidR="00E51C4D">
        <w:rPr>
          <w:rFonts w:ascii="Palatino Linotype" w:hAnsi="Palatino Linotype" w:eastAsia="Palatino Linotype" w:cs="Times New Roman"/>
          <w:color w:val="000000" w:themeColor="text1"/>
        </w:rPr>
        <w:t xml:space="preserve">for </w:t>
      </w:r>
      <w:r w:rsidRPr="00041AD5" w:rsidR="00CC68C2">
        <w:rPr>
          <w:rFonts w:ascii="Palatino Linotype" w:hAnsi="Palatino Linotype" w:eastAsia="Palatino Linotype" w:cs="Times New Roman"/>
          <w:color w:val="000000" w:themeColor="text1"/>
        </w:rPr>
        <w:t>which the Commission may approve up to the</w:t>
      </w:r>
      <w:r w:rsidRPr="00041AD5" w:rsidR="004E7EBD">
        <w:rPr>
          <w:rFonts w:ascii="Palatino Linotype" w:hAnsi="Palatino Linotype" w:eastAsia="Palatino Linotype" w:cs="Times New Roman"/>
          <w:color w:val="000000" w:themeColor="text1"/>
        </w:rPr>
        <w:t xml:space="preserve"> $24</w:t>
      </w:r>
      <w:r w:rsidRPr="00041AD5" w:rsidR="00B51FF8">
        <w:rPr>
          <w:rFonts w:ascii="Palatino Linotype" w:hAnsi="Palatino Linotype" w:eastAsia="Palatino Linotype" w:cs="Times New Roman"/>
          <w:color w:val="000000" w:themeColor="text1"/>
        </w:rPr>
        <w:t xml:space="preserve"> million </w:t>
      </w:r>
      <w:r w:rsidRPr="00041AD5" w:rsidR="000A7AB5">
        <w:rPr>
          <w:rFonts w:ascii="Palatino Linotype" w:hAnsi="Palatino Linotype" w:eastAsia="Palatino Linotype" w:cs="Times New Roman"/>
          <w:color w:val="000000" w:themeColor="text1"/>
        </w:rPr>
        <w:t xml:space="preserve">budget cap </w:t>
      </w:r>
      <w:r w:rsidRPr="00041AD5" w:rsidR="00B51FF8">
        <w:rPr>
          <w:rFonts w:ascii="Palatino Linotype" w:hAnsi="Palatino Linotype" w:eastAsia="Palatino Linotype" w:cs="Times New Roman"/>
          <w:color w:val="000000" w:themeColor="text1"/>
        </w:rPr>
        <w:t xml:space="preserve">upon determination of the </w:t>
      </w:r>
      <w:r w:rsidRPr="00041AD5" w:rsidR="008C6486">
        <w:rPr>
          <w:rFonts w:ascii="Palatino Linotype" w:hAnsi="Palatino Linotype" w:eastAsia="Palatino Linotype" w:cs="Times New Roman"/>
          <w:color w:val="000000" w:themeColor="text1"/>
        </w:rPr>
        <w:t xml:space="preserve">eligibility of each </w:t>
      </w:r>
      <w:r w:rsidRPr="00041AD5" w:rsidR="008E1D34">
        <w:rPr>
          <w:rFonts w:ascii="Palatino Linotype" w:hAnsi="Palatino Linotype" w:eastAsia="Palatino Linotype" w:cs="Times New Roman"/>
          <w:color w:val="000000" w:themeColor="text1"/>
        </w:rPr>
        <w:t xml:space="preserve">individually </w:t>
      </w:r>
      <w:r w:rsidRPr="00041AD5" w:rsidR="008C6486">
        <w:rPr>
          <w:rFonts w:ascii="Palatino Linotype" w:hAnsi="Palatino Linotype" w:eastAsia="Palatino Linotype" w:cs="Times New Roman"/>
          <w:color w:val="000000" w:themeColor="text1"/>
        </w:rPr>
        <w:t xml:space="preserve">proposed budget allocation or Plan element, </w:t>
      </w:r>
      <w:r w:rsidRPr="00041AD5" w:rsidR="004B65DC">
        <w:rPr>
          <w:rFonts w:ascii="Palatino Linotype" w:hAnsi="Palatino Linotype" w:eastAsia="Palatino Linotype" w:cs="Times New Roman"/>
          <w:color w:val="000000" w:themeColor="text1"/>
        </w:rPr>
        <w:t>referred to as Initiatives.</w:t>
      </w:r>
      <w:r w:rsidRPr="00041AD5">
        <w:rPr>
          <w:rFonts w:ascii="Palatino Linotype" w:hAnsi="Palatino Linotype"/>
          <w:color w:val="000000" w:themeColor="text1"/>
        </w:rPr>
        <w:t xml:space="preserve"> </w:t>
      </w:r>
      <w:r w:rsidRPr="00041AD5" w:rsidR="006A069B">
        <w:rPr>
          <w:rFonts w:ascii="Palatino Linotype" w:hAnsi="Palatino Linotype"/>
          <w:color w:val="000000" w:themeColor="text1"/>
        </w:rPr>
        <w:t>The Commission</w:t>
      </w:r>
      <w:r w:rsidRPr="00041AD5" w:rsidR="00B3213B">
        <w:rPr>
          <w:rFonts w:ascii="Palatino Linotype" w:hAnsi="Palatino Linotype"/>
          <w:color w:val="000000" w:themeColor="text1"/>
        </w:rPr>
        <w:t xml:space="preserve"> adopted </w:t>
      </w:r>
      <w:r w:rsidR="00D00C9D">
        <w:rPr>
          <w:rFonts w:ascii="Palatino Linotype" w:hAnsi="Palatino Linotype"/>
          <w:color w:val="000000" w:themeColor="text1"/>
        </w:rPr>
        <w:t xml:space="preserve">the </w:t>
      </w:r>
      <w:r w:rsidRPr="00041AD5" w:rsidR="006A069B">
        <w:rPr>
          <w:rFonts w:ascii="Palatino Linotype" w:hAnsi="Palatino Linotype"/>
          <w:color w:val="000000" w:themeColor="text1"/>
        </w:rPr>
        <w:t xml:space="preserve">zero-based </w:t>
      </w:r>
      <w:r w:rsidRPr="00041AD5" w:rsidR="000E089C">
        <w:rPr>
          <w:rFonts w:ascii="Palatino Linotype" w:hAnsi="Palatino Linotype"/>
          <w:color w:val="000000" w:themeColor="text1"/>
        </w:rPr>
        <w:t xml:space="preserve">method to approve Gas RD&amp;D Annual Plans via </w:t>
      </w:r>
      <w:r w:rsidRPr="00041AD5" w:rsidR="0056763F">
        <w:rPr>
          <w:rFonts w:ascii="Palatino Linotype" w:hAnsi="Palatino Linotype"/>
          <w:color w:val="000000" w:themeColor="text1"/>
        </w:rPr>
        <w:t>r</w:t>
      </w:r>
      <w:r w:rsidRPr="00041AD5" w:rsidR="000E089C">
        <w:rPr>
          <w:rFonts w:ascii="Palatino Linotype" w:hAnsi="Palatino Linotype"/>
          <w:color w:val="000000" w:themeColor="text1"/>
        </w:rPr>
        <w:t xml:space="preserve">esolution and inform </w:t>
      </w:r>
      <w:r w:rsidRPr="00041AD5" w:rsidR="006A069B">
        <w:rPr>
          <w:rFonts w:ascii="Palatino Linotype" w:hAnsi="Palatino Linotype"/>
          <w:color w:val="000000" w:themeColor="text1"/>
        </w:rPr>
        <w:t>utility surcharge rates and collections in the upcoming year.</w:t>
      </w:r>
      <w:r w:rsidRPr="00041AD5" w:rsidR="006A069B">
        <w:rPr>
          <w:rStyle w:val="FootnoteReference"/>
          <w:rFonts w:ascii="Palatino Linotype" w:hAnsi="Palatino Linotype"/>
          <w:color w:val="000000" w:themeColor="text1"/>
        </w:rPr>
        <w:footnoteReference w:id="20"/>
      </w:r>
      <w:r w:rsidRPr="00041AD5" w:rsidR="006A069B">
        <w:rPr>
          <w:rFonts w:ascii="Palatino Linotype" w:hAnsi="Palatino Linotype"/>
          <w:color w:val="000000" w:themeColor="text1"/>
        </w:rPr>
        <w:t xml:space="preserve"> </w:t>
      </w:r>
      <w:r w:rsidRPr="00041AD5">
        <w:rPr>
          <w:rFonts w:ascii="Palatino Linotype" w:hAnsi="Palatino Linotype" w:eastAsia="Palatino Linotype"/>
          <w:color w:val="000000" w:themeColor="text1"/>
        </w:rPr>
        <w:t xml:space="preserve">The CEC </w:t>
      </w:r>
      <w:r w:rsidRPr="00041AD5" w:rsidR="00E64960">
        <w:rPr>
          <w:rFonts w:ascii="Palatino Linotype" w:hAnsi="Palatino Linotype" w:eastAsia="Palatino Linotype"/>
          <w:color w:val="000000" w:themeColor="text1"/>
        </w:rPr>
        <w:t xml:space="preserve">can </w:t>
      </w:r>
      <w:r w:rsidRPr="00041AD5">
        <w:rPr>
          <w:rFonts w:ascii="Palatino Linotype" w:hAnsi="Palatino Linotype" w:eastAsia="Palatino Linotype"/>
          <w:color w:val="000000" w:themeColor="text1"/>
        </w:rPr>
        <w:t xml:space="preserve">only request quarterly transfers from the </w:t>
      </w:r>
      <w:r w:rsidRPr="00041AD5" w:rsidR="00D720DA">
        <w:rPr>
          <w:rFonts w:ascii="Palatino Linotype" w:hAnsi="Palatino Linotype" w:eastAsia="Palatino Linotype"/>
          <w:color w:val="000000" w:themeColor="text1"/>
        </w:rPr>
        <w:t xml:space="preserve">CPUC’s </w:t>
      </w:r>
      <w:r w:rsidRPr="00041AD5" w:rsidR="00896B48">
        <w:rPr>
          <w:rFonts w:ascii="Palatino Linotype" w:hAnsi="Palatino Linotype"/>
          <w:color w:val="000000" w:themeColor="text1"/>
        </w:rPr>
        <w:t>Gas Consumption Surcharge Fund (CPUC’s Fund)</w:t>
      </w:r>
      <w:r w:rsidRPr="00041AD5">
        <w:rPr>
          <w:rFonts w:ascii="Palatino Linotype" w:hAnsi="Palatino Linotype" w:eastAsia="Palatino Linotype"/>
          <w:color w:val="000000" w:themeColor="text1"/>
        </w:rPr>
        <w:t xml:space="preserve"> consistent with </w:t>
      </w:r>
      <w:r w:rsidRPr="00041AD5">
        <w:rPr>
          <w:rFonts w:ascii="Palatino Linotype" w:hAnsi="Palatino Linotype"/>
          <w:color w:val="000000" w:themeColor="text1"/>
        </w:rPr>
        <w:t xml:space="preserve">the zero-based budget adopted via Commission </w:t>
      </w:r>
      <w:r w:rsidRPr="00041AD5" w:rsidR="0056763F">
        <w:rPr>
          <w:rFonts w:ascii="Palatino Linotype" w:hAnsi="Palatino Linotype"/>
          <w:color w:val="000000" w:themeColor="text1"/>
        </w:rPr>
        <w:t>r</w:t>
      </w:r>
      <w:r w:rsidRPr="00041AD5">
        <w:rPr>
          <w:rFonts w:ascii="Palatino Linotype" w:hAnsi="Palatino Linotype"/>
          <w:color w:val="000000" w:themeColor="text1"/>
        </w:rPr>
        <w:t xml:space="preserve">esolution </w:t>
      </w:r>
      <w:r w:rsidRPr="00041AD5">
        <w:rPr>
          <w:rFonts w:ascii="Palatino Linotype" w:hAnsi="Palatino Linotype" w:eastAsia="Palatino Linotype"/>
          <w:color w:val="000000" w:themeColor="text1"/>
        </w:rPr>
        <w:t>approving its Plans.</w:t>
      </w:r>
      <w:r w:rsidRPr="00041AD5">
        <w:rPr>
          <w:rStyle w:val="FootnoteReference"/>
          <w:rFonts w:ascii="Palatino Linotype" w:hAnsi="Palatino Linotype"/>
          <w:color w:val="000000" w:themeColor="text1"/>
        </w:rPr>
        <w:footnoteReference w:id="21"/>
      </w:r>
      <w:r w:rsidRPr="00041AD5">
        <w:rPr>
          <w:rFonts w:ascii="Palatino Linotype" w:hAnsi="Palatino Linotype" w:eastAsia="Palatino Linotype" w:cs="Times New Roman"/>
          <w:color w:val="000000" w:themeColor="text1"/>
        </w:rPr>
        <w:t xml:space="preserve"> </w:t>
      </w:r>
      <w:r w:rsidRPr="00041AD5" w:rsidR="00E432C6">
        <w:rPr>
          <w:rFonts w:ascii="Palatino Linotype" w:hAnsi="Palatino Linotype"/>
          <w:color w:val="000000" w:themeColor="text1"/>
        </w:rPr>
        <w:t xml:space="preserve">Disbursements from the </w:t>
      </w:r>
      <w:r w:rsidRPr="00041AD5" w:rsidR="002C0A8D">
        <w:rPr>
          <w:rFonts w:ascii="Palatino Linotype" w:hAnsi="Palatino Linotype"/>
          <w:color w:val="000000" w:themeColor="text1"/>
        </w:rPr>
        <w:t>CPUC’s</w:t>
      </w:r>
      <w:r w:rsidRPr="00041AD5" w:rsidR="00896B48">
        <w:rPr>
          <w:rFonts w:ascii="Palatino Linotype" w:hAnsi="Palatino Linotype"/>
          <w:color w:val="000000" w:themeColor="text1"/>
        </w:rPr>
        <w:t xml:space="preserve"> </w:t>
      </w:r>
      <w:r w:rsidRPr="00041AD5" w:rsidR="00E432C6">
        <w:rPr>
          <w:rFonts w:ascii="Palatino Linotype" w:hAnsi="Palatino Linotype"/>
          <w:color w:val="000000" w:themeColor="text1"/>
        </w:rPr>
        <w:t xml:space="preserve">Fund to the </w:t>
      </w:r>
      <w:r w:rsidRPr="00041AD5" w:rsidR="00BA049B">
        <w:rPr>
          <w:rFonts w:ascii="Palatino Linotype" w:hAnsi="Palatino Linotype"/>
          <w:color w:val="000000" w:themeColor="text1"/>
        </w:rPr>
        <w:t xml:space="preserve">Gas </w:t>
      </w:r>
      <w:r w:rsidRPr="00041AD5" w:rsidR="00E432C6">
        <w:rPr>
          <w:rFonts w:ascii="Palatino Linotype" w:hAnsi="Palatino Linotype"/>
          <w:color w:val="000000" w:themeColor="text1"/>
        </w:rPr>
        <w:t>R</w:t>
      </w:r>
      <w:r w:rsidRPr="00041AD5" w:rsidR="00BA049B">
        <w:rPr>
          <w:rFonts w:ascii="Palatino Linotype" w:hAnsi="Palatino Linotype"/>
          <w:color w:val="000000" w:themeColor="text1"/>
        </w:rPr>
        <w:t>D</w:t>
      </w:r>
      <w:r w:rsidRPr="00041AD5" w:rsidR="00E432C6">
        <w:rPr>
          <w:rFonts w:ascii="Palatino Linotype" w:hAnsi="Palatino Linotype"/>
          <w:color w:val="000000" w:themeColor="text1"/>
        </w:rPr>
        <w:t>&amp;D administrator</w:t>
      </w:r>
      <w:r w:rsidRPr="00041AD5" w:rsidR="00581F3F">
        <w:rPr>
          <w:rFonts w:ascii="Palatino Linotype" w:hAnsi="Palatino Linotype"/>
          <w:color w:val="000000" w:themeColor="text1"/>
        </w:rPr>
        <w:t>, designated as the CEC’s Public Interest RD&amp;D Fund,</w:t>
      </w:r>
      <w:r w:rsidRPr="00041AD5" w:rsidR="00E432C6">
        <w:rPr>
          <w:rFonts w:ascii="Palatino Linotype" w:hAnsi="Palatino Linotype"/>
          <w:color w:val="000000" w:themeColor="text1"/>
        </w:rPr>
        <w:t xml:space="preserve"> shall not exceed the zero-based budget</w:t>
      </w:r>
      <w:r w:rsidRPr="00041AD5" w:rsidR="00887E4C">
        <w:rPr>
          <w:rFonts w:ascii="Palatino Linotype" w:hAnsi="Palatino Linotype"/>
          <w:color w:val="000000" w:themeColor="text1"/>
        </w:rPr>
        <w:t xml:space="preserve"> adopted via </w:t>
      </w:r>
      <w:r w:rsidRPr="00041AD5" w:rsidR="0056763F">
        <w:rPr>
          <w:rFonts w:ascii="Palatino Linotype" w:hAnsi="Palatino Linotype"/>
          <w:color w:val="000000" w:themeColor="text1"/>
        </w:rPr>
        <w:t>r</w:t>
      </w:r>
      <w:r w:rsidRPr="00041AD5" w:rsidR="00887E4C">
        <w:rPr>
          <w:rFonts w:ascii="Palatino Linotype" w:hAnsi="Palatino Linotype"/>
          <w:color w:val="000000" w:themeColor="text1"/>
        </w:rPr>
        <w:t>esolution</w:t>
      </w:r>
      <w:r w:rsidRPr="00041AD5" w:rsidR="00E432C6">
        <w:rPr>
          <w:rFonts w:ascii="Palatino Linotype" w:hAnsi="Palatino Linotype"/>
          <w:color w:val="000000" w:themeColor="text1"/>
        </w:rPr>
        <w:t>.</w:t>
      </w:r>
      <w:r w:rsidRPr="00041AD5" w:rsidR="00E432C6">
        <w:rPr>
          <w:rStyle w:val="FootnoteReference"/>
          <w:rFonts w:ascii="Palatino Linotype" w:hAnsi="Palatino Linotype"/>
          <w:color w:val="000000" w:themeColor="text1"/>
        </w:rPr>
        <w:footnoteReference w:id="22"/>
      </w:r>
    </w:p>
    <w:p w:rsidRPr="00041AD5" w:rsidR="00903F53" w:rsidP="00903F53" w:rsidRDefault="00903F53" w14:paraId="77723E6E" w14:textId="5789A3D8">
      <w:pPr>
        <w:spacing w:after="0" w:line="276" w:lineRule="auto"/>
        <w:rPr>
          <w:rFonts w:ascii="Palatino Linotype" w:hAnsi="Palatino Linotype" w:eastAsia="Palatino Linotype" w:cs="Times New Roman"/>
          <w:bCs/>
          <w:color w:val="000000" w:themeColor="text1"/>
          <w:kern w:val="0"/>
          <w14:ligatures w14:val="none"/>
        </w:rPr>
      </w:pPr>
    </w:p>
    <w:p w:rsidRPr="00C470C3" w:rsidR="00825FB0" w:rsidP="00C470C3" w:rsidRDefault="00825FB0" w14:paraId="72B19E94" w14:textId="1B692EDD">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CPUC Gas RD&amp;D </w:t>
      </w:r>
      <w:r w:rsidRPr="00041AD5" w:rsidR="0091138E">
        <w:rPr>
          <w:rFonts w:ascii="Palatino Linotype" w:hAnsi="Palatino Linotype" w:eastAsia="Palatino Linotype" w:cs="Times New Roman"/>
          <w:bCs/>
          <w:color w:val="000000" w:themeColor="text1"/>
          <w:kern w:val="0"/>
          <w:u w:val="single"/>
          <w14:ligatures w14:val="none"/>
        </w:rPr>
        <w:t xml:space="preserve">Program </w:t>
      </w:r>
      <w:r w:rsidRPr="00041AD5">
        <w:rPr>
          <w:rFonts w:ascii="Palatino Linotype" w:hAnsi="Palatino Linotype" w:eastAsia="Palatino Linotype" w:cs="Times New Roman"/>
          <w:bCs/>
          <w:color w:val="000000" w:themeColor="text1"/>
          <w:kern w:val="0"/>
          <w:u w:val="single"/>
          <w14:ligatures w14:val="none"/>
        </w:rPr>
        <w:t>Requirements</w:t>
      </w:r>
      <w:r w:rsidRPr="00041AD5" w:rsidR="0091138E">
        <w:rPr>
          <w:rFonts w:ascii="Palatino Linotype" w:hAnsi="Palatino Linotype" w:eastAsia="Palatino Linotype" w:cs="Times New Roman"/>
          <w:bCs/>
          <w:color w:val="000000" w:themeColor="text1"/>
          <w:kern w:val="0"/>
          <w:u w:val="single"/>
          <w14:ligatures w14:val="none"/>
        </w:rPr>
        <w:t xml:space="preserve"> from Prior Resolutions</w:t>
      </w:r>
    </w:p>
    <w:p w:rsidRPr="00041AD5" w:rsidR="002E50BD" w:rsidP="00903F53" w:rsidRDefault="00825FB0" w14:paraId="6607C479" w14:textId="1E1DA8E3">
      <w:pPr>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bCs/>
          <w:color w:val="000000" w:themeColor="text1"/>
          <w:kern w:val="0"/>
          <w14:ligatures w14:val="none"/>
        </w:rPr>
        <w:t xml:space="preserve">The Commission has also </w:t>
      </w:r>
      <w:r w:rsidRPr="00041AD5" w:rsidR="00E47BCC">
        <w:rPr>
          <w:rFonts w:ascii="Palatino Linotype" w:hAnsi="Palatino Linotype" w:eastAsia="Palatino Linotype" w:cs="Times New Roman"/>
          <w:bCs/>
          <w:color w:val="000000" w:themeColor="text1"/>
          <w:kern w:val="0"/>
          <w14:ligatures w14:val="none"/>
        </w:rPr>
        <w:t xml:space="preserve">set requirements for CEC’s Gas RD&amp;D Program </w:t>
      </w:r>
      <w:r w:rsidRPr="00041AD5" w:rsidR="00EB2DDE">
        <w:rPr>
          <w:rFonts w:ascii="Palatino Linotype" w:hAnsi="Palatino Linotype" w:eastAsia="Palatino Linotype" w:cs="Times New Roman"/>
          <w:bCs/>
          <w:color w:val="000000" w:themeColor="text1"/>
          <w:kern w:val="0"/>
          <w14:ligatures w14:val="none"/>
        </w:rPr>
        <w:t xml:space="preserve">via </w:t>
      </w:r>
      <w:r w:rsidRPr="00041AD5" w:rsidR="0056763F">
        <w:rPr>
          <w:rFonts w:ascii="Palatino Linotype" w:hAnsi="Palatino Linotype" w:eastAsia="Palatino Linotype" w:cs="Times New Roman"/>
          <w:bCs/>
          <w:color w:val="000000" w:themeColor="text1"/>
          <w:kern w:val="0"/>
          <w14:ligatures w14:val="none"/>
        </w:rPr>
        <w:t>r</w:t>
      </w:r>
      <w:r w:rsidRPr="00041AD5" w:rsidR="00EB2DDE">
        <w:rPr>
          <w:rFonts w:ascii="Palatino Linotype" w:hAnsi="Palatino Linotype" w:eastAsia="Palatino Linotype" w:cs="Times New Roman"/>
          <w:bCs/>
          <w:color w:val="000000" w:themeColor="text1"/>
          <w:kern w:val="0"/>
          <w14:ligatures w14:val="none"/>
        </w:rPr>
        <w:t>esolutions approving CEC’s Gas RD&amp;D Plans,</w:t>
      </w:r>
      <w:r w:rsidRPr="00041AD5" w:rsidR="00D14E8D">
        <w:rPr>
          <w:rFonts w:ascii="Palatino Linotype" w:hAnsi="Palatino Linotype" w:eastAsia="Palatino Linotype" w:cs="Times New Roman"/>
          <w:bCs/>
          <w:color w:val="000000" w:themeColor="text1"/>
          <w:kern w:val="0"/>
          <w14:ligatures w14:val="none"/>
        </w:rPr>
        <w:t xml:space="preserve"> beginning </w:t>
      </w:r>
      <w:r w:rsidRPr="00041AD5" w:rsidR="0097167A">
        <w:rPr>
          <w:rFonts w:ascii="Palatino Linotype" w:hAnsi="Palatino Linotype" w:eastAsia="Palatino Linotype" w:cs="Times New Roman"/>
          <w:bCs/>
          <w:color w:val="000000" w:themeColor="text1"/>
          <w:kern w:val="0"/>
          <w14:ligatures w14:val="none"/>
        </w:rPr>
        <w:t>in 2004</w:t>
      </w:r>
      <w:r w:rsidRPr="00041AD5" w:rsidR="005F7743">
        <w:rPr>
          <w:rFonts w:ascii="Palatino Linotype" w:hAnsi="Palatino Linotype" w:eastAsia="Palatino Linotype" w:cs="Times New Roman"/>
          <w:bCs/>
          <w:color w:val="000000" w:themeColor="text1"/>
          <w:kern w:val="0"/>
          <w14:ligatures w14:val="none"/>
        </w:rPr>
        <w:t>.</w:t>
      </w:r>
      <w:r w:rsidRPr="00041AD5" w:rsidR="0097167A">
        <w:rPr>
          <w:rStyle w:val="FootnoteReference"/>
          <w:rFonts w:ascii="Palatino Linotype" w:hAnsi="Palatino Linotype" w:eastAsia="Palatino Linotype" w:cs="Times New Roman"/>
          <w:bCs/>
          <w:color w:val="000000" w:themeColor="text1"/>
          <w:kern w:val="0"/>
          <w14:ligatures w14:val="none"/>
        </w:rPr>
        <w:footnoteReference w:id="23"/>
      </w:r>
      <w:r w:rsidRPr="00041AD5" w:rsidR="00850249">
        <w:rPr>
          <w:rFonts w:ascii="Palatino Linotype" w:hAnsi="Palatino Linotype" w:eastAsia="Palatino Linotype" w:cs="Times New Roman"/>
          <w:bCs/>
          <w:color w:val="000000" w:themeColor="text1"/>
          <w:kern w:val="0"/>
          <w14:ligatures w14:val="none"/>
        </w:rPr>
        <w:t xml:space="preserve"> All </w:t>
      </w:r>
      <w:r w:rsidRPr="00041AD5" w:rsidR="003A533C">
        <w:rPr>
          <w:rFonts w:ascii="Palatino Linotype" w:hAnsi="Palatino Linotype" w:eastAsia="Palatino Linotype" w:cs="Times New Roman"/>
          <w:bCs/>
          <w:color w:val="000000" w:themeColor="text1"/>
          <w:kern w:val="0"/>
          <w14:ligatures w14:val="none"/>
        </w:rPr>
        <w:t xml:space="preserve">applicable </w:t>
      </w:r>
      <w:r w:rsidRPr="00041AD5" w:rsidR="00850249">
        <w:rPr>
          <w:rFonts w:ascii="Palatino Linotype" w:hAnsi="Palatino Linotype" w:eastAsia="Palatino Linotype" w:cs="Times New Roman"/>
          <w:bCs/>
          <w:color w:val="000000" w:themeColor="text1"/>
          <w:kern w:val="0"/>
          <w14:ligatures w14:val="none"/>
        </w:rPr>
        <w:lastRenderedPageBreak/>
        <w:t xml:space="preserve">Commission requirements </w:t>
      </w:r>
      <w:r w:rsidRPr="00041AD5" w:rsidR="003A533C">
        <w:rPr>
          <w:rFonts w:ascii="Palatino Linotype" w:hAnsi="Palatino Linotype" w:eastAsia="Palatino Linotype" w:cs="Times New Roman"/>
          <w:bCs/>
          <w:color w:val="000000" w:themeColor="text1"/>
          <w:kern w:val="0"/>
          <w14:ligatures w14:val="none"/>
        </w:rPr>
        <w:t xml:space="preserve">set via </w:t>
      </w:r>
      <w:r w:rsidRPr="00041AD5" w:rsidR="0056763F">
        <w:rPr>
          <w:rFonts w:ascii="Palatino Linotype" w:hAnsi="Palatino Linotype" w:eastAsia="Palatino Linotype" w:cs="Times New Roman"/>
          <w:bCs/>
          <w:color w:val="000000" w:themeColor="text1"/>
          <w:kern w:val="0"/>
          <w14:ligatures w14:val="none"/>
        </w:rPr>
        <w:t>r</w:t>
      </w:r>
      <w:r w:rsidRPr="00041AD5" w:rsidR="003A533C">
        <w:rPr>
          <w:rFonts w:ascii="Palatino Linotype" w:hAnsi="Palatino Linotype" w:eastAsia="Palatino Linotype" w:cs="Times New Roman"/>
          <w:bCs/>
          <w:color w:val="000000" w:themeColor="text1"/>
          <w:kern w:val="0"/>
          <w14:ligatures w14:val="none"/>
        </w:rPr>
        <w:t>esolution</w:t>
      </w:r>
      <w:r w:rsidRPr="00041AD5" w:rsidR="00850249">
        <w:rPr>
          <w:rFonts w:ascii="Palatino Linotype" w:hAnsi="Palatino Linotype" w:eastAsia="Palatino Linotype" w:cs="Times New Roman"/>
          <w:bCs/>
          <w:color w:val="000000" w:themeColor="text1"/>
          <w:kern w:val="0"/>
          <w14:ligatures w14:val="none"/>
        </w:rPr>
        <w:t xml:space="preserve"> were rigorously reviewed to identify </w:t>
      </w:r>
      <w:r w:rsidRPr="00041AD5" w:rsidR="003A533C">
        <w:rPr>
          <w:rFonts w:ascii="Palatino Linotype" w:hAnsi="Palatino Linotype" w:eastAsia="Palatino Linotype" w:cs="Times New Roman"/>
          <w:bCs/>
          <w:color w:val="000000" w:themeColor="text1"/>
          <w:kern w:val="0"/>
          <w14:ligatures w14:val="none"/>
        </w:rPr>
        <w:t xml:space="preserve">key </w:t>
      </w:r>
      <w:r w:rsidRPr="00041AD5" w:rsidR="00850249">
        <w:rPr>
          <w:rFonts w:ascii="Palatino Linotype" w:hAnsi="Palatino Linotype" w:eastAsia="Palatino Linotype" w:cs="Times New Roman"/>
          <w:bCs/>
          <w:color w:val="000000" w:themeColor="text1"/>
          <w:kern w:val="0"/>
          <w14:ligatures w14:val="none"/>
        </w:rPr>
        <w:t xml:space="preserve">orders for the Commission’s </w:t>
      </w:r>
      <w:r w:rsidRPr="00041AD5" w:rsidR="00265F95">
        <w:rPr>
          <w:rFonts w:ascii="Palatino Linotype" w:hAnsi="Palatino Linotype" w:eastAsia="Palatino Linotype" w:cs="Times New Roman"/>
          <w:bCs/>
          <w:color w:val="000000" w:themeColor="text1"/>
          <w:kern w:val="0"/>
          <w14:ligatures w14:val="none"/>
        </w:rPr>
        <w:t>evaluation</w:t>
      </w:r>
      <w:r w:rsidRPr="00041AD5" w:rsidR="00850249">
        <w:rPr>
          <w:rFonts w:ascii="Palatino Linotype" w:hAnsi="Palatino Linotype" w:eastAsia="Palatino Linotype" w:cs="Times New Roman"/>
          <w:bCs/>
          <w:color w:val="000000" w:themeColor="text1"/>
          <w:kern w:val="0"/>
          <w14:ligatures w14:val="none"/>
        </w:rPr>
        <w:t xml:space="preserve"> of </w:t>
      </w:r>
      <w:r w:rsidRPr="00041AD5" w:rsidR="00220364">
        <w:rPr>
          <w:rFonts w:ascii="Palatino Linotype" w:hAnsi="Palatino Linotype" w:eastAsia="Palatino Linotype" w:cs="Times New Roman"/>
          <w:bCs/>
          <w:color w:val="000000" w:themeColor="text1"/>
          <w:kern w:val="0"/>
          <w14:ligatures w14:val="none"/>
        </w:rPr>
        <w:t xml:space="preserve">CEC’s proposed </w:t>
      </w:r>
      <w:r w:rsidRPr="00041AD5" w:rsidR="00850249">
        <w:rPr>
          <w:rFonts w:ascii="Palatino Linotype" w:hAnsi="Palatino Linotype" w:eastAsia="Palatino Linotype" w:cs="Times New Roman"/>
          <w:bCs/>
          <w:color w:val="000000" w:themeColor="text1"/>
          <w:kern w:val="0"/>
          <w14:ligatures w14:val="none"/>
        </w:rPr>
        <w:t>Plans</w:t>
      </w:r>
      <w:r w:rsidRPr="00041AD5" w:rsidR="00521CDB">
        <w:rPr>
          <w:rFonts w:ascii="Palatino Linotype" w:hAnsi="Palatino Linotype" w:eastAsia="Palatino Linotype" w:cs="Times New Roman"/>
          <w:bCs/>
          <w:color w:val="000000" w:themeColor="text1"/>
          <w:kern w:val="0"/>
          <w14:ligatures w14:val="none"/>
        </w:rPr>
        <w:t xml:space="preserve">, detailed in </w:t>
      </w:r>
      <w:r w:rsidRPr="00041AD5" w:rsidR="00521CDB">
        <w:rPr>
          <w:rFonts w:ascii="Palatino Linotype" w:hAnsi="Palatino Linotype" w:eastAsia="Palatino Linotype" w:cs="Times New Roman"/>
          <w:i/>
          <w:color w:val="000000" w:themeColor="text1"/>
          <w:kern w:val="0"/>
          <w14:ligatures w14:val="none"/>
        </w:rPr>
        <w:t xml:space="preserve">Appendix </w:t>
      </w:r>
      <w:r w:rsidRPr="00041AD5" w:rsidR="000E0EBD">
        <w:rPr>
          <w:rFonts w:ascii="Palatino Linotype" w:hAnsi="Palatino Linotype" w:eastAsia="Palatino Linotype" w:cs="Times New Roman"/>
          <w:i/>
          <w:color w:val="000000" w:themeColor="text1"/>
          <w:kern w:val="0"/>
          <w14:ligatures w14:val="none"/>
        </w:rPr>
        <w:t>A</w:t>
      </w:r>
      <w:r w:rsidRPr="00041AD5" w:rsidR="00521CDB">
        <w:rPr>
          <w:rFonts w:ascii="Palatino Linotype" w:hAnsi="Palatino Linotype" w:eastAsia="Palatino Linotype" w:cs="Times New Roman"/>
          <w:i/>
          <w:color w:val="000000" w:themeColor="text1"/>
          <w:kern w:val="0"/>
          <w14:ligatures w14:val="none"/>
        </w:rPr>
        <w:t>: Key CPUC Gas RD&amp;D Resolution Requirements</w:t>
      </w:r>
      <w:r w:rsidRPr="00041AD5" w:rsidR="00521CDB">
        <w:rPr>
          <w:rFonts w:ascii="Palatino Linotype" w:hAnsi="Palatino Linotype" w:eastAsia="Palatino Linotype" w:cs="Times New Roman"/>
          <w:bCs/>
          <w:color w:val="000000" w:themeColor="text1"/>
          <w:kern w:val="0"/>
          <w14:ligatures w14:val="none"/>
        </w:rPr>
        <w:t>.</w:t>
      </w:r>
    </w:p>
    <w:p w:rsidRPr="00041AD5" w:rsidR="00BF7423" w:rsidP="00D170A1" w:rsidRDefault="00BF7423" w14:paraId="26C4D962" w14:textId="77777777">
      <w:pPr>
        <w:spacing w:before="240" w:after="0"/>
        <w:rPr>
          <w:rFonts w:ascii="Palatino Linotype" w:hAnsi="Palatino Linotype"/>
          <w:color w:val="000000" w:themeColor="text1"/>
        </w:rPr>
      </w:pPr>
    </w:p>
    <w:p w:rsidRPr="00041AD5" w:rsidR="00081849" w:rsidP="003147DD" w:rsidRDefault="00587420" w14:paraId="0D0EC989" w14:textId="139AAFCA">
      <w:pPr>
        <w:keepNext/>
        <w:spacing w:after="240" w:line="276" w:lineRule="auto"/>
        <w:outlineLvl w:val="0"/>
        <w:rPr>
          <w:rFonts w:ascii="Palatino Linotype" w:hAnsi="Palatino Linotype" w:eastAsia="Palatino Linotype" w:cs="Times New Roman"/>
          <w:b/>
          <w:color w:val="000000" w:themeColor="text1"/>
          <w:kern w:val="0"/>
          <w14:ligatures w14:val="none"/>
        </w:rPr>
      </w:pPr>
      <w:r w:rsidRPr="00041AD5">
        <w:rPr>
          <w:rFonts w:ascii="Palatino Linotype" w:hAnsi="Palatino Linotype" w:eastAsia="Palatino Linotype" w:cs="Times New Roman"/>
          <w:b/>
          <w:color w:val="000000" w:themeColor="text1"/>
          <w:kern w:val="0"/>
          <w14:ligatures w14:val="none"/>
        </w:rPr>
        <w:t xml:space="preserve">CEC </w:t>
      </w:r>
      <w:r w:rsidRPr="00041AD5" w:rsidR="00817BB9">
        <w:rPr>
          <w:rFonts w:ascii="Palatino Linotype" w:hAnsi="Palatino Linotype" w:eastAsia="Palatino Linotype" w:cs="Times New Roman"/>
          <w:b/>
          <w:color w:val="000000" w:themeColor="text1"/>
          <w:kern w:val="0"/>
          <w14:ligatures w14:val="none"/>
        </w:rPr>
        <w:t xml:space="preserve">AL 12-G </w:t>
      </w:r>
      <w:r w:rsidRPr="00041AD5">
        <w:rPr>
          <w:rFonts w:ascii="Palatino Linotype" w:hAnsi="Palatino Linotype" w:eastAsia="Palatino Linotype" w:cs="Times New Roman"/>
          <w:b/>
          <w:color w:val="000000" w:themeColor="text1"/>
          <w:kern w:val="0"/>
          <w14:ligatures w14:val="none"/>
        </w:rPr>
        <w:t>Request</w:t>
      </w:r>
      <w:r w:rsidRPr="00041AD5" w:rsidR="00AC4ADB">
        <w:rPr>
          <w:rFonts w:ascii="Palatino Linotype" w:hAnsi="Palatino Linotype" w:eastAsia="Palatino Linotype" w:cs="Times New Roman"/>
          <w:b/>
          <w:color w:val="000000" w:themeColor="text1"/>
          <w:kern w:val="0"/>
          <w14:ligatures w14:val="none"/>
        </w:rPr>
        <w:t>s</w:t>
      </w:r>
      <w:r w:rsidRPr="00041AD5">
        <w:rPr>
          <w:rFonts w:ascii="Palatino Linotype" w:hAnsi="Palatino Linotype" w:eastAsia="Palatino Linotype" w:cs="Times New Roman"/>
          <w:b/>
          <w:color w:val="000000" w:themeColor="text1"/>
          <w:kern w:val="0"/>
          <w14:ligatures w14:val="none"/>
        </w:rPr>
        <w:t xml:space="preserve"> for 2024 </w:t>
      </w:r>
      <w:r w:rsidRPr="00041AD5" w:rsidR="00817BB9">
        <w:rPr>
          <w:rFonts w:ascii="Palatino Linotype" w:hAnsi="Palatino Linotype" w:eastAsia="Palatino Linotype" w:cs="Times New Roman"/>
          <w:b/>
          <w:color w:val="000000" w:themeColor="text1"/>
          <w:kern w:val="0"/>
          <w14:ligatures w14:val="none"/>
        </w:rPr>
        <w:t xml:space="preserve">Plan Approval </w:t>
      </w:r>
    </w:p>
    <w:p w:rsidRPr="00590794" w:rsidR="000B58AB" w:rsidP="00590794" w:rsidRDefault="000E0565" w14:paraId="763EFF36" w14:textId="39FAAEB4">
      <w:pPr>
        <w:keepNext/>
        <w:spacing w:line="276" w:lineRule="auto"/>
        <w:outlineLvl w:val="0"/>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DA4E4C">
        <w:rPr>
          <w:rFonts w:ascii="Palatino Linotype" w:hAnsi="Palatino Linotype" w:eastAsia="Palatino Linotype" w:cs="Times New Roman"/>
          <w:color w:val="000000" w:themeColor="text1"/>
          <w:kern w:val="0"/>
          <w14:ligatures w14:val="none"/>
        </w:rPr>
        <w:t xml:space="preserve">CEC submitted its proposed 2024 Plan via Tier 3 </w:t>
      </w:r>
      <w:r w:rsidRPr="00041AD5" w:rsidR="00CE367F">
        <w:rPr>
          <w:rFonts w:ascii="Palatino Linotype" w:hAnsi="Palatino Linotype" w:eastAsia="Palatino Linotype" w:cs="Times New Roman"/>
          <w:color w:val="000000" w:themeColor="text1"/>
          <w:kern w:val="0"/>
          <w14:ligatures w14:val="none"/>
        </w:rPr>
        <w:t xml:space="preserve">CEC </w:t>
      </w:r>
      <w:r w:rsidRPr="00041AD5" w:rsidR="00DA4E4C">
        <w:rPr>
          <w:rFonts w:ascii="Palatino Linotype" w:hAnsi="Palatino Linotype" w:eastAsia="Palatino Linotype" w:cs="Times New Roman"/>
          <w:color w:val="000000" w:themeColor="text1"/>
          <w:kern w:val="0"/>
          <w14:ligatures w14:val="none"/>
        </w:rPr>
        <w:t>AL 6-G on March 27, 2024</w:t>
      </w:r>
      <w:r w:rsidRPr="00041AD5" w:rsidR="002F71EF">
        <w:rPr>
          <w:rFonts w:ascii="Palatino Linotype" w:hAnsi="Palatino Linotype" w:eastAsia="Palatino Linotype" w:cs="Times New Roman"/>
          <w:color w:val="000000" w:themeColor="text1"/>
          <w:kern w:val="0"/>
          <w14:ligatures w14:val="none"/>
        </w:rPr>
        <w:t>.</w:t>
      </w:r>
      <w:r w:rsidRPr="00041AD5" w:rsidR="002956D8">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2956D8">
        <w:rPr>
          <w:rFonts w:ascii="Palatino Linotype" w:hAnsi="Palatino Linotype" w:eastAsia="Palatino Linotype" w:cs="Times New Roman"/>
          <w:color w:val="000000" w:themeColor="text1"/>
          <w:kern w:val="0"/>
          <w14:ligatures w14:val="none"/>
        </w:rPr>
        <w:t>CEC</w:t>
      </w:r>
      <w:r w:rsidRPr="00041AD5" w:rsidR="00DA4E4C">
        <w:rPr>
          <w:rFonts w:ascii="Palatino Linotype" w:hAnsi="Palatino Linotype" w:eastAsia="Palatino Linotype" w:cs="Times New Roman"/>
          <w:color w:val="000000" w:themeColor="text1"/>
          <w:kern w:val="0"/>
          <w14:ligatures w14:val="none"/>
        </w:rPr>
        <w:t xml:space="preserve"> replaced </w:t>
      </w:r>
      <w:r w:rsidRPr="00041AD5" w:rsidR="002956D8">
        <w:rPr>
          <w:rFonts w:ascii="Palatino Linotype" w:hAnsi="Palatino Linotype" w:eastAsia="Palatino Linotype" w:cs="Times New Roman"/>
          <w:color w:val="000000" w:themeColor="text1"/>
          <w:kern w:val="0"/>
          <w14:ligatures w14:val="none"/>
        </w:rPr>
        <w:t>AL 6-G with</w:t>
      </w:r>
      <w:r w:rsidRPr="00041AD5" w:rsidR="00DA4E4C">
        <w:rPr>
          <w:rFonts w:ascii="Palatino Linotype" w:hAnsi="Palatino Linotype" w:eastAsia="Palatino Linotype" w:cs="Times New Roman"/>
          <w:color w:val="000000" w:themeColor="text1"/>
          <w:kern w:val="0"/>
          <w14:ligatures w14:val="none"/>
        </w:rPr>
        <w:t xml:space="preserve"> </w:t>
      </w:r>
      <w:r w:rsidRPr="00041AD5" w:rsidR="00E164C3">
        <w:rPr>
          <w:rFonts w:ascii="Palatino Linotype" w:hAnsi="Palatino Linotype" w:eastAsia="Palatino Linotype" w:cs="Times New Roman"/>
          <w:color w:val="000000" w:themeColor="text1"/>
          <w:kern w:val="0"/>
          <w14:ligatures w14:val="none"/>
        </w:rPr>
        <w:t>a</w:t>
      </w:r>
      <w:r w:rsidRPr="00041AD5" w:rsidR="00DA4E4C">
        <w:rPr>
          <w:rFonts w:ascii="Palatino Linotype" w:hAnsi="Palatino Linotype" w:eastAsia="Palatino Linotype" w:cs="Times New Roman"/>
          <w:color w:val="000000" w:themeColor="text1"/>
          <w:kern w:val="0"/>
          <w14:ligatures w14:val="none"/>
        </w:rPr>
        <w:t xml:space="preserve"> supplement </w:t>
      </w:r>
      <w:r w:rsidRPr="00041AD5" w:rsidR="00E164C3">
        <w:rPr>
          <w:rFonts w:ascii="Palatino Linotype" w:hAnsi="Palatino Linotype" w:eastAsia="Palatino Linotype" w:cs="Times New Roman"/>
          <w:color w:val="000000" w:themeColor="text1"/>
          <w:kern w:val="0"/>
          <w14:ligatures w14:val="none"/>
        </w:rPr>
        <w:t>(</w:t>
      </w:r>
      <w:r w:rsidRPr="00041AD5" w:rsidR="00DA4E4C">
        <w:rPr>
          <w:rFonts w:ascii="Palatino Linotype" w:hAnsi="Palatino Linotype" w:eastAsia="Palatino Linotype" w:cs="Times New Roman"/>
          <w:color w:val="000000" w:themeColor="text1"/>
          <w:kern w:val="0"/>
          <w14:ligatures w14:val="none"/>
        </w:rPr>
        <w:t>AL 6-G-A</w:t>
      </w:r>
      <w:r w:rsidRPr="00041AD5" w:rsidR="00E164C3">
        <w:rPr>
          <w:rFonts w:ascii="Palatino Linotype" w:hAnsi="Palatino Linotype" w:eastAsia="Palatino Linotype" w:cs="Times New Roman"/>
          <w:color w:val="000000" w:themeColor="text1"/>
          <w:kern w:val="0"/>
          <w14:ligatures w14:val="none"/>
        </w:rPr>
        <w:t>)</w:t>
      </w:r>
      <w:r w:rsidRPr="00041AD5" w:rsidR="00DA4E4C">
        <w:rPr>
          <w:rFonts w:ascii="Palatino Linotype" w:hAnsi="Palatino Linotype" w:eastAsia="Palatino Linotype" w:cs="Times New Roman"/>
          <w:color w:val="000000" w:themeColor="text1"/>
          <w:kern w:val="0"/>
          <w14:ligatures w14:val="none"/>
        </w:rPr>
        <w:t xml:space="preserve"> on November 7, 2024. </w:t>
      </w:r>
      <w:r w:rsidRPr="00041AD5">
        <w:rPr>
          <w:rFonts w:ascii="Palatino Linotype" w:hAnsi="Palatino Linotype" w:eastAsia="Palatino Linotype" w:cs="Times New Roman"/>
          <w:color w:val="000000" w:themeColor="text1"/>
          <w:kern w:val="0"/>
          <w14:ligatures w14:val="none"/>
        </w:rPr>
        <w:t xml:space="preserve">The </w:t>
      </w:r>
      <w:r w:rsidRPr="00041AD5" w:rsidR="00FC058F">
        <w:rPr>
          <w:rFonts w:ascii="Palatino Linotype" w:hAnsi="Palatino Linotype" w:eastAsia="Palatino Linotype" w:cs="Times New Roman"/>
          <w:color w:val="000000" w:themeColor="text1"/>
          <w:kern w:val="0"/>
          <w14:ligatures w14:val="none"/>
        </w:rPr>
        <w:t xml:space="preserve">CEC withdrew </w:t>
      </w:r>
      <w:r w:rsidRPr="00041AD5" w:rsidR="00CE367F">
        <w:rPr>
          <w:rFonts w:ascii="Palatino Linotype" w:hAnsi="Palatino Linotype" w:eastAsia="Palatino Linotype" w:cs="Times New Roman"/>
          <w:color w:val="000000" w:themeColor="text1"/>
          <w:kern w:val="0"/>
          <w14:ligatures w14:val="none"/>
        </w:rPr>
        <w:t xml:space="preserve">CEC </w:t>
      </w:r>
      <w:r w:rsidRPr="00041AD5" w:rsidR="00DA4E4C">
        <w:rPr>
          <w:rFonts w:ascii="Palatino Linotype" w:hAnsi="Palatino Linotype" w:eastAsia="Palatino Linotype" w:cs="Times New Roman"/>
          <w:color w:val="000000" w:themeColor="text1"/>
          <w:kern w:val="0"/>
          <w14:ligatures w14:val="none"/>
        </w:rPr>
        <w:t xml:space="preserve">AL 6-G-A </w:t>
      </w:r>
      <w:r w:rsidRPr="00041AD5" w:rsidR="00E164C3">
        <w:rPr>
          <w:rFonts w:ascii="Palatino Linotype" w:hAnsi="Palatino Linotype" w:eastAsia="Palatino Linotype" w:cs="Times New Roman"/>
          <w:color w:val="000000" w:themeColor="text1"/>
          <w:kern w:val="0"/>
          <w14:ligatures w14:val="none"/>
        </w:rPr>
        <w:t xml:space="preserve">on </w:t>
      </w:r>
      <w:r w:rsidRPr="00041AD5" w:rsidR="00DA4E4C">
        <w:rPr>
          <w:rFonts w:ascii="Palatino Linotype" w:hAnsi="Palatino Linotype" w:eastAsia="Palatino Linotype" w:cs="Times New Roman"/>
          <w:color w:val="000000" w:themeColor="text1"/>
          <w:kern w:val="0"/>
          <w14:ligatures w14:val="none"/>
        </w:rPr>
        <w:t xml:space="preserve">February 13, 2025, </w:t>
      </w:r>
      <w:r w:rsidRPr="00041AD5" w:rsidR="00E164C3">
        <w:rPr>
          <w:rFonts w:ascii="Palatino Linotype" w:hAnsi="Palatino Linotype" w:eastAsia="Palatino Linotype" w:cs="Times New Roman"/>
          <w:color w:val="000000" w:themeColor="text1"/>
          <w:kern w:val="0"/>
          <w14:ligatures w14:val="none"/>
        </w:rPr>
        <w:t xml:space="preserve">after consultation with </w:t>
      </w:r>
      <w:r w:rsidRPr="00041AD5" w:rsidR="001B0D0E">
        <w:rPr>
          <w:rFonts w:ascii="Palatino Linotype" w:hAnsi="Palatino Linotype" w:eastAsia="Palatino Linotype" w:cs="Times New Roman"/>
          <w:color w:val="000000" w:themeColor="text1"/>
          <w:kern w:val="0"/>
          <w14:ligatures w14:val="none"/>
        </w:rPr>
        <w:t>Energy Division</w:t>
      </w:r>
      <w:r w:rsidRPr="00041AD5" w:rsidR="00E164C3">
        <w:rPr>
          <w:rFonts w:ascii="Palatino Linotype" w:hAnsi="Palatino Linotype" w:eastAsia="Palatino Linotype" w:cs="Times New Roman"/>
          <w:color w:val="000000" w:themeColor="text1"/>
          <w:kern w:val="0"/>
          <w14:ligatures w14:val="none"/>
        </w:rPr>
        <w:t xml:space="preserve"> staff</w:t>
      </w:r>
      <w:r w:rsidRPr="00041AD5" w:rsidR="00DA4E4C">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FC058F">
        <w:rPr>
          <w:rFonts w:ascii="Palatino Linotype" w:hAnsi="Palatino Linotype" w:eastAsia="Palatino Linotype" w:cs="Times New Roman"/>
          <w:color w:val="000000" w:themeColor="text1"/>
          <w:kern w:val="0"/>
          <w14:ligatures w14:val="none"/>
        </w:rPr>
        <w:t xml:space="preserve">CEC resubmitted its 2024 Plan </w:t>
      </w:r>
      <w:r w:rsidRPr="00041AD5" w:rsidR="003944F6">
        <w:rPr>
          <w:rFonts w:ascii="Palatino Linotype" w:hAnsi="Palatino Linotype" w:eastAsia="Palatino Linotype" w:cs="Times New Roman"/>
          <w:color w:val="000000" w:themeColor="text1"/>
          <w:kern w:val="0"/>
          <w14:ligatures w14:val="none"/>
        </w:rPr>
        <w:t>(</w:t>
      </w:r>
      <w:r w:rsidRPr="00041AD5">
        <w:rPr>
          <w:rFonts w:ascii="Palatino Linotype" w:hAnsi="Palatino Linotype" w:eastAsia="Palatino Linotype" w:cs="Times New Roman"/>
          <w:color w:val="000000" w:themeColor="text1"/>
          <w:kern w:val="0"/>
          <w14:ligatures w14:val="none"/>
        </w:rPr>
        <w:t xml:space="preserve">CEC </w:t>
      </w:r>
      <w:r w:rsidRPr="00041AD5" w:rsidR="00DA4E4C">
        <w:rPr>
          <w:rFonts w:ascii="Palatino Linotype" w:hAnsi="Palatino Linotype" w:eastAsia="Palatino Linotype" w:cs="Times New Roman"/>
          <w:color w:val="000000" w:themeColor="text1"/>
          <w:kern w:val="0"/>
          <w14:ligatures w14:val="none"/>
        </w:rPr>
        <w:t>AL 12-G</w:t>
      </w:r>
      <w:r w:rsidRPr="00041AD5" w:rsidR="003944F6">
        <w:rPr>
          <w:rFonts w:ascii="Palatino Linotype" w:hAnsi="Palatino Linotype" w:eastAsia="Palatino Linotype" w:cs="Times New Roman"/>
          <w:color w:val="000000" w:themeColor="text1"/>
          <w:kern w:val="0"/>
          <w14:ligatures w14:val="none"/>
        </w:rPr>
        <w:t>)</w:t>
      </w:r>
      <w:r w:rsidRPr="00041AD5" w:rsidR="00DA4E4C">
        <w:rPr>
          <w:rFonts w:ascii="Palatino Linotype" w:hAnsi="Palatino Linotype" w:eastAsia="Palatino Linotype" w:cs="Times New Roman"/>
          <w:color w:val="000000" w:themeColor="text1"/>
          <w:kern w:val="0"/>
          <w14:ligatures w14:val="none"/>
        </w:rPr>
        <w:t xml:space="preserve"> on August 8, 2025</w:t>
      </w:r>
      <w:r w:rsidRPr="00041AD5" w:rsidR="003944F6">
        <w:rPr>
          <w:rFonts w:ascii="Palatino Linotype" w:hAnsi="Palatino Linotype" w:eastAsia="Palatino Linotype" w:cs="Times New Roman"/>
          <w:color w:val="000000" w:themeColor="text1"/>
          <w:kern w:val="0"/>
          <w14:ligatures w14:val="none"/>
        </w:rPr>
        <w:t>.</w:t>
      </w:r>
      <w:r w:rsidRPr="00041AD5" w:rsidR="00777957">
        <w:rPr>
          <w:rFonts w:ascii="Palatino Linotype" w:hAnsi="Palatino Linotype" w:eastAsia="Palatino Linotype" w:cs="Times New Roman"/>
          <w:color w:val="000000" w:themeColor="text1"/>
          <w:kern w:val="0"/>
          <w14:ligatures w14:val="none"/>
        </w:rPr>
        <w:t xml:space="preserve"> </w:t>
      </w:r>
      <w:r w:rsidRPr="00041AD5" w:rsidR="003944F6">
        <w:rPr>
          <w:rFonts w:ascii="Palatino Linotype" w:hAnsi="Palatino Linotype" w:eastAsia="Palatino Linotype" w:cs="Times New Roman"/>
          <w:color w:val="000000" w:themeColor="text1"/>
          <w:kern w:val="0"/>
          <w14:ligatures w14:val="none"/>
        </w:rPr>
        <w:t xml:space="preserve">In </w:t>
      </w:r>
      <w:r w:rsidRPr="00041AD5">
        <w:rPr>
          <w:rFonts w:ascii="Palatino Linotype" w:hAnsi="Palatino Linotype" w:eastAsia="Palatino Linotype" w:cs="Times New Roman"/>
          <w:color w:val="000000" w:themeColor="text1"/>
          <w:kern w:val="0"/>
          <w14:ligatures w14:val="none"/>
        </w:rPr>
        <w:t xml:space="preserve">CEC </w:t>
      </w:r>
      <w:r w:rsidRPr="00041AD5" w:rsidR="00A119EA">
        <w:rPr>
          <w:rFonts w:ascii="Palatino Linotype" w:hAnsi="Palatino Linotype" w:eastAsia="Palatino Linotype" w:cs="Times New Roman"/>
          <w:color w:val="000000" w:themeColor="text1"/>
          <w:kern w:val="0"/>
          <w14:ligatures w14:val="none"/>
        </w:rPr>
        <w:t>AL 12-G</w:t>
      </w:r>
      <w:r w:rsidRPr="00041AD5" w:rsidR="003944F6">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3944F6">
        <w:rPr>
          <w:rFonts w:ascii="Palatino Linotype" w:hAnsi="Palatino Linotype" w:eastAsia="Palatino Linotype" w:cs="Times New Roman"/>
          <w:color w:val="000000" w:themeColor="text1"/>
          <w:kern w:val="0"/>
          <w14:ligatures w14:val="none"/>
        </w:rPr>
        <w:t>CEC</w:t>
      </w:r>
      <w:r w:rsidRPr="00041AD5" w:rsidR="00A119EA">
        <w:rPr>
          <w:rFonts w:ascii="Palatino Linotype" w:hAnsi="Palatino Linotype" w:eastAsia="Palatino Linotype" w:cs="Times New Roman"/>
          <w:color w:val="000000" w:themeColor="text1"/>
          <w:kern w:val="0"/>
          <w14:ligatures w14:val="none"/>
        </w:rPr>
        <w:t xml:space="preserve"> </w:t>
      </w:r>
      <w:r w:rsidRPr="00041AD5" w:rsidR="00FF4463">
        <w:rPr>
          <w:rFonts w:ascii="Palatino Linotype" w:hAnsi="Palatino Linotype" w:eastAsia="Palatino Linotype" w:cs="Times New Roman"/>
          <w:color w:val="000000" w:themeColor="text1"/>
          <w:kern w:val="0"/>
          <w14:ligatures w14:val="none"/>
        </w:rPr>
        <w:t xml:space="preserve">seeks approval of </w:t>
      </w:r>
      <w:r w:rsidRPr="00041AD5" w:rsidR="00777957">
        <w:rPr>
          <w:rFonts w:ascii="Palatino Linotype" w:hAnsi="Palatino Linotype" w:eastAsia="Palatino Linotype" w:cs="Times New Roman"/>
          <w:color w:val="000000" w:themeColor="text1"/>
          <w:kern w:val="0"/>
          <w14:ligatures w14:val="none"/>
        </w:rPr>
        <w:t>its proposed</w:t>
      </w:r>
      <w:r w:rsidRPr="00041AD5" w:rsidR="002F5551">
        <w:rPr>
          <w:rFonts w:ascii="Palatino Linotype" w:hAnsi="Palatino Linotype" w:eastAsia="Palatino Linotype" w:cs="Times New Roman"/>
          <w:color w:val="000000" w:themeColor="text1"/>
          <w:kern w:val="0"/>
          <w14:ligatures w14:val="none"/>
        </w:rPr>
        <w:t xml:space="preserve"> </w:t>
      </w:r>
      <w:r w:rsidRPr="00041AD5" w:rsidR="00E47AD0">
        <w:rPr>
          <w:rFonts w:ascii="Palatino Linotype" w:hAnsi="Palatino Linotype" w:eastAsia="Palatino Linotype" w:cs="Times New Roman"/>
          <w:color w:val="000000" w:themeColor="text1"/>
          <w:kern w:val="0"/>
          <w14:ligatures w14:val="none"/>
        </w:rPr>
        <w:t>2</w:t>
      </w:r>
      <w:r w:rsidRPr="00041AD5" w:rsidR="00FF4463">
        <w:rPr>
          <w:rFonts w:ascii="Palatino Linotype" w:hAnsi="Palatino Linotype" w:eastAsia="Palatino Linotype" w:cs="Times New Roman"/>
          <w:color w:val="000000" w:themeColor="text1"/>
          <w:kern w:val="0"/>
          <w14:ligatures w14:val="none"/>
        </w:rPr>
        <w:t xml:space="preserve">024 Gas RD&amp;D Plan, </w:t>
      </w:r>
      <w:r w:rsidRPr="00041AD5" w:rsidR="000B58AB">
        <w:rPr>
          <w:rFonts w:ascii="Palatino Linotype" w:hAnsi="Palatino Linotype" w:eastAsia="Palatino Linotype" w:cs="Times New Roman"/>
          <w:color w:val="000000" w:themeColor="text1"/>
          <w:kern w:val="0"/>
          <w14:ligatures w14:val="none"/>
        </w:rPr>
        <w:t xml:space="preserve">authorized </w:t>
      </w:r>
      <w:r w:rsidRPr="00041AD5" w:rsidR="00331F6C">
        <w:rPr>
          <w:rFonts w:ascii="Palatino Linotype" w:hAnsi="Palatino Linotype" w:eastAsia="Palatino Linotype" w:cs="Times New Roman"/>
          <w:color w:val="000000" w:themeColor="text1"/>
          <w:kern w:val="0"/>
          <w14:ligatures w14:val="none"/>
        </w:rPr>
        <w:t xml:space="preserve">by D.04-08-010 at </w:t>
      </w:r>
      <w:r w:rsidR="004A3C22">
        <w:rPr>
          <w:rFonts w:ascii="Palatino Linotype" w:hAnsi="Palatino Linotype" w:eastAsia="Palatino Linotype" w:cs="Times New Roman"/>
          <w:color w:val="000000" w:themeColor="text1"/>
          <w:kern w:val="0"/>
          <w14:ligatures w14:val="none"/>
        </w:rPr>
        <w:t xml:space="preserve">up to </w:t>
      </w:r>
      <w:r w:rsidRPr="00041AD5" w:rsidR="00331F6C">
        <w:rPr>
          <w:rFonts w:ascii="Palatino Linotype" w:hAnsi="Palatino Linotype" w:eastAsia="Palatino Linotype" w:cs="Times New Roman"/>
          <w:color w:val="000000" w:themeColor="text1"/>
          <w:kern w:val="0"/>
          <w14:ligatures w14:val="none"/>
        </w:rPr>
        <w:t>$24 million with the proposed budget allocations to various Initiatives</w:t>
      </w:r>
      <w:r w:rsidRPr="00041AD5" w:rsidR="002107FE">
        <w:rPr>
          <w:rFonts w:ascii="Palatino Linotype" w:hAnsi="Palatino Linotype" w:eastAsia="Palatino Linotype" w:cs="Times New Roman"/>
          <w:color w:val="000000" w:themeColor="text1"/>
          <w:kern w:val="0"/>
          <w14:ligatures w14:val="none"/>
        </w:rPr>
        <w:t xml:space="preserve"> as shown below</w:t>
      </w:r>
      <w:r w:rsidRPr="00041AD5" w:rsidR="00331F6C">
        <w:rPr>
          <w:rFonts w:ascii="Palatino Linotype" w:hAnsi="Palatino Linotype" w:eastAsia="Palatino Linotype" w:cs="Times New Roman"/>
          <w:color w:val="000000" w:themeColor="text1"/>
          <w:kern w:val="0"/>
          <w14:ligatures w14:val="none"/>
        </w:rPr>
        <w:t>:</w:t>
      </w:r>
    </w:p>
    <w:tbl>
      <w:tblPr>
        <w:tblStyle w:val="TableGrid"/>
        <w:tblW w:w="0" w:type="auto"/>
        <w:tblLayout w:type="fixed"/>
        <w:tblLook w:val="04A0" w:firstRow="1" w:lastRow="0" w:firstColumn="1" w:lastColumn="0" w:noHBand="0" w:noVBand="1"/>
      </w:tblPr>
      <w:tblGrid>
        <w:gridCol w:w="2484"/>
        <w:gridCol w:w="4891"/>
        <w:gridCol w:w="360"/>
        <w:gridCol w:w="1615"/>
      </w:tblGrid>
      <w:tr w:rsidRPr="00041AD5" w:rsidR="00617B23" w:rsidTr="00617B23" w14:paraId="27DE2B16" w14:textId="77777777">
        <w:tc>
          <w:tcPr>
            <w:tcW w:w="9350" w:type="dxa"/>
            <w:gridSpan w:val="4"/>
          </w:tcPr>
          <w:p w:rsidRPr="00041AD5" w:rsidR="00617B23" w:rsidP="005E471E" w:rsidRDefault="00617B23" w14:paraId="72E3CA8B" w14:textId="7341C95A">
            <w:pPr>
              <w:keepNext/>
              <w:spacing w:line="276" w:lineRule="auto"/>
              <w:jc w:val="center"/>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14:ligatures w14:val="none"/>
              </w:rPr>
              <w:t>Table 2: 2024 Gas RD&amp;D Plan Proposed Budget</w:t>
            </w:r>
            <w:r w:rsidRPr="00041AD5">
              <w:rPr>
                <w:rStyle w:val="FootnoteReference"/>
                <w:rFonts w:ascii="Palatino Linotype" w:hAnsi="Palatino Linotype" w:eastAsia="Palatino Linotype" w:cs="Times New Roman"/>
                <w:color w:val="000000" w:themeColor="text1"/>
                <w:kern w:val="0"/>
                <w14:ligatures w14:val="none"/>
              </w:rPr>
              <w:footnoteReference w:id="24"/>
            </w:r>
          </w:p>
        </w:tc>
      </w:tr>
      <w:tr w:rsidRPr="00041AD5" w:rsidR="00617B23" w:rsidTr="00617B23" w14:paraId="093E95A5" w14:textId="77777777">
        <w:tc>
          <w:tcPr>
            <w:tcW w:w="2484" w:type="dxa"/>
          </w:tcPr>
          <w:p w:rsidRPr="00041AD5" w:rsidR="00617B23" w:rsidP="00CE3A3D" w:rsidRDefault="00617B23" w14:paraId="1127B6BF" w14:textId="79D4FBD5">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Investment Theme</w:t>
            </w:r>
          </w:p>
        </w:tc>
        <w:tc>
          <w:tcPr>
            <w:tcW w:w="4891" w:type="dxa"/>
          </w:tcPr>
          <w:p w:rsidRPr="00041AD5" w:rsidR="00617B23" w:rsidP="00CE3A3D" w:rsidRDefault="00617B23" w14:paraId="3B9A895D" w14:textId="7ACE0453">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Initiative Title</w:t>
            </w:r>
          </w:p>
        </w:tc>
        <w:tc>
          <w:tcPr>
            <w:tcW w:w="1975" w:type="dxa"/>
            <w:gridSpan w:val="2"/>
            <w:tcBorders>
              <w:bottom w:val="single" w:color="auto" w:sz="4" w:space="0"/>
            </w:tcBorders>
          </w:tcPr>
          <w:p w:rsidRPr="00041AD5" w:rsidR="00617B23" w:rsidP="00CE3A3D" w:rsidRDefault="00617B23" w14:paraId="329495AB" w14:textId="5AABD6D5">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2024 Plan Budget</w:t>
            </w:r>
          </w:p>
        </w:tc>
      </w:tr>
      <w:tr w:rsidRPr="00041AD5" w:rsidR="00617B23" w:rsidTr="00617B23" w14:paraId="6FEE1055" w14:textId="77777777">
        <w:tc>
          <w:tcPr>
            <w:tcW w:w="2484" w:type="dxa"/>
          </w:tcPr>
          <w:p w:rsidRPr="00041AD5" w:rsidR="00617B23" w:rsidP="00777957" w:rsidRDefault="00617B23" w14:paraId="40FF8A39" w14:textId="494128A6">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Gas Decommissioning</w:t>
            </w:r>
          </w:p>
        </w:tc>
        <w:tc>
          <w:tcPr>
            <w:tcW w:w="4891" w:type="dxa"/>
            <w:tcBorders>
              <w:right w:val="single" w:color="auto" w:sz="4" w:space="0"/>
            </w:tcBorders>
          </w:tcPr>
          <w:p w:rsidRPr="00041AD5" w:rsidR="00617B23" w:rsidP="00777957" w:rsidRDefault="00617B23" w14:paraId="266677C9" w14:textId="07938ADC">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Support Equitable, Safe, and Cost-Effective Decarbonization of California’s Gas System</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45B87707" w14:textId="5AAD5D64">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440E3402" w14:textId="7ED01B37">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7,600,000</w:t>
            </w:r>
          </w:p>
        </w:tc>
      </w:tr>
      <w:tr w:rsidRPr="00041AD5" w:rsidR="00617B23" w:rsidTr="00617B23" w14:paraId="67327761" w14:textId="77777777">
        <w:tc>
          <w:tcPr>
            <w:tcW w:w="2484" w:type="dxa"/>
          </w:tcPr>
          <w:p w:rsidRPr="00041AD5" w:rsidR="00617B23" w:rsidP="00777957" w:rsidRDefault="00617B23" w14:paraId="1AF58464" w14:textId="2363054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Gas System Safety</w:t>
            </w:r>
          </w:p>
        </w:tc>
        <w:tc>
          <w:tcPr>
            <w:tcW w:w="4891" w:type="dxa"/>
            <w:tcBorders>
              <w:right w:val="single" w:color="auto" w:sz="4" w:space="0"/>
            </w:tcBorders>
          </w:tcPr>
          <w:p w:rsidRPr="00041AD5" w:rsidR="00617B23" w:rsidP="00777957" w:rsidRDefault="00617B23" w14:paraId="57E4BF60" w14:textId="757A506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Innovations for Cost-Effective Operation and Maintenance of Critical Infrastructure During the Gas Transition</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0315A7F0" w14:textId="47E4B7E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7D8EB7EA" w14:textId="10B0F78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7,815,489</w:t>
            </w:r>
          </w:p>
        </w:tc>
      </w:tr>
      <w:tr w:rsidRPr="00041AD5" w:rsidR="00617B23" w:rsidTr="00617B23" w14:paraId="3964F068" w14:textId="77777777">
        <w:tc>
          <w:tcPr>
            <w:tcW w:w="2484" w:type="dxa"/>
          </w:tcPr>
          <w:p w:rsidRPr="00041AD5" w:rsidR="00617B23" w:rsidP="00777957" w:rsidRDefault="00617B23" w14:paraId="161AA952" w14:textId="75D29542">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Renewable Generation</w:t>
            </w:r>
          </w:p>
        </w:tc>
        <w:tc>
          <w:tcPr>
            <w:tcW w:w="4891" w:type="dxa"/>
            <w:tcBorders>
              <w:right w:val="single" w:color="auto" w:sz="4" w:space="0"/>
            </w:tcBorders>
          </w:tcPr>
          <w:p w:rsidRPr="00041AD5" w:rsidR="00617B23" w:rsidP="00777957" w:rsidRDefault="00617B23" w14:paraId="17DE638B" w14:textId="6F3DA05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Fuel-Flexible Distributed Power Generation</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0C30A6C4" w14:textId="2C6F9B9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499D7A2D" w14:textId="7014DB4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6,000,000</w:t>
            </w:r>
          </w:p>
        </w:tc>
      </w:tr>
      <w:tr w:rsidRPr="00041AD5" w:rsidR="00617B23" w:rsidTr="00617B23" w14:paraId="1A16A384" w14:textId="77777777">
        <w:tc>
          <w:tcPr>
            <w:tcW w:w="7375" w:type="dxa"/>
            <w:gridSpan w:val="2"/>
            <w:tcBorders>
              <w:right w:val="single" w:color="auto" w:sz="4" w:space="0"/>
            </w:tcBorders>
          </w:tcPr>
          <w:p w:rsidRPr="00041AD5" w:rsidR="00617B23" w:rsidP="00777957" w:rsidRDefault="00617B23" w14:paraId="519A317C" w14:textId="2169B1A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 xml:space="preserve">Database Development </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0B561713" w14:textId="50B1C48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23694F5F" w14:textId="6B2CCF1D">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184,511</w:t>
            </w:r>
          </w:p>
        </w:tc>
      </w:tr>
      <w:tr w:rsidRPr="00041AD5" w:rsidR="00617B23" w:rsidTr="00617B23" w14:paraId="30E14EA5" w14:textId="77777777">
        <w:tc>
          <w:tcPr>
            <w:tcW w:w="7375" w:type="dxa"/>
            <w:gridSpan w:val="2"/>
            <w:tcBorders>
              <w:right w:val="single" w:color="auto" w:sz="4" w:space="0"/>
            </w:tcBorders>
          </w:tcPr>
          <w:p w:rsidRPr="00041AD5" w:rsidR="00617B23" w:rsidP="00777957" w:rsidRDefault="00617B23" w14:paraId="0EBA130B" w14:textId="40ED30C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Program Administration</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18962438" w14:textId="4ECE525A">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137955E8" w14:textId="31127EDA">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2,400,000</w:t>
            </w:r>
          </w:p>
        </w:tc>
      </w:tr>
      <w:tr w:rsidRPr="00041AD5" w:rsidR="00617B23" w:rsidTr="00617B23" w14:paraId="47D872E8" w14:textId="77777777">
        <w:tc>
          <w:tcPr>
            <w:tcW w:w="7375" w:type="dxa"/>
            <w:gridSpan w:val="2"/>
            <w:tcBorders>
              <w:right w:val="single" w:color="auto" w:sz="4" w:space="0"/>
            </w:tcBorders>
          </w:tcPr>
          <w:p w:rsidRPr="00041AD5" w:rsidR="00617B23" w:rsidP="00AA0D64" w:rsidRDefault="00617B23" w14:paraId="031B301D" w14:textId="3EF8DF92">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ANNUAL TOTAL:</w:t>
            </w:r>
          </w:p>
        </w:tc>
        <w:tc>
          <w:tcPr>
            <w:tcW w:w="360" w:type="dxa"/>
            <w:tcBorders>
              <w:top w:val="single" w:color="auto" w:sz="4" w:space="0"/>
              <w:left w:val="single" w:color="auto" w:sz="4" w:space="0"/>
              <w:bottom w:val="single" w:color="auto" w:sz="4" w:space="0"/>
              <w:right w:val="nil"/>
            </w:tcBorders>
          </w:tcPr>
          <w:p w:rsidRPr="00041AD5" w:rsidR="00617B23" w:rsidP="00465E31" w:rsidRDefault="00617B23" w14:paraId="1A489285" w14:textId="5C3A2D92">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Pr>
                <w:rFonts w:ascii="Palatino Linotype" w:hAnsi="Palatino Linotype" w:eastAsia="Palatino Linotype" w:cs="Times New Roman"/>
                <w:b/>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041AD5" w:rsidR="00617B23" w:rsidP="00465E31" w:rsidRDefault="00617B23" w14:paraId="4511683B" w14:textId="2D9939A7">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24,000,000</w:t>
            </w:r>
          </w:p>
        </w:tc>
      </w:tr>
    </w:tbl>
    <w:p w:rsidRPr="00041AD5" w:rsidR="00331F6C" w:rsidP="00777957" w:rsidRDefault="00331F6C" w14:paraId="52EC72BD" w14:textId="77777777">
      <w:pPr>
        <w:keepNext/>
        <w:spacing w:after="0" w:line="276" w:lineRule="auto"/>
        <w:outlineLvl w:val="0"/>
        <w:rPr>
          <w:rFonts w:ascii="Palatino Linotype" w:hAnsi="Palatino Linotype" w:eastAsia="Palatino Linotype" w:cs="Times New Roman"/>
          <w:bCs/>
          <w:color w:val="000000" w:themeColor="text1"/>
          <w:kern w:val="0"/>
          <w14:ligatures w14:val="none"/>
        </w:rPr>
      </w:pPr>
    </w:p>
    <w:p w:rsidRPr="00041AD5" w:rsidR="00EB2216" w:rsidP="001326C6" w:rsidRDefault="002B5082" w14:paraId="20C8012F" w14:textId="713484BA">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Gas Decommissioning</w:t>
      </w:r>
      <w:r w:rsidRPr="00041AD5" w:rsidR="00EB2216">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EB2216" w:rsidP="003147DD" w:rsidRDefault="005C69CC" w14:paraId="33E219D4" w14:textId="2B2F71C7">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EB2216">
        <w:rPr>
          <w:rFonts w:ascii="Palatino Linotype" w:hAnsi="Palatino Linotype" w:eastAsia="Palatino Linotype" w:cs="Times New Roman"/>
          <w:color w:val="000000" w:themeColor="text1"/>
          <w:kern w:val="0"/>
          <w14:ligatures w14:val="none"/>
        </w:rPr>
        <w:t xml:space="preserve">CEC states that </w:t>
      </w:r>
      <w:r w:rsidRPr="00041AD5" w:rsidR="001326C6">
        <w:rPr>
          <w:rFonts w:ascii="Palatino Linotype" w:hAnsi="Palatino Linotype" w:eastAsia="Palatino Linotype" w:cs="Times New Roman"/>
          <w:color w:val="000000" w:themeColor="text1"/>
          <w:kern w:val="0"/>
          <w14:ligatures w14:val="none"/>
        </w:rPr>
        <w:t xml:space="preserve">it seeks to develop </w:t>
      </w:r>
      <w:r w:rsidRPr="00041AD5" w:rsidR="00ED760B">
        <w:rPr>
          <w:rFonts w:ascii="Palatino Linotype" w:hAnsi="Palatino Linotype" w:eastAsia="Palatino Linotype" w:cs="Times New Roman"/>
          <w:color w:val="000000" w:themeColor="text1"/>
          <w:kern w:val="0"/>
          <w14:ligatures w14:val="none"/>
        </w:rPr>
        <w:t>I</w:t>
      </w:r>
      <w:r w:rsidRPr="00041AD5" w:rsidR="00EB2216">
        <w:rPr>
          <w:rFonts w:ascii="Palatino Linotype" w:hAnsi="Palatino Linotype" w:eastAsia="Palatino Linotype" w:cs="Times New Roman"/>
          <w:color w:val="000000" w:themeColor="text1"/>
          <w:kern w:val="0"/>
          <w14:ligatures w14:val="none"/>
        </w:rPr>
        <w:t>nitiatives within the Gas Decommissioning</w:t>
      </w:r>
      <w:r w:rsidRPr="00041AD5" w:rsidR="002B5082">
        <w:rPr>
          <w:rFonts w:ascii="Palatino Linotype" w:hAnsi="Palatino Linotype" w:eastAsia="Palatino Linotype" w:cs="Times New Roman"/>
          <w:color w:val="000000" w:themeColor="text1"/>
          <w:kern w:val="0"/>
          <w14:ligatures w14:val="none"/>
        </w:rPr>
        <w:t xml:space="preserve"> Theme</w:t>
      </w:r>
      <w:r w:rsidRPr="00041AD5" w:rsidR="00EB2216">
        <w:rPr>
          <w:rFonts w:ascii="Palatino Linotype" w:hAnsi="Palatino Linotype" w:eastAsia="Palatino Linotype" w:cs="Times New Roman"/>
          <w:color w:val="000000" w:themeColor="text1"/>
          <w:kern w:val="0"/>
          <w14:ligatures w14:val="none"/>
        </w:rPr>
        <w:t xml:space="preserve"> to “highlight important elements of variability in transition opportunity and effects” to “foster greater energy equity and build a more systematic ground-level understanding of the technology needs, opportunities, and challenges in decarbonizing the gas system.”</w:t>
      </w:r>
      <w:r w:rsidRPr="00041AD5" w:rsidR="00EB2216">
        <w:rPr>
          <w:rStyle w:val="FootnoteReference"/>
          <w:rFonts w:ascii="Palatino Linotype" w:hAnsi="Palatino Linotype" w:eastAsia="Palatino Linotype" w:cs="Times New Roman"/>
          <w:color w:val="000000" w:themeColor="text1"/>
          <w:kern w:val="0"/>
          <w14:ligatures w14:val="none"/>
        </w:rPr>
        <w:footnoteReference w:id="25"/>
      </w:r>
    </w:p>
    <w:p w:rsidRPr="00041AD5" w:rsidR="00D4575E" w:rsidP="003147DD" w:rsidRDefault="00D4575E" w14:paraId="0F59490E"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555C53" w:rsidP="000D7959" w:rsidRDefault="00BE10F1" w14:paraId="253D7FA3" w14:textId="56EB3703">
      <w:pPr>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Support Equitable, Safe, and Cost-Effective Decarbonization of California’s Gas System</w:t>
      </w:r>
      <w:r w:rsidRPr="00041AD5" w:rsidR="00555C53">
        <w:rPr>
          <w:rFonts w:ascii="Palatino Linotype" w:hAnsi="Palatino Linotype" w:eastAsia="Palatino Linotype" w:cs="Times New Roman"/>
          <w:bCs/>
          <w:i/>
          <w:iCs/>
          <w:color w:val="000000" w:themeColor="text1"/>
          <w:kern w:val="0"/>
          <w14:ligatures w14:val="none"/>
        </w:rPr>
        <w:t xml:space="preserve"> </w:t>
      </w:r>
    </w:p>
    <w:p w:rsidRPr="00041AD5" w:rsidR="00153E48" w:rsidP="000D7959" w:rsidRDefault="005C69CC" w14:paraId="192E0CAC" w14:textId="06604525">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CE5000">
        <w:rPr>
          <w:rFonts w:ascii="Palatino Linotype" w:hAnsi="Palatino Linotype" w:eastAsia="Palatino Linotype" w:cs="Times New Roman"/>
          <w:color w:val="000000" w:themeColor="text1"/>
          <w:kern w:val="0"/>
          <w14:ligatures w14:val="none"/>
        </w:rPr>
        <w:t xml:space="preserve">CEC states that </w:t>
      </w:r>
      <w:r w:rsidRPr="00041AD5" w:rsidR="004A79C1">
        <w:rPr>
          <w:rFonts w:ascii="Palatino Linotype" w:hAnsi="Palatino Linotype" w:eastAsia="Palatino Linotype" w:cs="Times New Roman"/>
          <w:color w:val="000000" w:themeColor="text1"/>
          <w:kern w:val="0"/>
          <w14:ligatures w14:val="none"/>
        </w:rPr>
        <w:t xml:space="preserve">it seeks to develop </w:t>
      </w:r>
      <w:r w:rsidRPr="00041AD5" w:rsidR="00CE5000">
        <w:rPr>
          <w:rFonts w:ascii="Palatino Linotype" w:hAnsi="Palatino Linotype" w:eastAsia="Palatino Linotype" w:cs="Times New Roman"/>
          <w:color w:val="000000" w:themeColor="text1"/>
          <w:kern w:val="0"/>
          <w14:ligatures w14:val="none"/>
        </w:rPr>
        <w:t xml:space="preserve">projects within the </w:t>
      </w:r>
      <w:r w:rsidRPr="00041AD5" w:rsidR="00BE10F1">
        <w:rPr>
          <w:rFonts w:ascii="Palatino Linotype" w:hAnsi="Palatino Linotype" w:eastAsia="Palatino Linotype" w:cs="Times New Roman"/>
          <w:color w:val="000000" w:themeColor="text1"/>
          <w:kern w:val="0"/>
          <w14:ligatures w14:val="none"/>
        </w:rPr>
        <w:t>Support Equitable, Safe, and Cost-Effective Decarbonization of California’s Gas System</w:t>
      </w:r>
      <w:r w:rsidRPr="00041AD5" w:rsidR="00CE5000">
        <w:rPr>
          <w:rFonts w:ascii="Palatino Linotype" w:hAnsi="Palatino Linotype" w:eastAsia="Palatino Linotype" w:cs="Times New Roman"/>
          <w:color w:val="000000" w:themeColor="text1"/>
          <w:kern w:val="0"/>
          <w14:ligatures w14:val="none"/>
        </w:rPr>
        <w:t xml:space="preserve"> Initiative to </w:t>
      </w:r>
      <w:r w:rsidRPr="00041AD5" w:rsidR="00FB0E18">
        <w:rPr>
          <w:rFonts w:ascii="Palatino Linotype" w:hAnsi="Palatino Linotype" w:eastAsia="Palatino Linotype" w:cs="Times New Roman"/>
          <w:color w:val="000000" w:themeColor="text1"/>
          <w:kern w:val="0"/>
          <w14:ligatures w14:val="none"/>
        </w:rPr>
        <w:t xml:space="preserve">understand and influence the </w:t>
      </w:r>
      <w:r w:rsidRPr="00041AD5" w:rsidR="00822A5C">
        <w:rPr>
          <w:rFonts w:ascii="Palatino Linotype" w:hAnsi="Palatino Linotype" w:eastAsia="Palatino Linotype" w:cs="Times New Roman"/>
          <w:color w:val="000000" w:themeColor="text1"/>
          <w:kern w:val="0"/>
          <w14:ligatures w14:val="none"/>
        </w:rPr>
        <w:t>micro-conditions of societal gas use and</w:t>
      </w:r>
      <w:r w:rsidRPr="00041AD5" w:rsidR="00F447CC">
        <w:rPr>
          <w:rFonts w:ascii="Palatino Linotype" w:hAnsi="Palatino Linotype" w:eastAsia="Palatino Linotype" w:cs="Times New Roman"/>
          <w:color w:val="000000" w:themeColor="text1"/>
          <w:kern w:val="0"/>
          <w14:ligatures w14:val="none"/>
        </w:rPr>
        <w:t xml:space="preserve"> the adoption of alternatives</w:t>
      </w:r>
      <w:r w:rsidRPr="00041AD5" w:rsidR="00B62999">
        <w:rPr>
          <w:rFonts w:ascii="Palatino Linotype" w:hAnsi="Palatino Linotype" w:eastAsia="Palatino Linotype" w:cs="Times New Roman"/>
          <w:color w:val="000000" w:themeColor="text1"/>
          <w:kern w:val="0"/>
          <w14:ligatures w14:val="none"/>
        </w:rPr>
        <w:t>;</w:t>
      </w:r>
      <w:r w:rsidRPr="00041AD5" w:rsidR="00F447CC">
        <w:rPr>
          <w:rFonts w:ascii="Palatino Linotype" w:hAnsi="Palatino Linotype" w:eastAsia="Palatino Linotype" w:cs="Times New Roman"/>
          <w:color w:val="000000" w:themeColor="text1"/>
          <w:kern w:val="0"/>
          <w14:ligatures w14:val="none"/>
        </w:rPr>
        <w:t xml:space="preserve"> leverage data and research </w:t>
      </w:r>
      <w:r w:rsidRPr="00041AD5" w:rsidR="005A3477">
        <w:rPr>
          <w:rFonts w:ascii="Palatino Linotype" w:hAnsi="Palatino Linotype" w:eastAsia="Palatino Linotype" w:cs="Times New Roman"/>
          <w:color w:val="000000" w:themeColor="text1"/>
          <w:kern w:val="0"/>
          <w14:ligatures w14:val="none"/>
        </w:rPr>
        <w:t>insights</w:t>
      </w:r>
      <w:r w:rsidRPr="00041AD5" w:rsidR="00E02C4E">
        <w:rPr>
          <w:rFonts w:ascii="Palatino Linotype" w:hAnsi="Palatino Linotype" w:eastAsia="Palatino Linotype" w:cs="Times New Roman"/>
          <w:color w:val="000000" w:themeColor="text1"/>
          <w:kern w:val="0"/>
          <w14:ligatures w14:val="none"/>
        </w:rPr>
        <w:t xml:space="preserve"> on gas conversion activities</w:t>
      </w:r>
      <w:r w:rsidRPr="00041AD5" w:rsidR="00B62999">
        <w:rPr>
          <w:rFonts w:ascii="Palatino Linotype" w:hAnsi="Palatino Linotype" w:eastAsia="Palatino Linotype" w:cs="Times New Roman"/>
          <w:color w:val="000000" w:themeColor="text1"/>
          <w:kern w:val="0"/>
          <w14:ligatures w14:val="none"/>
        </w:rPr>
        <w:t>;</w:t>
      </w:r>
      <w:r w:rsidRPr="00041AD5" w:rsidR="00E02C4E">
        <w:rPr>
          <w:rFonts w:ascii="Palatino Linotype" w:hAnsi="Palatino Linotype" w:eastAsia="Palatino Linotype" w:cs="Times New Roman"/>
          <w:color w:val="000000" w:themeColor="text1"/>
          <w:kern w:val="0"/>
          <w14:ligatures w14:val="none"/>
        </w:rPr>
        <w:t xml:space="preserve"> and </w:t>
      </w:r>
      <w:r w:rsidRPr="00041AD5" w:rsidR="00B62999">
        <w:rPr>
          <w:rFonts w:ascii="Palatino Linotype" w:hAnsi="Palatino Linotype" w:eastAsia="Palatino Linotype" w:cs="Times New Roman"/>
          <w:color w:val="000000" w:themeColor="text1"/>
          <w:kern w:val="0"/>
          <w14:ligatures w14:val="none"/>
        </w:rPr>
        <w:t xml:space="preserve">guide </w:t>
      </w:r>
      <w:r w:rsidR="000C4CBF">
        <w:rPr>
          <w:rFonts w:ascii="Palatino Linotype" w:hAnsi="Palatino Linotype" w:eastAsia="Palatino Linotype" w:cs="Times New Roman"/>
          <w:color w:val="000000" w:themeColor="text1"/>
          <w:kern w:val="0"/>
          <w14:ligatures w14:val="none"/>
        </w:rPr>
        <w:br/>
      </w:r>
      <w:r w:rsidRPr="00041AD5" w:rsidR="00B62999">
        <w:rPr>
          <w:rFonts w:ascii="Palatino Linotype" w:hAnsi="Palatino Linotype" w:eastAsia="Palatino Linotype" w:cs="Times New Roman"/>
          <w:color w:val="000000" w:themeColor="text1"/>
          <w:kern w:val="0"/>
          <w14:ligatures w14:val="none"/>
        </w:rPr>
        <w:t>decision-making</w:t>
      </w:r>
      <w:r w:rsidRPr="00041AD5" w:rsidR="004115E3">
        <w:rPr>
          <w:rFonts w:ascii="Palatino Linotype" w:hAnsi="Palatino Linotype" w:eastAsia="Palatino Linotype" w:cs="Times New Roman"/>
          <w:color w:val="000000" w:themeColor="text1"/>
          <w:kern w:val="0"/>
          <w14:ligatures w14:val="none"/>
        </w:rPr>
        <w:t xml:space="preserve"> by accelerating information transference.</w:t>
      </w:r>
      <w:r w:rsidRPr="00041AD5" w:rsidR="004115E3">
        <w:rPr>
          <w:rStyle w:val="FootnoteReference"/>
          <w:rFonts w:ascii="Palatino Linotype" w:hAnsi="Palatino Linotype" w:eastAsia="Palatino Linotype" w:cs="Times New Roman"/>
          <w:color w:val="000000" w:themeColor="text1"/>
          <w:kern w:val="0"/>
          <w14:ligatures w14:val="none"/>
        </w:rPr>
        <w:footnoteReference w:id="26"/>
      </w:r>
      <w:r w:rsidRPr="00041AD5" w:rsidR="004115E3">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BE10F1">
        <w:rPr>
          <w:rFonts w:ascii="Palatino Linotype" w:hAnsi="Palatino Linotype" w:eastAsia="Palatino Linotype" w:cs="Times New Roman"/>
          <w:color w:val="000000" w:themeColor="text1"/>
          <w:kern w:val="0"/>
          <w14:ligatures w14:val="none"/>
        </w:rPr>
        <w:t xml:space="preserve">CEC </w:t>
      </w:r>
      <w:r w:rsidRPr="00041AD5" w:rsidR="00314B31">
        <w:rPr>
          <w:rFonts w:ascii="Palatino Linotype" w:hAnsi="Palatino Linotype" w:eastAsia="Palatino Linotype" w:cs="Times New Roman"/>
          <w:color w:val="000000" w:themeColor="text1"/>
          <w:kern w:val="0"/>
          <w14:ligatures w14:val="none"/>
        </w:rPr>
        <w:t xml:space="preserve">proposes to </w:t>
      </w:r>
      <w:r w:rsidRPr="00041AD5" w:rsidR="00BE10F1">
        <w:rPr>
          <w:rFonts w:ascii="Palatino Linotype" w:hAnsi="Palatino Linotype" w:eastAsia="Palatino Linotype" w:cs="Times New Roman"/>
          <w:color w:val="000000" w:themeColor="text1"/>
          <w:kern w:val="0"/>
          <w14:ligatures w14:val="none"/>
        </w:rPr>
        <w:t>allocate $7,600,000</w:t>
      </w:r>
      <w:r w:rsidRPr="00041AD5" w:rsidR="00181E34">
        <w:rPr>
          <w:rFonts w:ascii="Palatino Linotype" w:hAnsi="Palatino Linotype" w:eastAsia="Palatino Linotype" w:cs="Times New Roman"/>
          <w:color w:val="000000" w:themeColor="text1"/>
          <w:kern w:val="0"/>
          <w14:ligatures w14:val="none"/>
        </w:rPr>
        <w:t xml:space="preserve"> </w:t>
      </w:r>
      <w:r w:rsidRPr="00041AD5" w:rsidR="00314B31">
        <w:rPr>
          <w:rFonts w:ascii="Palatino Linotype" w:hAnsi="Palatino Linotype" w:eastAsia="Palatino Linotype" w:cs="Times New Roman"/>
          <w:color w:val="000000" w:themeColor="text1"/>
          <w:kern w:val="0"/>
          <w14:ligatures w14:val="none"/>
        </w:rPr>
        <w:t xml:space="preserve">in its 2024 Plan </w:t>
      </w:r>
      <w:r w:rsidRPr="00041AD5" w:rsidR="00181E34">
        <w:rPr>
          <w:rFonts w:ascii="Palatino Linotype" w:hAnsi="Palatino Linotype" w:eastAsia="Palatino Linotype" w:cs="Times New Roman"/>
          <w:color w:val="000000" w:themeColor="text1"/>
          <w:kern w:val="0"/>
          <w14:ligatures w14:val="none"/>
        </w:rPr>
        <w:t>to this Initiative.</w:t>
      </w:r>
      <w:r w:rsidRPr="00041AD5" w:rsidR="009C0FE9">
        <w:rPr>
          <w:rStyle w:val="FootnoteReference"/>
          <w:rFonts w:ascii="Palatino Linotype" w:hAnsi="Palatino Linotype" w:eastAsia="Palatino Linotype" w:cs="Times New Roman"/>
          <w:color w:val="000000" w:themeColor="text1"/>
          <w:kern w:val="0"/>
          <w14:ligatures w14:val="none"/>
        </w:rPr>
        <w:footnoteReference w:id="27"/>
      </w:r>
    </w:p>
    <w:p w:rsidRPr="00041AD5" w:rsidR="00D4575E" w:rsidP="003147DD" w:rsidRDefault="00D4575E" w14:paraId="199C943A"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EB2216" w:rsidP="000A4CD4" w:rsidRDefault="00EB2216" w14:paraId="32159687" w14:textId="185BB173">
      <w:pPr>
        <w:keepNext/>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Gas System</w:t>
      </w:r>
      <w:r w:rsidRPr="00041AD5" w:rsidR="00095AA4">
        <w:rPr>
          <w:rFonts w:ascii="Palatino Linotype" w:hAnsi="Palatino Linotype" w:eastAsia="Palatino Linotype" w:cs="Times New Roman"/>
          <w:bCs/>
          <w:color w:val="000000" w:themeColor="text1"/>
          <w:kern w:val="0"/>
          <w:u w:val="single"/>
          <w14:ligatures w14:val="none"/>
        </w:rPr>
        <w:t xml:space="preserve"> Safety</w:t>
      </w:r>
      <w:r w:rsidRPr="00041AD5">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DE7C1E" w:rsidP="000A4CD4" w:rsidRDefault="005C69CC" w14:paraId="178E5B2A" w14:textId="40EEDD91">
      <w:pPr>
        <w:keepNext/>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EB2216">
        <w:rPr>
          <w:rFonts w:ascii="Palatino Linotype" w:hAnsi="Palatino Linotype" w:eastAsia="Palatino Linotype" w:cs="Times New Roman"/>
          <w:color w:val="000000" w:themeColor="text1"/>
          <w:kern w:val="0"/>
          <w14:ligatures w14:val="none"/>
        </w:rPr>
        <w:t>within the Gas System Safety</w:t>
      </w:r>
      <w:r w:rsidRPr="00041AD5" w:rsidR="00095AA4">
        <w:rPr>
          <w:rFonts w:ascii="Palatino Linotype" w:hAnsi="Palatino Linotype" w:eastAsia="Palatino Linotype" w:cs="Times New Roman"/>
          <w:color w:val="000000" w:themeColor="text1"/>
          <w:kern w:val="0"/>
          <w14:ligatures w14:val="none"/>
        </w:rPr>
        <w:t xml:space="preserve"> Theme</w:t>
      </w:r>
      <w:r w:rsidRPr="00041AD5" w:rsidR="00EB2216">
        <w:rPr>
          <w:rFonts w:ascii="Palatino Linotype" w:hAnsi="Palatino Linotype" w:eastAsia="Palatino Linotype" w:cs="Times New Roman"/>
          <w:color w:val="000000" w:themeColor="text1"/>
          <w:kern w:val="0"/>
          <w14:ligatures w14:val="none"/>
        </w:rPr>
        <w:t xml:space="preserve"> to </w:t>
      </w:r>
      <w:r w:rsidRPr="00041AD5" w:rsidR="00DE7C1E">
        <w:rPr>
          <w:rFonts w:ascii="Palatino Linotype" w:hAnsi="Palatino Linotype" w:eastAsia="Palatino Linotype" w:cs="Times New Roman"/>
          <w:color w:val="000000" w:themeColor="text1"/>
          <w:kern w:val="0"/>
          <w14:ligatures w14:val="none"/>
        </w:rPr>
        <w:t>coordinate with Investor-Owned Utilities (IOUs)</w:t>
      </w:r>
      <w:r w:rsidRPr="00041AD5" w:rsidR="0059692A">
        <w:rPr>
          <w:rFonts w:ascii="Palatino Linotype" w:hAnsi="Palatino Linotype" w:eastAsia="Palatino Linotype" w:cs="Times New Roman"/>
          <w:color w:val="000000" w:themeColor="text1"/>
          <w:kern w:val="0"/>
          <w14:ligatures w14:val="none"/>
        </w:rPr>
        <w:t xml:space="preserve"> in “developing innovative tools and technologies to better assess system vulnerability and prevent damages from geohazards, excavation, corrosion, and other threats”</w:t>
      </w:r>
      <w:r w:rsidRPr="00041AD5" w:rsidR="00E7449B">
        <w:rPr>
          <w:rFonts w:ascii="Palatino Linotype" w:hAnsi="Palatino Linotype" w:eastAsia="Palatino Linotype" w:cs="Times New Roman"/>
          <w:color w:val="000000" w:themeColor="text1"/>
          <w:kern w:val="0"/>
          <w14:ligatures w14:val="none"/>
        </w:rPr>
        <w:t xml:space="preserve"> to “reduce costs during </w:t>
      </w:r>
      <w:r w:rsidRPr="00041AD5" w:rsidR="00E94441">
        <w:rPr>
          <w:rFonts w:ascii="Palatino Linotype" w:hAnsi="Palatino Linotype" w:eastAsia="Palatino Linotype" w:cs="Times New Roman"/>
          <w:color w:val="000000" w:themeColor="text1"/>
          <w:kern w:val="0"/>
          <w14:ligatures w14:val="none"/>
        </w:rPr>
        <w:t>[the gas]</w:t>
      </w:r>
      <w:r w:rsidRPr="00041AD5" w:rsidR="00E7449B">
        <w:rPr>
          <w:rFonts w:ascii="Palatino Linotype" w:hAnsi="Palatino Linotype" w:eastAsia="Palatino Linotype" w:cs="Times New Roman"/>
          <w:color w:val="000000" w:themeColor="text1"/>
          <w:kern w:val="0"/>
          <w14:ligatures w14:val="none"/>
        </w:rPr>
        <w:t xml:space="preserve"> transition while ensuring safety and reliability.”</w:t>
      </w:r>
      <w:r w:rsidRPr="00041AD5" w:rsidR="00E7449B">
        <w:rPr>
          <w:rStyle w:val="FootnoteReference"/>
          <w:rFonts w:ascii="Palatino Linotype" w:hAnsi="Palatino Linotype" w:eastAsia="Palatino Linotype" w:cs="Times New Roman"/>
          <w:color w:val="000000" w:themeColor="text1"/>
          <w:kern w:val="0"/>
          <w14:ligatures w14:val="none"/>
        </w:rPr>
        <w:footnoteReference w:id="28"/>
      </w:r>
    </w:p>
    <w:p w:rsidRPr="00041AD5" w:rsidR="00EB2216" w:rsidP="003147DD" w:rsidRDefault="00EB2216" w14:paraId="32315ABA" w14:textId="77777777">
      <w:pPr>
        <w:autoSpaceDE w:val="0"/>
        <w:autoSpaceDN w:val="0"/>
        <w:adjustRightInd w:val="0"/>
        <w:spacing w:after="0" w:line="276" w:lineRule="auto"/>
        <w:rPr>
          <w:rFonts w:ascii="Palatino Linotype" w:hAnsi="Palatino Linotype" w:eastAsia="Palatino Linotype" w:cs="Times New Roman"/>
          <w:bCs/>
          <w:color w:val="000000" w:themeColor="text1"/>
          <w:kern w:val="0"/>
          <w:u w:val="single"/>
          <w14:ligatures w14:val="none"/>
        </w:rPr>
      </w:pPr>
    </w:p>
    <w:p w:rsidRPr="00041AD5" w:rsidR="00D4575E" w:rsidP="000D7959" w:rsidRDefault="00B3131B" w14:paraId="342A7E07" w14:textId="0174FFD0">
      <w:pPr>
        <w:autoSpaceDE w:val="0"/>
        <w:autoSpaceDN w:val="0"/>
        <w:adjustRightInd w:val="0"/>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 xml:space="preserve">Innovations for Cost-Effective Operation and Maintenance of Critical Infrastructure During the Gas Transition </w:t>
      </w:r>
    </w:p>
    <w:p w:rsidRPr="00041AD5" w:rsidR="00B3131B" w:rsidP="000D7959" w:rsidRDefault="005C69CC" w14:paraId="749C04D6" w14:textId="36493E9C">
      <w:pPr>
        <w:autoSpaceDE w:val="0"/>
        <w:autoSpaceDN w:val="0"/>
        <w:adjustRightInd w:val="0"/>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B3131B">
        <w:rPr>
          <w:rFonts w:ascii="Palatino Linotype" w:hAnsi="Palatino Linotype" w:eastAsia="Palatino Linotype" w:cs="Times New Roman"/>
          <w:color w:val="000000" w:themeColor="text1"/>
          <w:kern w:val="0"/>
          <w14:ligatures w14:val="none"/>
        </w:rPr>
        <w:t xml:space="preserve">within the Innovations for </w:t>
      </w:r>
      <w:r w:rsidR="000C4CBF">
        <w:rPr>
          <w:rFonts w:ascii="Palatino Linotype" w:hAnsi="Palatino Linotype" w:eastAsia="Palatino Linotype" w:cs="Times New Roman"/>
          <w:color w:val="000000" w:themeColor="text1"/>
          <w:kern w:val="0"/>
          <w14:ligatures w14:val="none"/>
        </w:rPr>
        <w:br/>
      </w:r>
      <w:r w:rsidRPr="00041AD5" w:rsidR="00B3131B">
        <w:rPr>
          <w:rFonts w:ascii="Palatino Linotype" w:hAnsi="Palatino Linotype" w:eastAsia="Palatino Linotype" w:cs="Times New Roman"/>
          <w:color w:val="000000" w:themeColor="text1"/>
          <w:kern w:val="0"/>
          <w14:ligatures w14:val="none"/>
        </w:rPr>
        <w:t xml:space="preserve">Cost-Effective Operation and Maintenance of Critical Infrastructure During the Gas Transition Initiative </w:t>
      </w:r>
      <w:r w:rsidRPr="00041AD5" w:rsidR="00F40B9C">
        <w:rPr>
          <w:rFonts w:ascii="Palatino Linotype" w:hAnsi="Palatino Linotype" w:eastAsia="Palatino Linotype" w:cs="Times New Roman"/>
          <w:color w:val="000000" w:themeColor="text1"/>
          <w:kern w:val="0"/>
          <w14:ligatures w14:val="none"/>
        </w:rPr>
        <w:t>“to improve the costs, accuracy, and data quality in operations and maintenance of underground gas storage wells and transmission pipelines by developing strategies and resources, such as continuous monitoring technologies, less intrusive inspection methods, and data management and communication systems.”</w:t>
      </w:r>
      <w:r w:rsidRPr="00041AD5" w:rsidR="00F40B9C">
        <w:rPr>
          <w:rStyle w:val="FootnoteReference"/>
          <w:rFonts w:ascii="Palatino Linotype" w:hAnsi="Palatino Linotype" w:eastAsia="Palatino Linotype" w:cs="Times New Roman"/>
          <w:color w:val="000000" w:themeColor="text1"/>
          <w:kern w:val="0"/>
          <w14:ligatures w14:val="none"/>
        </w:rPr>
        <w:footnoteReference w:id="29"/>
      </w:r>
      <w:r w:rsidRPr="00041AD5" w:rsidR="00F40B9C">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B3131B">
        <w:rPr>
          <w:rFonts w:ascii="Palatino Linotype" w:hAnsi="Palatino Linotype" w:eastAsia="Palatino Linotype" w:cs="Times New Roman"/>
          <w:color w:val="000000" w:themeColor="text1"/>
          <w:kern w:val="0"/>
          <w14:ligatures w14:val="none"/>
        </w:rPr>
        <w:t xml:space="preserve">CEC </w:t>
      </w:r>
      <w:r w:rsidRPr="00041AD5" w:rsidR="001E618C">
        <w:rPr>
          <w:rFonts w:ascii="Palatino Linotype" w:hAnsi="Palatino Linotype" w:eastAsia="Palatino Linotype" w:cs="Times New Roman"/>
          <w:color w:val="000000" w:themeColor="text1"/>
          <w:kern w:val="0"/>
          <w14:ligatures w14:val="none"/>
        </w:rPr>
        <w:t xml:space="preserve">proposes to </w:t>
      </w:r>
      <w:r w:rsidRPr="00041AD5" w:rsidR="00B3131B">
        <w:rPr>
          <w:rFonts w:ascii="Palatino Linotype" w:hAnsi="Palatino Linotype" w:eastAsia="Palatino Linotype" w:cs="Times New Roman"/>
          <w:color w:val="000000" w:themeColor="text1"/>
          <w:kern w:val="0"/>
          <w14:ligatures w14:val="none"/>
        </w:rPr>
        <w:t xml:space="preserve">allocate </w:t>
      </w:r>
      <w:r w:rsidRPr="00041AD5" w:rsidR="00E80DEF">
        <w:rPr>
          <w:rFonts w:ascii="Palatino Linotype" w:hAnsi="Palatino Linotype" w:eastAsia="Palatino Linotype" w:cs="Times New Roman"/>
          <w:color w:val="000000" w:themeColor="text1"/>
          <w:kern w:val="0"/>
          <w14:ligatures w14:val="none"/>
        </w:rPr>
        <w:t xml:space="preserve">$7,815,489 </w:t>
      </w:r>
      <w:r w:rsidRPr="00041AD5" w:rsidR="001E618C">
        <w:rPr>
          <w:rFonts w:ascii="Palatino Linotype" w:hAnsi="Palatino Linotype" w:eastAsia="Palatino Linotype" w:cs="Times New Roman"/>
          <w:color w:val="000000" w:themeColor="text1"/>
          <w:kern w:val="0"/>
          <w14:ligatures w14:val="none"/>
        </w:rPr>
        <w:t xml:space="preserve">in its 2024 Plan </w:t>
      </w:r>
      <w:r w:rsidRPr="00041AD5" w:rsidR="00E80DEF">
        <w:rPr>
          <w:rFonts w:ascii="Palatino Linotype" w:hAnsi="Palatino Linotype" w:eastAsia="Palatino Linotype" w:cs="Times New Roman"/>
          <w:color w:val="000000" w:themeColor="text1"/>
          <w:kern w:val="0"/>
          <w14:ligatures w14:val="none"/>
        </w:rPr>
        <w:t>to this Initiative.</w:t>
      </w:r>
      <w:r w:rsidRPr="00041AD5" w:rsidR="009C0FE9">
        <w:rPr>
          <w:rStyle w:val="FootnoteReference"/>
          <w:rFonts w:ascii="Palatino Linotype" w:hAnsi="Palatino Linotype" w:eastAsia="Palatino Linotype" w:cs="Times New Roman"/>
          <w:color w:val="000000" w:themeColor="text1"/>
          <w:kern w:val="0"/>
          <w14:ligatures w14:val="none"/>
        </w:rPr>
        <w:footnoteReference w:id="30"/>
      </w:r>
    </w:p>
    <w:p w:rsidRPr="00041AD5" w:rsidR="00B3131B" w:rsidP="003147DD" w:rsidRDefault="00B3131B" w14:paraId="345844E4" w14:textId="77777777">
      <w:pPr>
        <w:spacing w:after="0" w:line="276" w:lineRule="auto"/>
        <w:rPr>
          <w:rFonts w:ascii="Palatino Linotype" w:hAnsi="Palatino Linotype" w:eastAsia="Palatino Linotype" w:cs="Times New Roman"/>
          <w:bCs/>
          <w:i/>
          <w:iCs/>
          <w:color w:val="000000" w:themeColor="text1"/>
          <w:kern w:val="0"/>
          <w14:ligatures w14:val="none"/>
        </w:rPr>
      </w:pPr>
    </w:p>
    <w:p w:rsidR="00D170A1" w:rsidP="00BA2BC9" w:rsidRDefault="00D170A1" w14:paraId="1159C803" w14:textId="77777777">
      <w:pPr>
        <w:spacing w:line="276" w:lineRule="auto"/>
        <w:rPr>
          <w:rFonts w:ascii="Palatino Linotype" w:hAnsi="Palatino Linotype" w:eastAsia="Palatino Linotype" w:cs="Times New Roman"/>
          <w:bCs/>
          <w:color w:val="000000" w:themeColor="text1"/>
          <w:kern w:val="0"/>
          <w:u w:val="single"/>
          <w14:ligatures w14:val="none"/>
        </w:rPr>
      </w:pPr>
    </w:p>
    <w:p w:rsidRPr="00041AD5" w:rsidR="00D4575E" w:rsidP="00BA2BC9" w:rsidRDefault="00195D29" w14:paraId="632555E7" w14:textId="6C9E5618">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lastRenderedPageBreak/>
        <w:t>Renewable Generation</w:t>
      </w:r>
      <w:r w:rsidRPr="00041AD5" w:rsidR="00153E48">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D4575E" w:rsidP="003147DD" w:rsidRDefault="005C69CC" w14:paraId="2510F26F" w14:textId="7116786F">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D4575E">
        <w:rPr>
          <w:rFonts w:ascii="Palatino Linotype" w:hAnsi="Palatino Linotype" w:eastAsia="Palatino Linotype" w:cs="Times New Roman"/>
          <w:color w:val="000000" w:themeColor="text1"/>
          <w:kern w:val="0"/>
          <w14:ligatures w14:val="none"/>
        </w:rPr>
        <w:t xml:space="preserve">within the </w:t>
      </w:r>
      <w:r w:rsidRPr="00041AD5" w:rsidR="00153236">
        <w:rPr>
          <w:rFonts w:ascii="Palatino Linotype" w:hAnsi="Palatino Linotype" w:eastAsia="Palatino Linotype" w:cs="Times New Roman"/>
          <w:color w:val="000000" w:themeColor="text1"/>
          <w:kern w:val="0"/>
          <w14:ligatures w14:val="none"/>
        </w:rPr>
        <w:t>Renewable Generation</w:t>
      </w:r>
      <w:r w:rsidRPr="00041AD5" w:rsidR="00195D29">
        <w:rPr>
          <w:rFonts w:ascii="Palatino Linotype" w:hAnsi="Palatino Linotype" w:eastAsia="Palatino Linotype" w:cs="Times New Roman"/>
          <w:color w:val="000000" w:themeColor="text1"/>
          <w:kern w:val="0"/>
          <w14:ligatures w14:val="none"/>
        </w:rPr>
        <w:t xml:space="preserve"> Theme</w:t>
      </w:r>
      <w:r w:rsidRPr="00041AD5" w:rsidR="00D4575E">
        <w:rPr>
          <w:rFonts w:ascii="Palatino Linotype" w:hAnsi="Palatino Linotype" w:eastAsia="Palatino Linotype" w:cs="Times New Roman"/>
          <w:color w:val="000000" w:themeColor="text1"/>
          <w:kern w:val="0"/>
          <w14:ligatures w14:val="none"/>
        </w:rPr>
        <w:t xml:space="preserve"> to </w:t>
      </w:r>
      <w:r w:rsidRPr="00041AD5" w:rsidR="002F1D7A">
        <w:rPr>
          <w:rFonts w:ascii="Palatino Linotype" w:hAnsi="Palatino Linotype" w:eastAsia="Palatino Linotype" w:cs="Times New Roman"/>
          <w:color w:val="000000" w:themeColor="text1"/>
          <w:kern w:val="0"/>
          <w14:ligatures w14:val="none"/>
        </w:rPr>
        <w:t>develop</w:t>
      </w:r>
      <w:r w:rsidRPr="00041AD5" w:rsidR="00CD7A42">
        <w:rPr>
          <w:rFonts w:ascii="Palatino Linotype" w:hAnsi="Palatino Linotype" w:eastAsia="Palatino Linotype" w:cs="Times New Roman"/>
          <w:color w:val="000000" w:themeColor="text1"/>
          <w:kern w:val="0"/>
          <w14:ligatures w14:val="none"/>
        </w:rPr>
        <w:t xml:space="preserve"> decarbonized combustion and non-combustion generation technologies</w:t>
      </w:r>
      <w:r w:rsidRPr="00041AD5" w:rsidR="005B2419">
        <w:rPr>
          <w:rFonts w:ascii="Palatino Linotype" w:hAnsi="Palatino Linotype" w:eastAsia="Palatino Linotype" w:cs="Times New Roman"/>
          <w:color w:val="000000" w:themeColor="text1"/>
          <w:kern w:val="0"/>
          <w14:ligatures w14:val="none"/>
        </w:rPr>
        <w:t xml:space="preserve"> </w:t>
      </w:r>
      <w:r w:rsidRPr="00041AD5" w:rsidR="00386501">
        <w:rPr>
          <w:rFonts w:ascii="Palatino Linotype" w:hAnsi="Palatino Linotype" w:eastAsia="Palatino Linotype" w:cs="Times New Roman"/>
          <w:color w:val="000000" w:themeColor="text1"/>
          <w:kern w:val="0"/>
          <w14:ligatures w14:val="none"/>
        </w:rPr>
        <w:t>“that use different fuels based upon the availability and costs of the renewable fuel and the fuel blending infrastructure”</w:t>
      </w:r>
      <w:r w:rsidRPr="00041AD5" w:rsidR="00041D44">
        <w:rPr>
          <w:rFonts w:ascii="Palatino Linotype" w:hAnsi="Palatino Linotype" w:eastAsia="Palatino Linotype" w:cs="Times New Roman"/>
          <w:color w:val="000000" w:themeColor="text1"/>
          <w:kern w:val="0"/>
          <w14:ligatures w14:val="none"/>
        </w:rPr>
        <w:t xml:space="preserve"> in distributed generation applications.</w:t>
      </w:r>
      <w:r w:rsidRPr="00041AD5" w:rsidR="00041D44">
        <w:rPr>
          <w:rStyle w:val="FootnoteReference"/>
          <w:rFonts w:ascii="Palatino Linotype" w:hAnsi="Palatino Linotype" w:eastAsia="Palatino Linotype" w:cs="Times New Roman"/>
          <w:color w:val="000000" w:themeColor="text1"/>
          <w:kern w:val="0"/>
          <w14:ligatures w14:val="none"/>
        </w:rPr>
        <w:footnoteReference w:id="31"/>
      </w:r>
    </w:p>
    <w:p w:rsidRPr="00041AD5" w:rsidR="00D4575E" w:rsidP="003147DD" w:rsidRDefault="00D4575E" w14:paraId="163141D3"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6C761E" w:rsidP="000D7959" w:rsidRDefault="006C761E" w14:paraId="067A0DDA" w14:textId="3E88D2D1">
      <w:pPr>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Fuel-Flexible Distributed Power Generation</w:t>
      </w:r>
    </w:p>
    <w:p w:rsidRPr="00041AD5" w:rsidR="006C761E" w:rsidP="000D7959" w:rsidRDefault="005C69CC" w14:paraId="43E2D3E3" w14:textId="39013BB6">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6C761E">
        <w:rPr>
          <w:rFonts w:ascii="Palatino Linotype" w:hAnsi="Palatino Linotype" w:eastAsia="Palatino Linotype" w:cs="Times New Roman"/>
          <w:color w:val="000000" w:themeColor="text1"/>
          <w:kern w:val="0"/>
          <w14:ligatures w14:val="none"/>
        </w:rPr>
        <w:t>within the Fuel-Flexible Distributed Power Generation Initiative to</w:t>
      </w:r>
      <w:r w:rsidRPr="00041AD5" w:rsidR="00BE10A8">
        <w:rPr>
          <w:rFonts w:ascii="Palatino Linotype" w:hAnsi="Palatino Linotype" w:eastAsia="Palatino Linotype" w:cs="Times New Roman"/>
          <w:color w:val="000000" w:themeColor="text1"/>
          <w:kern w:val="0"/>
          <w14:ligatures w14:val="none"/>
        </w:rPr>
        <w:t xml:space="preserve"> </w:t>
      </w:r>
      <w:r w:rsidRPr="00041AD5" w:rsidR="00725F14">
        <w:rPr>
          <w:rFonts w:ascii="Palatino Linotype" w:hAnsi="Palatino Linotype" w:eastAsia="Palatino Linotype" w:cs="Times New Roman"/>
          <w:color w:val="000000" w:themeColor="text1"/>
          <w:kern w:val="0"/>
          <w14:ligatures w14:val="none"/>
        </w:rPr>
        <w:t>adapt</w:t>
      </w:r>
      <w:r w:rsidRPr="00041AD5" w:rsidR="00094D30">
        <w:rPr>
          <w:rFonts w:ascii="Palatino Linotype" w:hAnsi="Palatino Linotype" w:eastAsia="Palatino Linotype" w:cs="Times New Roman"/>
          <w:color w:val="000000" w:themeColor="text1"/>
          <w:kern w:val="0"/>
          <w14:ligatures w14:val="none"/>
        </w:rPr>
        <w:t xml:space="preserve"> and demonstrate </w:t>
      </w:r>
      <w:r w:rsidRPr="00041AD5" w:rsidR="00D61711">
        <w:rPr>
          <w:rFonts w:ascii="Palatino Linotype" w:hAnsi="Palatino Linotype" w:eastAsia="Palatino Linotype" w:cs="Times New Roman"/>
          <w:color w:val="000000" w:themeColor="text1"/>
          <w:kern w:val="0"/>
          <w14:ligatures w14:val="none"/>
        </w:rPr>
        <w:t xml:space="preserve">fuel-flexible </w:t>
      </w:r>
      <w:r w:rsidRPr="00041AD5" w:rsidR="00F96903">
        <w:rPr>
          <w:rFonts w:ascii="Palatino Linotype" w:hAnsi="Palatino Linotype" w:eastAsia="Palatino Linotype" w:cs="Times New Roman"/>
          <w:color w:val="000000" w:themeColor="text1"/>
          <w:kern w:val="0"/>
          <w14:ligatures w14:val="none"/>
        </w:rPr>
        <w:t>“</w:t>
      </w:r>
      <w:r w:rsidRPr="00041AD5" w:rsidR="006B692B">
        <w:rPr>
          <w:rFonts w:ascii="Palatino Linotype" w:hAnsi="Palatino Linotype" w:eastAsia="Palatino Linotype" w:cs="Times New Roman"/>
          <w:color w:val="000000" w:themeColor="text1"/>
          <w:kern w:val="0"/>
          <w14:ligatures w14:val="none"/>
        </w:rPr>
        <w:t>distributed generation technologies</w:t>
      </w:r>
      <w:r w:rsidRPr="00041AD5" w:rsidR="001A7BB1">
        <w:rPr>
          <w:rFonts w:ascii="Palatino Linotype" w:hAnsi="Palatino Linotype" w:eastAsia="Palatino Linotype" w:cs="Times New Roman"/>
          <w:color w:val="000000" w:themeColor="text1"/>
          <w:kern w:val="0"/>
          <w14:ligatures w14:val="none"/>
        </w:rPr>
        <w:t>, such as reciprocating engines, gas turbines, linear generators, and fuel cells</w:t>
      </w:r>
      <w:r w:rsidRPr="00041AD5" w:rsidR="000A0C8B">
        <w:rPr>
          <w:rFonts w:ascii="Palatino Linotype" w:hAnsi="Palatino Linotype" w:eastAsia="Palatino Linotype" w:cs="Times New Roman"/>
          <w:color w:val="000000" w:themeColor="text1"/>
          <w:kern w:val="0"/>
          <w14:ligatures w14:val="none"/>
        </w:rPr>
        <w:t>,</w:t>
      </w:r>
      <w:r w:rsidRPr="00041AD5" w:rsidR="00F96903">
        <w:rPr>
          <w:rFonts w:ascii="Palatino Linotype" w:hAnsi="Palatino Linotype" w:eastAsia="Palatino Linotype" w:cs="Times New Roman"/>
          <w:color w:val="000000" w:themeColor="text1"/>
          <w:kern w:val="0"/>
          <w14:ligatures w14:val="none"/>
        </w:rPr>
        <w:t>” while ensuring</w:t>
      </w:r>
      <w:r w:rsidRPr="00041AD5" w:rsidR="0093378B">
        <w:rPr>
          <w:rFonts w:ascii="Palatino Linotype" w:hAnsi="Palatino Linotype" w:eastAsia="Palatino Linotype" w:cs="Times New Roman"/>
          <w:color w:val="000000" w:themeColor="text1"/>
          <w:kern w:val="0"/>
          <w14:ligatures w14:val="none"/>
        </w:rPr>
        <w:t xml:space="preserve"> </w:t>
      </w:r>
      <w:r w:rsidRPr="00041AD5" w:rsidR="00122E08">
        <w:rPr>
          <w:rFonts w:ascii="Palatino Linotype" w:hAnsi="Palatino Linotype" w:eastAsia="Palatino Linotype" w:cs="Times New Roman"/>
          <w:color w:val="000000" w:themeColor="text1"/>
          <w:kern w:val="0"/>
          <w14:ligatures w14:val="none"/>
        </w:rPr>
        <w:t>“performance, operability, cost, low-emissions, and decarbonization goals and targets” are met.</w:t>
      </w:r>
      <w:r w:rsidRPr="00041AD5" w:rsidR="00122E08">
        <w:rPr>
          <w:rStyle w:val="FootnoteReference"/>
          <w:rFonts w:ascii="Palatino Linotype" w:hAnsi="Palatino Linotype" w:eastAsia="Palatino Linotype" w:cs="Times New Roman"/>
          <w:color w:val="000000" w:themeColor="text1"/>
          <w:kern w:val="0"/>
          <w14:ligatures w14:val="none"/>
        </w:rPr>
        <w:footnoteReference w:id="32"/>
      </w:r>
      <w:r w:rsidRPr="00041AD5" w:rsidR="00122E08">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6C761E">
        <w:rPr>
          <w:rFonts w:ascii="Palatino Linotype" w:hAnsi="Palatino Linotype" w:eastAsia="Palatino Linotype" w:cs="Times New Roman"/>
          <w:color w:val="000000" w:themeColor="text1"/>
          <w:kern w:val="0"/>
          <w14:ligatures w14:val="none"/>
        </w:rPr>
        <w:t xml:space="preserve">CEC </w:t>
      </w:r>
      <w:r w:rsidRPr="00041AD5" w:rsidR="009D1DD6">
        <w:rPr>
          <w:rFonts w:ascii="Palatino Linotype" w:hAnsi="Palatino Linotype" w:eastAsia="Palatino Linotype" w:cs="Times New Roman"/>
          <w:color w:val="000000" w:themeColor="text1"/>
          <w:kern w:val="0"/>
          <w14:ligatures w14:val="none"/>
        </w:rPr>
        <w:t xml:space="preserve">proposes to </w:t>
      </w:r>
      <w:r w:rsidRPr="00041AD5" w:rsidR="006C761E">
        <w:rPr>
          <w:rFonts w:ascii="Palatino Linotype" w:hAnsi="Palatino Linotype" w:eastAsia="Palatino Linotype" w:cs="Times New Roman"/>
          <w:color w:val="000000" w:themeColor="text1"/>
          <w:kern w:val="0"/>
          <w14:ligatures w14:val="none"/>
        </w:rPr>
        <w:t xml:space="preserve">allocate $6,000,000 </w:t>
      </w:r>
      <w:r w:rsidRPr="00041AD5" w:rsidR="009D1DD6">
        <w:rPr>
          <w:rFonts w:ascii="Palatino Linotype" w:hAnsi="Palatino Linotype" w:eastAsia="Palatino Linotype" w:cs="Times New Roman"/>
          <w:color w:val="000000" w:themeColor="text1"/>
          <w:kern w:val="0"/>
          <w14:ligatures w14:val="none"/>
        </w:rPr>
        <w:t xml:space="preserve">in its 2024 Plan </w:t>
      </w:r>
      <w:r w:rsidRPr="00041AD5" w:rsidR="006C761E">
        <w:rPr>
          <w:rFonts w:ascii="Palatino Linotype" w:hAnsi="Palatino Linotype" w:eastAsia="Palatino Linotype" w:cs="Times New Roman"/>
          <w:color w:val="000000" w:themeColor="text1"/>
          <w:kern w:val="0"/>
          <w14:ligatures w14:val="none"/>
        </w:rPr>
        <w:t>to this Initiative.</w:t>
      </w:r>
      <w:r w:rsidRPr="00041AD5" w:rsidR="00914B89">
        <w:rPr>
          <w:rStyle w:val="FootnoteReference"/>
          <w:rFonts w:ascii="Palatino Linotype" w:hAnsi="Palatino Linotype" w:eastAsia="Palatino Linotype" w:cs="Times New Roman"/>
          <w:color w:val="000000" w:themeColor="text1"/>
          <w:kern w:val="0"/>
          <w14:ligatures w14:val="none"/>
        </w:rPr>
        <w:footnoteReference w:id="33"/>
      </w:r>
    </w:p>
    <w:p w:rsidRPr="00041AD5" w:rsidR="00555C53" w:rsidP="003147DD" w:rsidRDefault="00555C53" w14:paraId="6449771A"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6247C1" w:rsidP="00BA2BC9" w:rsidRDefault="00E80DEF" w14:paraId="684544B6" w14:textId="1E8C3FB4">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Gas RD&amp;D Database Development </w:t>
      </w:r>
    </w:p>
    <w:p w:rsidRPr="00041AD5" w:rsidR="006247C1" w:rsidP="003147DD" w:rsidRDefault="005C69CC" w14:paraId="2D2E6189" w14:textId="4BA9C3BB">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6247C1">
        <w:rPr>
          <w:rFonts w:ascii="Palatino Linotype" w:hAnsi="Palatino Linotype" w:eastAsia="Palatino Linotype" w:cs="Times New Roman"/>
          <w:color w:val="000000" w:themeColor="text1"/>
          <w:kern w:val="0"/>
          <w14:ligatures w14:val="none"/>
        </w:rPr>
        <w:t xml:space="preserve">CEC </w:t>
      </w:r>
      <w:r w:rsidRPr="00041AD5" w:rsidR="009D1DD6">
        <w:rPr>
          <w:rFonts w:ascii="Palatino Linotype" w:hAnsi="Palatino Linotype" w:eastAsia="Palatino Linotype" w:cs="Times New Roman"/>
          <w:color w:val="000000" w:themeColor="text1"/>
          <w:kern w:val="0"/>
          <w14:ligatures w14:val="none"/>
        </w:rPr>
        <w:t xml:space="preserve">proposes to </w:t>
      </w:r>
      <w:r w:rsidRPr="00041AD5" w:rsidR="006247C1">
        <w:rPr>
          <w:rFonts w:ascii="Palatino Linotype" w:hAnsi="Palatino Linotype" w:eastAsia="Palatino Linotype" w:cs="Times New Roman"/>
          <w:color w:val="000000" w:themeColor="text1"/>
          <w:kern w:val="0"/>
          <w14:ligatures w14:val="none"/>
        </w:rPr>
        <w:t xml:space="preserve">allocate $184,511 </w:t>
      </w:r>
      <w:r w:rsidRPr="00041AD5" w:rsidR="00CF72D3">
        <w:rPr>
          <w:rFonts w:ascii="Palatino Linotype" w:hAnsi="Palatino Linotype" w:eastAsia="Palatino Linotype" w:cs="Times New Roman"/>
          <w:color w:val="000000" w:themeColor="text1"/>
          <w:kern w:val="0"/>
          <w14:ligatures w14:val="none"/>
        </w:rPr>
        <w:t xml:space="preserve">in its 2024 Plan for </w:t>
      </w:r>
      <w:r w:rsidRPr="00041AD5" w:rsidR="00CA56CA">
        <w:rPr>
          <w:rFonts w:ascii="Palatino Linotype" w:hAnsi="Palatino Linotype" w:eastAsia="Palatino Linotype" w:cs="Times New Roman"/>
          <w:color w:val="000000" w:themeColor="text1"/>
          <w:kern w:val="0"/>
          <w14:ligatures w14:val="none"/>
        </w:rPr>
        <w:t>its proportional share</w:t>
      </w:r>
      <w:r w:rsidRPr="00041AD5" w:rsidR="00CF72D3">
        <w:rPr>
          <w:rFonts w:ascii="Palatino Linotype" w:hAnsi="Palatino Linotype" w:eastAsia="Palatino Linotype" w:cs="Times New Roman"/>
          <w:color w:val="000000" w:themeColor="text1"/>
          <w:kern w:val="0"/>
          <w14:ligatures w14:val="none"/>
        </w:rPr>
        <w:t xml:space="preserve"> of developing a </w:t>
      </w:r>
      <w:r w:rsidRPr="00041AD5" w:rsidR="00CA56CA">
        <w:rPr>
          <w:rFonts w:ascii="Palatino Linotype" w:hAnsi="Palatino Linotype" w:eastAsia="Palatino Linotype" w:cs="Times New Roman"/>
          <w:color w:val="000000" w:themeColor="text1"/>
          <w:kern w:val="0"/>
          <w14:ligatures w14:val="none"/>
        </w:rPr>
        <w:t xml:space="preserve">comprehensive </w:t>
      </w:r>
      <w:r w:rsidRPr="00041AD5" w:rsidR="00CF72D3">
        <w:rPr>
          <w:rFonts w:ascii="Palatino Linotype" w:hAnsi="Palatino Linotype" w:eastAsia="Palatino Linotype" w:cs="Times New Roman"/>
          <w:color w:val="000000" w:themeColor="text1"/>
          <w:kern w:val="0"/>
          <w14:ligatures w14:val="none"/>
        </w:rPr>
        <w:t>Gas RD&amp;D Database.</w:t>
      </w:r>
      <w:r w:rsidRPr="00041AD5" w:rsidR="009C0FE9">
        <w:rPr>
          <w:rStyle w:val="FootnoteReference"/>
          <w:rFonts w:ascii="Palatino Linotype" w:hAnsi="Palatino Linotype" w:eastAsia="Palatino Linotype" w:cs="Times New Roman"/>
          <w:color w:val="000000" w:themeColor="text1"/>
          <w:kern w:val="0"/>
          <w14:ligatures w14:val="none"/>
        </w:rPr>
        <w:footnoteReference w:id="34"/>
      </w:r>
    </w:p>
    <w:p w:rsidRPr="00041AD5" w:rsidR="00E80DEF" w:rsidP="003147DD" w:rsidRDefault="00E80DEF" w14:paraId="4A160A02" w14:textId="77777777">
      <w:pPr>
        <w:spacing w:after="0" w:line="276" w:lineRule="auto"/>
        <w:rPr>
          <w:rFonts w:ascii="Palatino Linotype" w:hAnsi="Palatino Linotype" w:eastAsia="Palatino Linotype" w:cs="Times New Roman"/>
          <w:bCs/>
          <w:i/>
          <w:iCs/>
          <w:color w:val="000000" w:themeColor="text1"/>
          <w:kern w:val="0"/>
          <w14:ligatures w14:val="none"/>
        </w:rPr>
      </w:pPr>
    </w:p>
    <w:p w:rsidRPr="00041AD5" w:rsidR="00782092" w:rsidP="00BA2BC9" w:rsidRDefault="00555C53" w14:paraId="2746F1F5" w14:textId="064129BF">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Program Administration</w:t>
      </w:r>
    </w:p>
    <w:p w:rsidRPr="005C69CC" w:rsidR="00153E48" w:rsidP="003147DD" w:rsidRDefault="005C69CC" w14:paraId="2584CAD4" w14:textId="348BC54A">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A54596">
        <w:rPr>
          <w:rFonts w:ascii="Palatino Linotype" w:hAnsi="Palatino Linotype" w:eastAsia="Palatino Linotype" w:cs="Times New Roman"/>
          <w:color w:val="000000" w:themeColor="text1"/>
          <w:kern w:val="0"/>
          <w14:ligatures w14:val="none"/>
        </w:rPr>
        <w:t xml:space="preserve">CEC </w:t>
      </w:r>
      <w:r w:rsidRPr="00041AD5" w:rsidR="00CA56CA">
        <w:rPr>
          <w:rFonts w:ascii="Palatino Linotype" w:hAnsi="Palatino Linotype" w:eastAsia="Palatino Linotype" w:cs="Times New Roman"/>
          <w:color w:val="000000" w:themeColor="text1"/>
          <w:kern w:val="0"/>
          <w14:ligatures w14:val="none"/>
        </w:rPr>
        <w:t xml:space="preserve">proposes to </w:t>
      </w:r>
      <w:r w:rsidRPr="00041AD5" w:rsidR="00A54596">
        <w:rPr>
          <w:rFonts w:ascii="Palatino Linotype" w:hAnsi="Palatino Linotype" w:eastAsia="Palatino Linotype" w:cs="Times New Roman"/>
          <w:color w:val="000000" w:themeColor="text1"/>
          <w:kern w:val="0"/>
          <w14:ligatures w14:val="none"/>
        </w:rPr>
        <w:t xml:space="preserve">allocate ten percent of its FY 2024-2025 budget to administrative costs, </w:t>
      </w:r>
      <w:r w:rsidRPr="00041AD5" w:rsidR="0058104D">
        <w:rPr>
          <w:rFonts w:ascii="Palatino Linotype" w:hAnsi="Palatino Linotype" w:eastAsia="Palatino Linotype" w:cs="Times New Roman"/>
          <w:color w:val="000000" w:themeColor="text1"/>
          <w:kern w:val="0"/>
          <w14:ligatures w14:val="none"/>
        </w:rPr>
        <w:t>totaling</w:t>
      </w:r>
      <w:r w:rsidRPr="00041AD5" w:rsidR="00A54596">
        <w:rPr>
          <w:rFonts w:ascii="Palatino Linotype" w:hAnsi="Palatino Linotype" w:eastAsia="Palatino Linotype" w:cs="Times New Roman"/>
          <w:color w:val="000000" w:themeColor="text1"/>
          <w:kern w:val="0"/>
          <w14:ligatures w14:val="none"/>
        </w:rPr>
        <w:t xml:space="preserve"> $2.4 million</w:t>
      </w:r>
      <w:r w:rsidRPr="00041AD5" w:rsidR="00782092">
        <w:rPr>
          <w:rFonts w:ascii="Palatino Linotype" w:hAnsi="Palatino Linotype" w:eastAsia="Palatino Linotype" w:cs="Times New Roman"/>
          <w:color w:val="000000" w:themeColor="text1"/>
          <w:kern w:val="0"/>
          <w14:ligatures w14:val="none"/>
        </w:rPr>
        <w:t xml:space="preserve"> in its 2024 Plan.</w:t>
      </w:r>
      <w:r w:rsidRPr="00041AD5" w:rsidR="009C0FE9">
        <w:rPr>
          <w:rStyle w:val="FootnoteReference"/>
          <w:rFonts w:ascii="Palatino Linotype" w:hAnsi="Palatino Linotype" w:eastAsia="Palatino Linotype" w:cs="Times New Roman"/>
          <w:color w:val="000000" w:themeColor="text1"/>
          <w:kern w:val="0"/>
          <w14:ligatures w14:val="none"/>
        </w:rPr>
        <w:footnoteReference w:id="35"/>
      </w:r>
      <w:r w:rsidRPr="00041AD5" w:rsidR="00782092">
        <w:rPr>
          <w:rFonts w:ascii="Palatino Linotype" w:hAnsi="Palatino Linotype" w:eastAsia="Palatino Linotype" w:cs="Times New Roman"/>
          <w:color w:val="000000" w:themeColor="text1"/>
          <w:kern w:val="0"/>
          <w14:ligatures w14:val="none"/>
        </w:rPr>
        <w:t xml:space="preserve"> </w:t>
      </w:r>
    </w:p>
    <w:p w:rsidRPr="00041AD5" w:rsidR="0012539A" w:rsidP="00D170A1" w:rsidRDefault="0012539A" w14:paraId="0660A164" w14:textId="77777777">
      <w:pPr>
        <w:spacing w:before="240" w:after="0" w:line="276" w:lineRule="auto"/>
        <w:rPr>
          <w:rFonts w:ascii="Palatino Linotype" w:hAnsi="Palatino Linotype" w:eastAsia="Palatino Linotype" w:cs="Times New Roman"/>
          <w:bCs/>
          <w:color w:val="000000" w:themeColor="text1"/>
          <w:kern w:val="0"/>
          <w:u w:val="single"/>
          <w14:ligatures w14:val="none"/>
        </w:rPr>
      </w:pPr>
    </w:p>
    <w:p w:rsidRPr="00041AD5" w:rsidR="0012539A" w:rsidP="003147DD" w:rsidRDefault="0012539A" w14:paraId="10D6DDB6" w14:textId="49E95A5D">
      <w:pPr>
        <w:keepNext/>
        <w:spacing w:after="240" w:line="276" w:lineRule="auto"/>
        <w:outlineLvl w:val="0"/>
        <w:rPr>
          <w:rFonts w:ascii="Palatino Linotype" w:hAnsi="Palatino Linotype" w:eastAsia="Palatino Linotype" w:cs="Times New Roman"/>
          <w:b/>
          <w:color w:val="000000" w:themeColor="text1"/>
          <w:kern w:val="0"/>
          <w14:ligatures w14:val="none"/>
        </w:rPr>
      </w:pPr>
      <w:r w:rsidRPr="00041AD5">
        <w:rPr>
          <w:rFonts w:ascii="Palatino Linotype" w:hAnsi="Palatino Linotype" w:eastAsia="Palatino Linotype" w:cs="Times New Roman"/>
          <w:b/>
          <w:color w:val="000000" w:themeColor="text1"/>
          <w:kern w:val="0"/>
          <w14:ligatures w14:val="none"/>
        </w:rPr>
        <w:t xml:space="preserve">CEC </w:t>
      </w:r>
      <w:r w:rsidRPr="00041AD5" w:rsidR="00817BB9">
        <w:rPr>
          <w:rFonts w:ascii="Palatino Linotype" w:hAnsi="Palatino Linotype" w:eastAsia="Palatino Linotype" w:cs="Times New Roman"/>
          <w:b/>
          <w:color w:val="000000" w:themeColor="text1"/>
          <w:kern w:val="0"/>
          <w14:ligatures w14:val="none"/>
        </w:rPr>
        <w:t xml:space="preserve">AL 10-G-A </w:t>
      </w:r>
      <w:r w:rsidRPr="00041AD5">
        <w:rPr>
          <w:rFonts w:ascii="Palatino Linotype" w:hAnsi="Palatino Linotype" w:eastAsia="Palatino Linotype" w:cs="Times New Roman"/>
          <w:b/>
          <w:color w:val="000000" w:themeColor="text1"/>
          <w:kern w:val="0"/>
          <w14:ligatures w14:val="none"/>
        </w:rPr>
        <w:t>Request</w:t>
      </w:r>
      <w:r w:rsidRPr="00041AD5" w:rsidR="00AC4ADB">
        <w:rPr>
          <w:rFonts w:ascii="Palatino Linotype" w:hAnsi="Palatino Linotype" w:eastAsia="Palatino Linotype" w:cs="Times New Roman"/>
          <w:b/>
          <w:color w:val="000000" w:themeColor="text1"/>
          <w:kern w:val="0"/>
          <w14:ligatures w14:val="none"/>
        </w:rPr>
        <w:t>s</w:t>
      </w:r>
      <w:r w:rsidRPr="00041AD5">
        <w:rPr>
          <w:rFonts w:ascii="Palatino Linotype" w:hAnsi="Palatino Linotype" w:eastAsia="Palatino Linotype" w:cs="Times New Roman"/>
          <w:b/>
          <w:color w:val="000000" w:themeColor="text1"/>
          <w:kern w:val="0"/>
          <w14:ligatures w14:val="none"/>
        </w:rPr>
        <w:t xml:space="preserve"> for 2025 </w:t>
      </w:r>
      <w:r w:rsidRPr="00041AD5" w:rsidR="00817BB9">
        <w:rPr>
          <w:rFonts w:ascii="Palatino Linotype" w:hAnsi="Palatino Linotype" w:eastAsia="Palatino Linotype" w:cs="Times New Roman"/>
          <w:b/>
          <w:color w:val="000000" w:themeColor="text1"/>
          <w:kern w:val="0"/>
          <w14:ligatures w14:val="none"/>
        </w:rPr>
        <w:t>Plan Approval</w:t>
      </w:r>
    </w:p>
    <w:p w:rsidRPr="00041AD5" w:rsidR="00AC523A" w:rsidP="00132740" w:rsidRDefault="00DC20BB" w14:paraId="0EB0DA75" w14:textId="3D067A2E">
      <w:pPr>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AC523A">
        <w:rPr>
          <w:rFonts w:ascii="Palatino Linotype" w:hAnsi="Palatino Linotype" w:eastAsia="Palatino Linotype" w:cs="Times New Roman"/>
          <w:color w:val="000000" w:themeColor="text1"/>
          <w:kern w:val="0"/>
          <w14:ligatures w14:val="none"/>
        </w:rPr>
        <w:t>CEC submitted its proposed 202</w:t>
      </w:r>
      <w:r w:rsidRPr="00041AD5" w:rsidR="00941019">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Plan via Tier 3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 xml:space="preserve">AL </w:t>
      </w:r>
      <w:r w:rsidRPr="00041AD5" w:rsidR="00941019">
        <w:rPr>
          <w:rFonts w:ascii="Palatino Linotype" w:hAnsi="Palatino Linotype" w:eastAsia="Palatino Linotype" w:cs="Times New Roman"/>
          <w:color w:val="000000" w:themeColor="text1"/>
          <w:kern w:val="0"/>
          <w14:ligatures w14:val="none"/>
        </w:rPr>
        <w:t>10</w:t>
      </w:r>
      <w:r w:rsidRPr="00041AD5" w:rsidR="00AC523A">
        <w:rPr>
          <w:rFonts w:ascii="Palatino Linotype" w:hAnsi="Palatino Linotype" w:eastAsia="Palatino Linotype" w:cs="Times New Roman"/>
          <w:color w:val="000000" w:themeColor="text1"/>
          <w:kern w:val="0"/>
          <w14:ligatures w14:val="none"/>
        </w:rPr>
        <w:t>-G on March 2</w:t>
      </w:r>
      <w:r w:rsidRPr="00041AD5" w:rsidR="00941019">
        <w:rPr>
          <w:rFonts w:ascii="Palatino Linotype" w:hAnsi="Palatino Linotype" w:eastAsia="Palatino Linotype" w:cs="Times New Roman"/>
          <w:color w:val="000000" w:themeColor="text1"/>
          <w:kern w:val="0"/>
          <w14:ligatures w14:val="none"/>
        </w:rPr>
        <w:t>8</w:t>
      </w:r>
      <w:r w:rsidRPr="00041AD5" w:rsidR="00AC523A">
        <w:rPr>
          <w:rFonts w:ascii="Palatino Linotype" w:hAnsi="Palatino Linotype" w:eastAsia="Palatino Linotype" w:cs="Times New Roman"/>
          <w:color w:val="000000" w:themeColor="text1"/>
          <w:kern w:val="0"/>
          <w14:ligatures w14:val="none"/>
        </w:rPr>
        <w:t>, 202</w:t>
      </w:r>
      <w:r w:rsidRPr="00041AD5" w:rsidR="00941019">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AC523A">
        <w:rPr>
          <w:rFonts w:ascii="Palatino Linotype" w:hAnsi="Palatino Linotype" w:eastAsia="Palatino Linotype" w:cs="Times New Roman"/>
          <w:color w:val="000000" w:themeColor="text1"/>
          <w:kern w:val="0"/>
          <w14:ligatures w14:val="none"/>
        </w:rPr>
        <w:t xml:space="preserve">CEC replaced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 xml:space="preserve">AL </w:t>
      </w:r>
      <w:r w:rsidRPr="00041AD5" w:rsidR="002F3A33">
        <w:rPr>
          <w:rFonts w:ascii="Palatino Linotype" w:hAnsi="Palatino Linotype" w:eastAsia="Palatino Linotype" w:cs="Times New Roman"/>
          <w:color w:val="000000" w:themeColor="text1"/>
          <w:kern w:val="0"/>
          <w14:ligatures w14:val="none"/>
        </w:rPr>
        <w:t>10</w:t>
      </w:r>
      <w:r w:rsidRPr="00041AD5" w:rsidR="00AC523A">
        <w:rPr>
          <w:rFonts w:ascii="Palatino Linotype" w:hAnsi="Palatino Linotype" w:eastAsia="Palatino Linotype" w:cs="Times New Roman"/>
          <w:color w:val="000000" w:themeColor="text1"/>
          <w:kern w:val="0"/>
          <w14:ligatures w14:val="none"/>
        </w:rPr>
        <w:t>-G with a supplement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 xml:space="preserve">AL </w:t>
      </w:r>
      <w:r w:rsidRPr="00041AD5" w:rsidR="002F3A33">
        <w:rPr>
          <w:rFonts w:ascii="Palatino Linotype" w:hAnsi="Palatino Linotype" w:eastAsia="Palatino Linotype" w:cs="Times New Roman"/>
          <w:color w:val="000000" w:themeColor="text1"/>
          <w:kern w:val="0"/>
          <w14:ligatures w14:val="none"/>
        </w:rPr>
        <w:t>10</w:t>
      </w:r>
      <w:r w:rsidRPr="00041AD5" w:rsidR="00AC523A">
        <w:rPr>
          <w:rFonts w:ascii="Palatino Linotype" w:hAnsi="Palatino Linotype" w:eastAsia="Palatino Linotype" w:cs="Times New Roman"/>
          <w:color w:val="000000" w:themeColor="text1"/>
          <w:kern w:val="0"/>
          <w14:ligatures w14:val="none"/>
        </w:rPr>
        <w:t xml:space="preserve">-G-A) on </w:t>
      </w:r>
      <w:r w:rsidRPr="00041AD5" w:rsidR="002F3A33">
        <w:rPr>
          <w:rFonts w:ascii="Palatino Linotype" w:hAnsi="Palatino Linotype" w:eastAsia="Palatino Linotype" w:cs="Times New Roman"/>
          <w:color w:val="000000" w:themeColor="text1"/>
          <w:kern w:val="0"/>
          <w14:ligatures w14:val="none"/>
        </w:rPr>
        <w:t>October 3</w:t>
      </w:r>
      <w:r w:rsidRPr="00041AD5" w:rsidR="00AC523A">
        <w:rPr>
          <w:rFonts w:ascii="Palatino Linotype" w:hAnsi="Palatino Linotype" w:eastAsia="Palatino Linotype" w:cs="Times New Roman"/>
          <w:color w:val="000000" w:themeColor="text1"/>
          <w:kern w:val="0"/>
          <w14:ligatures w14:val="none"/>
        </w:rPr>
        <w:t xml:space="preserve">, </w:t>
      </w:r>
      <w:r w:rsidRPr="00041AD5" w:rsidR="00AC523A">
        <w:rPr>
          <w:rFonts w:ascii="Palatino Linotype" w:hAnsi="Palatino Linotype" w:eastAsia="Palatino Linotype" w:cs="Times New Roman"/>
          <w:color w:val="000000" w:themeColor="text1"/>
          <w:kern w:val="0"/>
          <w14:ligatures w14:val="none"/>
        </w:rPr>
        <w:lastRenderedPageBreak/>
        <w:t>202</w:t>
      </w:r>
      <w:r w:rsidRPr="00041AD5" w:rsidR="002F3A33">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In </w:t>
      </w:r>
      <w:r w:rsidRPr="00041AD5">
        <w:rPr>
          <w:rFonts w:ascii="Palatino Linotype" w:hAnsi="Palatino Linotype" w:eastAsia="Palatino Linotype" w:cs="Times New Roman"/>
          <w:color w:val="000000" w:themeColor="text1"/>
          <w:kern w:val="0"/>
          <w14:ligatures w14:val="none"/>
        </w:rPr>
        <w:t xml:space="preserve">CEC </w:t>
      </w:r>
      <w:r w:rsidRPr="00041AD5" w:rsidR="00AC523A">
        <w:rPr>
          <w:rFonts w:ascii="Palatino Linotype" w:hAnsi="Palatino Linotype" w:eastAsia="Palatino Linotype" w:cs="Times New Roman"/>
          <w:color w:val="000000" w:themeColor="text1"/>
          <w:kern w:val="0"/>
          <w14:ligatures w14:val="none"/>
        </w:rPr>
        <w:t>AL 1</w:t>
      </w:r>
      <w:r w:rsidRPr="00041AD5" w:rsidR="002F3A33">
        <w:rPr>
          <w:rFonts w:ascii="Palatino Linotype" w:hAnsi="Palatino Linotype" w:eastAsia="Palatino Linotype" w:cs="Times New Roman"/>
          <w:color w:val="000000" w:themeColor="text1"/>
          <w:kern w:val="0"/>
          <w14:ligatures w14:val="none"/>
        </w:rPr>
        <w:t>0</w:t>
      </w:r>
      <w:r w:rsidRPr="00041AD5" w:rsidR="00AC523A">
        <w:rPr>
          <w:rFonts w:ascii="Palatino Linotype" w:hAnsi="Palatino Linotype" w:eastAsia="Palatino Linotype" w:cs="Times New Roman"/>
          <w:color w:val="000000" w:themeColor="text1"/>
          <w:kern w:val="0"/>
          <w14:ligatures w14:val="none"/>
        </w:rPr>
        <w:t>-G</w:t>
      </w:r>
      <w:r w:rsidRPr="00041AD5" w:rsidR="002F3A33">
        <w:rPr>
          <w:rFonts w:ascii="Palatino Linotype" w:hAnsi="Palatino Linotype" w:eastAsia="Palatino Linotype" w:cs="Times New Roman"/>
          <w:color w:val="000000" w:themeColor="text1"/>
          <w:kern w:val="0"/>
          <w14:ligatures w14:val="none"/>
        </w:rPr>
        <w:t>-A</w:t>
      </w:r>
      <w:r w:rsidRPr="00041AD5" w:rsidR="00AC523A">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the </w:t>
      </w:r>
      <w:r w:rsidRPr="00041AD5" w:rsidR="00AC523A">
        <w:rPr>
          <w:rFonts w:ascii="Palatino Linotype" w:hAnsi="Palatino Linotype" w:eastAsia="Palatino Linotype" w:cs="Times New Roman"/>
          <w:color w:val="000000" w:themeColor="text1"/>
          <w:kern w:val="0"/>
          <w14:ligatures w14:val="none"/>
        </w:rPr>
        <w:t>CEC seeks approval of its proposed 202</w:t>
      </w:r>
      <w:r w:rsidRPr="00041AD5" w:rsidR="002F3A33">
        <w:rPr>
          <w:rFonts w:ascii="Palatino Linotype" w:hAnsi="Palatino Linotype" w:eastAsia="Palatino Linotype" w:cs="Times New Roman"/>
          <w:color w:val="000000" w:themeColor="text1"/>
          <w:kern w:val="0"/>
          <w14:ligatures w14:val="none"/>
        </w:rPr>
        <w:t>5</w:t>
      </w:r>
      <w:r w:rsidRPr="00041AD5" w:rsidR="00AC523A">
        <w:rPr>
          <w:rFonts w:ascii="Palatino Linotype" w:hAnsi="Palatino Linotype" w:eastAsia="Palatino Linotype" w:cs="Times New Roman"/>
          <w:color w:val="000000" w:themeColor="text1"/>
          <w:kern w:val="0"/>
          <w14:ligatures w14:val="none"/>
        </w:rPr>
        <w:t xml:space="preserve"> Gas RD&amp;D Plan, authorized by D.04-08-010 at </w:t>
      </w:r>
      <w:r w:rsidR="00B55A62">
        <w:rPr>
          <w:rFonts w:ascii="Palatino Linotype" w:hAnsi="Palatino Linotype" w:eastAsia="Palatino Linotype" w:cs="Times New Roman"/>
          <w:color w:val="000000" w:themeColor="text1"/>
          <w:kern w:val="0"/>
          <w14:ligatures w14:val="none"/>
        </w:rPr>
        <w:t xml:space="preserve">up to </w:t>
      </w:r>
      <w:r w:rsidRPr="00041AD5" w:rsidR="00AC523A">
        <w:rPr>
          <w:rFonts w:ascii="Palatino Linotype" w:hAnsi="Palatino Linotype" w:eastAsia="Palatino Linotype" w:cs="Times New Roman"/>
          <w:color w:val="000000" w:themeColor="text1"/>
          <w:kern w:val="0"/>
          <w14:ligatures w14:val="none"/>
        </w:rPr>
        <w:t>$24 million with the proposed budget allocations to various Initiatives</w:t>
      </w:r>
      <w:r w:rsidRPr="00041AD5" w:rsidR="002107FE">
        <w:rPr>
          <w:rFonts w:ascii="Palatino Linotype" w:hAnsi="Palatino Linotype" w:eastAsia="Palatino Linotype" w:cs="Times New Roman"/>
          <w:color w:val="000000" w:themeColor="text1"/>
          <w:kern w:val="0"/>
          <w14:ligatures w14:val="none"/>
        </w:rPr>
        <w:t xml:space="preserve"> shown below</w:t>
      </w:r>
      <w:r w:rsidRPr="00041AD5" w:rsidR="00AC523A">
        <w:rPr>
          <w:rFonts w:ascii="Palatino Linotype" w:hAnsi="Palatino Linotype" w:eastAsia="Palatino Linotype" w:cs="Times New Roman"/>
          <w:color w:val="000000" w:themeColor="text1"/>
          <w:kern w:val="0"/>
          <w14:ligatures w14:val="none"/>
        </w:rPr>
        <w:t>:</w:t>
      </w:r>
    </w:p>
    <w:tbl>
      <w:tblPr>
        <w:tblStyle w:val="TableGrid"/>
        <w:tblW w:w="0" w:type="auto"/>
        <w:tblLook w:val="04A0" w:firstRow="1" w:lastRow="0" w:firstColumn="1" w:lastColumn="0" w:noHBand="0" w:noVBand="1"/>
      </w:tblPr>
      <w:tblGrid>
        <w:gridCol w:w="2471"/>
        <w:gridCol w:w="4855"/>
        <w:gridCol w:w="326"/>
        <w:gridCol w:w="1698"/>
      </w:tblGrid>
      <w:tr w:rsidRPr="00041AD5" w:rsidR="00B55A62" w14:paraId="3A40B3D3" w14:textId="77777777">
        <w:tc>
          <w:tcPr>
            <w:tcW w:w="9350" w:type="dxa"/>
            <w:gridSpan w:val="4"/>
          </w:tcPr>
          <w:p w:rsidRPr="00041AD5" w:rsidR="00B55A62" w:rsidP="006555A6" w:rsidRDefault="00B55A62" w14:paraId="2C2FA103" w14:textId="58E251E9">
            <w:pPr>
              <w:keepNext/>
              <w:spacing w:line="276" w:lineRule="auto"/>
              <w:jc w:val="center"/>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14:ligatures w14:val="none"/>
              </w:rPr>
              <w:t>Table 3: 2025 Gas RD&amp;D Plan Proposed Budget</w:t>
            </w:r>
            <w:r w:rsidRPr="00041AD5">
              <w:rPr>
                <w:rStyle w:val="FootnoteReference"/>
                <w:rFonts w:ascii="Palatino Linotype" w:hAnsi="Palatino Linotype" w:eastAsia="Palatino Linotype" w:cs="Times New Roman"/>
                <w:color w:val="000000" w:themeColor="text1"/>
                <w:kern w:val="0"/>
                <w14:ligatures w14:val="none"/>
              </w:rPr>
              <w:footnoteReference w:id="36"/>
            </w:r>
          </w:p>
        </w:tc>
      </w:tr>
      <w:tr w:rsidRPr="00041AD5" w:rsidR="00B55A62" w:rsidTr="00B55A62" w14:paraId="21DFBE27" w14:textId="77777777">
        <w:tc>
          <w:tcPr>
            <w:tcW w:w="2471" w:type="dxa"/>
          </w:tcPr>
          <w:p w:rsidRPr="00041AD5" w:rsidR="00B55A62" w:rsidP="006555A6" w:rsidRDefault="00B55A62" w14:paraId="5F3F8748"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Investment Theme</w:t>
            </w:r>
          </w:p>
        </w:tc>
        <w:tc>
          <w:tcPr>
            <w:tcW w:w="4855" w:type="dxa"/>
          </w:tcPr>
          <w:p w:rsidRPr="00041AD5" w:rsidR="00B55A62" w:rsidP="006555A6" w:rsidRDefault="00B55A62" w14:paraId="2335C8FF"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Initiative Title</w:t>
            </w:r>
          </w:p>
        </w:tc>
        <w:tc>
          <w:tcPr>
            <w:tcW w:w="2024" w:type="dxa"/>
            <w:gridSpan w:val="2"/>
            <w:tcBorders>
              <w:bottom w:val="single" w:color="auto" w:sz="4" w:space="0"/>
            </w:tcBorders>
          </w:tcPr>
          <w:p w:rsidRPr="00041AD5" w:rsidR="00B55A62" w:rsidP="006555A6" w:rsidRDefault="00B55A62" w14:paraId="616CB16E" w14:textId="235D7A2D">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b/>
                <w:color w:val="000000" w:themeColor="text1"/>
                <w:sz w:val="22"/>
                <w:szCs w:val="22"/>
              </w:rPr>
              <w:t>202</w:t>
            </w:r>
            <w:r>
              <w:rPr>
                <w:rFonts w:ascii="Palatino Linotype" w:hAnsi="Palatino Linotype"/>
                <w:b/>
                <w:color w:val="000000" w:themeColor="text1"/>
                <w:sz w:val="22"/>
                <w:szCs w:val="22"/>
              </w:rPr>
              <w:t>5</w:t>
            </w:r>
            <w:r w:rsidRPr="00041AD5">
              <w:rPr>
                <w:rFonts w:ascii="Palatino Linotype" w:hAnsi="Palatino Linotype"/>
                <w:b/>
                <w:color w:val="000000" w:themeColor="text1"/>
                <w:sz w:val="22"/>
                <w:szCs w:val="22"/>
              </w:rPr>
              <w:t xml:space="preserve"> Plan Budget</w:t>
            </w:r>
          </w:p>
        </w:tc>
      </w:tr>
      <w:tr w:rsidRPr="00041AD5" w:rsidR="00B55A62" w:rsidTr="00B55A62" w14:paraId="2DDBC4BF" w14:textId="77777777">
        <w:tc>
          <w:tcPr>
            <w:tcW w:w="2471" w:type="dxa"/>
            <w:vMerge w:val="restart"/>
          </w:tcPr>
          <w:p w:rsidRPr="00041AD5" w:rsidR="00B55A62" w:rsidP="006555A6" w:rsidRDefault="00B55A62" w14:paraId="1F8E94F1"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Gas Decommissioning</w:t>
            </w:r>
          </w:p>
        </w:tc>
        <w:tc>
          <w:tcPr>
            <w:tcW w:w="4855" w:type="dxa"/>
            <w:tcBorders>
              <w:right w:val="single" w:color="auto" w:sz="4" w:space="0"/>
            </w:tcBorders>
          </w:tcPr>
          <w:p w:rsidRPr="00041AD5" w:rsidR="00B55A62" w:rsidP="006555A6" w:rsidRDefault="00B55A62" w14:paraId="3BF4B2EC"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Social Science Research for Gas Decommissioning in the Mid and Long Term</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0D0DAA43" w14:textId="48A2EE3C">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3580EB9D" w14:textId="7F1376DF">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3,000,000</w:t>
            </w:r>
          </w:p>
        </w:tc>
      </w:tr>
      <w:tr w:rsidRPr="00041AD5" w:rsidR="00B55A62" w:rsidTr="00B55A62" w14:paraId="15C5C38F" w14:textId="77777777">
        <w:tc>
          <w:tcPr>
            <w:tcW w:w="2471" w:type="dxa"/>
            <w:vMerge/>
          </w:tcPr>
          <w:p w:rsidRPr="00041AD5" w:rsidR="00B55A62" w:rsidP="006555A6" w:rsidRDefault="00B55A62" w14:paraId="63179DA4"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p>
        </w:tc>
        <w:tc>
          <w:tcPr>
            <w:tcW w:w="4855" w:type="dxa"/>
            <w:tcBorders>
              <w:right w:val="single" w:color="auto" w:sz="4" w:space="0"/>
            </w:tcBorders>
          </w:tcPr>
          <w:p w:rsidRPr="00041AD5" w:rsidR="00B55A62" w:rsidP="006555A6" w:rsidRDefault="00B55A62" w14:paraId="1C0776A5"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Pilot Projects to Advance Gas Decommissioning</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7C145D72" w14:textId="2D9A542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655F5827" w14:textId="28C445C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6,000,000</w:t>
            </w:r>
          </w:p>
        </w:tc>
      </w:tr>
      <w:tr w:rsidRPr="00041AD5" w:rsidR="00B55A62" w:rsidTr="00B55A62" w14:paraId="3399C929" w14:textId="77777777">
        <w:tc>
          <w:tcPr>
            <w:tcW w:w="2471" w:type="dxa"/>
          </w:tcPr>
          <w:p w:rsidRPr="00041AD5" w:rsidR="00B55A62" w:rsidP="006555A6" w:rsidRDefault="00B55A62" w14:paraId="5EEC144C"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Building Decarbonization</w:t>
            </w:r>
          </w:p>
        </w:tc>
        <w:tc>
          <w:tcPr>
            <w:tcW w:w="4855" w:type="dxa"/>
            <w:tcBorders>
              <w:right w:val="single" w:color="auto" w:sz="4" w:space="0"/>
            </w:tcBorders>
          </w:tcPr>
          <w:p w:rsidRPr="00041AD5" w:rsidR="00B55A62" w:rsidP="006555A6" w:rsidRDefault="00B55A62" w14:paraId="21D38F2A"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Networked Geothermal Heat Pumps</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4B36ABC8" w14:textId="149B4CA3">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4C27F2C8" w14:textId="0CB55AA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12,600,000</w:t>
            </w:r>
          </w:p>
        </w:tc>
      </w:tr>
      <w:tr w:rsidRPr="00041AD5" w:rsidR="00B55A62" w:rsidTr="00B55A62" w14:paraId="717F1458" w14:textId="77777777">
        <w:tc>
          <w:tcPr>
            <w:tcW w:w="7326" w:type="dxa"/>
            <w:gridSpan w:val="2"/>
            <w:tcBorders>
              <w:right w:val="single" w:color="auto" w:sz="4" w:space="0"/>
            </w:tcBorders>
          </w:tcPr>
          <w:p w:rsidRPr="00041AD5" w:rsidR="00B55A62" w:rsidP="006555A6" w:rsidRDefault="00B55A62" w14:paraId="2DC6EFF4"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Program Administration</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042E1A1C" w14:textId="24D7D55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43F0371C" w14:textId="24647CF6">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041AD5">
              <w:rPr>
                <w:rFonts w:ascii="Palatino Linotype" w:hAnsi="Palatino Linotype" w:eastAsia="Palatino Linotype" w:cs="Times New Roman"/>
                <w:bCs/>
                <w:color w:val="000000" w:themeColor="text1"/>
                <w:kern w:val="0"/>
                <w:sz w:val="22"/>
                <w:szCs w:val="22"/>
                <w14:ligatures w14:val="none"/>
              </w:rPr>
              <w:t>2,400,000</w:t>
            </w:r>
          </w:p>
        </w:tc>
      </w:tr>
      <w:tr w:rsidRPr="00041AD5" w:rsidR="00B55A62" w:rsidTr="00B55A62" w14:paraId="01AB7AC1" w14:textId="77777777">
        <w:tc>
          <w:tcPr>
            <w:tcW w:w="7326" w:type="dxa"/>
            <w:gridSpan w:val="2"/>
            <w:tcBorders>
              <w:right w:val="single" w:color="auto" w:sz="4" w:space="0"/>
            </w:tcBorders>
          </w:tcPr>
          <w:p w:rsidRPr="00041AD5" w:rsidR="00B55A62" w:rsidP="006555A6" w:rsidRDefault="00B55A62" w14:paraId="333C78BE" w14:textId="77777777">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ANNUAL TOTAL:</w:t>
            </w:r>
          </w:p>
        </w:tc>
        <w:tc>
          <w:tcPr>
            <w:tcW w:w="326" w:type="dxa"/>
            <w:tcBorders>
              <w:top w:val="single" w:color="auto" w:sz="4" w:space="0"/>
              <w:left w:val="single" w:color="auto" w:sz="4" w:space="0"/>
              <w:bottom w:val="single" w:color="auto" w:sz="4" w:space="0"/>
              <w:right w:val="nil"/>
            </w:tcBorders>
          </w:tcPr>
          <w:p w:rsidRPr="00041AD5" w:rsidR="00B55A62" w:rsidP="00465E31" w:rsidRDefault="00B55A62" w14:paraId="1EF366EE" w14:textId="0720596E">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Pr>
                <w:rFonts w:ascii="Palatino Linotype" w:hAnsi="Palatino Linotype" w:eastAsia="Palatino Linotype" w:cs="Times New Roman"/>
                <w:b/>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041AD5" w:rsidR="00B55A62" w:rsidP="00465E31" w:rsidRDefault="00B55A62" w14:paraId="31F0E5C5" w14:textId="3E1AA23D">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041AD5">
              <w:rPr>
                <w:rFonts w:ascii="Palatino Linotype" w:hAnsi="Palatino Linotype" w:eastAsia="Palatino Linotype" w:cs="Times New Roman"/>
                <w:b/>
                <w:color w:val="000000" w:themeColor="text1"/>
                <w:kern w:val="0"/>
                <w:sz w:val="22"/>
                <w:szCs w:val="22"/>
                <w14:ligatures w14:val="none"/>
              </w:rPr>
              <w:t>24,000,000</w:t>
            </w:r>
          </w:p>
        </w:tc>
      </w:tr>
    </w:tbl>
    <w:p w:rsidRPr="00041AD5" w:rsidR="00E800FB" w:rsidP="003147DD" w:rsidRDefault="00E800FB" w14:paraId="14C9A175" w14:textId="77777777">
      <w:pPr>
        <w:keepNext/>
        <w:spacing w:after="0" w:line="276" w:lineRule="auto"/>
        <w:outlineLvl w:val="0"/>
        <w:rPr>
          <w:rFonts w:ascii="Palatino Linotype" w:hAnsi="Palatino Linotype" w:eastAsia="Palatino Linotype" w:cs="Times New Roman"/>
          <w:bCs/>
          <w:color w:val="000000" w:themeColor="text1"/>
          <w:kern w:val="0"/>
          <w14:ligatures w14:val="none"/>
        </w:rPr>
      </w:pPr>
    </w:p>
    <w:p w:rsidRPr="00041AD5" w:rsidR="00D149D0" w:rsidP="00FF0E6C" w:rsidRDefault="0012539A" w14:paraId="7A265355" w14:textId="2056069E">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Gas </w:t>
      </w:r>
      <w:r w:rsidRPr="00041AD5" w:rsidR="00A74C0B">
        <w:rPr>
          <w:rFonts w:ascii="Palatino Linotype" w:hAnsi="Palatino Linotype" w:eastAsia="Palatino Linotype" w:cs="Times New Roman"/>
          <w:bCs/>
          <w:color w:val="000000" w:themeColor="text1"/>
          <w:kern w:val="0"/>
          <w:u w:val="single"/>
          <w14:ligatures w14:val="none"/>
        </w:rPr>
        <w:t>Decommissioning</w:t>
      </w:r>
      <w:r w:rsidRPr="00041AD5">
        <w:rPr>
          <w:rFonts w:ascii="Palatino Linotype" w:hAnsi="Palatino Linotype" w:eastAsia="Palatino Linotype" w:cs="Times New Roman"/>
          <w:bCs/>
          <w:color w:val="000000" w:themeColor="text1"/>
          <w:kern w:val="0"/>
          <w:u w:val="single"/>
          <w14:ligatures w14:val="none"/>
        </w:rPr>
        <w:t xml:space="preserve">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F67139" w:rsidP="003147DD" w:rsidRDefault="00F94540" w14:paraId="0B0707E5" w14:textId="7810DDFE">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12539A">
        <w:rPr>
          <w:rFonts w:ascii="Palatino Linotype" w:hAnsi="Palatino Linotype" w:eastAsia="Palatino Linotype" w:cs="Times New Roman"/>
          <w:color w:val="000000" w:themeColor="text1"/>
          <w:kern w:val="0"/>
          <w14:ligatures w14:val="none"/>
        </w:rPr>
        <w:t xml:space="preserve">within the </w:t>
      </w:r>
      <w:r w:rsidRPr="00041AD5" w:rsidR="00C84AC9">
        <w:rPr>
          <w:rFonts w:ascii="Palatino Linotype" w:hAnsi="Palatino Linotype" w:eastAsia="Palatino Linotype" w:cs="Times New Roman"/>
          <w:color w:val="000000" w:themeColor="text1"/>
          <w:kern w:val="0"/>
          <w14:ligatures w14:val="none"/>
        </w:rPr>
        <w:t>Gas Decommissioning</w:t>
      </w:r>
      <w:r w:rsidRPr="00041AD5" w:rsidR="00A74C0B">
        <w:rPr>
          <w:rFonts w:ascii="Palatino Linotype" w:hAnsi="Palatino Linotype" w:eastAsia="Palatino Linotype" w:cs="Times New Roman"/>
          <w:color w:val="000000" w:themeColor="text1"/>
          <w:kern w:val="0"/>
          <w14:ligatures w14:val="none"/>
        </w:rPr>
        <w:t xml:space="preserve"> Theme</w:t>
      </w:r>
      <w:r w:rsidRPr="00041AD5" w:rsidR="00C84AC9">
        <w:rPr>
          <w:rFonts w:ascii="Palatino Linotype" w:hAnsi="Palatino Linotype" w:eastAsia="Palatino Linotype" w:cs="Times New Roman"/>
          <w:color w:val="000000" w:themeColor="text1"/>
          <w:kern w:val="0"/>
          <w14:ligatures w14:val="none"/>
        </w:rPr>
        <w:t xml:space="preserve"> </w:t>
      </w:r>
      <w:r w:rsidRPr="00041AD5" w:rsidR="0012539A">
        <w:rPr>
          <w:rFonts w:ascii="Palatino Linotype" w:hAnsi="Palatino Linotype" w:eastAsia="Palatino Linotype" w:cs="Times New Roman"/>
          <w:color w:val="000000" w:themeColor="text1"/>
          <w:kern w:val="0"/>
          <w14:ligatures w14:val="none"/>
        </w:rPr>
        <w:t xml:space="preserve">to </w:t>
      </w:r>
      <w:r w:rsidRPr="00041AD5" w:rsidR="00F67139">
        <w:rPr>
          <w:rFonts w:ascii="Palatino Linotype" w:hAnsi="Palatino Linotype" w:eastAsia="Palatino Linotype" w:cs="Times New Roman"/>
          <w:color w:val="000000" w:themeColor="text1"/>
          <w:kern w:val="0"/>
          <w14:ligatures w14:val="none"/>
        </w:rPr>
        <w:t>address</w:t>
      </w:r>
      <w:r w:rsidRPr="00041AD5" w:rsidR="0083474F">
        <w:rPr>
          <w:rFonts w:ascii="Palatino Linotype" w:hAnsi="Palatino Linotype" w:eastAsia="Palatino Linotype" w:cs="Times New Roman"/>
          <w:color w:val="000000" w:themeColor="text1"/>
          <w:kern w:val="0"/>
          <w14:ligatures w14:val="none"/>
        </w:rPr>
        <w:t xml:space="preserve"> the</w:t>
      </w:r>
      <w:r w:rsidRPr="00041AD5" w:rsidR="00F36522">
        <w:rPr>
          <w:rFonts w:ascii="Palatino Linotype" w:hAnsi="Palatino Linotype" w:eastAsia="Palatino Linotype" w:cs="Times New Roman"/>
          <w:color w:val="000000" w:themeColor="text1"/>
          <w:kern w:val="0"/>
          <w14:ligatures w14:val="none"/>
        </w:rPr>
        <w:t xml:space="preserve"> </w:t>
      </w:r>
      <w:r w:rsidRPr="00041AD5" w:rsidR="00F67139">
        <w:rPr>
          <w:rFonts w:ascii="Palatino Linotype" w:hAnsi="Palatino Linotype" w:eastAsia="Palatino Linotype" w:cs="Times New Roman"/>
          <w:color w:val="000000" w:themeColor="text1"/>
          <w:kern w:val="0"/>
          <w14:ligatures w14:val="none"/>
        </w:rPr>
        <w:t>“substantial social, technological, political, and economic challenges to achieving the transition to cleaner energy resources</w:t>
      </w:r>
      <w:r w:rsidRPr="00041AD5" w:rsidR="0083474F">
        <w:rPr>
          <w:rFonts w:ascii="Palatino Linotype" w:hAnsi="Palatino Linotype" w:eastAsia="Palatino Linotype" w:cs="Times New Roman"/>
          <w:color w:val="000000" w:themeColor="text1"/>
          <w:kern w:val="0"/>
          <w14:ligatures w14:val="none"/>
        </w:rPr>
        <w:t>”</w:t>
      </w:r>
      <w:r w:rsidRPr="00041AD5" w:rsidR="004827D1">
        <w:rPr>
          <w:rFonts w:ascii="Palatino Linotype" w:hAnsi="Palatino Linotype" w:eastAsia="Palatino Linotype" w:cs="Times New Roman"/>
          <w:color w:val="000000" w:themeColor="text1"/>
          <w:kern w:val="0"/>
          <w14:ligatures w14:val="none"/>
        </w:rPr>
        <w:t xml:space="preserve"> </w:t>
      </w:r>
      <w:r w:rsidRPr="00041AD5" w:rsidR="002A56F7">
        <w:rPr>
          <w:rFonts w:ascii="Palatino Linotype" w:hAnsi="Palatino Linotype" w:eastAsia="Palatino Linotype" w:cs="Times New Roman"/>
          <w:color w:val="000000" w:themeColor="text1"/>
          <w:kern w:val="0"/>
          <w14:ligatures w14:val="none"/>
        </w:rPr>
        <w:t>and “</w:t>
      </w:r>
      <w:r w:rsidRPr="00041AD5" w:rsidR="004827D1">
        <w:rPr>
          <w:rFonts w:ascii="Palatino Linotype" w:hAnsi="Palatino Linotype" w:eastAsia="Palatino Linotype" w:cs="Times New Roman"/>
          <w:color w:val="000000" w:themeColor="text1"/>
          <w:kern w:val="0"/>
          <w14:ligatures w14:val="none"/>
        </w:rPr>
        <w:t>away from aging and high-maintenance portions of gas infrastructure</w:t>
      </w:r>
      <w:r w:rsidRPr="00041AD5" w:rsidR="000C3FB4">
        <w:rPr>
          <w:rFonts w:ascii="Palatino Linotype" w:hAnsi="Palatino Linotype" w:eastAsia="Palatino Linotype" w:cs="Times New Roman"/>
          <w:color w:val="000000" w:themeColor="text1"/>
          <w:kern w:val="0"/>
          <w14:ligatures w14:val="none"/>
        </w:rPr>
        <w:t>.”</w:t>
      </w:r>
      <w:r w:rsidRPr="00041AD5" w:rsidR="000C3FB4">
        <w:rPr>
          <w:rStyle w:val="FootnoteReference"/>
          <w:rFonts w:ascii="Palatino Linotype" w:hAnsi="Palatino Linotype" w:eastAsia="Palatino Linotype" w:cs="Times New Roman"/>
          <w:color w:val="000000" w:themeColor="text1"/>
          <w:kern w:val="0"/>
          <w14:ligatures w14:val="none"/>
        </w:rPr>
        <w:footnoteReference w:id="37"/>
      </w:r>
    </w:p>
    <w:p w:rsidRPr="00041AD5" w:rsidR="00D12F04" w:rsidP="003147DD" w:rsidRDefault="00D12F04" w14:paraId="4A1800C8"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0A3610" w:rsidP="0058104D" w:rsidRDefault="000A3610" w14:paraId="7A7981AF" w14:textId="5724AC1C">
      <w:pPr>
        <w:autoSpaceDE w:val="0"/>
        <w:autoSpaceDN w:val="0"/>
        <w:adjustRightInd w:val="0"/>
        <w:spacing w:line="276" w:lineRule="auto"/>
        <w:rPr>
          <w:rFonts w:ascii="Palatino Linotype" w:hAnsi="Palatino Linotype" w:cs="Tahoma"/>
          <w:i/>
          <w:iCs/>
          <w:color w:val="000000" w:themeColor="text1"/>
          <w:kern w:val="0"/>
        </w:rPr>
      </w:pPr>
      <w:r w:rsidRPr="00041AD5">
        <w:rPr>
          <w:rFonts w:ascii="Palatino Linotype" w:hAnsi="Palatino Linotype" w:cs="Tahoma"/>
          <w:i/>
          <w:iCs/>
          <w:color w:val="000000" w:themeColor="text1"/>
          <w:kern w:val="0"/>
        </w:rPr>
        <w:t>Social Science Research for Gas Decommissioning in the Mid</w:t>
      </w:r>
      <w:r w:rsidRPr="00041AD5" w:rsidR="00D90CAF">
        <w:rPr>
          <w:rFonts w:ascii="Palatino Linotype" w:hAnsi="Palatino Linotype" w:cs="Tahoma"/>
          <w:i/>
          <w:iCs/>
          <w:color w:val="000000" w:themeColor="text1"/>
          <w:kern w:val="0"/>
        </w:rPr>
        <w:t>-</w:t>
      </w:r>
      <w:r w:rsidRPr="00041AD5">
        <w:rPr>
          <w:rFonts w:ascii="Palatino Linotype" w:hAnsi="Palatino Linotype" w:cs="Tahoma"/>
          <w:i/>
          <w:iCs/>
          <w:color w:val="000000" w:themeColor="text1"/>
          <w:kern w:val="0"/>
        </w:rPr>
        <w:t xml:space="preserve"> and Long</w:t>
      </w:r>
      <w:r w:rsidRPr="00041AD5" w:rsidR="00D90CAF">
        <w:rPr>
          <w:rFonts w:ascii="Palatino Linotype" w:hAnsi="Palatino Linotype" w:cs="Tahoma"/>
          <w:i/>
          <w:iCs/>
          <w:color w:val="000000" w:themeColor="text1"/>
          <w:kern w:val="0"/>
        </w:rPr>
        <w:t>-</w:t>
      </w:r>
      <w:r w:rsidRPr="00041AD5">
        <w:rPr>
          <w:rFonts w:ascii="Palatino Linotype" w:hAnsi="Palatino Linotype" w:cs="Tahoma"/>
          <w:i/>
          <w:iCs/>
          <w:color w:val="000000" w:themeColor="text1"/>
          <w:kern w:val="0"/>
        </w:rPr>
        <w:t>Term</w:t>
      </w:r>
    </w:p>
    <w:p w:rsidRPr="00041AD5" w:rsidR="000A3610" w:rsidP="0058104D" w:rsidRDefault="00F94540" w14:paraId="4A58D70F" w14:textId="6BABEB05">
      <w:pPr>
        <w:autoSpaceDE w:val="0"/>
        <w:autoSpaceDN w:val="0"/>
        <w:adjustRightInd w:val="0"/>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935B9C">
        <w:rPr>
          <w:rFonts w:ascii="Palatino Linotype" w:hAnsi="Palatino Linotype" w:eastAsia="Palatino Linotype" w:cs="Times New Roman"/>
          <w:color w:val="000000" w:themeColor="text1"/>
          <w:kern w:val="0"/>
          <w14:ligatures w14:val="none"/>
        </w:rPr>
        <w:t xml:space="preserve">within </w:t>
      </w:r>
      <w:r w:rsidRPr="00041AD5" w:rsidR="00C1765D">
        <w:rPr>
          <w:rFonts w:ascii="Palatino Linotype" w:hAnsi="Palatino Linotype" w:eastAsia="Palatino Linotype" w:cs="Times New Roman"/>
          <w:color w:val="000000" w:themeColor="text1"/>
          <w:kern w:val="0"/>
          <w14:ligatures w14:val="none"/>
        </w:rPr>
        <w:t xml:space="preserve">the </w:t>
      </w:r>
      <w:r w:rsidRPr="00041AD5" w:rsidR="00C1765D">
        <w:rPr>
          <w:rFonts w:ascii="Palatino Linotype" w:hAnsi="Palatino Linotype" w:cs="Tahoma"/>
          <w:color w:val="000000" w:themeColor="text1"/>
          <w:kern w:val="0"/>
        </w:rPr>
        <w:t xml:space="preserve">Social Science Research for Gas Decommissioning in the </w:t>
      </w:r>
      <w:r w:rsidRPr="00041AD5" w:rsidR="00D90CAF">
        <w:rPr>
          <w:rFonts w:ascii="Palatino Linotype" w:hAnsi="Palatino Linotype" w:cs="Tahoma"/>
          <w:color w:val="000000" w:themeColor="text1"/>
          <w:kern w:val="0"/>
        </w:rPr>
        <w:t>Mid- and Long-Term</w:t>
      </w:r>
      <w:r w:rsidRPr="00041AD5" w:rsidR="00935B9C">
        <w:rPr>
          <w:rFonts w:ascii="Palatino Linotype" w:hAnsi="Palatino Linotype" w:eastAsia="Palatino Linotype" w:cs="Times New Roman"/>
          <w:color w:val="000000" w:themeColor="text1"/>
          <w:kern w:val="0"/>
          <w14:ligatures w14:val="none"/>
        </w:rPr>
        <w:t xml:space="preserve"> Initiative t</w:t>
      </w:r>
      <w:r w:rsidRPr="00041AD5" w:rsidR="00953778">
        <w:rPr>
          <w:rFonts w:ascii="Palatino Linotype" w:hAnsi="Palatino Linotype" w:eastAsia="Palatino Linotype" w:cs="Times New Roman"/>
          <w:color w:val="000000" w:themeColor="text1"/>
          <w:kern w:val="0"/>
          <w14:ligatures w14:val="none"/>
        </w:rPr>
        <w:t xml:space="preserve">o </w:t>
      </w:r>
      <w:r w:rsidRPr="00041AD5" w:rsidR="00F570C5">
        <w:rPr>
          <w:rFonts w:ascii="Palatino Linotype" w:hAnsi="Palatino Linotype" w:eastAsia="Palatino Linotype" w:cs="Times New Roman"/>
          <w:color w:val="000000" w:themeColor="text1"/>
          <w:kern w:val="0"/>
          <w14:ligatures w14:val="none"/>
        </w:rPr>
        <w:t>create “a portfolio of research that investigates societal elements”</w:t>
      </w:r>
      <w:r w:rsidRPr="00041AD5" w:rsidR="00953778">
        <w:rPr>
          <w:rFonts w:ascii="Palatino Linotype" w:hAnsi="Palatino Linotype" w:eastAsia="Palatino Linotype" w:cs="Times New Roman"/>
          <w:color w:val="000000" w:themeColor="text1"/>
          <w:kern w:val="0"/>
          <w14:ligatures w14:val="none"/>
        </w:rPr>
        <w:t xml:space="preserve"> </w:t>
      </w:r>
      <w:r w:rsidRPr="00041AD5" w:rsidR="00F570C5">
        <w:rPr>
          <w:rFonts w:ascii="Palatino Linotype" w:hAnsi="Palatino Linotype" w:eastAsia="Palatino Linotype" w:cs="Times New Roman"/>
          <w:color w:val="000000" w:themeColor="text1"/>
          <w:kern w:val="0"/>
          <w14:ligatures w14:val="none"/>
        </w:rPr>
        <w:t>and “[provides]</w:t>
      </w:r>
      <w:r w:rsidRPr="00041AD5" w:rsidR="00426F1B">
        <w:rPr>
          <w:rFonts w:ascii="Palatino Linotype" w:hAnsi="Palatino Linotype" w:eastAsia="Palatino Linotype" w:cs="Times New Roman"/>
          <w:color w:val="000000" w:themeColor="text1"/>
          <w:kern w:val="0"/>
          <w14:ligatures w14:val="none"/>
        </w:rPr>
        <w:t xml:space="preserve"> supply chain, communications, tools, and community development recommendations that could help enable the transition</w:t>
      </w:r>
      <w:r w:rsidRPr="00041AD5" w:rsidR="00953778">
        <w:rPr>
          <w:rFonts w:ascii="Palatino Linotype" w:hAnsi="Palatino Linotype" w:eastAsia="Palatino Linotype" w:cs="Times New Roman"/>
          <w:color w:val="000000" w:themeColor="text1"/>
          <w:kern w:val="0"/>
          <w14:ligatures w14:val="none"/>
        </w:rPr>
        <w:t>.”</w:t>
      </w:r>
      <w:r w:rsidRPr="00041AD5" w:rsidR="00953778">
        <w:rPr>
          <w:rStyle w:val="FootnoteReference"/>
          <w:rFonts w:ascii="Palatino Linotype" w:hAnsi="Palatino Linotype" w:eastAsia="Palatino Linotype" w:cs="Times New Roman"/>
          <w:color w:val="000000" w:themeColor="text1"/>
          <w:kern w:val="0"/>
          <w14:ligatures w14:val="none"/>
        </w:rPr>
        <w:footnoteReference w:id="38"/>
      </w:r>
      <w:r w:rsidRPr="00041AD5" w:rsidR="00426F1B">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935B9C">
        <w:rPr>
          <w:rFonts w:ascii="Palatino Linotype" w:hAnsi="Palatino Linotype" w:eastAsia="Palatino Linotype" w:cs="Times New Roman"/>
          <w:color w:val="000000" w:themeColor="text1"/>
          <w:kern w:val="0"/>
          <w14:ligatures w14:val="none"/>
        </w:rPr>
        <w:t xml:space="preserve">CEC </w:t>
      </w:r>
      <w:r w:rsidRPr="00041AD5" w:rsidR="008E5C4C">
        <w:rPr>
          <w:rFonts w:ascii="Palatino Linotype" w:hAnsi="Palatino Linotype" w:eastAsia="Palatino Linotype" w:cs="Times New Roman"/>
          <w:color w:val="000000" w:themeColor="text1"/>
          <w:kern w:val="0"/>
          <w14:ligatures w14:val="none"/>
        </w:rPr>
        <w:t xml:space="preserve">proposes to </w:t>
      </w:r>
      <w:r w:rsidRPr="00041AD5" w:rsidR="00935B9C">
        <w:rPr>
          <w:rFonts w:ascii="Palatino Linotype" w:hAnsi="Palatino Linotype" w:eastAsia="Palatino Linotype" w:cs="Times New Roman"/>
          <w:color w:val="000000" w:themeColor="text1"/>
          <w:kern w:val="0"/>
          <w14:ligatures w14:val="none"/>
        </w:rPr>
        <w:t>allocates $</w:t>
      </w:r>
      <w:r w:rsidRPr="00041AD5" w:rsidR="00C1765D">
        <w:rPr>
          <w:rFonts w:ascii="Palatino Linotype" w:hAnsi="Palatino Linotype" w:eastAsia="Palatino Linotype" w:cs="Times New Roman"/>
          <w:color w:val="000000" w:themeColor="text1"/>
          <w:kern w:val="0"/>
          <w14:ligatures w14:val="none"/>
        </w:rPr>
        <w:t>3</w:t>
      </w:r>
      <w:r w:rsidRPr="00041AD5" w:rsidR="00935B9C">
        <w:rPr>
          <w:rFonts w:ascii="Palatino Linotype" w:hAnsi="Palatino Linotype" w:eastAsia="Palatino Linotype" w:cs="Times New Roman"/>
          <w:color w:val="000000" w:themeColor="text1"/>
          <w:kern w:val="0"/>
          <w14:ligatures w14:val="none"/>
        </w:rPr>
        <w:t xml:space="preserve">,000,000 </w:t>
      </w:r>
      <w:r w:rsidRPr="00041AD5" w:rsidR="008E5C4C">
        <w:rPr>
          <w:rFonts w:ascii="Palatino Linotype" w:hAnsi="Palatino Linotype" w:eastAsia="Palatino Linotype" w:cs="Times New Roman"/>
          <w:color w:val="000000" w:themeColor="text1"/>
          <w:kern w:val="0"/>
          <w14:ligatures w14:val="none"/>
        </w:rPr>
        <w:t xml:space="preserve">in its 2025 Plan </w:t>
      </w:r>
      <w:r w:rsidRPr="00041AD5" w:rsidR="00935B9C">
        <w:rPr>
          <w:rFonts w:ascii="Palatino Linotype" w:hAnsi="Palatino Linotype" w:eastAsia="Palatino Linotype" w:cs="Times New Roman"/>
          <w:color w:val="000000" w:themeColor="text1"/>
          <w:kern w:val="0"/>
          <w14:ligatures w14:val="none"/>
        </w:rPr>
        <w:t>to this Initiative.</w:t>
      </w:r>
      <w:r w:rsidRPr="00041AD5" w:rsidR="00DD07C6">
        <w:rPr>
          <w:rStyle w:val="FootnoteReference"/>
          <w:rFonts w:ascii="Palatino Linotype" w:hAnsi="Palatino Linotype" w:eastAsia="Palatino Linotype" w:cs="Times New Roman"/>
          <w:color w:val="000000" w:themeColor="text1"/>
          <w:kern w:val="0"/>
          <w14:ligatures w14:val="none"/>
        </w:rPr>
        <w:footnoteReference w:id="39"/>
      </w:r>
    </w:p>
    <w:p w:rsidRPr="00041AD5" w:rsidR="00DD07C6" w:rsidP="00132740" w:rsidRDefault="00DD07C6" w14:paraId="5603F800" w14:textId="77777777">
      <w:pPr>
        <w:autoSpaceDE w:val="0"/>
        <w:autoSpaceDN w:val="0"/>
        <w:adjustRightInd w:val="0"/>
        <w:spacing w:after="0" w:line="276" w:lineRule="auto"/>
        <w:ind w:left="720"/>
        <w:rPr>
          <w:rFonts w:ascii="Palatino Linotype" w:hAnsi="Palatino Linotype" w:eastAsia="Palatino Linotype" w:cs="Times New Roman"/>
          <w:bCs/>
          <w:color w:val="000000" w:themeColor="text1"/>
          <w:kern w:val="0"/>
          <w14:ligatures w14:val="none"/>
        </w:rPr>
      </w:pPr>
    </w:p>
    <w:p w:rsidR="00D170A1" w:rsidP="0058104D" w:rsidRDefault="00D170A1" w14:paraId="67C43125" w14:textId="77777777">
      <w:pPr>
        <w:autoSpaceDE w:val="0"/>
        <w:autoSpaceDN w:val="0"/>
        <w:adjustRightInd w:val="0"/>
        <w:spacing w:line="276" w:lineRule="auto"/>
        <w:rPr>
          <w:rFonts w:ascii="Palatino Linotype" w:hAnsi="Palatino Linotype" w:cs="Tahoma"/>
          <w:i/>
          <w:iCs/>
          <w:color w:val="000000" w:themeColor="text1"/>
          <w:kern w:val="0"/>
        </w:rPr>
      </w:pPr>
    </w:p>
    <w:p w:rsidRPr="00041AD5" w:rsidR="000A3610" w:rsidP="0058104D" w:rsidRDefault="000A3610" w14:paraId="0D010230" w14:textId="588E579E">
      <w:pPr>
        <w:autoSpaceDE w:val="0"/>
        <w:autoSpaceDN w:val="0"/>
        <w:adjustRightInd w:val="0"/>
        <w:spacing w:line="276" w:lineRule="auto"/>
        <w:rPr>
          <w:rFonts w:ascii="Palatino Linotype" w:hAnsi="Palatino Linotype" w:cs="Tahoma"/>
          <w:i/>
          <w:iCs/>
          <w:color w:val="000000" w:themeColor="text1"/>
          <w:kern w:val="0"/>
        </w:rPr>
      </w:pPr>
      <w:r w:rsidRPr="00041AD5">
        <w:rPr>
          <w:rFonts w:ascii="Palatino Linotype" w:hAnsi="Palatino Linotype" w:cs="Tahoma"/>
          <w:i/>
          <w:iCs/>
          <w:color w:val="000000" w:themeColor="text1"/>
          <w:kern w:val="0"/>
        </w:rPr>
        <w:lastRenderedPageBreak/>
        <w:t xml:space="preserve">Pilot Projects to Advance Gas Decommissioning </w:t>
      </w:r>
    </w:p>
    <w:p w:rsidRPr="00041AD5" w:rsidR="00D22015" w:rsidP="0058104D" w:rsidRDefault="00F94540" w14:paraId="755E0433" w14:textId="51FD244C">
      <w:pPr>
        <w:autoSpaceDE w:val="0"/>
        <w:autoSpaceDN w:val="0"/>
        <w:adjustRightInd w:val="0"/>
        <w:spacing w:after="0" w:line="276" w:lineRule="auto"/>
        <w:rPr>
          <w:rFonts w:ascii="Palatino Linotype" w:hAnsi="Palatino Linotype" w:cs="Tahoma"/>
          <w:color w:val="000000" w:themeColor="text1"/>
          <w:kern w:val="0"/>
          <w:u w:val="singl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D22015">
        <w:rPr>
          <w:rFonts w:ascii="Palatino Linotype" w:hAnsi="Palatino Linotype" w:eastAsia="Palatino Linotype" w:cs="Times New Roman"/>
          <w:color w:val="000000" w:themeColor="text1"/>
          <w:kern w:val="0"/>
          <w14:ligatures w14:val="none"/>
        </w:rPr>
        <w:t xml:space="preserve">within the </w:t>
      </w:r>
      <w:r w:rsidRPr="00041AD5" w:rsidR="00D22015">
        <w:rPr>
          <w:rFonts w:ascii="Palatino Linotype" w:hAnsi="Palatino Linotype" w:cs="Tahoma"/>
          <w:color w:val="000000" w:themeColor="text1"/>
          <w:kern w:val="0"/>
        </w:rPr>
        <w:t xml:space="preserve">Pilot Projects to Advance Gas Decommissioning </w:t>
      </w:r>
      <w:r w:rsidRPr="00041AD5" w:rsidR="00D22015">
        <w:rPr>
          <w:rFonts w:ascii="Palatino Linotype" w:hAnsi="Palatino Linotype" w:eastAsia="Palatino Linotype" w:cs="Times New Roman"/>
          <w:color w:val="000000" w:themeColor="text1"/>
          <w:kern w:val="0"/>
          <w14:ligatures w14:val="none"/>
        </w:rPr>
        <w:t xml:space="preserve">Initiative </w:t>
      </w:r>
      <w:r w:rsidRPr="00041AD5" w:rsidR="0024158F">
        <w:rPr>
          <w:rFonts w:ascii="Palatino Linotype" w:hAnsi="Palatino Linotype" w:eastAsia="Palatino Linotype" w:cs="Times New Roman"/>
          <w:color w:val="000000" w:themeColor="text1"/>
          <w:kern w:val="0"/>
          <w14:ligatures w14:val="none"/>
        </w:rPr>
        <w:t xml:space="preserve">which </w:t>
      </w:r>
      <w:r w:rsidRPr="00041AD5" w:rsidR="00EB2157">
        <w:rPr>
          <w:rFonts w:ascii="Palatino Linotype" w:hAnsi="Palatino Linotype" w:eastAsia="Palatino Linotype" w:cs="Times New Roman"/>
          <w:color w:val="000000" w:themeColor="text1"/>
          <w:kern w:val="0"/>
          <w14:ligatures w14:val="none"/>
        </w:rPr>
        <w:t>will involve “</w:t>
      </w:r>
      <w:r w:rsidRPr="00041AD5" w:rsidR="002F02BE">
        <w:rPr>
          <w:rFonts w:ascii="Palatino Linotype" w:hAnsi="Palatino Linotype" w:eastAsia="Palatino Linotype" w:cs="Times New Roman"/>
          <w:color w:val="000000" w:themeColor="text1"/>
          <w:kern w:val="0"/>
          <w14:ligatures w14:val="none"/>
        </w:rPr>
        <w:t>gas decommissioning pilot demonstrations to gather empirical data on technical, economic, and environmental feasibility and assess practical implications and</w:t>
      </w:r>
      <w:r w:rsidRPr="00041AD5" w:rsidR="004837C3">
        <w:rPr>
          <w:rFonts w:ascii="Palatino Linotype" w:hAnsi="Palatino Linotype" w:eastAsia="Palatino Linotype" w:cs="Times New Roman"/>
          <w:color w:val="000000" w:themeColor="text1"/>
          <w:kern w:val="0"/>
          <w14:ligatures w14:val="none"/>
        </w:rPr>
        <w:t xml:space="preserve"> challenges of midterm gas decommissioning</w:t>
      </w:r>
      <w:r w:rsidRPr="00041AD5" w:rsidR="00EB2157">
        <w:rPr>
          <w:rFonts w:ascii="Palatino Linotype" w:hAnsi="Palatino Linotype" w:eastAsia="Palatino Linotype" w:cs="Times New Roman"/>
          <w:color w:val="000000" w:themeColor="text1"/>
          <w:kern w:val="0"/>
          <w14:ligatures w14:val="none"/>
        </w:rPr>
        <w:t>.”</w:t>
      </w:r>
      <w:r w:rsidRPr="00041AD5" w:rsidR="00EB2157">
        <w:rPr>
          <w:rStyle w:val="FootnoteReference"/>
          <w:rFonts w:ascii="Palatino Linotype" w:hAnsi="Palatino Linotype" w:eastAsia="Palatino Linotype" w:cs="Times New Roman"/>
          <w:color w:val="000000" w:themeColor="text1"/>
          <w:kern w:val="0"/>
          <w14:ligatures w14:val="none"/>
        </w:rPr>
        <w:footnoteReference w:id="40"/>
      </w:r>
      <w:r w:rsidRPr="00041AD5" w:rsidR="004837C3">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D22015">
        <w:rPr>
          <w:rFonts w:ascii="Palatino Linotype" w:hAnsi="Palatino Linotype" w:eastAsia="Palatino Linotype" w:cs="Times New Roman"/>
          <w:color w:val="000000" w:themeColor="text1"/>
          <w:kern w:val="0"/>
          <w14:ligatures w14:val="none"/>
        </w:rPr>
        <w:t xml:space="preserve">CEC </w:t>
      </w:r>
      <w:r w:rsidRPr="00041AD5" w:rsidR="008E5C4C">
        <w:rPr>
          <w:rFonts w:ascii="Palatino Linotype" w:hAnsi="Palatino Linotype" w:eastAsia="Palatino Linotype" w:cs="Times New Roman"/>
          <w:color w:val="000000" w:themeColor="text1"/>
          <w:kern w:val="0"/>
          <w14:ligatures w14:val="none"/>
        </w:rPr>
        <w:t xml:space="preserve">proposes to </w:t>
      </w:r>
      <w:r w:rsidRPr="00041AD5" w:rsidR="00D22015">
        <w:rPr>
          <w:rFonts w:ascii="Palatino Linotype" w:hAnsi="Palatino Linotype" w:eastAsia="Palatino Linotype" w:cs="Times New Roman"/>
          <w:color w:val="000000" w:themeColor="text1"/>
          <w:kern w:val="0"/>
          <w14:ligatures w14:val="none"/>
        </w:rPr>
        <w:t xml:space="preserve">allocate $6,000,000 </w:t>
      </w:r>
      <w:r w:rsidRPr="00041AD5" w:rsidR="008E5C4C">
        <w:rPr>
          <w:rFonts w:ascii="Palatino Linotype" w:hAnsi="Palatino Linotype" w:eastAsia="Palatino Linotype" w:cs="Times New Roman"/>
          <w:color w:val="000000" w:themeColor="text1"/>
          <w:kern w:val="0"/>
          <w14:ligatures w14:val="none"/>
        </w:rPr>
        <w:t xml:space="preserve">in its 2025 Plan </w:t>
      </w:r>
      <w:r w:rsidRPr="00041AD5" w:rsidR="00D22015">
        <w:rPr>
          <w:rFonts w:ascii="Palatino Linotype" w:hAnsi="Palatino Linotype" w:eastAsia="Palatino Linotype" w:cs="Times New Roman"/>
          <w:color w:val="000000" w:themeColor="text1"/>
          <w:kern w:val="0"/>
          <w14:ligatures w14:val="none"/>
        </w:rPr>
        <w:t>to this Initiative.</w:t>
      </w:r>
      <w:r w:rsidRPr="00041AD5" w:rsidR="00221BF7">
        <w:rPr>
          <w:rStyle w:val="FootnoteReference"/>
          <w:rFonts w:ascii="Palatino Linotype" w:hAnsi="Palatino Linotype" w:eastAsia="Palatino Linotype" w:cs="Times New Roman"/>
          <w:color w:val="000000" w:themeColor="text1"/>
          <w:kern w:val="0"/>
          <w14:ligatures w14:val="none"/>
        </w:rPr>
        <w:footnoteReference w:id="41"/>
      </w:r>
    </w:p>
    <w:p w:rsidRPr="00041AD5" w:rsidR="0012539A" w:rsidP="003147DD" w:rsidRDefault="0012539A" w14:paraId="0B9CF2B4" w14:textId="77777777">
      <w:pPr>
        <w:spacing w:after="0" w:line="276" w:lineRule="auto"/>
        <w:rPr>
          <w:rFonts w:ascii="Palatino Linotype" w:hAnsi="Palatino Linotype" w:eastAsia="Palatino Linotype" w:cs="Times New Roman"/>
          <w:bCs/>
          <w:i/>
          <w:iCs/>
          <w:color w:val="000000" w:themeColor="text1"/>
          <w:kern w:val="0"/>
          <w14:ligatures w14:val="none"/>
        </w:rPr>
      </w:pPr>
    </w:p>
    <w:p w:rsidRPr="00F94540" w:rsidR="0012539A" w:rsidP="00F94540" w:rsidRDefault="00311F69" w14:paraId="670C33EE" w14:textId="79751A53">
      <w:pPr>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 xml:space="preserve">Building </w:t>
      </w:r>
      <w:r w:rsidRPr="00041AD5" w:rsidR="0012539A">
        <w:rPr>
          <w:rFonts w:ascii="Palatino Linotype" w:hAnsi="Palatino Linotype" w:eastAsia="Palatino Linotype" w:cs="Times New Roman"/>
          <w:bCs/>
          <w:color w:val="000000" w:themeColor="text1"/>
          <w:kern w:val="0"/>
          <w:u w:val="single"/>
          <w14:ligatures w14:val="none"/>
        </w:rPr>
        <w:t>Decarbonization Theme</w:t>
      </w:r>
      <w:r w:rsidRPr="00041AD5"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041AD5" w:rsidR="0012539A" w:rsidP="003147DD" w:rsidRDefault="00F94540" w14:paraId="2A5F8E8C" w14:textId="161DA829">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041AD5" w:rsidR="0012539A">
        <w:rPr>
          <w:rFonts w:ascii="Palatino Linotype" w:hAnsi="Palatino Linotype" w:eastAsia="Palatino Linotype" w:cs="Times New Roman"/>
          <w:color w:val="000000" w:themeColor="text1"/>
          <w:kern w:val="0"/>
          <w14:ligatures w14:val="none"/>
        </w:rPr>
        <w:t xml:space="preserve">within the </w:t>
      </w:r>
      <w:r w:rsidRPr="00041AD5" w:rsidR="00D93D36">
        <w:rPr>
          <w:rFonts w:ascii="Palatino Linotype" w:hAnsi="Palatino Linotype" w:eastAsia="Palatino Linotype" w:cs="Times New Roman"/>
          <w:color w:val="000000" w:themeColor="text1"/>
          <w:kern w:val="0"/>
          <w14:ligatures w14:val="none"/>
        </w:rPr>
        <w:t>Building Decarbonization</w:t>
      </w:r>
      <w:r w:rsidRPr="00041AD5" w:rsidR="00311F69">
        <w:rPr>
          <w:rFonts w:ascii="Palatino Linotype" w:hAnsi="Palatino Linotype" w:eastAsia="Palatino Linotype" w:cs="Times New Roman"/>
          <w:color w:val="000000" w:themeColor="text1"/>
          <w:kern w:val="0"/>
          <w14:ligatures w14:val="none"/>
        </w:rPr>
        <w:t xml:space="preserve"> Theme</w:t>
      </w:r>
      <w:r w:rsidRPr="00041AD5" w:rsidR="0012539A">
        <w:rPr>
          <w:rFonts w:ascii="Palatino Linotype" w:hAnsi="Palatino Linotype" w:eastAsia="Palatino Linotype" w:cs="Times New Roman"/>
          <w:color w:val="000000" w:themeColor="text1"/>
          <w:kern w:val="0"/>
          <w14:ligatures w14:val="none"/>
        </w:rPr>
        <w:t xml:space="preserve"> to</w:t>
      </w:r>
      <w:r w:rsidRPr="00041AD5" w:rsidR="0010624E">
        <w:rPr>
          <w:rFonts w:ascii="Palatino Linotype" w:hAnsi="Palatino Linotype" w:eastAsia="Palatino Linotype" w:cs="Times New Roman"/>
          <w:color w:val="000000" w:themeColor="text1"/>
          <w:kern w:val="0"/>
          <w14:ligatures w14:val="none"/>
        </w:rPr>
        <w:t xml:space="preserve"> s</w:t>
      </w:r>
      <w:r w:rsidRPr="00041AD5" w:rsidR="00897706">
        <w:rPr>
          <w:rFonts w:ascii="Palatino Linotype" w:hAnsi="Palatino Linotype" w:eastAsia="Palatino Linotype" w:cs="Times New Roman"/>
          <w:color w:val="000000" w:themeColor="text1"/>
          <w:kern w:val="0"/>
          <w14:ligatures w14:val="none"/>
        </w:rPr>
        <w:t xml:space="preserve">upport </w:t>
      </w:r>
      <w:r w:rsidRPr="00041AD5" w:rsidR="0010624E">
        <w:rPr>
          <w:rFonts w:ascii="Palatino Linotype" w:hAnsi="Palatino Linotype" w:eastAsia="Palatino Linotype" w:cs="Times New Roman"/>
          <w:color w:val="000000" w:themeColor="text1"/>
          <w:kern w:val="0"/>
          <w14:ligatures w14:val="none"/>
        </w:rPr>
        <w:t>“</w:t>
      </w:r>
      <w:r w:rsidRPr="00041AD5" w:rsidR="00897706">
        <w:rPr>
          <w:rFonts w:ascii="Palatino Linotype" w:hAnsi="Palatino Linotype" w:eastAsia="Palatino Linotype" w:cs="Times New Roman"/>
          <w:color w:val="000000" w:themeColor="text1"/>
          <w:kern w:val="0"/>
          <w14:ligatures w14:val="none"/>
        </w:rPr>
        <w:t>the shift to community-scale approaches that enable scaling, higher efficiencies, and greater impacts</w:t>
      </w:r>
      <w:r w:rsidRPr="00041AD5" w:rsidR="00A24E0F">
        <w:rPr>
          <w:rFonts w:ascii="Palatino Linotype" w:hAnsi="Palatino Linotype" w:eastAsia="Palatino Linotype" w:cs="Times New Roman"/>
          <w:color w:val="000000" w:themeColor="text1"/>
          <w:kern w:val="0"/>
          <w14:ligatures w14:val="none"/>
        </w:rPr>
        <w:t>,</w:t>
      </w:r>
      <w:r w:rsidRPr="00041AD5" w:rsidR="0010624E">
        <w:rPr>
          <w:rFonts w:ascii="Palatino Linotype" w:hAnsi="Palatino Linotype" w:eastAsia="Palatino Linotype" w:cs="Times New Roman"/>
          <w:color w:val="000000" w:themeColor="text1"/>
          <w:kern w:val="0"/>
          <w14:ligatures w14:val="none"/>
        </w:rPr>
        <w:t>”</w:t>
      </w:r>
      <w:r w:rsidRPr="00041AD5" w:rsidR="00A24E0F">
        <w:rPr>
          <w:rFonts w:ascii="Palatino Linotype" w:hAnsi="Palatino Linotype" w:eastAsia="Palatino Linotype" w:cs="Times New Roman"/>
          <w:color w:val="000000" w:themeColor="text1"/>
          <w:kern w:val="0"/>
          <w14:ligatures w14:val="none"/>
        </w:rPr>
        <w:t xml:space="preserve"> including</w:t>
      </w:r>
      <w:r w:rsidRPr="00041AD5" w:rsidR="000F2927">
        <w:rPr>
          <w:rFonts w:ascii="Palatino Linotype" w:hAnsi="Palatino Linotype" w:eastAsia="Palatino Linotype" w:cs="Times New Roman"/>
          <w:color w:val="000000" w:themeColor="text1"/>
          <w:kern w:val="0"/>
          <w14:ligatures w14:val="none"/>
        </w:rPr>
        <w:t xml:space="preserve"> </w:t>
      </w:r>
      <w:r w:rsidRPr="00041AD5" w:rsidR="0010624E">
        <w:rPr>
          <w:rFonts w:ascii="Palatino Linotype" w:hAnsi="Palatino Linotype" w:eastAsia="Palatino Linotype" w:cs="Times New Roman"/>
          <w:color w:val="000000" w:themeColor="text1"/>
          <w:kern w:val="0"/>
          <w14:ligatures w14:val="none"/>
        </w:rPr>
        <w:t xml:space="preserve">by </w:t>
      </w:r>
      <w:r w:rsidRPr="00041AD5" w:rsidR="004A0BA5">
        <w:rPr>
          <w:rFonts w:ascii="Palatino Linotype" w:hAnsi="Palatino Linotype" w:eastAsia="Palatino Linotype" w:cs="Times New Roman"/>
          <w:color w:val="000000" w:themeColor="text1"/>
          <w:kern w:val="0"/>
          <w14:ligatures w14:val="none"/>
        </w:rPr>
        <w:t xml:space="preserve">harnessing </w:t>
      </w:r>
      <w:r w:rsidRPr="00041AD5" w:rsidR="00A40D89">
        <w:rPr>
          <w:rFonts w:ascii="Palatino Linotype" w:hAnsi="Palatino Linotype" w:eastAsia="Palatino Linotype" w:cs="Times New Roman"/>
          <w:color w:val="000000" w:themeColor="text1"/>
          <w:kern w:val="0"/>
          <w14:ligatures w14:val="none"/>
        </w:rPr>
        <w:t>n</w:t>
      </w:r>
      <w:r w:rsidRPr="00041AD5" w:rsidR="005C0E1E">
        <w:rPr>
          <w:rFonts w:ascii="Palatino Linotype" w:hAnsi="Palatino Linotype" w:eastAsia="Palatino Linotype" w:cs="Times New Roman"/>
          <w:color w:val="000000" w:themeColor="text1"/>
          <w:kern w:val="0"/>
          <w14:ligatures w14:val="none"/>
        </w:rPr>
        <w:t xml:space="preserve">etworked geothermal heat pump (GHP) </w:t>
      </w:r>
      <w:r w:rsidRPr="00041AD5" w:rsidR="004A0BA5">
        <w:rPr>
          <w:rFonts w:ascii="Palatino Linotype" w:hAnsi="Palatino Linotype" w:eastAsia="Palatino Linotype" w:cs="Times New Roman"/>
          <w:color w:val="000000" w:themeColor="text1"/>
          <w:kern w:val="0"/>
          <w14:ligatures w14:val="none"/>
        </w:rPr>
        <w:t xml:space="preserve">technology </w:t>
      </w:r>
      <w:r w:rsidRPr="00041AD5" w:rsidR="00A40D89">
        <w:rPr>
          <w:rFonts w:ascii="Palatino Linotype" w:hAnsi="Palatino Linotype" w:eastAsia="Palatino Linotype" w:cs="Times New Roman"/>
          <w:color w:val="000000" w:themeColor="text1"/>
          <w:kern w:val="0"/>
          <w14:ligatures w14:val="none"/>
        </w:rPr>
        <w:t>as a means of</w:t>
      </w:r>
      <w:r w:rsidRPr="00041AD5" w:rsidR="00554500">
        <w:rPr>
          <w:rFonts w:ascii="Palatino Linotype" w:hAnsi="Palatino Linotype" w:eastAsia="Palatino Linotype" w:cs="Times New Roman"/>
          <w:color w:val="000000" w:themeColor="text1"/>
          <w:kern w:val="0"/>
          <w14:ligatures w14:val="none"/>
        </w:rPr>
        <w:t xml:space="preserve"> </w:t>
      </w:r>
      <w:r w:rsidRPr="00041AD5" w:rsidR="00A40D89">
        <w:rPr>
          <w:rFonts w:ascii="Palatino Linotype" w:hAnsi="Palatino Linotype" w:eastAsia="Palatino Linotype" w:cs="Times New Roman"/>
          <w:color w:val="000000" w:themeColor="text1"/>
          <w:kern w:val="0"/>
          <w14:ligatures w14:val="none"/>
        </w:rPr>
        <w:t>“</w:t>
      </w:r>
      <w:r w:rsidRPr="00041AD5" w:rsidR="00554500">
        <w:rPr>
          <w:rFonts w:ascii="Palatino Linotype" w:hAnsi="Palatino Linotype" w:eastAsia="Palatino Linotype" w:cs="Times New Roman"/>
          <w:color w:val="000000" w:themeColor="text1"/>
          <w:kern w:val="0"/>
          <w14:ligatures w14:val="none"/>
        </w:rPr>
        <w:t>decreasing overall energy consumption, replacing fossil gas use, and enabling high thermal efficiencies at a large scale</w:t>
      </w:r>
      <w:r w:rsidRPr="00041AD5" w:rsidR="004A0BA5">
        <w:rPr>
          <w:rFonts w:ascii="Palatino Linotype" w:hAnsi="Palatino Linotype" w:eastAsia="Palatino Linotype" w:cs="Times New Roman"/>
          <w:color w:val="000000" w:themeColor="text1"/>
          <w:kern w:val="0"/>
          <w14:ligatures w14:val="none"/>
        </w:rPr>
        <w:t>.”</w:t>
      </w:r>
      <w:r w:rsidRPr="00041AD5" w:rsidR="004A0BA5">
        <w:rPr>
          <w:rStyle w:val="FootnoteReference"/>
          <w:rFonts w:ascii="Palatino Linotype" w:hAnsi="Palatino Linotype" w:eastAsia="Palatino Linotype" w:cs="Times New Roman"/>
          <w:color w:val="000000" w:themeColor="text1"/>
          <w:kern w:val="0"/>
          <w14:ligatures w14:val="none"/>
        </w:rPr>
        <w:footnoteReference w:id="42"/>
      </w:r>
    </w:p>
    <w:p w:rsidRPr="00041AD5" w:rsidR="005C0E1E" w:rsidP="003147DD" w:rsidRDefault="005C0E1E" w14:paraId="56EC5C81"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A24E0F" w:rsidP="0058104D" w:rsidRDefault="00D93D36" w14:paraId="396AC545" w14:textId="7CEB015A">
      <w:pPr>
        <w:spacing w:line="276" w:lineRule="auto"/>
        <w:rPr>
          <w:rFonts w:ascii="Palatino Linotype" w:hAnsi="Palatino Linotype" w:eastAsia="Palatino Linotype" w:cs="Times New Roman"/>
          <w:bCs/>
          <w:i/>
          <w:iCs/>
          <w:color w:val="000000" w:themeColor="text1"/>
          <w:kern w:val="0"/>
          <w14:ligatures w14:val="none"/>
        </w:rPr>
      </w:pPr>
      <w:r w:rsidRPr="00041AD5">
        <w:rPr>
          <w:rFonts w:ascii="Palatino Linotype" w:hAnsi="Palatino Linotype" w:eastAsia="Palatino Linotype" w:cs="Times New Roman"/>
          <w:bCs/>
          <w:i/>
          <w:iCs/>
          <w:color w:val="000000" w:themeColor="text1"/>
          <w:kern w:val="0"/>
          <w14:ligatures w14:val="none"/>
        </w:rPr>
        <w:t xml:space="preserve">Networked Geothermal </w:t>
      </w:r>
      <w:r w:rsidRPr="00041AD5" w:rsidR="007D1139">
        <w:rPr>
          <w:rFonts w:ascii="Palatino Linotype" w:hAnsi="Palatino Linotype" w:eastAsia="Palatino Linotype" w:cs="Times New Roman"/>
          <w:bCs/>
          <w:i/>
          <w:iCs/>
          <w:color w:val="000000" w:themeColor="text1"/>
          <w:kern w:val="0"/>
          <w14:ligatures w14:val="none"/>
        </w:rPr>
        <w:t>Heat Pumps</w:t>
      </w:r>
    </w:p>
    <w:p w:rsidRPr="00041AD5" w:rsidR="007D1139" w:rsidP="0058104D" w:rsidRDefault="00F94540" w14:paraId="0245020B" w14:textId="32F3B9EB">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color w:val="000000" w:themeColor="text1"/>
          <w:kern w:val="0"/>
          <w14:ligatures w14:val="none"/>
        </w:rPr>
        <w:t xml:space="preserve">The </w:t>
      </w:r>
      <w:r w:rsidRPr="00041AD5"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041AD5" w:rsidR="00E33BA7">
        <w:rPr>
          <w:rFonts w:ascii="Palatino Linotype" w:hAnsi="Palatino Linotype" w:eastAsia="Palatino Linotype" w:cs="Times New Roman"/>
          <w:color w:val="000000" w:themeColor="text1"/>
          <w:kern w:val="0"/>
          <w14:ligatures w14:val="none"/>
        </w:rPr>
        <w:t xml:space="preserve">within the Networked Geothermal Heat Pumps Initiative </w:t>
      </w:r>
      <w:r w:rsidRPr="00041AD5" w:rsidR="00B46F6C">
        <w:rPr>
          <w:rFonts w:ascii="Palatino Linotype" w:hAnsi="Palatino Linotype" w:eastAsia="Palatino Linotype" w:cs="Times New Roman"/>
          <w:color w:val="000000" w:themeColor="text1"/>
          <w:kern w:val="0"/>
          <w14:ligatures w14:val="none"/>
        </w:rPr>
        <w:t xml:space="preserve">to “assess the potential cost-effectiveness and comparative environmental advantages of deploying networked geothermal technology as </w:t>
      </w:r>
      <w:r w:rsidR="000C4CBF">
        <w:rPr>
          <w:rFonts w:ascii="Palatino Linotype" w:hAnsi="Palatino Linotype" w:eastAsia="Palatino Linotype" w:cs="Times New Roman"/>
          <w:color w:val="000000" w:themeColor="text1"/>
          <w:kern w:val="0"/>
          <w14:ligatures w14:val="none"/>
        </w:rPr>
        <w:br/>
      </w:r>
      <w:r w:rsidRPr="00041AD5" w:rsidR="00B46F6C">
        <w:rPr>
          <w:rFonts w:ascii="Palatino Linotype" w:hAnsi="Palatino Linotype" w:eastAsia="Palatino Linotype" w:cs="Times New Roman"/>
          <w:color w:val="000000" w:themeColor="text1"/>
          <w:kern w:val="0"/>
          <w14:ligatures w14:val="none"/>
        </w:rPr>
        <w:t xml:space="preserve">a zero-emission heating and cooling alternative for gas customers in California through a two-phase approach,” including </w:t>
      </w:r>
      <w:r w:rsidRPr="00041AD5" w:rsidR="005E574A">
        <w:rPr>
          <w:rFonts w:ascii="Palatino Linotype" w:hAnsi="Palatino Linotype" w:eastAsia="Palatino Linotype" w:cs="Times New Roman"/>
          <w:color w:val="000000" w:themeColor="text1"/>
          <w:kern w:val="0"/>
          <w14:ligatures w14:val="none"/>
        </w:rPr>
        <w:t>one or more p</w:t>
      </w:r>
      <w:r w:rsidRPr="00041AD5" w:rsidR="00024E40">
        <w:rPr>
          <w:rFonts w:ascii="Palatino Linotype" w:hAnsi="Palatino Linotype" w:eastAsia="Palatino Linotype" w:cs="Times New Roman"/>
          <w:color w:val="000000" w:themeColor="text1"/>
          <w:kern w:val="0"/>
          <w14:ligatures w14:val="none"/>
        </w:rPr>
        <w:t>ilot demonstrations.</w:t>
      </w:r>
      <w:r w:rsidRPr="00041AD5" w:rsidR="00024E40">
        <w:rPr>
          <w:rStyle w:val="FootnoteReference"/>
          <w:rFonts w:ascii="Palatino Linotype" w:hAnsi="Palatino Linotype" w:eastAsia="Palatino Linotype" w:cs="Times New Roman"/>
          <w:color w:val="000000" w:themeColor="text1"/>
          <w:kern w:val="0"/>
          <w14:ligatures w14:val="none"/>
        </w:rPr>
        <w:footnoteReference w:id="43"/>
      </w:r>
      <w:r w:rsidRPr="00041AD5" w:rsidR="00CB1919">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 xml:space="preserve">The </w:t>
      </w:r>
      <w:r w:rsidRPr="00041AD5" w:rsidR="00E33BA7">
        <w:rPr>
          <w:rFonts w:ascii="Palatino Linotype" w:hAnsi="Palatino Linotype" w:eastAsia="Palatino Linotype" w:cs="Times New Roman"/>
          <w:color w:val="000000" w:themeColor="text1"/>
          <w:kern w:val="0"/>
          <w14:ligatures w14:val="none"/>
        </w:rPr>
        <w:t xml:space="preserve">CEC </w:t>
      </w:r>
      <w:r w:rsidRPr="00041AD5" w:rsidR="008E5C4C">
        <w:rPr>
          <w:rFonts w:ascii="Palatino Linotype" w:hAnsi="Palatino Linotype" w:eastAsia="Palatino Linotype" w:cs="Times New Roman"/>
          <w:color w:val="000000" w:themeColor="text1"/>
          <w:kern w:val="0"/>
          <w14:ligatures w14:val="none"/>
        </w:rPr>
        <w:t xml:space="preserve">proposes to </w:t>
      </w:r>
      <w:r w:rsidRPr="00041AD5" w:rsidR="00E33BA7">
        <w:rPr>
          <w:rFonts w:ascii="Palatino Linotype" w:hAnsi="Palatino Linotype" w:eastAsia="Palatino Linotype" w:cs="Times New Roman"/>
          <w:color w:val="000000" w:themeColor="text1"/>
          <w:kern w:val="0"/>
          <w14:ligatures w14:val="none"/>
        </w:rPr>
        <w:t>allocate $</w:t>
      </w:r>
      <w:r w:rsidRPr="00041AD5" w:rsidR="001E0717">
        <w:rPr>
          <w:rFonts w:ascii="Palatino Linotype" w:hAnsi="Palatino Linotype" w:eastAsia="Palatino Linotype" w:cs="Times New Roman"/>
          <w:color w:val="000000" w:themeColor="text1"/>
          <w:kern w:val="0"/>
          <w14:ligatures w14:val="none"/>
        </w:rPr>
        <w:t>12</w:t>
      </w:r>
      <w:r w:rsidRPr="00041AD5" w:rsidR="00E33BA7">
        <w:rPr>
          <w:rFonts w:ascii="Palatino Linotype" w:hAnsi="Palatino Linotype" w:eastAsia="Palatino Linotype" w:cs="Times New Roman"/>
          <w:color w:val="000000" w:themeColor="text1"/>
          <w:kern w:val="0"/>
          <w14:ligatures w14:val="none"/>
        </w:rPr>
        <w:t>,</w:t>
      </w:r>
      <w:r w:rsidRPr="00041AD5" w:rsidR="001E0717">
        <w:rPr>
          <w:rFonts w:ascii="Palatino Linotype" w:hAnsi="Palatino Linotype" w:eastAsia="Palatino Linotype" w:cs="Times New Roman"/>
          <w:color w:val="000000" w:themeColor="text1"/>
          <w:kern w:val="0"/>
          <w14:ligatures w14:val="none"/>
        </w:rPr>
        <w:t>6</w:t>
      </w:r>
      <w:r w:rsidRPr="00041AD5" w:rsidR="00E33BA7">
        <w:rPr>
          <w:rFonts w:ascii="Palatino Linotype" w:hAnsi="Palatino Linotype" w:eastAsia="Palatino Linotype" w:cs="Times New Roman"/>
          <w:color w:val="000000" w:themeColor="text1"/>
          <w:kern w:val="0"/>
          <w14:ligatures w14:val="none"/>
        </w:rPr>
        <w:t xml:space="preserve">00,000 </w:t>
      </w:r>
      <w:r w:rsidRPr="00041AD5" w:rsidR="008E5C4C">
        <w:rPr>
          <w:rFonts w:ascii="Palatino Linotype" w:hAnsi="Palatino Linotype" w:eastAsia="Palatino Linotype" w:cs="Times New Roman"/>
          <w:color w:val="000000" w:themeColor="text1"/>
          <w:kern w:val="0"/>
          <w14:ligatures w14:val="none"/>
        </w:rPr>
        <w:t xml:space="preserve">in its 2025 Plan </w:t>
      </w:r>
      <w:r w:rsidRPr="00041AD5" w:rsidR="00E33BA7">
        <w:rPr>
          <w:rFonts w:ascii="Palatino Linotype" w:hAnsi="Palatino Linotype" w:eastAsia="Palatino Linotype" w:cs="Times New Roman"/>
          <w:color w:val="000000" w:themeColor="text1"/>
          <w:kern w:val="0"/>
          <w14:ligatures w14:val="none"/>
        </w:rPr>
        <w:t>to this Initiative</w:t>
      </w:r>
      <w:r w:rsidRPr="00041AD5" w:rsidR="00221BF7">
        <w:rPr>
          <w:rFonts w:ascii="Palatino Linotype" w:hAnsi="Palatino Linotype" w:eastAsia="Palatino Linotype" w:cs="Times New Roman"/>
          <w:color w:val="000000" w:themeColor="text1"/>
          <w:kern w:val="0"/>
          <w14:ligatures w14:val="none"/>
        </w:rPr>
        <w:t>.</w:t>
      </w:r>
      <w:r w:rsidRPr="00041AD5" w:rsidR="00221BF7">
        <w:rPr>
          <w:rStyle w:val="FootnoteReference"/>
          <w:rFonts w:ascii="Palatino Linotype" w:hAnsi="Palatino Linotype" w:eastAsia="Palatino Linotype" w:cs="Times New Roman"/>
          <w:color w:val="000000" w:themeColor="text1"/>
          <w:kern w:val="0"/>
          <w14:ligatures w14:val="none"/>
        </w:rPr>
        <w:footnoteReference w:id="44"/>
      </w:r>
    </w:p>
    <w:p w:rsidRPr="00041AD5" w:rsidR="00D4575E" w:rsidP="003147DD" w:rsidRDefault="00D4575E" w14:paraId="64B2B231" w14:textId="77777777">
      <w:pPr>
        <w:spacing w:after="0" w:line="276" w:lineRule="auto"/>
        <w:rPr>
          <w:rFonts w:ascii="Palatino Linotype" w:hAnsi="Palatino Linotype" w:eastAsia="Palatino Linotype" w:cs="Times New Roman"/>
          <w:bCs/>
          <w:color w:val="000000" w:themeColor="text1"/>
          <w:kern w:val="0"/>
          <w:u w:val="single"/>
          <w14:ligatures w14:val="none"/>
        </w:rPr>
      </w:pPr>
    </w:p>
    <w:p w:rsidRPr="00041AD5" w:rsidR="00782092" w:rsidP="00530D42" w:rsidRDefault="00782092" w14:paraId="5830D664" w14:textId="4B2D1E05">
      <w:pPr>
        <w:keepNext/>
        <w:spacing w:line="276" w:lineRule="auto"/>
        <w:rPr>
          <w:rFonts w:ascii="Palatino Linotype" w:hAnsi="Palatino Linotype" w:eastAsia="Palatino Linotype" w:cs="Times New Roman"/>
          <w:bCs/>
          <w:color w:val="000000" w:themeColor="text1"/>
          <w:kern w:val="0"/>
          <w:u w:val="single"/>
          <w14:ligatures w14:val="none"/>
        </w:rPr>
      </w:pPr>
      <w:r w:rsidRPr="00041AD5">
        <w:rPr>
          <w:rFonts w:ascii="Palatino Linotype" w:hAnsi="Palatino Linotype" w:eastAsia="Palatino Linotype" w:cs="Times New Roman"/>
          <w:bCs/>
          <w:color w:val="000000" w:themeColor="text1"/>
          <w:kern w:val="0"/>
          <w:u w:val="single"/>
          <w14:ligatures w14:val="none"/>
        </w:rPr>
        <w:t>Program Administration</w:t>
      </w:r>
    </w:p>
    <w:p w:rsidRPr="00041AD5" w:rsidR="00D61EB8" w:rsidP="00530D42" w:rsidRDefault="005603DF" w14:paraId="55882FA6" w14:textId="34B2F087">
      <w:pPr>
        <w:keepNext/>
        <w:spacing w:after="0" w:line="276" w:lineRule="auto"/>
        <w:rPr>
          <w:rFonts w:ascii="Palatino Linotype" w:hAnsi="Palatino Linotype" w:eastAsia="Palatino Linotype" w:cs="Times New Roman"/>
          <w:bCs/>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CEC proposes to allocate ten percent of its FY 2024-2025 budget to administrative costs, </w:t>
      </w:r>
      <w:r w:rsidRPr="00041AD5" w:rsidR="0058104D">
        <w:rPr>
          <w:rFonts w:ascii="Palatino Linotype" w:hAnsi="Palatino Linotype" w:eastAsia="Palatino Linotype" w:cs="Times New Roman"/>
          <w:color w:val="000000" w:themeColor="text1"/>
          <w:kern w:val="0"/>
          <w14:ligatures w14:val="none"/>
        </w:rPr>
        <w:t>totaling</w:t>
      </w:r>
      <w:r w:rsidRPr="00041AD5">
        <w:rPr>
          <w:rFonts w:ascii="Palatino Linotype" w:hAnsi="Palatino Linotype" w:eastAsia="Palatino Linotype" w:cs="Times New Roman"/>
          <w:color w:val="000000" w:themeColor="text1"/>
          <w:kern w:val="0"/>
          <w14:ligatures w14:val="none"/>
        </w:rPr>
        <w:t xml:space="preserve"> $2.4 million </w:t>
      </w:r>
      <w:r w:rsidRPr="00041AD5" w:rsidR="00782092">
        <w:rPr>
          <w:rFonts w:ascii="Palatino Linotype" w:hAnsi="Palatino Linotype" w:eastAsia="Palatino Linotype" w:cs="Times New Roman"/>
          <w:color w:val="000000" w:themeColor="text1"/>
          <w:kern w:val="0"/>
          <w14:ligatures w14:val="none"/>
        </w:rPr>
        <w:t>in its 2025 Plan.</w:t>
      </w:r>
      <w:r w:rsidRPr="00041AD5" w:rsidR="00EE39ED">
        <w:rPr>
          <w:rStyle w:val="FootnoteReference"/>
          <w:rFonts w:ascii="Palatino Linotype" w:hAnsi="Palatino Linotype" w:eastAsia="Palatino Linotype" w:cs="Times New Roman"/>
          <w:color w:val="000000" w:themeColor="text1"/>
          <w:kern w:val="0"/>
          <w14:ligatures w14:val="none"/>
        </w:rPr>
        <w:footnoteReference w:id="45"/>
      </w:r>
      <w:r w:rsidRPr="00041AD5" w:rsidR="00782092">
        <w:rPr>
          <w:rFonts w:ascii="Palatino Linotype" w:hAnsi="Palatino Linotype" w:eastAsia="Palatino Linotype" w:cs="Times New Roman"/>
          <w:color w:val="000000" w:themeColor="text1"/>
          <w:kern w:val="0"/>
          <w14:ligatures w14:val="none"/>
        </w:rPr>
        <w:t xml:space="preserve"> </w:t>
      </w:r>
    </w:p>
    <w:p w:rsidRPr="00041AD5" w:rsidR="00596D39" w:rsidP="003147DD" w:rsidRDefault="00596D39" w14:paraId="06E93475" w14:textId="77777777">
      <w:pPr>
        <w:spacing w:after="0" w:line="276" w:lineRule="auto"/>
        <w:rPr>
          <w:rFonts w:ascii="Palatino Linotype" w:hAnsi="Palatino Linotype" w:eastAsia="Palatino Linotype" w:cs="Times New Roman"/>
          <w:bCs/>
          <w:color w:val="000000" w:themeColor="text1"/>
          <w:kern w:val="0"/>
          <w14:ligatures w14:val="none"/>
        </w:rPr>
      </w:pPr>
    </w:p>
    <w:p w:rsidRPr="00041AD5" w:rsidR="00A76F4A" w:rsidP="003147DD" w:rsidRDefault="00A76F4A" w14:paraId="030741A5" w14:textId="77777777">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bCs/>
          <w:caps/>
          <w:color w:val="000000" w:themeColor="text1"/>
          <w:kern w:val="28"/>
          <w:u w:val="single"/>
          <w14:ligatures w14:val="none"/>
        </w:rPr>
        <w:lastRenderedPageBreak/>
        <w:t>Notice</w:t>
      </w:r>
    </w:p>
    <w:p w:rsidRPr="00041AD5" w:rsidR="00AF74D5" w:rsidP="1B3767A6" w:rsidRDefault="00980D82" w14:paraId="408FBCEB" w14:textId="28C6D675">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Notice of </w:t>
      </w:r>
      <w:r w:rsidRPr="00041AD5" w:rsidR="0058104D">
        <w:rPr>
          <w:rFonts w:ascii="Palatino Linotype" w:hAnsi="Palatino Linotype" w:eastAsia="Palatino Linotype" w:cs="Times New Roman"/>
          <w:color w:val="000000" w:themeColor="text1"/>
          <w:kern w:val="0"/>
          <w14:ligatures w14:val="none"/>
        </w:rPr>
        <w:t>CEC</w:t>
      </w:r>
      <w:r w:rsidRPr="00041AD5" w:rsidR="00796A9F">
        <w:rPr>
          <w:rFonts w:ascii="Palatino Linotype" w:hAnsi="Palatino Linotype" w:eastAsia="Palatino Linotype" w:cs="Times New Roman"/>
          <w:color w:val="000000" w:themeColor="text1"/>
          <w:kern w:val="0"/>
          <w14:ligatures w14:val="none"/>
        </w:rPr>
        <w:t xml:space="preserve"> 12</w:t>
      </w:r>
      <w:r w:rsidRPr="00041AD5">
        <w:rPr>
          <w:rFonts w:ascii="Palatino Linotype" w:hAnsi="Palatino Linotype" w:eastAsia="Palatino Linotype" w:cs="Times New Roman"/>
          <w:color w:val="000000" w:themeColor="text1"/>
          <w:kern w:val="0"/>
          <w14:ligatures w14:val="none"/>
        </w:rPr>
        <w:t xml:space="preserve">-G </w:t>
      </w:r>
      <w:r w:rsidRPr="00041AD5" w:rsidR="00796A9F">
        <w:rPr>
          <w:rFonts w:ascii="Palatino Linotype" w:hAnsi="Palatino Linotype" w:eastAsia="Palatino Linotype" w:cs="Times New Roman"/>
          <w:color w:val="000000" w:themeColor="text1"/>
          <w:kern w:val="0"/>
          <w14:ligatures w14:val="none"/>
        </w:rPr>
        <w:t>was made by publication on the Commission’s Daily Calendar on</w:t>
      </w:r>
      <w:r w:rsidRPr="00041AD5" w:rsidR="000D43EA">
        <w:rPr>
          <w:rFonts w:ascii="Palatino Linotype" w:hAnsi="Palatino Linotype" w:eastAsia="Palatino Linotype" w:cs="Times New Roman"/>
          <w:color w:val="000000" w:themeColor="text1"/>
          <w:kern w:val="0"/>
          <w14:ligatures w14:val="none"/>
        </w:rPr>
        <w:t xml:space="preserve"> August </w:t>
      </w:r>
      <w:r w:rsidRPr="00041AD5" w:rsidR="00771193">
        <w:rPr>
          <w:rFonts w:ascii="Palatino Linotype" w:hAnsi="Palatino Linotype" w:eastAsia="Palatino Linotype" w:cs="Times New Roman"/>
          <w:color w:val="000000" w:themeColor="text1"/>
          <w:kern w:val="0"/>
          <w14:ligatures w14:val="none"/>
        </w:rPr>
        <w:t>25</w:t>
      </w:r>
      <w:r w:rsidRPr="00041AD5" w:rsidR="000D43EA">
        <w:rPr>
          <w:rFonts w:ascii="Palatino Linotype" w:hAnsi="Palatino Linotype" w:eastAsia="Palatino Linotype" w:cs="Times New Roman"/>
          <w:color w:val="000000" w:themeColor="text1"/>
          <w:kern w:val="0"/>
          <w14:ligatures w14:val="none"/>
        </w:rPr>
        <w:t>, 2025.</w:t>
      </w:r>
      <w:r w:rsidRPr="00041AD5" w:rsidR="00796A9F">
        <w:rPr>
          <w:rFonts w:ascii="Palatino Linotype" w:hAnsi="Palatino Linotype" w:eastAsia="Palatino Linotype" w:cs="Times New Roman"/>
          <w:color w:val="000000" w:themeColor="text1"/>
          <w:kern w:val="0"/>
          <w14:ligatures w14:val="none"/>
        </w:rPr>
        <w:t xml:space="preserve"> Notice of </w:t>
      </w:r>
      <w:r w:rsidRPr="00041AD5" w:rsidR="0058104D">
        <w:rPr>
          <w:rFonts w:ascii="Palatino Linotype" w:hAnsi="Palatino Linotype" w:eastAsia="Palatino Linotype" w:cs="Times New Roman"/>
          <w:color w:val="000000" w:themeColor="text1"/>
          <w:kern w:val="0"/>
          <w14:ligatures w14:val="none"/>
        </w:rPr>
        <w:t>CEC AL</w:t>
      </w:r>
      <w:r w:rsidRPr="00041AD5" w:rsidR="00796A9F">
        <w:rPr>
          <w:rFonts w:ascii="Palatino Linotype" w:hAnsi="Palatino Linotype" w:eastAsia="Palatino Linotype" w:cs="Times New Roman"/>
          <w:color w:val="000000" w:themeColor="text1"/>
          <w:kern w:val="0"/>
          <w14:ligatures w14:val="none"/>
        </w:rPr>
        <w:t xml:space="preserve"> </w:t>
      </w:r>
      <w:r w:rsidRPr="00041AD5" w:rsidR="001D2450">
        <w:rPr>
          <w:rFonts w:ascii="Palatino Linotype" w:hAnsi="Palatino Linotype" w:eastAsia="Palatino Linotype" w:cs="Times New Roman"/>
          <w:color w:val="000000" w:themeColor="text1"/>
          <w:kern w:val="0"/>
          <w14:ligatures w14:val="none"/>
        </w:rPr>
        <w:t xml:space="preserve">10-G-A </w:t>
      </w:r>
      <w:r w:rsidRPr="00041AD5" w:rsidR="00796A9F">
        <w:rPr>
          <w:rFonts w:ascii="Palatino Linotype" w:hAnsi="Palatino Linotype" w:eastAsia="Palatino Linotype" w:cs="Times New Roman"/>
          <w:color w:val="000000" w:themeColor="text1"/>
          <w:kern w:val="0"/>
          <w14:ligatures w14:val="none"/>
        </w:rPr>
        <w:t>was made by publication on the Co</w:t>
      </w:r>
      <w:r w:rsidRPr="00041AD5" w:rsidR="00796A9F">
        <w:rPr>
          <w:rFonts w:ascii="Palatino Linotype" w:hAnsi="Palatino Linotype" w:eastAsiaTheme="minorEastAsia"/>
          <w:color w:val="000000" w:themeColor="text1"/>
        </w:rPr>
        <w:t xml:space="preserve">mmission’s Daily Calendar on </w:t>
      </w:r>
      <w:r w:rsidRPr="00041AD5" w:rsidR="00771193">
        <w:rPr>
          <w:rFonts w:ascii="Palatino Linotype" w:hAnsi="Palatino Linotype" w:eastAsiaTheme="minorEastAsia"/>
          <w:color w:val="000000" w:themeColor="text1"/>
        </w:rPr>
        <w:t>October 8, 2025</w:t>
      </w:r>
      <w:r w:rsidRPr="00041AD5" w:rsidR="00796A9F">
        <w:rPr>
          <w:rFonts w:ascii="Palatino Linotype" w:hAnsi="Palatino Linotype" w:eastAsiaTheme="minorEastAsia"/>
          <w:color w:val="000000" w:themeColor="text1"/>
        </w:rPr>
        <w:t>.</w:t>
      </w:r>
      <w:r w:rsidRPr="00041AD5" w:rsidR="4D1E809A">
        <w:rPr>
          <w:rFonts w:ascii="Palatino Linotype" w:hAnsi="Palatino Linotype" w:eastAsiaTheme="minorEastAsia"/>
          <w:color w:val="000000" w:themeColor="text1"/>
        </w:rPr>
        <w:t xml:space="preserve"> CEC states that a copy of the Advice Letter</w:t>
      </w:r>
      <w:r w:rsidRPr="00041AD5" w:rsidR="00530D42">
        <w:rPr>
          <w:rFonts w:ascii="Palatino Linotype" w:hAnsi="Palatino Linotype" w:eastAsiaTheme="minorEastAsia"/>
          <w:color w:val="000000" w:themeColor="text1"/>
        </w:rPr>
        <w:t>s</w:t>
      </w:r>
      <w:r w:rsidRPr="00041AD5" w:rsidR="4D1E809A">
        <w:rPr>
          <w:rFonts w:ascii="Palatino Linotype" w:hAnsi="Palatino Linotype" w:eastAsiaTheme="minorEastAsia"/>
          <w:color w:val="000000" w:themeColor="text1"/>
        </w:rPr>
        <w:t xml:space="preserve"> w</w:t>
      </w:r>
      <w:r w:rsidRPr="00041AD5" w:rsidR="00530D42">
        <w:rPr>
          <w:rFonts w:ascii="Palatino Linotype" w:hAnsi="Palatino Linotype" w:eastAsiaTheme="minorEastAsia"/>
          <w:color w:val="000000" w:themeColor="text1"/>
        </w:rPr>
        <w:t>ere</w:t>
      </w:r>
      <w:r w:rsidRPr="00041AD5" w:rsidR="4D1E809A">
        <w:rPr>
          <w:rFonts w:ascii="Palatino Linotype" w:hAnsi="Palatino Linotype" w:eastAsiaTheme="minorEastAsia"/>
          <w:color w:val="000000" w:themeColor="text1"/>
        </w:rPr>
        <w:t xml:space="preserve"> mailed and distributed in accordance with Section 4 of General Order 96-B.</w:t>
      </w:r>
    </w:p>
    <w:p w:rsidRPr="00041AD5" w:rsidR="00FF0E6C" w:rsidP="003147DD" w:rsidRDefault="00FF0E6C" w14:paraId="49D87050"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A76F4A" w:rsidP="003147DD" w:rsidRDefault="00A76F4A" w14:paraId="3DC7474D" w14:textId="77777777">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bCs/>
          <w:caps/>
          <w:color w:val="000000" w:themeColor="text1"/>
          <w:kern w:val="28"/>
          <w:u w:val="single"/>
          <w14:ligatures w14:val="none"/>
        </w:rPr>
        <w:t>Protests</w:t>
      </w:r>
    </w:p>
    <w:p w:rsidR="00965AA3" w:rsidP="003147DD" w:rsidRDefault="00970E43" w14:paraId="3E6F4088" w14:textId="010875DD">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CEC AL</w:t>
      </w:r>
      <w:r w:rsidRPr="00041AD5" w:rsidR="00E7721E">
        <w:rPr>
          <w:rFonts w:ascii="Palatino Linotype" w:hAnsi="Palatino Linotype" w:eastAsia="Palatino Linotype" w:cs="Times New Roman"/>
          <w:color w:val="000000" w:themeColor="text1"/>
          <w:kern w:val="0"/>
          <w14:ligatures w14:val="none"/>
        </w:rPr>
        <w:t xml:space="preserve"> </w:t>
      </w:r>
      <w:r w:rsidRPr="00041AD5" w:rsidR="00D35CAC">
        <w:rPr>
          <w:rFonts w:ascii="Palatino Linotype" w:hAnsi="Palatino Linotype" w:eastAsia="Palatino Linotype" w:cs="Times New Roman"/>
          <w:color w:val="000000" w:themeColor="text1"/>
          <w:kern w:val="0"/>
          <w14:ligatures w14:val="none"/>
        </w:rPr>
        <w:t>12</w:t>
      </w:r>
      <w:r w:rsidRPr="00041AD5" w:rsidR="00980D82">
        <w:rPr>
          <w:rFonts w:ascii="Palatino Linotype" w:hAnsi="Palatino Linotype" w:eastAsia="Palatino Linotype" w:cs="Times New Roman"/>
          <w:color w:val="000000" w:themeColor="text1"/>
          <w:kern w:val="0"/>
          <w14:ligatures w14:val="none"/>
        </w:rPr>
        <w:t xml:space="preserve">-G </w:t>
      </w:r>
      <w:r w:rsidRPr="00041AD5" w:rsidR="00E7721E">
        <w:rPr>
          <w:rFonts w:ascii="Palatino Linotype" w:hAnsi="Palatino Linotype" w:eastAsia="Palatino Linotype" w:cs="Times New Roman"/>
          <w:color w:val="000000" w:themeColor="text1"/>
          <w:kern w:val="0"/>
          <w14:ligatures w14:val="none"/>
        </w:rPr>
        <w:t>w</w:t>
      </w:r>
      <w:r w:rsidRPr="00041AD5" w:rsidR="00D35CAC">
        <w:rPr>
          <w:rFonts w:ascii="Palatino Linotype" w:hAnsi="Palatino Linotype" w:eastAsia="Palatino Linotype" w:cs="Times New Roman"/>
          <w:color w:val="000000" w:themeColor="text1"/>
          <w:kern w:val="0"/>
          <w14:ligatures w14:val="none"/>
        </w:rPr>
        <w:t>as</w:t>
      </w:r>
      <w:r w:rsidRPr="00041AD5" w:rsidR="00E7721E">
        <w:rPr>
          <w:rFonts w:ascii="Palatino Linotype" w:hAnsi="Palatino Linotype" w:eastAsia="Palatino Linotype" w:cs="Times New Roman"/>
          <w:color w:val="000000" w:themeColor="text1"/>
          <w:kern w:val="0"/>
          <w14:ligatures w14:val="none"/>
        </w:rPr>
        <w:t xml:space="preserve"> not protested</w:t>
      </w:r>
      <w:r w:rsidRPr="00041AD5" w:rsidR="001D2450">
        <w:rPr>
          <w:rFonts w:ascii="Palatino Linotype" w:hAnsi="Palatino Linotype" w:eastAsia="Palatino Linotype" w:cs="Times New Roman"/>
          <w:color w:val="000000" w:themeColor="text1"/>
          <w:kern w:val="0"/>
          <w14:ligatures w14:val="none"/>
        </w:rPr>
        <w:t>.</w:t>
      </w:r>
    </w:p>
    <w:p w:rsidRPr="00041AD5" w:rsidR="00D170A1" w:rsidP="003147DD" w:rsidRDefault="00D170A1" w14:paraId="20473B1C"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D91658" w:rsidP="00965AA3" w:rsidRDefault="00970E43" w14:paraId="7C1F88B3" w14:textId="5DE54C91">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CEC AL</w:t>
      </w:r>
      <w:r w:rsidRPr="00041AD5" w:rsidR="00AF6A00">
        <w:rPr>
          <w:rFonts w:ascii="Palatino Linotype" w:hAnsi="Palatino Linotype" w:eastAsia="Palatino Linotype" w:cs="Times New Roman"/>
          <w:color w:val="000000" w:themeColor="text1"/>
          <w:kern w:val="0"/>
          <w14:ligatures w14:val="none"/>
        </w:rPr>
        <w:t xml:space="preserve"> 10-G was protested by </w:t>
      </w:r>
      <w:r w:rsidRPr="00041AD5" w:rsidR="003B0763">
        <w:rPr>
          <w:rFonts w:ascii="Palatino Linotype" w:hAnsi="Palatino Linotype" w:eastAsia="Palatino Linotype" w:cs="Times New Roman"/>
          <w:color w:val="000000" w:themeColor="text1"/>
          <w:kern w:val="0"/>
          <w14:ligatures w14:val="none"/>
        </w:rPr>
        <w:t xml:space="preserve">the Public Advocates Office at the </w:t>
      </w:r>
      <w:r w:rsidRPr="00041AD5" w:rsidR="008E4250">
        <w:rPr>
          <w:rFonts w:ascii="Palatino Linotype" w:hAnsi="Palatino Linotype" w:eastAsia="Palatino Linotype" w:cs="Times New Roman"/>
          <w:color w:val="000000" w:themeColor="text1"/>
          <w:kern w:val="0"/>
          <w14:ligatures w14:val="none"/>
        </w:rPr>
        <w:t>CPUC</w:t>
      </w:r>
      <w:r w:rsidRPr="00041AD5" w:rsidR="003B0763">
        <w:rPr>
          <w:rFonts w:ascii="Palatino Linotype" w:hAnsi="Palatino Linotype" w:eastAsia="Palatino Linotype" w:cs="Times New Roman"/>
          <w:color w:val="000000" w:themeColor="text1"/>
          <w:kern w:val="0"/>
          <w14:ligatures w14:val="none"/>
        </w:rPr>
        <w:t xml:space="preserve"> (Cal</w:t>
      </w:r>
      <w:r w:rsidRPr="00041AD5" w:rsidR="006149C3">
        <w:rPr>
          <w:rFonts w:ascii="Palatino Linotype" w:hAnsi="Palatino Linotype" w:eastAsia="Palatino Linotype" w:cs="Times New Roman"/>
          <w:color w:val="000000" w:themeColor="text1"/>
          <w:kern w:val="0"/>
          <w14:ligatures w14:val="none"/>
        </w:rPr>
        <w:t xml:space="preserve"> </w:t>
      </w:r>
      <w:r w:rsidRPr="00041AD5" w:rsidR="003B0763">
        <w:rPr>
          <w:rFonts w:ascii="Palatino Linotype" w:hAnsi="Palatino Linotype" w:eastAsia="Palatino Linotype" w:cs="Times New Roman"/>
          <w:color w:val="000000" w:themeColor="text1"/>
          <w:kern w:val="0"/>
          <w14:ligatures w14:val="none"/>
        </w:rPr>
        <w:t>Advocates)</w:t>
      </w:r>
      <w:r w:rsidRPr="00041AD5" w:rsidR="008E4250">
        <w:rPr>
          <w:rFonts w:ascii="Palatino Linotype" w:hAnsi="Palatino Linotype" w:eastAsia="Palatino Linotype" w:cs="Times New Roman"/>
          <w:color w:val="000000" w:themeColor="text1"/>
          <w:kern w:val="0"/>
          <w14:ligatures w14:val="none"/>
        </w:rPr>
        <w:t xml:space="preserve"> on April 17, 2025. CEC issued a reply to this protest </w:t>
      </w:r>
      <w:r w:rsidRPr="00041AD5" w:rsidR="00D35CAC">
        <w:rPr>
          <w:rFonts w:ascii="Palatino Linotype" w:hAnsi="Palatino Linotype" w:eastAsia="Palatino Linotype" w:cs="Times New Roman"/>
          <w:color w:val="000000" w:themeColor="text1"/>
          <w:kern w:val="0"/>
          <w14:ligatures w14:val="none"/>
        </w:rPr>
        <w:t xml:space="preserve">on April 30, 2025. </w:t>
      </w:r>
      <w:r w:rsidRPr="00041AD5" w:rsidR="00D45FFF">
        <w:rPr>
          <w:rFonts w:ascii="Palatino Linotype" w:hAnsi="Palatino Linotype" w:eastAsia="Palatino Linotype" w:cs="Times New Roman"/>
          <w:color w:val="000000" w:themeColor="text1"/>
          <w:kern w:val="0"/>
          <w14:ligatures w14:val="none"/>
        </w:rPr>
        <w:t xml:space="preserve">Cal Advocates </w:t>
      </w:r>
      <w:r w:rsidRPr="00041AD5" w:rsidR="00715D37">
        <w:rPr>
          <w:rFonts w:ascii="Palatino Linotype" w:hAnsi="Palatino Linotype" w:eastAsia="Palatino Linotype" w:cs="Times New Roman"/>
          <w:color w:val="000000" w:themeColor="text1"/>
          <w:kern w:val="0"/>
          <w14:ligatures w14:val="none"/>
        </w:rPr>
        <w:t>assert</w:t>
      </w:r>
      <w:r w:rsidRPr="00041AD5" w:rsidR="009025BC">
        <w:rPr>
          <w:rFonts w:ascii="Palatino Linotype" w:hAnsi="Palatino Linotype" w:eastAsia="Palatino Linotype" w:cs="Times New Roman"/>
          <w:color w:val="000000" w:themeColor="text1"/>
          <w:kern w:val="0"/>
          <w14:ligatures w14:val="none"/>
        </w:rPr>
        <w:t>ed</w:t>
      </w:r>
      <w:r w:rsidRPr="00041AD5" w:rsidR="00715D37">
        <w:rPr>
          <w:rFonts w:ascii="Palatino Linotype" w:hAnsi="Palatino Linotype" w:eastAsia="Palatino Linotype" w:cs="Times New Roman"/>
          <w:color w:val="000000" w:themeColor="text1"/>
          <w:kern w:val="0"/>
          <w14:ligatures w14:val="none"/>
        </w:rPr>
        <w:t xml:space="preserve"> </w:t>
      </w:r>
      <w:r w:rsidRPr="00041AD5" w:rsidR="00F412E0">
        <w:rPr>
          <w:rFonts w:ascii="Palatino Linotype" w:hAnsi="Palatino Linotype" w:eastAsia="Palatino Linotype" w:cs="Times New Roman"/>
          <w:color w:val="000000" w:themeColor="text1"/>
          <w:kern w:val="0"/>
          <w14:ligatures w14:val="none"/>
        </w:rPr>
        <w:t>that</w:t>
      </w:r>
      <w:r w:rsidRPr="00041AD5" w:rsidR="009025BC">
        <w:rPr>
          <w:rFonts w:ascii="Palatino Linotype" w:hAnsi="Palatino Linotype" w:eastAsia="Palatino Linotype" w:cs="Times New Roman"/>
          <w:color w:val="000000" w:themeColor="text1"/>
          <w:kern w:val="0"/>
          <w14:ligatures w14:val="none"/>
        </w:rPr>
        <w:t>, in AL 10-G,</w:t>
      </w:r>
      <w:r w:rsidRPr="00041AD5" w:rsidR="00F412E0">
        <w:rPr>
          <w:rFonts w:ascii="Palatino Linotype" w:hAnsi="Palatino Linotype" w:eastAsia="Palatino Linotype" w:cs="Times New Roman"/>
          <w:color w:val="000000" w:themeColor="text1"/>
          <w:kern w:val="0"/>
          <w14:ligatures w14:val="none"/>
        </w:rPr>
        <w:t xml:space="preserve"> </w:t>
      </w:r>
      <w:r w:rsidRPr="00041AD5" w:rsidR="005C7E08">
        <w:rPr>
          <w:rFonts w:ascii="Palatino Linotype" w:hAnsi="Palatino Linotype" w:eastAsia="Palatino Linotype" w:cs="Times New Roman"/>
          <w:color w:val="000000" w:themeColor="text1"/>
          <w:kern w:val="0"/>
          <w14:ligatures w14:val="none"/>
        </w:rPr>
        <w:t xml:space="preserve">CEC does not sufficiently demonstrate </w:t>
      </w:r>
      <w:r w:rsidRPr="00041AD5" w:rsidR="002C7423">
        <w:rPr>
          <w:rFonts w:ascii="Palatino Linotype" w:hAnsi="Palatino Linotype" w:eastAsia="Palatino Linotype" w:cs="Times New Roman"/>
          <w:color w:val="000000" w:themeColor="text1"/>
          <w:kern w:val="0"/>
          <w14:ligatures w14:val="none"/>
        </w:rPr>
        <w:t xml:space="preserve">compliance with </w:t>
      </w:r>
      <w:r w:rsidRPr="00041AD5" w:rsidR="00BE6F9B">
        <w:rPr>
          <w:rFonts w:ascii="Palatino Linotype" w:hAnsi="Palatino Linotype" w:eastAsia="Palatino Linotype" w:cs="Times New Roman"/>
          <w:color w:val="000000" w:themeColor="text1"/>
          <w:kern w:val="0"/>
          <w14:ligatures w14:val="none"/>
        </w:rPr>
        <w:t>Public Utilities Code Section 740.1;</w:t>
      </w:r>
      <w:r w:rsidRPr="00041AD5" w:rsidR="0019372D">
        <w:rPr>
          <w:rStyle w:val="FootnoteReference"/>
          <w:rFonts w:ascii="Palatino Linotype" w:hAnsi="Palatino Linotype" w:eastAsia="Palatino Linotype" w:cs="Times New Roman"/>
          <w:color w:val="000000" w:themeColor="text1"/>
          <w:kern w:val="0"/>
          <w14:ligatures w14:val="none"/>
        </w:rPr>
        <w:footnoteReference w:id="46"/>
      </w:r>
      <w:r w:rsidRPr="00041AD5" w:rsidR="00BE6F9B">
        <w:rPr>
          <w:rFonts w:ascii="Palatino Linotype" w:hAnsi="Palatino Linotype" w:eastAsia="Palatino Linotype" w:cs="Times New Roman"/>
          <w:color w:val="000000" w:themeColor="text1"/>
          <w:kern w:val="0"/>
          <w14:ligatures w14:val="none"/>
        </w:rPr>
        <w:t xml:space="preserve"> D.04-08-010;</w:t>
      </w:r>
      <w:r w:rsidRPr="00041AD5" w:rsidR="0019372D">
        <w:rPr>
          <w:rStyle w:val="FootnoteReference"/>
          <w:rFonts w:ascii="Palatino Linotype" w:hAnsi="Palatino Linotype" w:eastAsia="Palatino Linotype" w:cs="Times New Roman"/>
          <w:color w:val="000000" w:themeColor="text1"/>
          <w:kern w:val="0"/>
          <w14:ligatures w14:val="none"/>
        </w:rPr>
        <w:t xml:space="preserve"> </w:t>
      </w:r>
      <w:r w:rsidRPr="00041AD5" w:rsidR="0019372D">
        <w:rPr>
          <w:rStyle w:val="FootnoteReference"/>
          <w:rFonts w:ascii="Palatino Linotype" w:hAnsi="Palatino Linotype" w:eastAsia="Palatino Linotype" w:cs="Times New Roman"/>
          <w:color w:val="000000" w:themeColor="text1"/>
          <w:kern w:val="0"/>
          <w14:ligatures w14:val="none"/>
        </w:rPr>
        <w:footnoteReference w:id="47"/>
      </w:r>
      <w:r w:rsidRPr="00041AD5" w:rsidR="00BE6F9B">
        <w:rPr>
          <w:rFonts w:ascii="Palatino Linotype" w:hAnsi="Palatino Linotype" w:eastAsia="Palatino Linotype" w:cs="Times New Roman"/>
          <w:color w:val="000000" w:themeColor="text1"/>
          <w:kern w:val="0"/>
          <w14:ligatures w14:val="none"/>
        </w:rPr>
        <w:t xml:space="preserve"> and CPUC Resolution G-360</w:t>
      </w:r>
      <w:r w:rsidRPr="00041AD5" w:rsidR="00C268EB">
        <w:rPr>
          <w:rFonts w:ascii="Palatino Linotype" w:hAnsi="Palatino Linotype" w:eastAsia="Palatino Linotype" w:cs="Times New Roman"/>
          <w:color w:val="000000" w:themeColor="text1"/>
          <w:kern w:val="0"/>
          <w14:ligatures w14:val="none"/>
        </w:rPr>
        <w:t>3</w:t>
      </w:r>
      <w:r w:rsidRPr="00041AD5" w:rsidR="00BE6F9B">
        <w:rPr>
          <w:rFonts w:ascii="Palatino Linotype" w:hAnsi="Palatino Linotype" w:eastAsia="Palatino Linotype" w:cs="Times New Roman"/>
          <w:color w:val="000000" w:themeColor="text1"/>
          <w:kern w:val="0"/>
          <w14:ligatures w14:val="none"/>
        </w:rPr>
        <w:t>,</w:t>
      </w:r>
      <w:r w:rsidRPr="00041AD5" w:rsidR="0019372D">
        <w:rPr>
          <w:rStyle w:val="FootnoteReference"/>
          <w:rFonts w:ascii="Palatino Linotype" w:hAnsi="Palatino Linotype" w:eastAsia="Palatino Linotype" w:cs="Times New Roman"/>
          <w:color w:val="000000" w:themeColor="text1"/>
          <w:kern w:val="0"/>
          <w14:ligatures w14:val="none"/>
        </w:rPr>
        <w:footnoteReference w:id="48"/>
      </w:r>
      <w:r w:rsidRPr="00041AD5" w:rsidR="00BE6F9B">
        <w:rPr>
          <w:rFonts w:ascii="Palatino Linotype" w:hAnsi="Palatino Linotype" w:eastAsia="Palatino Linotype" w:cs="Times New Roman"/>
          <w:color w:val="000000" w:themeColor="text1"/>
          <w:kern w:val="0"/>
          <w14:ligatures w14:val="none"/>
        </w:rPr>
        <w:t xml:space="preserve"> </w:t>
      </w:r>
      <w:r w:rsidRPr="00041AD5" w:rsidR="0019372D">
        <w:rPr>
          <w:rFonts w:ascii="Palatino Linotype" w:hAnsi="Palatino Linotype" w:eastAsia="Palatino Linotype" w:cs="Times New Roman"/>
          <w:color w:val="000000" w:themeColor="text1"/>
          <w:kern w:val="0"/>
          <w14:ligatures w14:val="none"/>
        </w:rPr>
        <w:t xml:space="preserve">which require that Gas RD&amp;D investments </w:t>
      </w:r>
      <w:r w:rsidRPr="00041AD5" w:rsidR="000E7C8E">
        <w:rPr>
          <w:rFonts w:ascii="Palatino Linotype" w:hAnsi="Palatino Linotype" w:eastAsia="Palatino Linotype" w:cs="Times New Roman"/>
          <w:color w:val="000000" w:themeColor="text1"/>
          <w:kern w:val="0"/>
          <w14:ligatures w14:val="none"/>
        </w:rPr>
        <w:t xml:space="preserve">be coordinated with and not duplicative of existing Gas RD&amp;D efforts underway. </w:t>
      </w:r>
      <w:r w:rsidRPr="00041AD5" w:rsidR="003601BF">
        <w:rPr>
          <w:rFonts w:ascii="Palatino Linotype" w:hAnsi="Palatino Linotype" w:eastAsia="Palatino Linotype" w:cs="Times New Roman"/>
          <w:color w:val="000000" w:themeColor="text1"/>
          <w:kern w:val="0"/>
          <w14:ligatures w14:val="none"/>
        </w:rPr>
        <w:t xml:space="preserve">Specifically, </w:t>
      </w:r>
      <w:r w:rsidRPr="00041AD5" w:rsidR="00E472EF">
        <w:rPr>
          <w:rFonts w:ascii="Palatino Linotype" w:hAnsi="Palatino Linotype" w:eastAsia="Palatino Linotype" w:cs="Times New Roman"/>
          <w:color w:val="000000" w:themeColor="text1"/>
          <w:kern w:val="0"/>
          <w14:ligatures w14:val="none"/>
        </w:rPr>
        <w:t>Cal Advocates</w:t>
      </w:r>
      <w:r w:rsidRPr="00041AD5" w:rsidR="00156830">
        <w:rPr>
          <w:rFonts w:ascii="Palatino Linotype" w:hAnsi="Palatino Linotype" w:eastAsia="Palatino Linotype" w:cs="Times New Roman"/>
          <w:color w:val="000000" w:themeColor="text1"/>
          <w:kern w:val="0"/>
          <w14:ligatures w14:val="none"/>
        </w:rPr>
        <w:t xml:space="preserve"> </w:t>
      </w:r>
      <w:r w:rsidRPr="00041AD5" w:rsidR="00155417">
        <w:rPr>
          <w:rFonts w:ascii="Palatino Linotype" w:hAnsi="Palatino Linotype" w:eastAsia="Palatino Linotype" w:cs="Times New Roman"/>
          <w:color w:val="000000" w:themeColor="text1"/>
          <w:kern w:val="0"/>
          <w14:ligatures w14:val="none"/>
        </w:rPr>
        <w:t>state</w:t>
      </w:r>
      <w:r w:rsidRPr="00041AD5" w:rsidR="008949E4">
        <w:rPr>
          <w:rFonts w:ascii="Palatino Linotype" w:hAnsi="Palatino Linotype" w:eastAsia="Palatino Linotype" w:cs="Times New Roman"/>
          <w:color w:val="000000" w:themeColor="text1"/>
          <w:kern w:val="0"/>
          <w14:ligatures w14:val="none"/>
        </w:rPr>
        <w:t>d</w:t>
      </w:r>
      <w:r w:rsidRPr="00041AD5" w:rsidR="00155417">
        <w:rPr>
          <w:rFonts w:ascii="Palatino Linotype" w:hAnsi="Palatino Linotype" w:eastAsia="Palatino Linotype" w:cs="Times New Roman"/>
          <w:color w:val="000000" w:themeColor="text1"/>
          <w:kern w:val="0"/>
          <w14:ligatures w14:val="none"/>
        </w:rPr>
        <w:t xml:space="preserve"> that </w:t>
      </w:r>
      <w:r w:rsidRPr="00041AD5" w:rsidR="003F1E5D">
        <w:rPr>
          <w:rFonts w:ascii="Palatino Linotype" w:hAnsi="Palatino Linotype" w:eastAsia="Palatino Linotype" w:cs="Times New Roman"/>
          <w:color w:val="000000" w:themeColor="text1"/>
          <w:kern w:val="0"/>
          <w14:ligatures w14:val="none"/>
        </w:rPr>
        <w:t xml:space="preserve">CEC </w:t>
      </w:r>
      <w:r w:rsidRPr="00041AD5" w:rsidR="00C07E3C">
        <w:rPr>
          <w:rFonts w:ascii="Palatino Linotype" w:hAnsi="Palatino Linotype" w:eastAsia="Palatino Linotype" w:cs="Times New Roman"/>
          <w:color w:val="000000" w:themeColor="text1"/>
          <w:kern w:val="0"/>
          <w14:ligatures w14:val="none"/>
        </w:rPr>
        <w:t xml:space="preserve">should further demonstrate </w:t>
      </w:r>
      <w:r w:rsidRPr="00041AD5" w:rsidR="00324B0F">
        <w:rPr>
          <w:rFonts w:ascii="Palatino Linotype" w:hAnsi="Palatino Linotype" w:eastAsia="Palatino Linotype" w:cs="Times New Roman"/>
          <w:color w:val="000000" w:themeColor="text1"/>
          <w:kern w:val="0"/>
          <w14:ligatures w14:val="none"/>
        </w:rPr>
        <w:t xml:space="preserve">how </w:t>
      </w:r>
      <w:r w:rsidRPr="00041AD5" w:rsidR="005D48D2">
        <w:rPr>
          <w:rFonts w:ascii="Palatino Linotype" w:hAnsi="Palatino Linotype" w:eastAsia="Palatino Linotype" w:cs="Times New Roman"/>
          <w:color w:val="000000" w:themeColor="text1"/>
          <w:kern w:val="0"/>
          <w14:ligatures w14:val="none"/>
        </w:rPr>
        <w:t xml:space="preserve">the </w:t>
      </w:r>
      <w:r w:rsidRPr="00041AD5" w:rsidR="00380AAF">
        <w:rPr>
          <w:rFonts w:ascii="Palatino Linotype" w:hAnsi="Palatino Linotype" w:eastAsia="Palatino Linotype" w:cs="Times New Roman"/>
          <w:color w:val="000000" w:themeColor="text1"/>
          <w:kern w:val="0"/>
          <w14:ligatures w14:val="none"/>
        </w:rPr>
        <w:t xml:space="preserve">(1) </w:t>
      </w:r>
      <w:r w:rsidRPr="00041AD5" w:rsidR="005D48D2">
        <w:rPr>
          <w:rFonts w:ascii="Palatino Linotype" w:hAnsi="Palatino Linotype" w:eastAsia="Palatino Linotype" w:cs="Times New Roman"/>
          <w:color w:val="000000" w:themeColor="text1"/>
          <w:kern w:val="0"/>
          <w14:ligatures w14:val="none"/>
        </w:rPr>
        <w:t>Social Science Research for Gas Decommissioning in the Mid</w:t>
      </w:r>
      <w:r w:rsidRPr="00041AD5" w:rsidR="000E303F">
        <w:rPr>
          <w:rFonts w:ascii="Palatino Linotype" w:hAnsi="Palatino Linotype" w:eastAsia="Palatino Linotype" w:cs="Times New Roman"/>
          <w:color w:val="000000" w:themeColor="text1"/>
          <w:kern w:val="0"/>
          <w14:ligatures w14:val="none"/>
        </w:rPr>
        <w:t>-</w:t>
      </w:r>
      <w:r w:rsidRPr="00041AD5" w:rsidR="005D48D2">
        <w:rPr>
          <w:rFonts w:ascii="Palatino Linotype" w:hAnsi="Palatino Linotype" w:eastAsia="Palatino Linotype" w:cs="Times New Roman"/>
          <w:color w:val="000000" w:themeColor="text1"/>
          <w:kern w:val="0"/>
          <w14:ligatures w14:val="none"/>
        </w:rPr>
        <w:t xml:space="preserve"> and Long</w:t>
      </w:r>
      <w:r w:rsidRPr="00041AD5" w:rsidR="000E303F">
        <w:rPr>
          <w:rFonts w:ascii="Palatino Linotype" w:hAnsi="Palatino Linotype" w:eastAsia="Palatino Linotype" w:cs="Times New Roman"/>
          <w:color w:val="000000" w:themeColor="text1"/>
          <w:kern w:val="0"/>
          <w14:ligatures w14:val="none"/>
        </w:rPr>
        <w:t>-</w:t>
      </w:r>
      <w:r w:rsidRPr="00041AD5" w:rsidR="005D48D2">
        <w:rPr>
          <w:rFonts w:ascii="Palatino Linotype" w:hAnsi="Palatino Linotype" w:eastAsia="Palatino Linotype" w:cs="Times New Roman"/>
          <w:color w:val="000000" w:themeColor="text1"/>
          <w:kern w:val="0"/>
          <w14:ligatures w14:val="none"/>
        </w:rPr>
        <w:t xml:space="preserve">Term and </w:t>
      </w:r>
      <w:r w:rsidRPr="00041AD5" w:rsidR="00380AAF">
        <w:rPr>
          <w:rFonts w:ascii="Palatino Linotype" w:hAnsi="Palatino Linotype" w:eastAsia="Palatino Linotype" w:cs="Times New Roman"/>
          <w:color w:val="000000" w:themeColor="text1"/>
          <w:kern w:val="0"/>
          <w14:ligatures w14:val="none"/>
        </w:rPr>
        <w:t xml:space="preserve">(2) </w:t>
      </w:r>
      <w:r w:rsidRPr="00041AD5" w:rsidR="005D48D2">
        <w:rPr>
          <w:rFonts w:ascii="Palatino Linotype" w:hAnsi="Palatino Linotype" w:eastAsia="Palatino Linotype" w:cs="Times New Roman"/>
          <w:color w:val="000000" w:themeColor="text1"/>
          <w:kern w:val="0"/>
          <w14:ligatures w14:val="none"/>
        </w:rPr>
        <w:t>Pilot Projects to Advance Gas Decommissioning</w:t>
      </w:r>
      <w:r w:rsidRPr="00041AD5" w:rsidR="0040026A">
        <w:rPr>
          <w:rFonts w:ascii="Palatino Linotype" w:hAnsi="Palatino Linotype" w:eastAsia="Palatino Linotype" w:cs="Times New Roman"/>
          <w:color w:val="000000" w:themeColor="text1"/>
          <w:kern w:val="0"/>
          <w14:ligatures w14:val="none"/>
        </w:rPr>
        <w:t xml:space="preserve"> Initiatives </w:t>
      </w:r>
      <w:r w:rsidRPr="00041AD5" w:rsidR="00324B0F">
        <w:rPr>
          <w:rFonts w:ascii="Palatino Linotype" w:hAnsi="Palatino Linotype" w:eastAsia="Palatino Linotype" w:cs="Times New Roman"/>
          <w:color w:val="000000" w:themeColor="text1"/>
          <w:kern w:val="0"/>
          <w14:ligatures w14:val="none"/>
        </w:rPr>
        <w:t xml:space="preserve">are </w:t>
      </w:r>
      <w:r w:rsidRPr="00041AD5" w:rsidR="00795883">
        <w:rPr>
          <w:rFonts w:ascii="Palatino Linotype" w:hAnsi="Palatino Linotype" w:eastAsia="Palatino Linotype" w:cs="Times New Roman"/>
          <w:color w:val="000000" w:themeColor="text1"/>
          <w:kern w:val="0"/>
          <w14:ligatures w14:val="none"/>
        </w:rPr>
        <w:t xml:space="preserve">coordinated with and </w:t>
      </w:r>
      <w:r w:rsidRPr="00041AD5" w:rsidR="00C70735">
        <w:rPr>
          <w:rFonts w:ascii="Palatino Linotype" w:hAnsi="Palatino Linotype" w:eastAsia="Palatino Linotype" w:cs="Times New Roman"/>
          <w:color w:val="000000" w:themeColor="text1"/>
          <w:kern w:val="0"/>
          <w14:ligatures w14:val="none"/>
        </w:rPr>
        <w:t>distinct from</w:t>
      </w:r>
      <w:r w:rsidRPr="00041AD5" w:rsidR="00795883">
        <w:rPr>
          <w:rFonts w:ascii="Palatino Linotype" w:hAnsi="Palatino Linotype" w:eastAsia="Palatino Linotype" w:cs="Times New Roman"/>
          <w:color w:val="000000" w:themeColor="text1"/>
          <w:kern w:val="0"/>
          <w14:ligatures w14:val="none"/>
        </w:rPr>
        <w:t xml:space="preserve"> efforts underway related to </w:t>
      </w:r>
      <w:r w:rsidRPr="00041AD5" w:rsidR="003F1E5D">
        <w:rPr>
          <w:rFonts w:ascii="Palatino Linotype" w:hAnsi="Palatino Linotype" w:eastAsia="Palatino Linotype" w:cs="Times New Roman"/>
          <w:color w:val="000000" w:themeColor="text1"/>
          <w:kern w:val="0"/>
          <w14:ligatures w14:val="none"/>
        </w:rPr>
        <w:t>Senate Bill (SB) 1221</w:t>
      </w:r>
      <w:r w:rsidRPr="00041AD5" w:rsidR="00831D5F">
        <w:rPr>
          <w:rFonts w:ascii="Palatino Linotype" w:hAnsi="Palatino Linotype" w:eastAsia="Palatino Linotype" w:cs="Times New Roman"/>
          <w:color w:val="000000" w:themeColor="text1"/>
          <w:kern w:val="0"/>
          <w14:ligatures w14:val="none"/>
        </w:rPr>
        <w:t>;</w:t>
      </w:r>
      <w:r w:rsidRPr="00041AD5" w:rsidR="00036DB0">
        <w:rPr>
          <w:rStyle w:val="FootnoteReference"/>
          <w:rFonts w:ascii="Palatino Linotype" w:hAnsi="Palatino Linotype" w:eastAsia="Palatino Linotype" w:cs="Times New Roman"/>
          <w:color w:val="000000" w:themeColor="text1"/>
          <w:kern w:val="0"/>
          <w14:ligatures w14:val="none"/>
        </w:rPr>
        <w:footnoteReference w:id="49"/>
      </w:r>
      <w:r w:rsidRPr="00041AD5" w:rsidR="00397489">
        <w:rPr>
          <w:rFonts w:ascii="Palatino Linotype" w:hAnsi="Palatino Linotype" w:eastAsia="Palatino Linotype" w:cs="Times New Roman"/>
          <w:color w:val="000000" w:themeColor="text1"/>
          <w:kern w:val="0"/>
          <w14:ligatures w14:val="none"/>
        </w:rPr>
        <w:t xml:space="preserve"> </w:t>
      </w:r>
      <w:r w:rsidRPr="00041AD5" w:rsidR="009F77FE">
        <w:rPr>
          <w:rFonts w:ascii="Palatino Linotype" w:hAnsi="Palatino Linotype" w:eastAsia="Palatino Linotype" w:cs="Times New Roman"/>
          <w:color w:val="000000" w:themeColor="text1"/>
          <w:kern w:val="0"/>
          <w14:ligatures w14:val="none"/>
        </w:rPr>
        <w:t>CPUC’s Long-Term Gas Planning Proceeding</w:t>
      </w:r>
      <w:r w:rsidRPr="00041AD5" w:rsidR="008A1CF0">
        <w:rPr>
          <w:rFonts w:ascii="Palatino Linotype" w:hAnsi="Palatino Linotype" w:eastAsia="Palatino Linotype" w:cs="Times New Roman"/>
          <w:color w:val="000000" w:themeColor="text1"/>
          <w:kern w:val="0"/>
          <w14:ligatures w14:val="none"/>
        </w:rPr>
        <w:t>;</w:t>
      </w:r>
      <w:r w:rsidRPr="00041AD5" w:rsidR="008A1CF0">
        <w:rPr>
          <w:rStyle w:val="FootnoteReference"/>
          <w:rFonts w:ascii="Palatino Linotype" w:hAnsi="Palatino Linotype" w:eastAsia="Palatino Linotype" w:cs="Times New Roman"/>
          <w:color w:val="000000" w:themeColor="text1"/>
          <w:kern w:val="0"/>
          <w14:ligatures w14:val="none"/>
        </w:rPr>
        <w:footnoteReference w:id="50"/>
      </w:r>
      <w:r w:rsidRPr="00041AD5" w:rsidR="008A1CF0">
        <w:rPr>
          <w:rFonts w:ascii="Palatino Linotype" w:hAnsi="Palatino Linotype" w:eastAsia="Palatino Linotype" w:cs="Times New Roman"/>
          <w:color w:val="000000" w:themeColor="text1"/>
          <w:kern w:val="0"/>
          <w14:ligatures w14:val="none"/>
        </w:rPr>
        <w:t xml:space="preserve"> </w:t>
      </w:r>
      <w:r w:rsidRPr="00041AD5" w:rsidR="00795883">
        <w:rPr>
          <w:rFonts w:ascii="Palatino Linotype" w:hAnsi="Palatino Linotype" w:eastAsia="Palatino Linotype" w:cs="Times New Roman"/>
          <w:color w:val="000000" w:themeColor="text1"/>
          <w:kern w:val="0"/>
          <w14:ligatures w14:val="none"/>
        </w:rPr>
        <w:t xml:space="preserve">and </w:t>
      </w:r>
      <w:r w:rsidRPr="00041AD5" w:rsidR="00BC6A1C">
        <w:rPr>
          <w:rFonts w:ascii="Palatino Linotype" w:hAnsi="Palatino Linotype" w:eastAsia="Palatino Linotype" w:cs="Times New Roman"/>
          <w:color w:val="000000" w:themeColor="text1"/>
          <w:kern w:val="0"/>
          <w14:ligatures w14:val="none"/>
        </w:rPr>
        <w:t xml:space="preserve">those </w:t>
      </w:r>
      <w:r w:rsidRPr="00041AD5" w:rsidR="00795883">
        <w:rPr>
          <w:rFonts w:ascii="Palatino Linotype" w:hAnsi="Palatino Linotype" w:eastAsia="Palatino Linotype" w:cs="Times New Roman"/>
          <w:color w:val="000000" w:themeColor="text1"/>
          <w:kern w:val="0"/>
          <w14:ligatures w14:val="none"/>
        </w:rPr>
        <w:t xml:space="preserve">conducted by </w:t>
      </w:r>
      <w:r w:rsidRPr="00041AD5" w:rsidR="00BC6A1C">
        <w:rPr>
          <w:rFonts w:ascii="Palatino Linotype" w:hAnsi="Palatino Linotype" w:eastAsia="Palatino Linotype" w:cs="Times New Roman"/>
          <w:color w:val="000000" w:themeColor="text1"/>
          <w:kern w:val="0"/>
          <w14:ligatures w14:val="none"/>
        </w:rPr>
        <w:t xml:space="preserve">other research stakeholders. </w:t>
      </w:r>
      <w:r w:rsidRPr="00041AD5" w:rsidR="00A26C1A">
        <w:rPr>
          <w:rFonts w:ascii="Palatino Linotype" w:hAnsi="Palatino Linotype" w:eastAsia="Palatino Linotype" w:cs="Times New Roman"/>
          <w:color w:val="000000" w:themeColor="text1"/>
          <w:kern w:val="0"/>
          <w14:ligatures w14:val="none"/>
        </w:rPr>
        <w:t>Cal Advocates als</w:t>
      </w:r>
      <w:r w:rsidRPr="00041AD5" w:rsidR="009708EA">
        <w:rPr>
          <w:rFonts w:ascii="Palatino Linotype" w:hAnsi="Palatino Linotype" w:eastAsia="Palatino Linotype" w:cs="Times New Roman"/>
          <w:color w:val="000000" w:themeColor="text1"/>
          <w:kern w:val="0"/>
          <w14:ligatures w14:val="none"/>
        </w:rPr>
        <w:t>o</w:t>
      </w:r>
      <w:r w:rsidRPr="00041AD5" w:rsidR="006E5359">
        <w:rPr>
          <w:rFonts w:ascii="Palatino Linotype" w:hAnsi="Palatino Linotype" w:eastAsia="Palatino Linotype" w:cs="Times New Roman"/>
          <w:color w:val="000000" w:themeColor="text1"/>
          <w:kern w:val="0"/>
          <w14:ligatures w14:val="none"/>
        </w:rPr>
        <w:t xml:space="preserve"> stated</w:t>
      </w:r>
      <w:r w:rsidRPr="00041AD5" w:rsidR="00A26C1A">
        <w:rPr>
          <w:rFonts w:ascii="Palatino Linotype" w:hAnsi="Palatino Linotype" w:eastAsia="Palatino Linotype" w:cs="Times New Roman"/>
          <w:color w:val="000000" w:themeColor="text1"/>
          <w:kern w:val="0"/>
          <w14:ligatures w14:val="none"/>
        </w:rPr>
        <w:t xml:space="preserve"> that the CEC does not demonstrate how the </w:t>
      </w:r>
      <w:r w:rsidRPr="00041AD5" w:rsidR="002E50A1">
        <w:rPr>
          <w:rFonts w:ascii="Palatino Linotype" w:hAnsi="Palatino Linotype" w:eastAsia="Palatino Linotype" w:cs="Times New Roman"/>
          <w:color w:val="000000" w:themeColor="text1"/>
          <w:kern w:val="0"/>
          <w14:ligatures w14:val="none"/>
        </w:rPr>
        <w:t>Social Science Research for Gas Decommissioning in the Mid</w:t>
      </w:r>
      <w:r w:rsidRPr="00041AD5" w:rsidR="00E260BE">
        <w:rPr>
          <w:rFonts w:ascii="Palatino Linotype" w:hAnsi="Palatino Linotype" w:eastAsia="Palatino Linotype" w:cs="Times New Roman"/>
          <w:color w:val="000000" w:themeColor="text1"/>
          <w:kern w:val="0"/>
          <w14:ligatures w14:val="none"/>
        </w:rPr>
        <w:t>-</w:t>
      </w:r>
      <w:r w:rsidRPr="00041AD5" w:rsidR="002E50A1">
        <w:rPr>
          <w:rFonts w:ascii="Palatino Linotype" w:hAnsi="Palatino Linotype" w:eastAsia="Palatino Linotype" w:cs="Times New Roman"/>
          <w:color w:val="000000" w:themeColor="text1"/>
          <w:kern w:val="0"/>
          <w14:ligatures w14:val="none"/>
        </w:rPr>
        <w:t xml:space="preserve"> and Long</w:t>
      </w:r>
      <w:r w:rsidRPr="00041AD5" w:rsidR="00E260BE">
        <w:rPr>
          <w:rFonts w:ascii="Palatino Linotype" w:hAnsi="Palatino Linotype" w:eastAsia="Palatino Linotype" w:cs="Times New Roman"/>
          <w:color w:val="000000" w:themeColor="text1"/>
          <w:kern w:val="0"/>
          <w14:ligatures w14:val="none"/>
        </w:rPr>
        <w:t>-</w:t>
      </w:r>
      <w:r w:rsidRPr="00041AD5" w:rsidR="002E50A1">
        <w:rPr>
          <w:rFonts w:ascii="Palatino Linotype" w:hAnsi="Palatino Linotype" w:eastAsia="Palatino Linotype" w:cs="Times New Roman"/>
          <w:color w:val="000000" w:themeColor="text1"/>
          <w:kern w:val="0"/>
          <w14:ligatures w14:val="none"/>
        </w:rPr>
        <w:t>Term</w:t>
      </w:r>
      <w:r w:rsidRPr="00041AD5" w:rsidR="00A26C1A">
        <w:rPr>
          <w:rFonts w:ascii="Palatino Linotype" w:hAnsi="Palatino Linotype" w:eastAsia="Palatino Linotype" w:cs="Times New Roman"/>
          <w:color w:val="000000" w:themeColor="text1"/>
          <w:kern w:val="0"/>
          <w14:ligatures w14:val="none"/>
        </w:rPr>
        <w:t xml:space="preserve"> Initiative is complementary to and distinct from the </w:t>
      </w:r>
      <w:r w:rsidRPr="00041AD5" w:rsidR="00F8378A">
        <w:rPr>
          <w:rFonts w:ascii="Palatino Linotype" w:hAnsi="Palatino Linotype"/>
          <w:color w:val="000000" w:themeColor="text1"/>
        </w:rPr>
        <w:t>University of California, Los Angeles (UCLA)</w:t>
      </w:r>
      <w:r w:rsidRPr="00041AD5" w:rsidR="00AC2AD1">
        <w:rPr>
          <w:rFonts w:ascii="Palatino Linotype" w:hAnsi="Palatino Linotype" w:eastAsia="Palatino Linotype" w:cs="Times New Roman"/>
          <w:color w:val="000000" w:themeColor="text1"/>
          <w:kern w:val="0"/>
          <w14:ligatures w14:val="none"/>
        </w:rPr>
        <w:t xml:space="preserve"> Mindful Gas Decommissioning Research Project</w:t>
      </w:r>
      <w:r w:rsidRPr="00041AD5" w:rsidR="00A26C1A">
        <w:rPr>
          <w:rFonts w:ascii="Palatino Linotype" w:hAnsi="Palatino Linotype" w:eastAsia="Palatino Linotype" w:cs="Times New Roman"/>
          <w:color w:val="000000" w:themeColor="text1"/>
          <w:kern w:val="0"/>
          <w14:ligatures w14:val="none"/>
        </w:rPr>
        <w:t>.</w:t>
      </w:r>
      <w:r w:rsidRPr="00041AD5" w:rsidR="00F8378A">
        <w:rPr>
          <w:rStyle w:val="FootnoteReference"/>
          <w:rFonts w:ascii="Palatino Linotype" w:hAnsi="Palatino Linotype" w:eastAsia="Palatino Linotype" w:cs="Times New Roman"/>
          <w:color w:val="000000" w:themeColor="text1"/>
          <w:kern w:val="0"/>
          <w14:ligatures w14:val="none"/>
        </w:rPr>
        <w:footnoteReference w:id="51"/>
      </w:r>
      <w:r w:rsidRPr="00041AD5" w:rsidR="00A26C1A">
        <w:rPr>
          <w:rFonts w:ascii="Palatino Linotype" w:hAnsi="Palatino Linotype" w:eastAsia="Palatino Linotype" w:cs="Times New Roman"/>
          <w:color w:val="000000" w:themeColor="text1"/>
          <w:kern w:val="0"/>
          <w14:ligatures w14:val="none"/>
        </w:rPr>
        <w:t xml:space="preserve"> </w:t>
      </w:r>
      <w:r w:rsidRPr="00041AD5" w:rsidR="00266E9B">
        <w:rPr>
          <w:rFonts w:ascii="Palatino Linotype" w:hAnsi="Palatino Linotype" w:eastAsia="Palatino Linotype" w:cs="Times New Roman"/>
          <w:color w:val="000000" w:themeColor="text1"/>
          <w:kern w:val="0"/>
          <w14:ligatures w14:val="none"/>
        </w:rPr>
        <w:t>Cal Advocates also ar</w:t>
      </w:r>
      <w:r w:rsidRPr="00041AD5" w:rsidR="006E5359">
        <w:rPr>
          <w:rFonts w:ascii="Palatino Linotype" w:hAnsi="Palatino Linotype" w:eastAsia="Palatino Linotype" w:cs="Times New Roman"/>
          <w:color w:val="000000" w:themeColor="text1"/>
          <w:kern w:val="0"/>
          <w14:ligatures w14:val="none"/>
        </w:rPr>
        <w:t>gued</w:t>
      </w:r>
      <w:r w:rsidRPr="00041AD5" w:rsidR="00266E9B">
        <w:rPr>
          <w:rFonts w:ascii="Palatino Linotype" w:hAnsi="Palatino Linotype" w:eastAsia="Palatino Linotype" w:cs="Times New Roman"/>
          <w:color w:val="000000" w:themeColor="text1"/>
          <w:kern w:val="0"/>
          <w14:ligatures w14:val="none"/>
        </w:rPr>
        <w:t xml:space="preserve"> that CEC does not explain how the </w:t>
      </w:r>
      <w:r w:rsidRPr="00041AD5" w:rsidR="002E50A1">
        <w:rPr>
          <w:rFonts w:ascii="Palatino Linotype" w:hAnsi="Palatino Linotype" w:eastAsia="Palatino Linotype" w:cs="Times New Roman"/>
          <w:color w:val="000000" w:themeColor="text1"/>
          <w:kern w:val="0"/>
          <w14:ligatures w14:val="none"/>
        </w:rPr>
        <w:t>Pilot Projects to Advance Gas Decommissioning</w:t>
      </w:r>
      <w:r w:rsidRPr="00041AD5" w:rsidR="00266E9B">
        <w:rPr>
          <w:rFonts w:ascii="Palatino Linotype" w:hAnsi="Palatino Linotype" w:eastAsia="Palatino Linotype" w:cs="Times New Roman"/>
          <w:color w:val="000000" w:themeColor="text1"/>
          <w:kern w:val="0"/>
          <w14:ligatures w14:val="none"/>
        </w:rPr>
        <w:t xml:space="preserve"> Initiative is coordinated with and distinct from </w:t>
      </w:r>
      <w:r w:rsidRPr="00041AD5" w:rsidR="00F46F90">
        <w:rPr>
          <w:rFonts w:ascii="Palatino Linotype" w:hAnsi="Palatino Linotype" w:eastAsia="Palatino Linotype" w:cs="Times New Roman"/>
          <w:color w:val="000000" w:themeColor="text1"/>
          <w:kern w:val="0"/>
          <w14:ligatures w14:val="none"/>
        </w:rPr>
        <w:t xml:space="preserve">investments </w:t>
      </w:r>
      <w:r w:rsidRPr="00041AD5" w:rsidR="00FF4C3D">
        <w:rPr>
          <w:rFonts w:ascii="Palatino Linotype" w:hAnsi="Palatino Linotype" w:eastAsia="Palatino Linotype" w:cs="Times New Roman"/>
          <w:color w:val="000000" w:themeColor="text1"/>
          <w:kern w:val="0"/>
          <w14:ligatures w14:val="none"/>
        </w:rPr>
        <w:lastRenderedPageBreak/>
        <w:t xml:space="preserve">proposed </w:t>
      </w:r>
      <w:r w:rsidRPr="00041AD5" w:rsidR="00F46F90">
        <w:rPr>
          <w:rFonts w:ascii="Palatino Linotype" w:hAnsi="Palatino Linotype" w:eastAsia="Palatino Linotype" w:cs="Times New Roman"/>
          <w:color w:val="000000" w:themeColor="text1"/>
          <w:kern w:val="0"/>
          <w14:ligatures w14:val="none"/>
        </w:rPr>
        <w:t>in</w:t>
      </w:r>
      <w:r w:rsidRPr="00041AD5" w:rsidR="007D27C8">
        <w:rPr>
          <w:rFonts w:ascii="Palatino Linotype" w:hAnsi="Palatino Linotype" w:eastAsia="Palatino Linotype" w:cs="Times New Roman"/>
          <w:color w:val="000000" w:themeColor="text1"/>
          <w:kern w:val="0"/>
          <w14:ligatures w14:val="none"/>
        </w:rPr>
        <w:t xml:space="preserve"> </w:t>
      </w:r>
      <w:r w:rsidRPr="00041AD5" w:rsidR="007D27C8">
        <w:rPr>
          <w:rFonts w:ascii="Palatino Linotype" w:hAnsi="Palatino Linotype" w:eastAsia="Palatino Linotype" w:cs="Times New Roman"/>
          <w:color w:val="000000" w:themeColor="text1"/>
        </w:rPr>
        <w:t>Southern California Gas’ (S</w:t>
      </w:r>
      <w:r w:rsidRPr="00041AD5" w:rsidR="00D86396">
        <w:rPr>
          <w:rFonts w:ascii="Palatino Linotype" w:hAnsi="Palatino Linotype" w:eastAsia="Palatino Linotype" w:cs="Times New Roman"/>
          <w:color w:val="000000" w:themeColor="text1"/>
        </w:rPr>
        <w:t>oCalGas</w:t>
      </w:r>
      <w:r w:rsidRPr="00041AD5" w:rsidR="007D27C8">
        <w:rPr>
          <w:rFonts w:ascii="Palatino Linotype" w:hAnsi="Palatino Linotype" w:eastAsia="Palatino Linotype" w:cs="Times New Roman"/>
          <w:color w:val="000000" w:themeColor="text1"/>
        </w:rPr>
        <w:t>)</w:t>
      </w:r>
      <w:r w:rsidRPr="00041AD5" w:rsidR="00F46F90">
        <w:rPr>
          <w:rFonts w:ascii="Palatino Linotype" w:hAnsi="Palatino Linotype" w:eastAsia="Palatino Linotype" w:cs="Times New Roman"/>
          <w:color w:val="000000" w:themeColor="text1"/>
          <w:kern w:val="0"/>
          <w14:ligatures w14:val="none"/>
        </w:rPr>
        <w:t xml:space="preserve"> 2023 Gas R&amp;D Investment Plan</w:t>
      </w:r>
      <w:r w:rsidRPr="00041AD5" w:rsidR="00C84C4C">
        <w:rPr>
          <w:rStyle w:val="FootnoteReference"/>
          <w:rFonts w:ascii="Palatino Linotype" w:hAnsi="Palatino Linotype" w:eastAsia="Palatino Linotype" w:cs="Times New Roman"/>
          <w:color w:val="000000" w:themeColor="text1"/>
          <w:kern w:val="0"/>
          <w14:ligatures w14:val="none"/>
        </w:rPr>
        <w:footnoteReference w:id="52"/>
      </w:r>
      <w:r w:rsidRPr="00041AD5" w:rsidR="00FF4C3D">
        <w:rPr>
          <w:rFonts w:ascii="Palatino Linotype" w:hAnsi="Palatino Linotype" w:eastAsia="Palatino Linotype" w:cs="Times New Roman"/>
          <w:color w:val="000000" w:themeColor="text1"/>
          <w:kern w:val="0"/>
          <w14:ligatures w14:val="none"/>
        </w:rPr>
        <w:t xml:space="preserve"> as approved and modified in CPUC Resolution G-</w:t>
      </w:r>
      <w:r w:rsidRPr="00041AD5" w:rsidR="00F4075D">
        <w:rPr>
          <w:rFonts w:ascii="Palatino Linotype" w:hAnsi="Palatino Linotype" w:eastAsia="Palatino Linotype" w:cs="Times New Roman"/>
          <w:color w:val="000000" w:themeColor="text1"/>
          <w:kern w:val="0"/>
          <w14:ligatures w14:val="none"/>
        </w:rPr>
        <w:t>3601</w:t>
      </w:r>
      <w:r w:rsidRPr="00041AD5" w:rsidR="00FF4C3D">
        <w:rPr>
          <w:rFonts w:ascii="Palatino Linotype" w:hAnsi="Palatino Linotype" w:eastAsia="Palatino Linotype" w:cs="Times New Roman"/>
          <w:color w:val="000000" w:themeColor="text1"/>
          <w:kern w:val="0"/>
          <w14:ligatures w14:val="none"/>
        </w:rPr>
        <w:t>.</w:t>
      </w:r>
      <w:r w:rsidRPr="00041AD5" w:rsidR="00BB7E9C">
        <w:rPr>
          <w:rStyle w:val="FootnoteReference"/>
          <w:rFonts w:ascii="Palatino Linotype" w:hAnsi="Palatino Linotype" w:eastAsia="Palatino Linotype" w:cs="Times New Roman"/>
          <w:color w:val="000000" w:themeColor="text1"/>
          <w:kern w:val="0"/>
          <w14:ligatures w14:val="none"/>
        </w:rPr>
        <w:footnoteReference w:id="53"/>
      </w:r>
      <w:r w:rsidRPr="00041AD5" w:rsidR="00266E9B">
        <w:rPr>
          <w:rFonts w:ascii="Palatino Linotype" w:hAnsi="Palatino Linotype" w:eastAsia="Palatino Linotype" w:cs="Times New Roman"/>
          <w:color w:val="000000" w:themeColor="text1"/>
          <w:kern w:val="0"/>
          <w14:ligatures w14:val="none"/>
        </w:rPr>
        <w:t xml:space="preserve"> </w:t>
      </w:r>
      <w:r w:rsidRPr="00041AD5" w:rsidR="00D91658">
        <w:rPr>
          <w:rFonts w:ascii="Palatino Linotype" w:hAnsi="Palatino Linotype" w:eastAsia="Palatino Linotype" w:cs="Times New Roman"/>
          <w:color w:val="000000" w:themeColor="text1"/>
          <w:kern w:val="0"/>
          <w14:ligatures w14:val="none"/>
        </w:rPr>
        <w:t>Cal Advocates also highlighted where CEC discusses that “[w]hile network geothermal demonstrations are advancing in other states, research that accounts for California’s climate, population, and other unique features is critical to understanding the role this technology can play in helping California achieve its climate and clean energy goals”</w:t>
      </w:r>
      <w:r w:rsidRPr="00041AD5" w:rsidR="00D91658">
        <w:rPr>
          <w:rStyle w:val="FootnoteReference"/>
          <w:rFonts w:ascii="Palatino Linotype" w:hAnsi="Palatino Linotype" w:eastAsia="Palatino Linotype" w:cs="Times New Roman"/>
          <w:color w:val="000000" w:themeColor="text1"/>
          <w:kern w:val="0"/>
          <w14:ligatures w14:val="none"/>
        </w:rPr>
        <w:footnoteReference w:id="54"/>
      </w:r>
      <w:r w:rsidRPr="00041AD5" w:rsidR="00D91658">
        <w:rPr>
          <w:rFonts w:ascii="Palatino Linotype" w:hAnsi="Palatino Linotype" w:eastAsia="Palatino Linotype" w:cs="Times New Roman"/>
          <w:color w:val="000000" w:themeColor="text1"/>
          <w:kern w:val="0"/>
          <w14:ligatures w14:val="none"/>
        </w:rPr>
        <w:t xml:space="preserve"> and recommended that CEC be required to identify more specific gaps it seeks to address with the Network Geothermal Heat Pumps Initiative.</w:t>
      </w:r>
    </w:p>
    <w:p w:rsidRPr="00041AD5" w:rsidR="00F345B5" w:rsidP="00965AA3" w:rsidRDefault="00D91658" w14:paraId="30E9C707" w14:textId="21FD152D">
      <w:pPr>
        <w:spacing w:before="240" w:after="6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CEC submit</w:t>
      </w:r>
      <w:r w:rsidRPr="00041AD5" w:rsidR="00970E43">
        <w:rPr>
          <w:rFonts w:ascii="Palatino Linotype" w:hAnsi="Palatino Linotype" w:eastAsia="Palatino Linotype" w:cs="Times New Roman"/>
          <w:color w:val="000000" w:themeColor="text1"/>
          <w:kern w:val="0"/>
          <w14:ligatures w14:val="none"/>
        </w:rPr>
        <w:t>ted</w:t>
      </w:r>
      <w:r w:rsidRPr="00041AD5">
        <w:rPr>
          <w:rFonts w:ascii="Palatino Linotype" w:hAnsi="Palatino Linotype" w:eastAsia="Palatino Linotype" w:cs="Times New Roman"/>
          <w:color w:val="000000" w:themeColor="text1"/>
          <w:kern w:val="0"/>
          <w14:ligatures w14:val="none"/>
        </w:rPr>
        <w:t xml:space="preserve"> a supplement to </w:t>
      </w:r>
      <w:r w:rsidRPr="00041AD5" w:rsidR="00970E43">
        <w:rPr>
          <w:rFonts w:ascii="Palatino Linotype" w:hAnsi="Palatino Linotype" w:eastAsia="Palatino Linotype" w:cs="Times New Roman"/>
          <w:color w:val="000000" w:themeColor="text1"/>
          <w:kern w:val="0"/>
          <w14:ligatures w14:val="none"/>
        </w:rPr>
        <w:t xml:space="preserve">CEC </w:t>
      </w:r>
      <w:r w:rsidRPr="00041AD5">
        <w:rPr>
          <w:rFonts w:ascii="Palatino Linotype" w:hAnsi="Palatino Linotype" w:eastAsia="Palatino Linotype" w:cs="Times New Roman"/>
          <w:color w:val="000000" w:themeColor="text1"/>
          <w:kern w:val="0"/>
          <w14:ligatures w14:val="none"/>
        </w:rPr>
        <w:t xml:space="preserve">AL 10-G to demonstrate how proposed investments will avoid unnecessarily duplicating prior, current, or future research per Gas RD&amp;D program requirements, including information provided in CEC’s reply to Cal Advocates’ protest. </w:t>
      </w:r>
      <w:r w:rsidRPr="00041AD5" w:rsidR="00722562">
        <w:rPr>
          <w:rFonts w:ascii="Palatino Linotype" w:hAnsi="Palatino Linotype" w:eastAsia="Palatino Linotype" w:cs="Times New Roman"/>
          <w:color w:val="000000" w:themeColor="text1"/>
          <w:kern w:val="0"/>
          <w14:ligatures w14:val="none"/>
        </w:rPr>
        <w:t xml:space="preserve">CEC </w:t>
      </w:r>
      <w:r w:rsidRPr="00041AD5" w:rsidR="00EA4554">
        <w:rPr>
          <w:rFonts w:ascii="Palatino Linotype" w:hAnsi="Palatino Linotype" w:eastAsia="Palatino Linotype" w:cs="Times New Roman"/>
          <w:color w:val="000000" w:themeColor="text1"/>
          <w:kern w:val="0"/>
          <w14:ligatures w14:val="none"/>
        </w:rPr>
        <w:t>provided the following</w:t>
      </w:r>
      <w:r w:rsidRPr="00041AD5" w:rsidR="009C24E2">
        <w:rPr>
          <w:rFonts w:ascii="Palatino Linotype" w:hAnsi="Palatino Linotype" w:eastAsia="Palatino Linotype" w:cs="Times New Roman"/>
          <w:color w:val="000000" w:themeColor="text1"/>
          <w:kern w:val="0"/>
          <w14:ligatures w14:val="none"/>
        </w:rPr>
        <w:t xml:space="preserve"> additional</w:t>
      </w:r>
      <w:r w:rsidRPr="00041AD5" w:rsidR="00EA4554">
        <w:rPr>
          <w:rFonts w:ascii="Palatino Linotype" w:hAnsi="Palatino Linotype" w:eastAsia="Palatino Linotype" w:cs="Times New Roman"/>
          <w:color w:val="000000" w:themeColor="text1"/>
          <w:kern w:val="0"/>
          <w14:ligatures w14:val="none"/>
        </w:rPr>
        <w:t xml:space="preserve"> information</w:t>
      </w:r>
      <w:r w:rsidRPr="00041AD5" w:rsidR="009C24E2">
        <w:rPr>
          <w:rFonts w:ascii="Palatino Linotype" w:hAnsi="Palatino Linotype" w:eastAsia="Palatino Linotype" w:cs="Times New Roman"/>
          <w:color w:val="000000" w:themeColor="text1"/>
          <w:kern w:val="0"/>
          <w14:ligatures w14:val="none"/>
        </w:rPr>
        <w:t xml:space="preserve"> in its supplement </w:t>
      </w:r>
      <w:r w:rsidRPr="00041AD5" w:rsidR="00970E43">
        <w:rPr>
          <w:rFonts w:ascii="Palatino Linotype" w:hAnsi="Palatino Linotype" w:eastAsia="Palatino Linotype" w:cs="Times New Roman"/>
          <w:color w:val="000000" w:themeColor="text1"/>
          <w:kern w:val="0"/>
          <w14:ligatures w14:val="none"/>
        </w:rPr>
        <w:t xml:space="preserve">CEC </w:t>
      </w:r>
      <w:r w:rsidRPr="00041AD5" w:rsidR="009C24E2">
        <w:rPr>
          <w:rFonts w:ascii="Palatino Linotype" w:hAnsi="Palatino Linotype" w:eastAsia="Palatino Linotype" w:cs="Times New Roman"/>
          <w:color w:val="000000" w:themeColor="text1"/>
          <w:kern w:val="0"/>
          <w14:ligatures w14:val="none"/>
        </w:rPr>
        <w:t>AL 10-G-A</w:t>
      </w:r>
      <w:r w:rsidRPr="00041AD5" w:rsidR="00970E43">
        <w:rPr>
          <w:rFonts w:ascii="Palatino Linotype" w:hAnsi="Palatino Linotype" w:eastAsia="Palatino Linotype" w:cs="Times New Roman"/>
          <w:color w:val="000000" w:themeColor="text1"/>
          <w:kern w:val="0"/>
          <w14:ligatures w14:val="none"/>
        </w:rPr>
        <w:t>, related to</w:t>
      </w:r>
      <w:r w:rsidRPr="00041AD5" w:rsidR="00F345B5">
        <w:rPr>
          <w:rFonts w:ascii="Palatino Linotype" w:hAnsi="Palatino Linotype" w:eastAsia="Palatino Linotype" w:cs="Times New Roman"/>
          <w:color w:val="000000" w:themeColor="text1"/>
          <w:kern w:val="0"/>
          <w14:ligatures w14:val="none"/>
        </w:rPr>
        <w:t xml:space="preserve">: </w:t>
      </w:r>
    </w:p>
    <w:p w:rsidRPr="00041AD5" w:rsidR="00D91658" w:rsidP="00BB33C1" w:rsidRDefault="00D91658" w14:paraId="7D41BE16" w14:textId="52465257">
      <w:pPr>
        <w:pStyle w:val="ListParagraph"/>
        <w:numPr>
          <w:ilvl w:val="0"/>
          <w:numId w:val="43"/>
        </w:numPr>
        <w:spacing w:before="240" w:after="6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Social Science Research for Gas Decommissioning in the Mid- and Long-Term &amp; Pilot Projects to Advance Gas Decommissioning Initiatives</w:t>
      </w:r>
      <w:r w:rsidRPr="00041AD5" w:rsidR="00C87D4C">
        <w:rPr>
          <w:rFonts w:ascii="Palatino Linotype" w:hAnsi="Palatino Linotype" w:eastAsia="Palatino Linotype" w:cs="Times New Roman"/>
          <w:color w:val="000000" w:themeColor="text1"/>
          <w:kern w:val="0"/>
          <w14:ligatures w14:val="none"/>
        </w:rPr>
        <w:t xml:space="preserve">. Specifically, the CEC stated: </w:t>
      </w:r>
      <w:r w:rsidRPr="00041AD5">
        <w:rPr>
          <w:rFonts w:ascii="Palatino Linotype" w:hAnsi="Palatino Linotype" w:eastAsia="Palatino Linotype" w:cs="Times New Roman"/>
          <w:color w:val="000000" w:themeColor="text1"/>
          <w:kern w:val="0"/>
          <w14:ligatures w14:val="none"/>
        </w:rPr>
        <w:t xml:space="preserve"> </w:t>
      </w:r>
    </w:p>
    <w:p w:rsidRPr="00041AD5" w:rsidR="00C85570" w:rsidP="00C87D4C" w:rsidRDefault="00F345B5" w14:paraId="73629534" w14:textId="6C7812E7">
      <w:pPr>
        <w:spacing w:before="240" w:after="0" w:line="276" w:lineRule="auto"/>
        <w:ind w:left="360"/>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I</w:t>
      </w:r>
      <w:r w:rsidRPr="00041AD5" w:rsidR="00722562">
        <w:rPr>
          <w:rFonts w:ascii="Palatino Linotype" w:hAnsi="Palatino Linotype" w:eastAsia="Palatino Linotype" w:cs="Times New Roman"/>
          <w:i/>
          <w:iCs/>
          <w:color w:val="000000" w:themeColor="text1"/>
          <w:kern w:val="0"/>
          <w14:ligatures w14:val="none"/>
        </w:rPr>
        <w:t>n August 2024, CEC staff presented early initiative outlines to IOUs for feedback. CEC and SoCalGas staff discussed and agreed on the feasibility of developing pilot projects in Northern California and Southern California based on preliminary studies by E3 and RAND. CEC staff and IOUs collectively agreed that further assessment is needed on system integration and community outreach methods. CEC and IOUs agreed to continue coordination with one another throughout SB 1221 implementation.</w:t>
      </w:r>
      <w:r w:rsidRPr="00041AD5" w:rsidR="00722562">
        <w:rPr>
          <w:rStyle w:val="FootnoteReference"/>
          <w:rFonts w:ascii="Palatino Linotype" w:hAnsi="Palatino Linotype" w:eastAsia="Palatino Linotype" w:cs="Times New Roman"/>
          <w:i/>
          <w:iCs/>
          <w:color w:val="000000" w:themeColor="text1"/>
          <w:kern w:val="0"/>
          <w14:ligatures w14:val="none"/>
        </w:rPr>
        <w:footnoteReference w:id="55"/>
      </w:r>
    </w:p>
    <w:p w:rsidRPr="00041AD5" w:rsidR="00F345B5" w:rsidP="00C87D4C" w:rsidRDefault="00F345B5" w14:paraId="34152F63" w14:textId="491D2DB2">
      <w:pPr>
        <w:spacing w:before="240" w:after="60" w:line="276" w:lineRule="auto"/>
        <w:ind w:left="360"/>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 xml:space="preserve">SoCalGas proposed several research areas in its 2023 RD&amp;D Program Research Plan on gas decarbonization that complement but differ from the CEC’s proposed initiatives on gas decommissioning. The SoCalGas plan describes that its programs would aim to: 1) advance clean gas production technology for gas decarbonization (Low Carbon Resources Program), 2) enhance pipeline safety (Gas Operations Program), and 3) improve gas equipment </w:t>
      </w:r>
      <w:r w:rsidRPr="00041AD5">
        <w:rPr>
          <w:rFonts w:ascii="Palatino Linotype" w:hAnsi="Palatino Linotype" w:eastAsia="Palatino Linotype" w:cs="Times New Roman"/>
          <w:i/>
          <w:iCs/>
          <w:color w:val="000000" w:themeColor="text1"/>
          <w:kern w:val="0"/>
          <w14:ligatures w14:val="none"/>
        </w:rPr>
        <w:lastRenderedPageBreak/>
        <w:t>efficiency (Customer End-Use Applications Program). While these efforts enhance strategies for reducing GHG emissions from the existing gas system, they differ in approach from zonal gas decommissioning, which involves retiring portions of California’s fossil gas infrastructure.</w:t>
      </w:r>
      <w:r w:rsidRPr="00041AD5">
        <w:rPr>
          <w:rStyle w:val="FootnoteReference"/>
          <w:rFonts w:ascii="Palatino Linotype" w:hAnsi="Palatino Linotype" w:eastAsia="Palatino Linotype" w:cs="Times New Roman"/>
          <w:i/>
          <w:iCs/>
          <w:color w:val="000000" w:themeColor="text1"/>
          <w:kern w:val="0"/>
          <w14:ligatures w14:val="none"/>
        </w:rPr>
        <w:footnoteReference w:id="56"/>
      </w:r>
    </w:p>
    <w:p w:rsidRPr="00041AD5" w:rsidR="00722562" w:rsidP="003147DD" w:rsidRDefault="00722562" w14:paraId="5F6A34C8" w14:textId="77777777">
      <w:pPr>
        <w:spacing w:after="60" w:line="276" w:lineRule="auto"/>
        <w:rPr>
          <w:rFonts w:ascii="Palatino Linotype" w:hAnsi="Palatino Linotype" w:eastAsia="Palatino Linotype" w:cs="Times New Roman"/>
          <w:color w:val="000000" w:themeColor="text1"/>
          <w:kern w:val="0"/>
          <w14:ligatures w14:val="none"/>
        </w:rPr>
      </w:pPr>
    </w:p>
    <w:p w:rsidRPr="00041AD5" w:rsidR="00D91658" w:rsidP="00BB33C1" w:rsidRDefault="00D91658" w14:paraId="4E3C92C9" w14:textId="0344D5DC">
      <w:pPr>
        <w:pStyle w:val="ListParagraph"/>
        <w:numPr>
          <w:ilvl w:val="0"/>
          <w:numId w:val="43"/>
        </w:numPr>
        <w:spacing w:after="6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Network Geothermal Heat Pumps Initiative</w:t>
      </w:r>
      <w:r w:rsidRPr="00041AD5" w:rsidR="00241071">
        <w:rPr>
          <w:rFonts w:ascii="Palatino Linotype" w:hAnsi="Palatino Linotype" w:eastAsia="Palatino Linotype" w:cs="Times New Roman"/>
          <w:color w:val="000000" w:themeColor="text1"/>
          <w:kern w:val="0"/>
          <w14:ligatures w14:val="none"/>
        </w:rPr>
        <w:t>. Specifically, the CEC stated:</w:t>
      </w:r>
    </w:p>
    <w:p w:rsidRPr="00041AD5" w:rsidR="00EA4554" w:rsidP="007B36CC" w:rsidRDefault="00AD7618" w14:paraId="72FA1E8B" w14:textId="07DD7F1C">
      <w:pPr>
        <w:spacing w:before="240" w:after="60" w:line="276" w:lineRule="auto"/>
        <w:ind w:left="360"/>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While networked geothermal demonstrations are advancing in other states, research that accounts for California’s climate, population, and other unique features is critical to understanding the role this technology can play in helping California achieve its climate and clean air goals</w:t>
      </w:r>
      <w:r w:rsidRPr="00041AD5" w:rsidR="00D930CA">
        <w:rPr>
          <w:rFonts w:ascii="Palatino Linotype" w:hAnsi="Palatino Linotype" w:eastAsia="Palatino Linotype" w:cs="Times New Roman"/>
          <w:i/>
          <w:iCs/>
          <w:color w:val="000000" w:themeColor="text1"/>
          <w:kern w:val="0"/>
          <w14:ligatures w14:val="none"/>
        </w:rPr>
        <w:t xml:space="preserve">… </w:t>
      </w:r>
      <w:r w:rsidRPr="00041AD5" w:rsidR="00A40932">
        <w:rPr>
          <w:rFonts w:ascii="Palatino Linotype" w:hAnsi="Palatino Linotype" w:eastAsia="Palatino Linotype" w:cs="Times New Roman"/>
          <w:i/>
          <w:iCs/>
          <w:color w:val="000000" w:themeColor="text1"/>
          <w:kern w:val="0"/>
          <w14:ligatures w14:val="none"/>
        </w:rPr>
        <w:t>Nearly all current and planned studies and pilots are concentrated in cold climates where the heating load makes up the predominant share of space conditioning. California’s cooling loads vary, and there will be a need to determine the applicability and feasibility of networked geothermal as a versatile technology for California’s heavily populated coastal regions, which have experienced an increasing trend in annual cooling degree days, as well as for more inland and temperate regions. The initiative further seeks to study the benefits of Networked GHPs as an alternative to water-intense air-conditioning in large buildings, a particularly relevant R&amp;D work stream for California, where water is often scarce.</w:t>
      </w:r>
      <w:r w:rsidRPr="00041AD5" w:rsidR="00A40932">
        <w:rPr>
          <w:rStyle w:val="FootnoteReference"/>
          <w:rFonts w:ascii="Palatino Linotype" w:hAnsi="Palatino Linotype" w:eastAsia="Palatino Linotype" w:cs="Times New Roman"/>
          <w:i/>
          <w:iCs/>
          <w:color w:val="000000" w:themeColor="text1"/>
          <w:kern w:val="0"/>
          <w14:ligatures w14:val="none"/>
        </w:rPr>
        <w:footnoteReference w:id="57"/>
      </w:r>
    </w:p>
    <w:p w:rsidRPr="00041AD5" w:rsidR="005C3D7A" w:rsidP="003147DD" w:rsidRDefault="005C3D7A" w14:paraId="0C67C80B"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EE068B" w:rsidP="00C01D32" w:rsidRDefault="00A76F4A" w14:paraId="62DD81F0" w14:textId="52F13DC0">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Discussion</w:t>
      </w:r>
    </w:p>
    <w:p w:rsidRPr="00041AD5" w:rsidR="007B36CC" w:rsidP="007B36CC" w:rsidRDefault="007B36CC" w14:paraId="7254759B" w14:textId="7D5C46DE">
      <w:pPr>
        <w:spacing w:after="60"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bCs/>
          <w:color w:val="000000" w:themeColor="text1"/>
          <w:kern w:val="0"/>
          <w14:ligatures w14:val="none"/>
        </w:rPr>
        <w:t>Concerns Raised in Cal Advocates</w:t>
      </w:r>
      <w:r w:rsidR="00965AA3">
        <w:rPr>
          <w:rFonts w:ascii="Palatino Linotype" w:hAnsi="Palatino Linotype" w:eastAsia="Palatino Linotype" w:cs="Times New Roman"/>
          <w:b/>
          <w:bCs/>
          <w:color w:val="000000" w:themeColor="text1"/>
          <w:kern w:val="0"/>
          <w14:ligatures w14:val="none"/>
        </w:rPr>
        <w:t>’</w:t>
      </w:r>
      <w:r w:rsidRPr="00041AD5">
        <w:rPr>
          <w:rFonts w:ascii="Palatino Linotype" w:hAnsi="Palatino Linotype" w:eastAsia="Palatino Linotype" w:cs="Times New Roman"/>
          <w:b/>
          <w:bCs/>
          <w:color w:val="000000" w:themeColor="text1"/>
          <w:kern w:val="0"/>
          <w14:ligatures w14:val="none"/>
        </w:rPr>
        <w:t xml:space="preserve"> Protest to CEC AL 10-G-A</w:t>
      </w:r>
    </w:p>
    <w:p w:rsidRPr="00041AD5" w:rsidR="00241071" w:rsidP="006636EF" w:rsidRDefault="007B36CC" w14:paraId="7AEEBA65" w14:textId="00B57C95">
      <w:pPr>
        <w:spacing w:before="240" w:after="60" w:line="276" w:lineRule="auto"/>
        <w:rPr>
          <w:rFonts w:ascii="Palatino Linotype" w:hAnsi="Palatino Linotype"/>
          <w:bCs/>
          <w:color w:val="000000" w:themeColor="text1"/>
        </w:rPr>
      </w:pPr>
      <w:r w:rsidRPr="00041AD5">
        <w:rPr>
          <w:rFonts w:ascii="Palatino Linotype" w:hAnsi="Palatino Linotype" w:eastAsia="Palatino Linotype" w:cs="Times New Roman"/>
          <w:color w:val="000000" w:themeColor="text1"/>
          <w:kern w:val="0"/>
          <w14:ligatures w14:val="none"/>
        </w:rPr>
        <w:t xml:space="preserve">Based on Staff’s assessment, the Commission finds that CEC has addressed Cal Advocates’ concerns </w:t>
      </w:r>
      <w:r w:rsidRPr="00041AD5" w:rsidR="003151C6">
        <w:rPr>
          <w:rFonts w:ascii="Palatino Linotype" w:hAnsi="Palatino Linotype" w:eastAsia="Palatino Linotype" w:cs="Times New Roman"/>
          <w:color w:val="000000" w:themeColor="text1"/>
          <w:kern w:val="0"/>
          <w14:ligatures w14:val="none"/>
        </w:rPr>
        <w:t xml:space="preserve">raised in its protest of CEC AL 10-G with the supplemental information subsequently provided in the AL supplement, </w:t>
      </w:r>
      <w:r w:rsidRPr="00041AD5">
        <w:rPr>
          <w:rFonts w:ascii="Palatino Linotype" w:hAnsi="Palatino Linotype" w:eastAsia="Palatino Linotype" w:cs="Times New Roman"/>
          <w:color w:val="000000" w:themeColor="text1"/>
          <w:kern w:val="0"/>
          <w14:ligatures w14:val="none"/>
        </w:rPr>
        <w:t xml:space="preserve">CEC AL 10-G-A. See also CEC Response in AL 10-G-A to </w:t>
      </w:r>
      <w:r w:rsidRPr="00041AD5">
        <w:rPr>
          <w:rFonts w:ascii="Palatino Linotype" w:hAnsi="Palatino Linotype"/>
          <w:color w:val="000000" w:themeColor="text1"/>
        </w:rPr>
        <w:t>Resolution G-3603</w:t>
      </w:r>
      <w:r w:rsidRPr="00041AD5">
        <w:rPr>
          <w:rFonts w:ascii="Palatino Linotype" w:hAnsi="Palatino Linotype"/>
          <w:b/>
          <w:color w:val="000000" w:themeColor="text1"/>
        </w:rPr>
        <w:t xml:space="preserve"> </w:t>
      </w:r>
      <w:r w:rsidRPr="00041AD5">
        <w:rPr>
          <w:rFonts w:ascii="Palatino Linotype" w:hAnsi="Palatino Linotype"/>
          <w:bCs/>
          <w:color w:val="000000" w:themeColor="text1"/>
        </w:rPr>
        <w:t xml:space="preserve">(2024) at OP 4 in Appendix </w:t>
      </w:r>
      <w:r w:rsidRPr="00041AD5" w:rsidR="00587988">
        <w:rPr>
          <w:rFonts w:ascii="Palatino Linotype" w:hAnsi="Palatino Linotype"/>
          <w:bCs/>
          <w:color w:val="000000" w:themeColor="text1"/>
        </w:rPr>
        <w:t>H</w:t>
      </w:r>
      <w:r w:rsidRPr="00041AD5" w:rsidR="006636EF">
        <w:rPr>
          <w:rFonts w:ascii="Palatino Linotype" w:hAnsi="Palatino Linotype"/>
          <w:bCs/>
          <w:color w:val="000000" w:themeColor="text1"/>
        </w:rPr>
        <w:t xml:space="preserve">, where similar concerns were raised and addressed. CEC AL 10-G-A was not protested anew </w:t>
      </w:r>
      <w:r w:rsidRPr="00041AD5" w:rsidR="00AE48C9">
        <w:rPr>
          <w:rFonts w:ascii="Palatino Linotype" w:hAnsi="Palatino Linotype"/>
          <w:bCs/>
          <w:color w:val="000000" w:themeColor="text1"/>
        </w:rPr>
        <w:t xml:space="preserve">by </w:t>
      </w:r>
      <w:r w:rsidRPr="00041AD5" w:rsidR="006636EF">
        <w:rPr>
          <w:rFonts w:ascii="Palatino Linotype" w:hAnsi="Palatino Linotype"/>
          <w:bCs/>
          <w:color w:val="000000" w:themeColor="text1"/>
        </w:rPr>
        <w:t>Cal Advocates.</w:t>
      </w:r>
    </w:p>
    <w:p w:rsidRPr="00041AD5" w:rsidR="00676C88" w:rsidP="00676C88" w:rsidRDefault="00676C88" w14:paraId="42B8EB0C" w14:textId="77777777">
      <w:pPr>
        <w:pStyle w:val="10sp0"/>
        <w:spacing w:after="0" w:line="276" w:lineRule="auto"/>
        <w:rPr>
          <w:rFonts w:ascii="Palatino Linotype" w:hAnsi="Palatino Linotype"/>
          <w:b/>
          <w:color w:val="000000" w:themeColor="text1"/>
        </w:rPr>
      </w:pPr>
    </w:p>
    <w:p w:rsidRPr="00041AD5" w:rsidR="00676C88" w:rsidP="00676C88" w:rsidRDefault="00676C88" w14:paraId="76F28764" w14:textId="447474FD">
      <w:pPr>
        <w:pStyle w:val="10sp0"/>
        <w:spacing w:line="276" w:lineRule="auto"/>
        <w:rPr>
          <w:rFonts w:ascii="Palatino Linotype" w:hAnsi="Palatino Linotype"/>
          <w:b/>
          <w:color w:val="000000" w:themeColor="text1"/>
        </w:rPr>
      </w:pPr>
      <w:r w:rsidRPr="00041AD5">
        <w:rPr>
          <w:rFonts w:ascii="Palatino Linotype" w:hAnsi="Palatino Linotype"/>
          <w:b/>
          <w:color w:val="000000" w:themeColor="text1"/>
        </w:rPr>
        <w:lastRenderedPageBreak/>
        <w:t>Review of CEC Gas RD&amp;D Plans</w:t>
      </w:r>
    </w:p>
    <w:p w:rsidRPr="00041AD5" w:rsidR="00087180" w:rsidP="00987C5C" w:rsidRDefault="00676C88" w14:paraId="3FBE4E37" w14:textId="12BE1E3C">
      <w:pPr>
        <w:spacing w:after="0"/>
        <w:rPr>
          <w:rFonts w:ascii="Palatino Linotype" w:hAnsi="Palatino Linotype"/>
          <w:color w:val="000000" w:themeColor="text1"/>
        </w:rPr>
      </w:pPr>
      <w:r w:rsidRPr="00041AD5">
        <w:rPr>
          <w:rFonts w:ascii="Palatino Linotype" w:hAnsi="Palatino Linotype"/>
          <w:color w:val="000000" w:themeColor="text1"/>
        </w:rPr>
        <w:t xml:space="preserve">The CEC Gas RD&amp;D program requirements span over two decades of statute, the Gas RD&amp;D funding guidance in D.04-08-010, and 21 Commission </w:t>
      </w:r>
      <w:r w:rsidRPr="00041AD5" w:rsidR="0056763F">
        <w:rPr>
          <w:rFonts w:ascii="Palatino Linotype" w:hAnsi="Palatino Linotype"/>
          <w:color w:val="000000" w:themeColor="text1"/>
        </w:rPr>
        <w:t>r</w:t>
      </w:r>
      <w:r w:rsidRPr="00041AD5">
        <w:rPr>
          <w:rFonts w:ascii="Palatino Linotype" w:hAnsi="Palatino Linotype"/>
          <w:color w:val="000000" w:themeColor="text1"/>
        </w:rPr>
        <w:t>esolutions approving the CEC’s Gas RD&amp;D Plans beginning in 2004.</w:t>
      </w:r>
      <w:r w:rsidRPr="00041AD5">
        <w:rPr>
          <w:rFonts w:ascii="Palatino Linotype" w:hAnsi="Palatino Linotype" w:eastAsia="Palatino Linotype" w:cs="Times New Roman"/>
          <w:color w:val="000000" w:themeColor="text1"/>
          <w:kern w:val="0"/>
          <w14:ligatures w14:val="none"/>
        </w:rPr>
        <w:t xml:space="preserve">  To review these Advice Letters, Energy Division staff first prepared a list of </w:t>
      </w:r>
      <w:r w:rsidRPr="00041AD5">
        <w:rPr>
          <w:rFonts w:ascii="Palatino Linotype" w:hAnsi="Palatino Linotype"/>
          <w:color w:val="000000" w:themeColor="text1"/>
        </w:rPr>
        <w:t xml:space="preserve">all Key CPUC Gas RD&amp;D Resolution Requirements, see Appendix </w:t>
      </w:r>
      <w:r w:rsidRPr="00041AD5" w:rsidR="00587988">
        <w:rPr>
          <w:rFonts w:ascii="Palatino Linotype" w:hAnsi="Palatino Linotype"/>
          <w:color w:val="000000" w:themeColor="text1"/>
        </w:rPr>
        <w:t>A</w:t>
      </w:r>
      <w:r w:rsidRPr="00041AD5">
        <w:rPr>
          <w:rFonts w:ascii="Palatino Linotype" w:hAnsi="Palatino Linotype"/>
          <w:color w:val="000000" w:themeColor="text1"/>
        </w:rPr>
        <w:t xml:space="preserve">. </w:t>
      </w:r>
    </w:p>
    <w:p w:rsidRPr="00041AD5" w:rsidR="006636EF" w:rsidP="00B609BE" w:rsidRDefault="006636EF" w14:paraId="17C087B8" w14:textId="77777777">
      <w:pPr>
        <w:spacing w:before="240" w:after="60" w:line="276" w:lineRule="auto"/>
        <w:rPr>
          <w:rFonts w:ascii="Palatino Linotype" w:hAnsi="Palatino Linotype" w:eastAsia="Palatino Linotype" w:cs="Times New Roman"/>
          <w:color w:val="000000" w:themeColor="text1"/>
          <w:kern w:val="0"/>
          <w14:ligatures w14:val="none"/>
        </w:rPr>
      </w:pPr>
    </w:p>
    <w:p w:rsidRPr="00041AD5" w:rsidR="00D426A3" w:rsidP="00816348" w:rsidRDefault="00D426A3" w14:paraId="055BC3B2" w14:textId="2D2CC637">
      <w:pPr>
        <w:pStyle w:val="10sp0"/>
        <w:spacing w:line="276" w:lineRule="auto"/>
        <w:rPr>
          <w:rFonts w:ascii="Palatino Linotype" w:hAnsi="Palatino Linotype"/>
          <w:b/>
          <w:color w:val="000000" w:themeColor="text1"/>
        </w:rPr>
      </w:pPr>
      <w:r w:rsidRPr="00041AD5">
        <w:rPr>
          <w:rFonts w:ascii="Palatino Linotype" w:hAnsi="Palatino Linotype"/>
          <w:b/>
          <w:color w:val="000000" w:themeColor="text1"/>
        </w:rPr>
        <w:t>Assessment of 2024 Plan</w:t>
      </w:r>
    </w:p>
    <w:p w:rsidRPr="00041AD5" w:rsidR="00D426A3" w:rsidP="003147DD" w:rsidRDefault="00BB4C4A" w14:paraId="7F925693" w14:textId="46B400E2">
      <w:pPr>
        <w:pStyle w:val="10sp0"/>
        <w:spacing w:after="0"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Energy Division s</w:t>
      </w:r>
      <w:r w:rsidRPr="00041AD5" w:rsidR="006E4CE1">
        <w:rPr>
          <w:rFonts w:ascii="Palatino Linotype" w:hAnsi="Palatino Linotype"/>
          <w:color w:val="000000" w:themeColor="text1"/>
        </w:rPr>
        <w:t>taff</w:t>
      </w:r>
      <w:r w:rsidRPr="00041AD5" w:rsidR="009D009D">
        <w:rPr>
          <w:rFonts w:ascii="Palatino Linotype" w:hAnsi="Palatino Linotype"/>
          <w:color w:val="000000" w:themeColor="text1"/>
        </w:rPr>
        <w:t xml:space="preserve"> conducted a</w:t>
      </w:r>
      <w:r w:rsidRPr="00041AD5" w:rsidR="00B1443D">
        <w:rPr>
          <w:rFonts w:ascii="Palatino Linotype" w:hAnsi="Palatino Linotype"/>
          <w:color w:val="000000" w:themeColor="text1"/>
        </w:rPr>
        <w:t xml:space="preserve">n </w:t>
      </w:r>
      <w:r w:rsidRPr="00041AD5" w:rsidR="009D009D">
        <w:rPr>
          <w:rFonts w:ascii="Palatino Linotype" w:hAnsi="Palatino Linotype"/>
          <w:color w:val="000000" w:themeColor="text1"/>
        </w:rPr>
        <w:t>assessment of CEC’s AL 12-G proposing its 2024 Gas RD&amp;D Inves</w:t>
      </w:r>
      <w:r w:rsidRPr="00041AD5" w:rsidR="004C4309">
        <w:rPr>
          <w:rFonts w:ascii="Palatino Linotype" w:hAnsi="Palatino Linotype"/>
          <w:color w:val="000000" w:themeColor="text1"/>
        </w:rPr>
        <w:t>tment Plan.</w:t>
      </w:r>
      <w:r w:rsidRPr="00041AD5" w:rsidR="00E456E0">
        <w:rPr>
          <w:rStyle w:val="FootnoteReference"/>
          <w:rFonts w:ascii="Palatino Linotype" w:hAnsi="Palatino Linotype"/>
          <w:color w:val="000000" w:themeColor="text1"/>
        </w:rPr>
        <w:footnoteReference w:id="58"/>
      </w:r>
      <w:r w:rsidRPr="00041AD5" w:rsidR="004C4309">
        <w:rPr>
          <w:rFonts w:ascii="Palatino Linotype" w:hAnsi="Palatino Linotype"/>
          <w:color w:val="000000" w:themeColor="text1"/>
        </w:rPr>
        <w:t xml:space="preserve"> Staff assessed CEC’s 2024 Plan based on consistency with requirements </w:t>
      </w:r>
      <w:r w:rsidRPr="00041AD5" w:rsidR="00230063">
        <w:rPr>
          <w:rFonts w:ascii="Palatino Linotype" w:hAnsi="Palatino Linotype"/>
          <w:color w:val="000000" w:themeColor="text1"/>
        </w:rPr>
        <w:t xml:space="preserve">and </w:t>
      </w:r>
      <w:r w:rsidRPr="00041AD5" w:rsidR="00C60FE5">
        <w:rPr>
          <w:rFonts w:ascii="Palatino Linotype" w:hAnsi="Palatino Linotype"/>
          <w:color w:val="000000" w:themeColor="text1"/>
        </w:rPr>
        <w:t xml:space="preserve">previous </w:t>
      </w:r>
      <w:r w:rsidRPr="00041AD5" w:rsidR="00230063">
        <w:rPr>
          <w:rFonts w:ascii="Palatino Linotype" w:hAnsi="Palatino Linotype"/>
          <w:color w:val="000000" w:themeColor="text1"/>
        </w:rPr>
        <w:t>Commission guidance</w:t>
      </w:r>
      <w:r w:rsidRPr="00041AD5" w:rsidR="003C619D">
        <w:rPr>
          <w:rFonts w:ascii="Palatino Linotype" w:hAnsi="Palatino Linotype"/>
          <w:color w:val="000000" w:themeColor="text1"/>
        </w:rPr>
        <w:t>.</w:t>
      </w:r>
      <w:r w:rsidRPr="00041AD5" w:rsidR="004C4309">
        <w:rPr>
          <w:rFonts w:ascii="Palatino Linotype" w:hAnsi="Palatino Linotype"/>
          <w:color w:val="000000" w:themeColor="text1"/>
        </w:rPr>
        <w:t xml:space="preserve"> </w:t>
      </w:r>
      <w:r w:rsidRPr="00041AD5" w:rsidR="00C60FE5">
        <w:rPr>
          <w:rFonts w:ascii="Palatino Linotype" w:hAnsi="Palatino Linotype"/>
          <w:color w:val="000000" w:themeColor="text1"/>
        </w:rPr>
        <w:t>T</w:t>
      </w:r>
      <w:r w:rsidRPr="00041AD5" w:rsidR="004C4309">
        <w:rPr>
          <w:rFonts w:ascii="Palatino Linotype" w:hAnsi="Palatino Linotype"/>
          <w:color w:val="000000" w:themeColor="text1"/>
        </w:rPr>
        <w:t xml:space="preserve">he Commission finds that </w:t>
      </w:r>
      <w:r w:rsidRPr="00041AD5" w:rsidR="008760A8">
        <w:rPr>
          <w:rFonts w:ascii="Palatino Linotype" w:hAnsi="Palatino Linotype"/>
          <w:color w:val="000000" w:themeColor="text1"/>
        </w:rPr>
        <w:t xml:space="preserve">in some areas </w:t>
      </w:r>
      <w:r w:rsidRPr="00041AD5" w:rsidR="004C4309">
        <w:rPr>
          <w:rFonts w:ascii="Palatino Linotype" w:hAnsi="Palatino Linotype"/>
          <w:color w:val="000000" w:themeColor="text1"/>
        </w:rPr>
        <w:t>CEC</w:t>
      </w:r>
      <w:r w:rsidRPr="00041AD5" w:rsidR="00F4141D">
        <w:rPr>
          <w:rFonts w:ascii="Palatino Linotype" w:hAnsi="Palatino Linotype"/>
          <w:color w:val="000000" w:themeColor="text1"/>
        </w:rPr>
        <w:t>’s AL 12-G</w:t>
      </w:r>
      <w:r w:rsidRPr="00041AD5" w:rsidR="004C4309">
        <w:rPr>
          <w:rFonts w:ascii="Palatino Linotype" w:hAnsi="Palatino Linotype"/>
          <w:color w:val="000000" w:themeColor="text1"/>
        </w:rPr>
        <w:t xml:space="preserve"> </w:t>
      </w:r>
      <w:r w:rsidRPr="00041AD5" w:rsidR="00816348">
        <w:rPr>
          <w:rFonts w:ascii="Palatino Linotype" w:hAnsi="Palatino Linotype"/>
          <w:color w:val="000000" w:themeColor="text1"/>
        </w:rPr>
        <w:t xml:space="preserve">is </w:t>
      </w:r>
      <w:r w:rsidRPr="00041AD5" w:rsidR="008D344A">
        <w:rPr>
          <w:rFonts w:ascii="Palatino Linotype" w:hAnsi="Palatino Linotype"/>
          <w:color w:val="000000" w:themeColor="text1"/>
        </w:rPr>
        <w:t xml:space="preserve">not </w:t>
      </w:r>
      <w:r w:rsidRPr="00041AD5" w:rsidR="0098453A">
        <w:rPr>
          <w:rFonts w:ascii="Palatino Linotype" w:hAnsi="Palatino Linotype"/>
          <w:color w:val="000000" w:themeColor="text1"/>
        </w:rPr>
        <w:t xml:space="preserve">fully </w:t>
      </w:r>
      <w:r w:rsidRPr="00041AD5" w:rsidR="008D344A">
        <w:rPr>
          <w:rFonts w:ascii="Palatino Linotype" w:hAnsi="Palatino Linotype"/>
          <w:color w:val="000000" w:themeColor="text1"/>
        </w:rPr>
        <w:t xml:space="preserve">compliant with </w:t>
      </w:r>
      <w:r w:rsidRPr="00041AD5" w:rsidR="008760A8">
        <w:rPr>
          <w:rFonts w:ascii="Palatino Linotype" w:hAnsi="Palatino Linotype"/>
          <w:color w:val="000000" w:themeColor="text1"/>
        </w:rPr>
        <w:t xml:space="preserve">the </w:t>
      </w:r>
      <w:r w:rsidRPr="00041AD5" w:rsidR="00F4141D">
        <w:rPr>
          <w:rFonts w:ascii="Palatino Linotype" w:hAnsi="Palatino Linotype"/>
          <w:color w:val="000000" w:themeColor="text1"/>
        </w:rPr>
        <w:t>Commission</w:t>
      </w:r>
      <w:r w:rsidRPr="00041AD5" w:rsidR="008760A8">
        <w:rPr>
          <w:rFonts w:ascii="Palatino Linotype" w:hAnsi="Palatino Linotype"/>
          <w:color w:val="000000" w:themeColor="text1"/>
        </w:rPr>
        <w:t>’s previously adopted</w:t>
      </w:r>
      <w:r w:rsidRPr="00041AD5" w:rsidR="005F45D0">
        <w:rPr>
          <w:rFonts w:ascii="Palatino Linotype" w:hAnsi="Palatino Linotype"/>
          <w:color w:val="000000" w:themeColor="text1"/>
        </w:rPr>
        <w:t xml:space="preserve"> requirements </w:t>
      </w:r>
      <w:r w:rsidRPr="00041AD5" w:rsidR="007E6ED9">
        <w:rPr>
          <w:rFonts w:ascii="Palatino Linotype" w:hAnsi="Palatino Linotype"/>
          <w:color w:val="000000" w:themeColor="text1"/>
        </w:rPr>
        <w:t>as described below</w:t>
      </w:r>
      <w:r w:rsidRPr="00041AD5" w:rsidR="00BD760B">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See </w:t>
      </w:r>
      <w:r w:rsidRPr="00041AD5" w:rsidR="007E6ED9">
        <w:rPr>
          <w:rFonts w:ascii="Palatino Linotype" w:hAnsi="Palatino Linotype"/>
          <w:color w:val="000000" w:themeColor="text1"/>
        </w:rPr>
        <w:t xml:space="preserve">also </w:t>
      </w:r>
      <w:r w:rsidRPr="00041AD5" w:rsidR="0037224F">
        <w:rPr>
          <w:rFonts w:ascii="Palatino Linotype" w:hAnsi="Palatino Linotype"/>
          <w:color w:val="000000" w:themeColor="text1"/>
        </w:rPr>
        <w:t>Appendix</w:t>
      </w:r>
      <w:r w:rsidRPr="00041AD5" w:rsidR="00A30E95">
        <w:rPr>
          <w:rFonts w:ascii="Palatino Linotype" w:hAnsi="Palatino Linotype"/>
          <w:color w:val="000000" w:themeColor="text1"/>
        </w:rPr>
        <w:t xml:space="preserve"> </w:t>
      </w:r>
      <w:r w:rsidRPr="00041AD5" w:rsidR="00587988">
        <w:rPr>
          <w:rFonts w:ascii="Palatino Linotype" w:hAnsi="Palatino Linotype"/>
          <w:color w:val="000000" w:themeColor="text1"/>
        </w:rPr>
        <w:t>G</w:t>
      </w:r>
      <w:r w:rsidRPr="00041AD5" w:rsidR="00A30E95">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for </w:t>
      </w:r>
      <w:r w:rsidRPr="00041AD5" w:rsidR="007E6ED9">
        <w:rPr>
          <w:rFonts w:ascii="Palatino Linotype" w:hAnsi="Palatino Linotype"/>
          <w:color w:val="000000" w:themeColor="text1"/>
        </w:rPr>
        <w:t xml:space="preserve">additional </w:t>
      </w:r>
      <w:r w:rsidRPr="00041AD5" w:rsidR="0037224F">
        <w:rPr>
          <w:rFonts w:ascii="Palatino Linotype" w:hAnsi="Palatino Linotype"/>
          <w:color w:val="000000" w:themeColor="text1"/>
        </w:rPr>
        <w:t>details:</w:t>
      </w:r>
    </w:p>
    <w:p w:rsidRPr="00041AD5" w:rsidR="005D6D83" w:rsidP="003B475F" w:rsidRDefault="00875736" w14:paraId="6389D7DC" w14:textId="09FBC8C4">
      <w:pPr>
        <w:pStyle w:val="10sp0"/>
        <w:numPr>
          <w:ilvl w:val="0"/>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w:t>
      </w:r>
      <w:r w:rsidRPr="00041AD5" w:rsidR="005D6D83">
        <w:rPr>
          <w:rFonts w:ascii="Palatino Linotype" w:hAnsi="Palatino Linotype"/>
          <w:color w:val="000000" w:themeColor="text1"/>
        </w:rPr>
        <w:t xml:space="preserve">CEC does not disclose the following nor </w:t>
      </w:r>
      <w:r w:rsidRPr="00041AD5" w:rsidR="00E92CCB">
        <w:rPr>
          <w:rFonts w:ascii="Palatino Linotype" w:hAnsi="Palatino Linotype"/>
          <w:color w:val="000000" w:themeColor="text1"/>
        </w:rPr>
        <w:t xml:space="preserve">demonstrate </w:t>
      </w:r>
      <w:r w:rsidRPr="00041AD5" w:rsidR="005D6D83">
        <w:rPr>
          <w:rFonts w:ascii="Palatino Linotype" w:hAnsi="Palatino Linotype"/>
          <w:color w:val="000000" w:themeColor="text1"/>
        </w:rPr>
        <w:t xml:space="preserve">that </w:t>
      </w:r>
      <w:r w:rsidRPr="00041AD5" w:rsidR="000255C0">
        <w:rPr>
          <w:rFonts w:ascii="Palatino Linotype" w:hAnsi="Palatino Linotype"/>
          <w:color w:val="000000" w:themeColor="text1"/>
        </w:rPr>
        <w:t>it</w:t>
      </w:r>
      <w:r w:rsidRPr="00041AD5" w:rsidR="00AE41A0">
        <w:rPr>
          <w:rFonts w:ascii="Palatino Linotype" w:hAnsi="Palatino Linotype"/>
          <w:color w:val="000000" w:themeColor="text1"/>
        </w:rPr>
        <w:t xml:space="preserve">: </w:t>
      </w:r>
    </w:p>
    <w:p w:rsidRPr="00041AD5" w:rsidR="00765572" w:rsidP="00765572" w:rsidRDefault="00CF738F" w14:paraId="5DB01EBF" w14:textId="723EEDEC">
      <w:pPr>
        <w:pStyle w:val="10sp0"/>
        <w:numPr>
          <w:ilvl w:val="1"/>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First utilized its a</w:t>
      </w:r>
      <w:r w:rsidRPr="00041AD5" w:rsidR="00765572">
        <w:rPr>
          <w:rFonts w:ascii="Palatino Linotype" w:hAnsi="Palatino Linotype"/>
          <w:color w:val="000000" w:themeColor="text1"/>
        </w:rPr>
        <w:t xml:space="preserve">pplicable unspent fund balances, </w:t>
      </w:r>
      <w:r w:rsidRPr="00041AD5">
        <w:rPr>
          <w:rFonts w:ascii="Palatino Linotype" w:hAnsi="Palatino Linotype"/>
          <w:color w:val="000000" w:themeColor="text1"/>
        </w:rPr>
        <w:t>providing</w:t>
      </w:r>
      <w:r w:rsidRPr="00041AD5" w:rsidR="00765572">
        <w:rPr>
          <w:rFonts w:ascii="Palatino Linotype" w:hAnsi="Palatino Linotype"/>
          <w:color w:val="000000" w:themeColor="text1"/>
        </w:rPr>
        <w:t xml:space="preserve"> details of encumbrance and spending windows to demonstrate compliance.</w:t>
      </w:r>
      <w:r w:rsidRPr="00041AD5" w:rsidR="00765572">
        <w:rPr>
          <w:rStyle w:val="FootnoteReference"/>
          <w:rFonts w:ascii="Palatino Linotype" w:hAnsi="Palatino Linotype"/>
          <w:color w:val="000000" w:themeColor="text1"/>
        </w:rPr>
        <w:footnoteReference w:id="59"/>
      </w:r>
      <w:r w:rsidRPr="00041AD5" w:rsidR="00765572">
        <w:rPr>
          <w:rFonts w:ascii="Palatino Linotype" w:hAnsi="Palatino Linotype"/>
          <w:color w:val="000000" w:themeColor="text1"/>
        </w:rPr>
        <w:t xml:space="preserve"> </w:t>
      </w:r>
    </w:p>
    <w:p w:rsidRPr="00041AD5" w:rsidR="00F14E33" w:rsidP="003B475F" w:rsidRDefault="005032A8" w14:paraId="613191E6" w14:textId="25A99EA9">
      <w:pPr>
        <w:pStyle w:val="10sp0"/>
        <w:numPr>
          <w:ilvl w:val="1"/>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Addressed </w:t>
      </w:r>
      <w:r w:rsidRPr="00041AD5" w:rsidR="00153309">
        <w:rPr>
          <w:rFonts w:ascii="Palatino Linotype" w:hAnsi="Palatino Linotype"/>
          <w:color w:val="000000" w:themeColor="text1"/>
        </w:rPr>
        <w:t>whether any c</w:t>
      </w:r>
      <w:r w:rsidRPr="00041AD5" w:rsidR="00E92CCB">
        <w:rPr>
          <w:rFonts w:ascii="Palatino Linotype" w:hAnsi="Palatino Linotype"/>
          <w:color w:val="000000" w:themeColor="text1"/>
        </w:rPr>
        <w:t>ommercial benefits have resulted from Gas RD&amp;D investment or otherwise state that none have accrued.</w:t>
      </w:r>
      <w:r w:rsidRPr="00041AD5" w:rsidR="00C92625">
        <w:rPr>
          <w:rStyle w:val="FootnoteReference"/>
          <w:rFonts w:ascii="Palatino Linotype" w:hAnsi="Palatino Linotype"/>
          <w:color w:val="000000" w:themeColor="text1"/>
        </w:rPr>
        <w:footnoteReference w:id="60"/>
      </w:r>
      <w:r w:rsidRPr="00041AD5" w:rsidR="00E92CCB">
        <w:rPr>
          <w:rFonts w:ascii="Palatino Linotype" w:hAnsi="Palatino Linotype"/>
          <w:color w:val="000000" w:themeColor="text1"/>
        </w:rPr>
        <w:t xml:space="preserve"> </w:t>
      </w:r>
    </w:p>
    <w:p w:rsidRPr="00041AD5" w:rsidR="008F7A8A" w:rsidP="003B475F" w:rsidRDefault="00153309" w14:paraId="3B28D108" w14:textId="4C6A6507">
      <w:pPr>
        <w:pStyle w:val="10sp0"/>
        <w:numPr>
          <w:ilvl w:val="1"/>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rPr>
        <w:t>Explained whether any i</w:t>
      </w:r>
      <w:r w:rsidRPr="00041AD5" w:rsidR="0041441B">
        <w:rPr>
          <w:rFonts w:ascii="Palatino Linotype" w:hAnsi="Palatino Linotype"/>
          <w:color w:val="000000" w:themeColor="text1"/>
        </w:rPr>
        <w:t>nterest</w:t>
      </w:r>
      <w:r w:rsidRPr="00041AD5" w:rsidDel="00153309" w:rsidR="0041441B">
        <w:rPr>
          <w:rFonts w:ascii="Palatino Linotype" w:hAnsi="Palatino Linotype"/>
          <w:color w:val="000000" w:themeColor="text1"/>
        </w:rPr>
        <w:t xml:space="preserve"> </w:t>
      </w:r>
      <w:r w:rsidRPr="00041AD5" w:rsidR="00B52F04">
        <w:rPr>
          <w:rFonts w:ascii="Palatino Linotype" w:hAnsi="Palatino Linotype"/>
          <w:color w:val="000000" w:themeColor="text1"/>
        </w:rPr>
        <w:t xml:space="preserve">has </w:t>
      </w:r>
      <w:r w:rsidRPr="00041AD5" w:rsidR="0041441B">
        <w:rPr>
          <w:rFonts w:ascii="Palatino Linotype" w:hAnsi="Palatino Linotype"/>
          <w:color w:val="000000" w:themeColor="text1"/>
        </w:rPr>
        <w:t>accrued on deposited amounts in balancing accounts held by utilities</w:t>
      </w:r>
      <w:r w:rsidRPr="00041AD5" w:rsidR="00C92625">
        <w:rPr>
          <w:rFonts w:ascii="Palatino Linotype" w:hAnsi="Palatino Linotype"/>
          <w:color w:val="000000" w:themeColor="text1"/>
        </w:rPr>
        <w:t>.</w:t>
      </w:r>
      <w:r w:rsidRPr="00041AD5" w:rsidR="00C92625">
        <w:rPr>
          <w:rStyle w:val="FootnoteReference"/>
          <w:rFonts w:ascii="Palatino Linotype" w:hAnsi="Palatino Linotype"/>
          <w:color w:val="000000" w:themeColor="text1"/>
        </w:rPr>
        <w:footnoteReference w:id="61"/>
      </w:r>
      <w:r w:rsidRPr="00041AD5" w:rsidR="0041441B">
        <w:rPr>
          <w:rFonts w:ascii="Palatino Linotype" w:hAnsi="Palatino Linotype"/>
          <w:color w:val="000000" w:themeColor="text1"/>
        </w:rPr>
        <w:t xml:space="preserve"> </w:t>
      </w:r>
    </w:p>
    <w:p w:rsidRPr="00041AD5" w:rsidR="001255CB" w:rsidP="003B475F" w:rsidRDefault="00875736" w14:paraId="1ACA8B00" w14:textId="610BB083">
      <w:pPr>
        <w:pStyle w:val="10sp0"/>
        <w:numPr>
          <w:ilvl w:val="0"/>
          <w:numId w:val="10"/>
        </w:numPr>
        <w:spacing w:after="0" w:line="276" w:lineRule="auto"/>
        <w:rPr>
          <w:rFonts w:ascii="Palatino Linotype" w:hAnsi="Palatino Linotype"/>
          <w:color w:val="000000" w:themeColor="text1"/>
        </w:rPr>
      </w:pPr>
      <w:r w:rsidRPr="00041AD5">
        <w:rPr>
          <w:rFonts w:ascii="Palatino Linotype" w:hAnsi="Palatino Linotype"/>
          <w:color w:val="000000" w:themeColor="text1"/>
          <w:szCs w:val="24"/>
        </w:rPr>
        <w:t xml:space="preserve">The </w:t>
      </w:r>
      <w:r w:rsidRPr="00041AD5" w:rsidR="00CD59EE">
        <w:rPr>
          <w:rFonts w:ascii="Palatino Linotype" w:hAnsi="Palatino Linotype"/>
          <w:color w:val="000000" w:themeColor="text1"/>
          <w:szCs w:val="24"/>
        </w:rPr>
        <w:t>C</w:t>
      </w:r>
      <w:r w:rsidRPr="00041AD5" w:rsidR="00000B1E">
        <w:rPr>
          <w:rFonts w:ascii="Palatino Linotype" w:hAnsi="Palatino Linotype"/>
          <w:color w:val="000000" w:themeColor="text1"/>
          <w:szCs w:val="24"/>
        </w:rPr>
        <w:t>EC</w:t>
      </w:r>
      <w:r w:rsidRPr="00041AD5" w:rsidR="00000B1E">
        <w:rPr>
          <w:rFonts w:ascii="Palatino Linotype" w:hAnsi="Palatino Linotype"/>
          <w:color w:val="000000" w:themeColor="text1"/>
        </w:rPr>
        <w:t xml:space="preserve"> </w:t>
      </w:r>
      <w:r w:rsidRPr="00041AD5" w:rsidR="004F0514">
        <w:rPr>
          <w:rFonts w:ascii="Palatino Linotype" w:hAnsi="Palatino Linotype"/>
          <w:color w:val="000000" w:themeColor="text1"/>
        </w:rPr>
        <w:t>does not provide</w:t>
      </w:r>
      <w:r w:rsidRPr="00041AD5" w:rsidR="00000B1E">
        <w:rPr>
          <w:rFonts w:ascii="Palatino Linotype" w:hAnsi="Palatino Linotype"/>
          <w:color w:val="000000" w:themeColor="text1"/>
        </w:rPr>
        <w:t xml:space="preserve"> </w:t>
      </w:r>
      <w:r w:rsidR="003221CF">
        <w:rPr>
          <w:rFonts w:ascii="Palatino Linotype" w:hAnsi="Palatino Linotype"/>
          <w:color w:val="000000" w:themeColor="text1"/>
        </w:rPr>
        <w:t xml:space="preserve">sufficient </w:t>
      </w:r>
      <w:r w:rsidRPr="00041AD5" w:rsidR="00000B1E">
        <w:rPr>
          <w:rFonts w:ascii="Palatino Linotype" w:hAnsi="Palatino Linotype"/>
          <w:color w:val="000000" w:themeColor="text1"/>
        </w:rPr>
        <w:t xml:space="preserve">detail to demonstrate that </w:t>
      </w:r>
      <w:r w:rsidRPr="00041AD5" w:rsidR="004D7552">
        <w:rPr>
          <w:rFonts w:ascii="Palatino Linotype" w:hAnsi="Palatino Linotype"/>
          <w:color w:val="000000" w:themeColor="text1"/>
        </w:rPr>
        <w:t xml:space="preserve">each proposed </w:t>
      </w:r>
      <w:r w:rsidRPr="00041AD5" w:rsidR="00222EF3">
        <w:rPr>
          <w:rFonts w:ascii="Palatino Linotype" w:hAnsi="Palatino Linotype"/>
          <w:color w:val="000000" w:themeColor="text1"/>
        </w:rPr>
        <w:t>Initiative</w:t>
      </w:r>
      <w:r w:rsidRPr="00041AD5" w:rsidR="004D7552">
        <w:rPr>
          <w:rFonts w:ascii="Palatino Linotype" w:hAnsi="Palatino Linotype"/>
          <w:color w:val="000000" w:themeColor="text1"/>
        </w:rPr>
        <w:t xml:space="preserve"> is </w:t>
      </w:r>
      <w:r w:rsidRPr="00041AD5" w:rsidR="008D0189">
        <w:rPr>
          <w:rFonts w:ascii="Palatino Linotype" w:hAnsi="Palatino Linotype"/>
          <w:color w:val="000000" w:themeColor="text1"/>
        </w:rPr>
        <w:t xml:space="preserve">coordinated with the IOUs and other Gas RD&amp;D entities, including how </w:t>
      </w:r>
      <w:r w:rsidRPr="00041AD5" w:rsidR="00000B1E">
        <w:rPr>
          <w:rFonts w:ascii="Palatino Linotype" w:hAnsi="Palatino Linotype"/>
          <w:color w:val="000000" w:themeColor="text1"/>
        </w:rPr>
        <w:t xml:space="preserve">outputs and impacts </w:t>
      </w:r>
      <w:r w:rsidRPr="00041AD5" w:rsidR="008D0189">
        <w:rPr>
          <w:rFonts w:ascii="Palatino Linotype" w:hAnsi="Palatino Linotype"/>
          <w:color w:val="000000" w:themeColor="text1"/>
        </w:rPr>
        <w:t>are</w:t>
      </w:r>
      <w:r w:rsidRPr="00041AD5" w:rsidR="00000B1E">
        <w:rPr>
          <w:rFonts w:ascii="Palatino Linotype" w:hAnsi="Palatino Linotype"/>
          <w:color w:val="000000" w:themeColor="text1"/>
        </w:rPr>
        <w:t xml:space="preserve"> targeted and utilized to promote complementary rather than duplicative </w:t>
      </w:r>
      <w:r w:rsidRPr="00041AD5" w:rsidR="00BB7C46">
        <w:rPr>
          <w:rFonts w:ascii="Palatino Linotype" w:hAnsi="Palatino Linotype"/>
          <w:color w:val="000000" w:themeColor="text1"/>
        </w:rPr>
        <w:t xml:space="preserve">research </w:t>
      </w:r>
      <w:r w:rsidRPr="00041AD5" w:rsidR="00000B1E">
        <w:rPr>
          <w:rFonts w:ascii="Palatino Linotype" w:hAnsi="Palatino Linotype"/>
          <w:color w:val="000000" w:themeColor="text1"/>
        </w:rPr>
        <w:t>efforts</w:t>
      </w:r>
      <w:r w:rsidRPr="00041AD5" w:rsidR="00AA0F97">
        <w:rPr>
          <w:rFonts w:ascii="Palatino Linotype" w:hAnsi="Palatino Linotype"/>
          <w:color w:val="000000" w:themeColor="text1"/>
        </w:rPr>
        <w:t>.</w:t>
      </w:r>
      <w:r w:rsidRPr="00041AD5" w:rsidR="00C92625">
        <w:rPr>
          <w:rStyle w:val="FootnoteReference"/>
          <w:rFonts w:ascii="Palatino Linotype" w:hAnsi="Palatino Linotype"/>
          <w:color w:val="000000" w:themeColor="text1"/>
        </w:rPr>
        <w:footnoteReference w:id="62"/>
      </w:r>
      <w:r w:rsidRPr="00041AD5" w:rsidR="00000B1E">
        <w:rPr>
          <w:rFonts w:ascii="Palatino Linotype" w:hAnsi="Palatino Linotype"/>
          <w:color w:val="000000" w:themeColor="text1"/>
        </w:rPr>
        <w:t xml:space="preserve"> </w:t>
      </w:r>
    </w:p>
    <w:p w:rsidRPr="0062283C" w:rsidR="000B5F65" w:rsidP="0062283C" w:rsidRDefault="00875736" w14:paraId="1D66F13A" w14:textId="6877F154">
      <w:pPr>
        <w:pStyle w:val="10sp0"/>
        <w:numPr>
          <w:ilvl w:val="0"/>
          <w:numId w:val="10"/>
        </w:numPr>
        <w:spacing w:line="276" w:lineRule="auto"/>
        <w:rPr>
          <w:rFonts w:ascii="Palatino Linotype" w:hAnsi="Palatino Linotype"/>
          <w:color w:val="000000" w:themeColor="text1"/>
        </w:rPr>
      </w:pPr>
      <w:r w:rsidRPr="00041AD5">
        <w:rPr>
          <w:rFonts w:ascii="Palatino Linotype" w:hAnsi="Palatino Linotype"/>
          <w:color w:val="000000" w:themeColor="text1"/>
        </w:rPr>
        <w:lastRenderedPageBreak/>
        <w:t xml:space="preserve">The </w:t>
      </w:r>
      <w:r w:rsidRPr="00041AD5" w:rsidR="001255CB">
        <w:rPr>
          <w:rFonts w:ascii="Palatino Linotype" w:hAnsi="Palatino Linotype"/>
          <w:color w:val="000000" w:themeColor="text1"/>
        </w:rPr>
        <w:t xml:space="preserve">CEC </w:t>
      </w:r>
      <w:r w:rsidRPr="00041AD5" w:rsidR="004F0514">
        <w:rPr>
          <w:rFonts w:ascii="Palatino Linotype" w:hAnsi="Palatino Linotype"/>
          <w:color w:val="000000" w:themeColor="text1"/>
        </w:rPr>
        <w:t>does</w:t>
      </w:r>
      <w:r w:rsidRPr="00041AD5" w:rsidR="001255CB">
        <w:rPr>
          <w:rFonts w:ascii="Palatino Linotype" w:hAnsi="Palatino Linotype"/>
          <w:color w:val="000000" w:themeColor="text1"/>
        </w:rPr>
        <w:t xml:space="preserve"> not </w:t>
      </w:r>
      <w:r w:rsidRPr="00041AD5" w:rsidR="00BB4CF2">
        <w:rPr>
          <w:rFonts w:ascii="Palatino Linotype" w:hAnsi="Palatino Linotype"/>
          <w:color w:val="000000" w:themeColor="text1"/>
        </w:rPr>
        <w:t xml:space="preserve">demonstrate </w:t>
      </w:r>
      <w:r w:rsidRPr="00041AD5" w:rsidR="001255CB">
        <w:rPr>
          <w:rFonts w:ascii="Palatino Linotype" w:hAnsi="Palatino Linotype"/>
          <w:color w:val="000000" w:themeColor="text1"/>
          <w:szCs w:val="24"/>
        </w:rPr>
        <w:t>align</w:t>
      </w:r>
      <w:r w:rsidRPr="00041AD5" w:rsidR="00BB4CF2">
        <w:rPr>
          <w:rFonts w:ascii="Palatino Linotype" w:hAnsi="Palatino Linotype"/>
          <w:color w:val="000000" w:themeColor="text1"/>
          <w:szCs w:val="24"/>
        </w:rPr>
        <w:t xml:space="preserve">ment with </w:t>
      </w:r>
      <w:r w:rsidRPr="00041AD5" w:rsidR="00464A2F">
        <w:rPr>
          <w:rFonts w:ascii="Palatino Linotype" w:hAnsi="Palatino Linotype"/>
          <w:color w:val="000000" w:themeColor="text1"/>
          <w:szCs w:val="24"/>
        </w:rPr>
        <w:t>CPUC proceedings</w:t>
      </w:r>
      <w:r w:rsidRPr="00041AD5" w:rsidR="00725E1F">
        <w:rPr>
          <w:rStyle w:val="FootnoteReference"/>
          <w:rFonts w:ascii="Palatino Linotype" w:hAnsi="Palatino Linotype"/>
          <w:bCs/>
          <w:color w:val="000000" w:themeColor="text1"/>
          <w:szCs w:val="24"/>
        </w:rPr>
        <w:footnoteReference w:id="63"/>
      </w:r>
      <w:r w:rsidRPr="00041AD5" w:rsidR="00464A2F">
        <w:rPr>
          <w:rFonts w:ascii="Palatino Linotype" w:hAnsi="Palatino Linotype"/>
          <w:color w:val="000000" w:themeColor="text1"/>
          <w:szCs w:val="24"/>
        </w:rPr>
        <w:t xml:space="preserve"> and ratepayer benefit in</w:t>
      </w:r>
      <w:r w:rsidRPr="00041AD5" w:rsidR="001255CB">
        <w:rPr>
          <w:rFonts w:ascii="Palatino Linotype" w:hAnsi="Palatino Linotype"/>
          <w:color w:val="000000" w:themeColor="text1"/>
          <w:szCs w:val="24"/>
        </w:rPr>
        <w:t xml:space="preserve"> its</w:t>
      </w:r>
      <w:r w:rsidRPr="00041AD5" w:rsidR="003A7DAD">
        <w:rPr>
          <w:rFonts w:ascii="Palatino Linotype" w:hAnsi="Palatino Linotype"/>
          <w:color w:val="000000" w:themeColor="text1"/>
          <w:szCs w:val="24"/>
        </w:rPr>
        <w:t xml:space="preserve"> </w:t>
      </w:r>
      <w:r w:rsidRPr="00041AD5" w:rsidR="001255CB">
        <w:rPr>
          <w:rFonts w:ascii="Palatino Linotype" w:hAnsi="Palatino Linotype"/>
          <w:i/>
          <w:color w:val="000000" w:themeColor="text1"/>
          <w:szCs w:val="24"/>
        </w:rPr>
        <w:t xml:space="preserve">Support Equitable, Safe, and Cost-Effective Decarbonization of California’s Gas System </w:t>
      </w:r>
      <w:r w:rsidRPr="00041AD5" w:rsidR="001255CB">
        <w:rPr>
          <w:rFonts w:ascii="Palatino Linotype" w:hAnsi="Palatino Linotype"/>
          <w:bCs/>
          <w:color w:val="000000" w:themeColor="text1"/>
          <w:szCs w:val="24"/>
        </w:rPr>
        <w:t>and</w:t>
      </w:r>
      <w:r w:rsidRPr="00041AD5" w:rsidR="001255CB">
        <w:rPr>
          <w:rFonts w:ascii="Palatino Linotype" w:hAnsi="Palatino Linotype"/>
          <w:i/>
          <w:color w:val="000000" w:themeColor="text1"/>
          <w:szCs w:val="24"/>
        </w:rPr>
        <w:t xml:space="preserve"> </w:t>
      </w:r>
      <w:r w:rsidRPr="00041AD5" w:rsidR="001255CB">
        <w:rPr>
          <w:rFonts w:ascii="Palatino Linotype" w:hAnsi="Palatino Linotype" w:eastAsia="Palatino Linotype"/>
          <w:i/>
          <w:color w:val="000000" w:themeColor="text1"/>
        </w:rPr>
        <w:t>Fuel-Flexible Distributed Power Generation</w:t>
      </w:r>
      <w:r w:rsidRPr="00041AD5" w:rsidR="009522CB">
        <w:rPr>
          <w:rStyle w:val="FootnoteReference"/>
          <w:rFonts w:ascii="Palatino Linotype" w:hAnsi="Palatino Linotype"/>
          <w:bCs/>
          <w:color w:val="000000" w:themeColor="text1"/>
          <w:szCs w:val="24"/>
        </w:rPr>
        <w:footnoteReference w:id="64"/>
      </w:r>
      <w:r w:rsidRPr="00041AD5" w:rsidR="001255CB">
        <w:rPr>
          <w:rFonts w:ascii="Palatino Linotype" w:hAnsi="Palatino Linotype" w:eastAsia="Palatino Linotype"/>
          <w:color w:val="000000" w:themeColor="text1"/>
        </w:rPr>
        <w:t xml:space="preserve"> </w:t>
      </w:r>
      <w:r w:rsidRPr="00041AD5" w:rsidR="001255CB">
        <w:rPr>
          <w:rFonts w:ascii="Palatino Linotype" w:hAnsi="Palatino Linotype"/>
          <w:bCs/>
          <w:color w:val="000000" w:themeColor="text1"/>
          <w:szCs w:val="24"/>
        </w:rPr>
        <w:t>Initiatives</w:t>
      </w:r>
      <w:r w:rsidRPr="00041AD5" w:rsidR="00725E1F">
        <w:rPr>
          <w:rFonts w:ascii="Palatino Linotype" w:hAnsi="Palatino Linotype"/>
          <w:bCs/>
          <w:color w:val="000000" w:themeColor="text1"/>
          <w:szCs w:val="24"/>
        </w:rPr>
        <w:t>.</w:t>
      </w:r>
      <w:r w:rsidRPr="00041AD5" w:rsidR="00D27685">
        <w:rPr>
          <w:rFonts w:ascii="Palatino Linotype" w:hAnsi="Palatino Linotype"/>
          <w:bCs/>
          <w:color w:val="000000" w:themeColor="text1"/>
          <w:szCs w:val="24"/>
        </w:rPr>
        <w:t xml:space="preserve"> </w:t>
      </w:r>
      <w:r w:rsidRPr="00041AD5" w:rsidR="00047A59">
        <w:rPr>
          <w:rFonts w:ascii="Palatino Linotype" w:hAnsi="Palatino Linotype"/>
          <w:bCs/>
          <w:color w:val="000000" w:themeColor="text1"/>
          <w:szCs w:val="24"/>
        </w:rPr>
        <w:t>T</w:t>
      </w:r>
      <w:r w:rsidRPr="00041AD5" w:rsidR="00C26168">
        <w:rPr>
          <w:rFonts w:ascii="Palatino Linotype" w:hAnsi="Palatino Linotype"/>
          <w:bCs/>
          <w:color w:val="000000" w:themeColor="text1"/>
          <w:szCs w:val="24"/>
        </w:rPr>
        <w:t>he Commission has not provided guidance on the appropriate role of gas ratepayers in funding hydrogen RD&amp;D</w:t>
      </w:r>
      <w:r w:rsidRPr="00041AD5" w:rsidR="000609A4">
        <w:rPr>
          <w:rFonts w:ascii="Palatino Linotype" w:hAnsi="Palatino Linotype"/>
          <w:bCs/>
          <w:color w:val="000000" w:themeColor="text1"/>
          <w:szCs w:val="24"/>
        </w:rPr>
        <w:t xml:space="preserve">, therefore it is not an appropriate use of funds. Funding hydrogen RD&amp;D projects </w:t>
      </w:r>
      <w:r w:rsidRPr="00041AD5" w:rsidR="00C26168">
        <w:rPr>
          <w:rFonts w:ascii="Palatino Linotype" w:hAnsi="Palatino Linotype"/>
          <w:bCs/>
          <w:color w:val="000000" w:themeColor="text1"/>
          <w:szCs w:val="24"/>
        </w:rPr>
        <w:t xml:space="preserve">would have further implications for </w:t>
      </w:r>
      <w:r w:rsidRPr="00041AD5" w:rsidR="004735BE">
        <w:rPr>
          <w:rFonts w:ascii="Palatino Linotype" w:hAnsi="Palatino Linotype"/>
          <w:bCs/>
          <w:color w:val="000000" w:themeColor="text1"/>
          <w:szCs w:val="24"/>
        </w:rPr>
        <w:t xml:space="preserve">future </w:t>
      </w:r>
      <w:r w:rsidRPr="00041AD5" w:rsidR="00C26168">
        <w:rPr>
          <w:rFonts w:ascii="Palatino Linotype" w:hAnsi="Palatino Linotype"/>
          <w:bCs/>
          <w:color w:val="000000" w:themeColor="text1"/>
          <w:szCs w:val="24"/>
        </w:rPr>
        <w:t>ratepayer funding, including in future Gas RD&amp;D Plans.</w:t>
      </w:r>
    </w:p>
    <w:p w:rsidRPr="00041AD5" w:rsidR="00D77039" w:rsidP="00B91967" w:rsidRDefault="00A55840" w14:paraId="79AE4E97" w14:textId="6B34239D">
      <w:pPr>
        <w:pStyle w:val="10sp0"/>
        <w:spacing w:line="276" w:lineRule="auto"/>
        <w:rPr>
          <w:rFonts w:ascii="Palatino Linotype" w:hAnsi="Palatino Linotype" w:eastAsia="Palatino Linotype"/>
          <w:color w:val="000000" w:themeColor="text1"/>
        </w:rPr>
      </w:pPr>
      <w:r w:rsidRPr="00041AD5">
        <w:rPr>
          <w:rFonts w:ascii="Palatino Linotype" w:hAnsi="Palatino Linotype" w:eastAsia="Palatino Linotype"/>
          <w:color w:val="000000" w:themeColor="text1"/>
        </w:rPr>
        <w:t xml:space="preserve">The omissions noted above can be rectified with supplemental information. </w:t>
      </w:r>
      <w:r w:rsidRPr="00041AD5" w:rsidR="0013781D">
        <w:rPr>
          <w:rFonts w:ascii="Palatino Linotype" w:hAnsi="Palatino Linotype" w:eastAsia="Palatino Linotype"/>
          <w:color w:val="000000" w:themeColor="text1"/>
        </w:rPr>
        <w:t>T</w:t>
      </w:r>
      <w:r w:rsidRPr="00041AD5" w:rsidR="00653F1E">
        <w:rPr>
          <w:rFonts w:ascii="Palatino Linotype" w:hAnsi="Palatino Linotype" w:eastAsia="Palatino Linotype"/>
          <w:color w:val="000000" w:themeColor="text1"/>
        </w:rPr>
        <w:t xml:space="preserve">he </w:t>
      </w:r>
      <w:r w:rsidRPr="00041AD5" w:rsidR="00A71FB0">
        <w:rPr>
          <w:rFonts w:ascii="Palatino Linotype" w:hAnsi="Palatino Linotype" w:eastAsia="Palatino Linotype"/>
          <w:color w:val="000000" w:themeColor="text1"/>
        </w:rPr>
        <w:t xml:space="preserve">CEC shall submit a revised </w:t>
      </w:r>
      <w:r w:rsidRPr="00041AD5" w:rsidR="00585E74">
        <w:rPr>
          <w:rFonts w:ascii="Palatino Linotype" w:hAnsi="Palatino Linotype" w:eastAsia="Palatino Linotype"/>
          <w:color w:val="000000" w:themeColor="text1"/>
        </w:rPr>
        <w:t xml:space="preserve">2024 </w:t>
      </w:r>
      <w:r w:rsidRPr="00041AD5" w:rsidR="00C17FF0">
        <w:rPr>
          <w:rFonts w:ascii="Palatino Linotype" w:hAnsi="Palatino Linotype" w:eastAsia="Palatino Linotype"/>
          <w:color w:val="000000" w:themeColor="text1"/>
        </w:rPr>
        <w:t xml:space="preserve">Plan via </w:t>
      </w:r>
      <w:r w:rsidRPr="00041AD5" w:rsidR="00A71FB0">
        <w:rPr>
          <w:rFonts w:ascii="Palatino Linotype" w:hAnsi="Palatino Linotype" w:eastAsia="Palatino Linotype"/>
          <w:color w:val="000000" w:themeColor="text1"/>
        </w:rPr>
        <w:t xml:space="preserve">Tier </w:t>
      </w:r>
      <w:r w:rsidRPr="00041AD5" w:rsidR="00C17FF0">
        <w:rPr>
          <w:rFonts w:ascii="Palatino Linotype" w:hAnsi="Palatino Linotype" w:eastAsia="Palatino Linotype"/>
          <w:color w:val="000000" w:themeColor="text1"/>
        </w:rPr>
        <w:t>2</w:t>
      </w:r>
      <w:r w:rsidRPr="00041AD5" w:rsidR="00A71FB0">
        <w:rPr>
          <w:rFonts w:ascii="Palatino Linotype" w:hAnsi="Palatino Linotype" w:eastAsia="Palatino Linotype"/>
          <w:color w:val="000000" w:themeColor="text1"/>
        </w:rPr>
        <w:t xml:space="preserve"> AL within 90 days</w:t>
      </w:r>
      <w:r w:rsidRPr="00041AD5" w:rsidR="001E137A">
        <w:rPr>
          <w:rFonts w:ascii="Palatino Linotype" w:hAnsi="Palatino Linotype" w:eastAsia="Palatino Linotype"/>
          <w:color w:val="000000" w:themeColor="text1"/>
        </w:rPr>
        <w:t xml:space="preserve"> that can</w:t>
      </w:r>
      <w:r w:rsidRPr="00041AD5" w:rsidR="00A71FB0">
        <w:rPr>
          <w:rFonts w:ascii="Palatino Linotype" w:hAnsi="Palatino Linotype" w:eastAsia="Palatino Linotype"/>
          <w:color w:val="000000" w:themeColor="text1"/>
        </w:rPr>
        <w:t xml:space="preserve"> address the </w:t>
      </w:r>
      <w:r w:rsidRPr="00041AD5" w:rsidR="00EE757C">
        <w:rPr>
          <w:rFonts w:ascii="Palatino Linotype" w:hAnsi="Palatino Linotype" w:eastAsia="Palatino Linotype"/>
          <w:color w:val="000000" w:themeColor="text1"/>
        </w:rPr>
        <w:t>items</w:t>
      </w:r>
      <w:r w:rsidRPr="00041AD5" w:rsidR="00A71FB0">
        <w:rPr>
          <w:rFonts w:ascii="Palatino Linotype" w:hAnsi="Palatino Linotype" w:eastAsia="Palatino Linotype"/>
          <w:color w:val="000000" w:themeColor="text1"/>
        </w:rPr>
        <w:t xml:space="preserve"> described above</w:t>
      </w:r>
      <w:r w:rsidRPr="00041AD5" w:rsidR="00EE757C">
        <w:rPr>
          <w:rFonts w:ascii="Palatino Linotype" w:hAnsi="Palatino Linotype" w:eastAsia="Palatino Linotype"/>
          <w:color w:val="000000" w:themeColor="text1"/>
        </w:rPr>
        <w:t>,</w:t>
      </w:r>
      <w:r w:rsidRPr="00041AD5" w:rsidR="00A71FB0">
        <w:rPr>
          <w:rFonts w:ascii="Palatino Linotype" w:hAnsi="Palatino Linotype" w:eastAsia="Palatino Linotype"/>
          <w:color w:val="000000" w:themeColor="text1"/>
        </w:rPr>
        <w:t xml:space="preserve"> and as detailed in </w:t>
      </w:r>
      <w:r w:rsidRPr="00041AD5" w:rsidR="00EA62B8">
        <w:rPr>
          <w:rFonts w:ascii="Palatino Linotype" w:hAnsi="Palatino Linotype" w:eastAsia="Palatino Linotype"/>
          <w:color w:val="000000" w:themeColor="text1"/>
        </w:rPr>
        <w:t>A</w:t>
      </w:r>
      <w:r w:rsidRPr="00041AD5" w:rsidR="00A71FB0">
        <w:rPr>
          <w:rFonts w:ascii="Palatino Linotype" w:hAnsi="Palatino Linotype" w:eastAsia="Palatino Linotype"/>
          <w:color w:val="000000" w:themeColor="text1"/>
        </w:rPr>
        <w:t xml:space="preserve">ppendix </w:t>
      </w:r>
      <w:r w:rsidRPr="00041AD5" w:rsidR="00587988">
        <w:rPr>
          <w:rFonts w:ascii="Palatino Linotype" w:hAnsi="Palatino Linotype" w:eastAsia="Palatino Linotype"/>
          <w:color w:val="000000" w:themeColor="text1"/>
        </w:rPr>
        <w:t>G</w:t>
      </w:r>
      <w:r w:rsidRPr="00041AD5" w:rsidR="00EA62B8">
        <w:rPr>
          <w:rFonts w:ascii="Palatino Linotype" w:hAnsi="Palatino Linotype" w:eastAsia="Palatino Linotype"/>
          <w:color w:val="000000" w:themeColor="text1"/>
        </w:rPr>
        <w:t xml:space="preserve"> </w:t>
      </w:r>
      <w:r w:rsidRPr="00041AD5" w:rsidR="00A71FB0">
        <w:rPr>
          <w:rFonts w:ascii="Palatino Linotype" w:hAnsi="Palatino Linotype" w:eastAsia="Palatino Linotype"/>
          <w:color w:val="000000" w:themeColor="text1"/>
        </w:rPr>
        <w:t>of this Resolution</w:t>
      </w:r>
      <w:r w:rsidRPr="00041AD5" w:rsidR="00934624">
        <w:rPr>
          <w:rFonts w:ascii="Palatino Linotype" w:hAnsi="Palatino Linotype" w:eastAsia="Palatino Linotype"/>
          <w:color w:val="000000" w:themeColor="text1"/>
        </w:rPr>
        <w:t>.</w:t>
      </w:r>
      <w:r w:rsidRPr="00041AD5" w:rsidR="00A71FB0">
        <w:rPr>
          <w:rStyle w:val="FootnoteReference"/>
          <w:rFonts w:ascii="Palatino Linotype" w:hAnsi="Palatino Linotype" w:eastAsia="Palatino Linotype"/>
          <w:color w:val="000000" w:themeColor="text1"/>
        </w:rPr>
        <w:footnoteReference w:id="65"/>
      </w:r>
      <w:r w:rsidRPr="00041AD5" w:rsidR="00425BCB">
        <w:rPr>
          <w:rFonts w:ascii="Palatino Linotype" w:hAnsi="Palatino Linotype" w:eastAsia="Palatino Linotype"/>
          <w:color w:val="000000" w:themeColor="text1"/>
        </w:rPr>
        <w:t xml:space="preserve"> </w:t>
      </w:r>
      <w:r w:rsidRPr="00041AD5" w:rsidR="00E109EF">
        <w:rPr>
          <w:rFonts w:ascii="Palatino Linotype" w:hAnsi="Palatino Linotype" w:eastAsia="Palatino Linotype"/>
          <w:color w:val="000000" w:themeColor="text1"/>
        </w:rPr>
        <w:t xml:space="preserve">Once approved, the CEC will have full approval </w:t>
      </w:r>
      <w:r w:rsidRPr="00041AD5" w:rsidR="00B633F1">
        <w:rPr>
          <w:rFonts w:ascii="Palatino Linotype" w:hAnsi="Palatino Linotype" w:eastAsia="Palatino Linotype"/>
          <w:color w:val="000000" w:themeColor="text1"/>
        </w:rPr>
        <w:t xml:space="preserve">of its 2024 Plan and can </w:t>
      </w:r>
      <w:r w:rsidRPr="00041AD5" w:rsidR="00DC51C9">
        <w:rPr>
          <w:rFonts w:ascii="Palatino Linotype" w:hAnsi="Palatino Linotype" w:eastAsia="Palatino Linotype"/>
          <w:color w:val="000000" w:themeColor="text1"/>
        </w:rPr>
        <w:t>utilize authorized fund</w:t>
      </w:r>
      <w:r w:rsidRPr="00041AD5" w:rsidR="002A3840">
        <w:rPr>
          <w:rFonts w:ascii="Palatino Linotype" w:hAnsi="Palatino Linotype" w:eastAsia="Palatino Linotype"/>
          <w:color w:val="000000" w:themeColor="text1"/>
        </w:rPr>
        <w:t>ing</w:t>
      </w:r>
      <w:r w:rsidRPr="00041AD5" w:rsidR="00DC51C9">
        <w:rPr>
          <w:rFonts w:ascii="Palatino Linotype" w:hAnsi="Palatino Linotype" w:eastAsia="Palatino Linotype"/>
          <w:color w:val="000000" w:themeColor="text1"/>
        </w:rPr>
        <w:t>.</w:t>
      </w:r>
      <w:r w:rsidRPr="00041AD5" w:rsidR="001A5364">
        <w:rPr>
          <w:rFonts w:ascii="Palatino Linotype" w:hAnsi="Palatino Linotype" w:eastAsia="Palatino Linotype"/>
          <w:color w:val="000000" w:themeColor="text1"/>
        </w:rPr>
        <w:t xml:space="preserve"> </w:t>
      </w:r>
    </w:p>
    <w:p w:rsidR="0020213F" w:rsidP="00B609BE" w:rsidRDefault="00D77039" w14:paraId="45A64E8C" w14:textId="60CEAFC5">
      <w:pPr>
        <w:pStyle w:val="10sp0"/>
        <w:spacing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 xml:space="preserve">In addition, Energy Division </w:t>
      </w:r>
      <w:r w:rsidRPr="00041AD5" w:rsidR="000A54B6">
        <w:rPr>
          <w:rFonts w:ascii="Palatino Linotype" w:hAnsi="Palatino Linotype" w:eastAsia="Palatino Linotype"/>
          <w:color w:val="000000" w:themeColor="text1"/>
        </w:rPr>
        <w:t xml:space="preserve">staff </w:t>
      </w:r>
      <w:r w:rsidRPr="00041AD5">
        <w:rPr>
          <w:rFonts w:ascii="Palatino Linotype" w:hAnsi="Palatino Linotype" w:eastAsia="Palatino Linotype"/>
          <w:color w:val="000000" w:themeColor="text1"/>
        </w:rPr>
        <w:t xml:space="preserve">worked with CEC staff to review the balance of previously </w:t>
      </w:r>
      <w:r w:rsidRPr="00041AD5" w:rsidR="009E0CFA">
        <w:rPr>
          <w:rFonts w:ascii="Palatino Linotype" w:hAnsi="Palatino Linotype" w:eastAsia="Palatino Linotype"/>
          <w:color w:val="000000" w:themeColor="text1"/>
        </w:rPr>
        <w:t>approved</w:t>
      </w:r>
      <w:r w:rsidRPr="00041AD5">
        <w:rPr>
          <w:rFonts w:ascii="Palatino Linotype" w:hAnsi="Palatino Linotype" w:eastAsia="Palatino Linotype"/>
          <w:color w:val="000000" w:themeColor="text1"/>
        </w:rPr>
        <w:t xml:space="preserve"> funds </w:t>
      </w:r>
      <w:r w:rsidRPr="00041AD5" w:rsidR="00C44A5E">
        <w:rPr>
          <w:rFonts w:ascii="Palatino Linotype" w:hAnsi="Palatino Linotype" w:eastAsia="Palatino Linotype"/>
          <w:color w:val="000000" w:themeColor="text1"/>
        </w:rPr>
        <w:t xml:space="preserve">from its FY 2015-2016 Plan to present </w:t>
      </w:r>
      <w:r w:rsidRPr="00041AD5">
        <w:rPr>
          <w:rFonts w:ascii="Palatino Linotype" w:hAnsi="Palatino Linotype" w:eastAsia="Palatino Linotype"/>
          <w:color w:val="000000" w:themeColor="text1"/>
        </w:rPr>
        <w:t xml:space="preserve">in relation to currently requested funds for </w:t>
      </w:r>
      <w:r w:rsidRPr="00041AD5" w:rsidR="00DF598B">
        <w:rPr>
          <w:rFonts w:ascii="Palatino Linotype" w:hAnsi="Palatino Linotype" w:eastAsia="Palatino Linotype"/>
          <w:color w:val="000000" w:themeColor="text1"/>
        </w:rPr>
        <w:t>the CEC’s</w:t>
      </w:r>
      <w:r w:rsidRPr="00041AD5">
        <w:rPr>
          <w:rFonts w:ascii="Palatino Linotype" w:hAnsi="Palatino Linotype" w:eastAsia="Palatino Linotype"/>
          <w:color w:val="000000" w:themeColor="text1"/>
        </w:rPr>
        <w:t xml:space="preserve"> 2024 Plan. The CEC has available funding unspent from prior years; as of the April 30, 2026</w:t>
      </w:r>
      <w:r w:rsidRPr="00041AD5" w:rsidR="00EC75B7">
        <w:rPr>
          <w:rFonts w:ascii="Palatino Linotype" w:hAnsi="Palatino Linotype" w:eastAsia="Palatino Linotype"/>
          <w:color w:val="000000" w:themeColor="text1"/>
        </w:rPr>
        <w:t>,</w:t>
      </w:r>
      <w:r w:rsidRPr="00041AD5">
        <w:rPr>
          <w:rFonts w:ascii="Palatino Linotype" w:hAnsi="Palatino Linotype" w:eastAsia="Palatino Linotype"/>
          <w:color w:val="000000" w:themeColor="text1"/>
        </w:rPr>
        <w:t xml:space="preserve"> data request, the CEC reported </w:t>
      </w:r>
      <w:r w:rsidRPr="00041AD5" w:rsidR="00873C26">
        <w:rPr>
          <w:rFonts w:ascii="Palatino Linotype" w:hAnsi="Palatino Linotype" w:eastAsia="Palatino Linotype"/>
          <w:color w:val="000000" w:themeColor="text1"/>
        </w:rPr>
        <w:t>$31,076,691</w:t>
      </w:r>
      <w:r w:rsidRPr="00041AD5">
        <w:rPr>
          <w:rFonts w:ascii="Palatino Linotype" w:hAnsi="Palatino Linotype" w:eastAsia="Palatino Linotype"/>
          <w:color w:val="000000" w:themeColor="text1"/>
        </w:rPr>
        <w:t xml:space="preserve"> in applicable unspent</w:t>
      </w:r>
      <w:r w:rsidRPr="00041AD5">
        <w:rPr>
          <w:rFonts w:ascii="Palatino Linotype" w:hAnsi="Palatino Linotype" w:eastAsia="Palatino Linotype"/>
          <w:b/>
          <w:bCs/>
          <w:color w:val="000000" w:themeColor="text1"/>
        </w:rPr>
        <w:t xml:space="preserve"> </w:t>
      </w:r>
      <w:r w:rsidRPr="00041AD5">
        <w:rPr>
          <w:rFonts w:ascii="Palatino Linotype" w:hAnsi="Palatino Linotype" w:eastAsia="Palatino Linotype"/>
          <w:color w:val="000000" w:themeColor="text1"/>
        </w:rPr>
        <w:t>fund balances. Therefore,</w:t>
      </w:r>
      <w:r w:rsidRPr="00041AD5" w:rsidR="00691536">
        <w:rPr>
          <w:rFonts w:ascii="Palatino Linotype" w:hAnsi="Palatino Linotype" w:eastAsia="Palatino Linotype"/>
          <w:color w:val="000000" w:themeColor="text1"/>
        </w:rPr>
        <w:t xml:space="preserve"> </w:t>
      </w:r>
      <w:r w:rsidRPr="00041AD5" w:rsidR="005724CB">
        <w:rPr>
          <w:rFonts w:ascii="Palatino Linotype" w:hAnsi="Palatino Linotype" w:eastAsia="Palatino Linotype"/>
          <w:color w:val="000000" w:themeColor="text1"/>
        </w:rPr>
        <w:t>t</w:t>
      </w:r>
      <w:r w:rsidRPr="00041AD5" w:rsidR="006A00AA">
        <w:rPr>
          <w:rFonts w:ascii="Palatino Linotype" w:hAnsi="Palatino Linotype" w:eastAsia="Palatino Linotype"/>
          <w:color w:val="000000" w:themeColor="text1"/>
        </w:rPr>
        <w:t>o fund its 2024 Plan, t</w:t>
      </w:r>
      <w:r w:rsidRPr="00041AD5" w:rsidR="006A00AA">
        <w:rPr>
          <w:rFonts w:ascii="Palatino Linotype" w:hAnsi="Palatino Linotype" w:eastAsia="Times New Roman"/>
          <w:color w:val="000000" w:themeColor="text1"/>
        </w:rPr>
        <w:t xml:space="preserve">he CEC shall first utilize its </w:t>
      </w:r>
      <w:r w:rsidRPr="00041AD5" w:rsidR="006A00AA">
        <w:rPr>
          <w:rFonts w:ascii="Palatino Linotype" w:hAnsi="Palatino Linotype" w:eastAsia="Palatino Linotype"/>
          <w:color w:val="000000" w:themeColor="text1"/>
        </w:rPr>
        <w:t>balance of applicable unspent</w:t>
      </w:r>
      <w:r w:rsidRPr="00041AD5" w:rsidR="006A00AA">
        <w:rPr>
          <w:rFonts w:ascii="Palatino Linotype" w:hAnsi="Palatino Linotype" w:eastAsia="Palatino Linotype"/>
          <w:b/>
          <w:bCs/>
          <w:color w:val="000000" w:themeColor="text1"/>
        </w:rPr>
        <w:t xml:space="preserve"> </w:t>
      </w:r>
      <w:r w:rsidRPr="00041AD5" w:rsidR="006A00AA">
        <w:rPr>
          <w:rFonts w:ascii="Palatino Linotype" w:hAnsi="Palatino Linotype" w:eastAsia="Palatino Linotype"/>
          <w:color w:val="000000" w:themeColor="text1"/>
        </w:rPr>
        <w:t>funds g</w:t>
      </w:r>
      <w:r w:rsidRPr="00041AD5" w:rsidR="006A00AA">
        <w:rPr>
          <w:rFonts w:ascii="Palatino Linotype" w:hAnsi="Palatino Linotype"/>
          <w:color w:val="000000" w:themeColor="text1"/>
        </w:rPr>
        <w:t>iven this balance exceeds the $21.6 million</w:t>
      </w:r>
      <w:r w:rsidRPr="00041AD5" w:rsidR="005724CB">
        <w:rPr>
          <w:rFonts w:ascii="Palatino Linotype" w:hAnsi="Palatino Linotype"/>
          <w:color w:val="000000" w:themeColor="text1"/>
        </w:rPr>
        <w:t xml:space="preserve"> requested</w:t>
      </w:r>
      <w:r w:rsidRPr="00041AD5" w:rsidR="006A00AA">
        <w:rPr>
          <w:rFonts w:ascii="Palatino Linotype" w:hAnsi="Palatino Linotype"/>
          <w:color w:val="000000" w:themeColor="text1"/>
        </w:rPr>
        <w:t xml:space="preserve"> budget for Initiatives</w:t>
      </w:r>
      <w:r w:rsidRPr="00041AD5" w:rsidR="001D0E78">
        <w:rPr>
          <w:rFonts w:ascii="Palatino Linotype" w:hAnsi="Palatino Linotype"/>
          <w:color w:val="000000" w:themeColor="text1"/>
        </w:rPr>
        <w:t>.</w:t>
      </w:r>
      <w:r w:rsidRPr="00041AD5" w:rsidR="006A00AA">
        <w:rPr>
          <w:rFonts w:ascii="Palatino Linotype" w:hAnsi="Palatino Linotype"/>
          <w:color w:val="000000" w:themeColor="text1"/>
        </w:rPr>
        <w:t xml:space="preserve"> </w:t>
      </w:r>
      <w:r w:rsidRPr="00041AD5" w:rsidR="001D0E78">
        <w:rPr>
          <w:rFonts w:ascii="Palatino Linotype" w:hAnsi="Palatino Linotype"/>
          <w:color w:val="000000" w:themeColor="text1"/>
        </w:rPr>
        <w:t>T</w:t>
      </w:r>
      <w:r w:rsidRPr="00041AD5" w:rsidR="006A00AA">
        <w:rPr>
          <w:rFonts w:ascii="Palatino Linotype" w:hAnsi="Palatino Linotype"/>
          <w:color w:val="000000" w:themeColor="text1"/>
        </w:rPr>
        <w:t>he CEC shall utilize</w:t>
      </w:r>
      <w:r w:rsidRPr="00041AD5" w:rsidR="001D0E78">
        <w:rPr>
          <w:rFonts w:ascii="Palatino Linotype" w:hAnsi="Palatino Linotype"/>
          <w:color w:val="000000" w:themeColor="text1"/>
        </w:rPr>
        <w:t xml:space="preserve"> its existing balance of</w:t>
      </w:r>
      <w:r w:rsidRPr="00041AD5" w:rsidR="006A00AA">
        <w:rPr>
          <w:rFonts w:ascii="Palatino Linotype" w:hAnsi="Palatino Linotype"/>
          <w:color w:val="000000" w:themeColor="text1"/>
        </w:rPr>
        <w:t xml:space="preserve"> unspent funds</w:t>
      </w:r>
      <w:r w:rsidRPr="00041AD5" w:rsidR="001D65F2">
        <w:rPr>
          <w:rFonts w:ascii="Palatino Linotype" w:hAnsi="Palatino Linotype"/>
          <w:color w:val="000000" w:themeColor="text1"/>
        </w:rPr>
        <w:t xml:space="preserve"> as well as </w:t>
      </w:r>
      <w:r w:rsidRPr="00041AD5" w:rsidR="006A108B">
        <w:rPr>
          <w:rFonts w:ascii="Palatino Linotype" w:hAnsi="Palatino Linotype"/>
          <w:color w:val="000000" w:themeColor="text1"/>
        </w:rPr>
        <w:t xml:space="preserve">previously approved </w:t>
      </w:r>
      <w:r w:rsidRPr="00041AD5" w:rsidR="0028561F">
        <w:rPr>
          <w:rFonts w:ascii="Palatino Linotype" w:hAnsi="Palatino Linotype"/>
          <w:color w:val="000000" w:themeColor="text1"/>
        </w:rPr>
        <w:t xml:space="preserve">associated Program Administrative funds </w:t>
      </w:r>
      <w:r w:rsidRPr="00041AD5" w:rsidR="006A00AA">
        <w:rPr>
          <w:rFonts w:ascii="Palatino Linotype" w:hAnsi="Palatino Linotype"/>
          <w:color w:val="000000" w:themeColor="text1"/>
        </w:rPr>
        <w:t xml:space="preserve">in its Public Interest RD&amp;D Fund for </w:t>
      </w:r>
      <w:r w:rsidRPr="00041AD5" w:rsidR="00F20C09">
        <w:rPr>
          <w:rFonts w:ascii="Palatino Linotype" w:hAnsi="Palatino Linotype"/>
          <w:color w:val="000000" w:themeColor="text1"/>
        </w:rPr>
        <w:t xml:space="preserve">expenses arising from the implementation of the CEC </w:t>
      </w:r>
      <w:r w:rsidRPr="00041AD5" w:rsidR="006A00AA">
        <w:rPr>
          <w:rFonts w:ascii="Palatino Linotype" w:hAnsi="Palatino Linotype"/>
          <w:color w:val="000000" w:themeColor="text1"/>
        </w:rPr>
        <w:t xml:space="preserve">2024 Plan. </w:t>
      </w:r>
      <w:r w:rsidRPr="00041AD5" w:rsidR="006F758C">
        <w:rPr>
          <w:rFonts w:ascii="Palatino Linotype" w:hAnsi="Palatino Linotype"/>
          <w:color w:val="000000" w:themeColor="text1"/>
        </w:rPr>
        <w:t>The CPUC is not currently able to authorize additional funding sinc</w:t>
      </w:r>
      <w:r w:rsidRPr="00041AD5" w:rsidR="00230E28">
        <w:rPr>
          <w:rFonts w:ascii="Palatino Linotype" w:hAnsi="Palatino Linotype"/>
          <w:color w:val="000000" w:themeColor="text1"/>
        </w:rPr>
        <w:t xml:space="preserve">e </w:t>
      </w:r>
      <w:r w:rsidRPr="00041AD5" w:rsidR="007B727F">
        <w:rPr>
          <w:rFonts w:ascii="Palatino Linotype" w:hAnsi="Palatino Linotype"/>
          <w:color w:val="000000" w:themeColor="text1"/>
        </w:rPr>
        <w:t xml:space="preserve">Program Administration </w:t>
      </w:r>
      <w:r w:rsidRPr="00041AD5" w:rsidR="00F72155">
        <w:rPr>
          <w:rFonts w:ascii="Palatino Linotype" w:hAnsi="Palatino Linotype"/>
          <w:color w:val="000000" w:themeColor="text1"/>
        </w:rPr>
        <w:t xml:space="preserve">funds </w:t>
      </w:r>
      <w:r w:rsidRPr="00041AD5" w:rsidR="00E869E4">
        <w:rPr>
          <w:rFonts w:ascii="Palatino Linotype" w:hAnsi="Palatino Linotype"/>
          <w:color w:val="000000" w:themeColor="text1"/>
        </w:rPr>
        <w:t xml:space="preserve">were already jointly allocated with the unspent funds. If the CPUC were to allocate additional Program Administration dollars </w:t>
      </w:r>
      <w:r w:rsidRPr="00041AD5" w:rsidR="00F72155">
        <w:rPr>
          <w:rFonts w:ascii="Palatino Linotype" w:hAnsi="Palatino Linotype"/>
          <w:color w:val="000000" w:themeColor="text1"/>
        </w:rPr>
        <w:t>associated with th</w:t>
      </w:r>
      <w:r w:rsidRPr="00041AD5" w:rsidR="00BC2E77">
        <w:rPr>
          <w:rFonts w:ascii="Palatino Linotype" w:hAnsi="Palatino Linotype"/>
          <w:color w:val="000000" w:themeColor="text1"/>
        </w:rPr>
        <w:t>ese</w:t>
      </w:r>
      <w:r w:rsidRPr="00041AD5" w:rsidR="007B727F">
        <w:rPr>
          <w:rFonts w:ascii="Palatino Linotype" w:hAnsi="Palatino Linotype"/>
          <w:color w:val="000000" w:themeColor="text1"/>
        </w:rPr>
        <w:t xml:space="preserve"> </w:t>
      </w:r>
      <w:r w:rsidRPr="00041AD5" w:rsidR="00F72155">
        <w:rPr>
          <w:rFonts w:ascii="Palatino Linotype" w:hAnsi="Palatino Linotype"/>
          <w:color w:val="000000" w:themeColor="text1"/>
        </w:rPr>
        <w:t xml:space="preserve">previously approved </w:t>
      </w:r>
      <w:r w:rsidRPr="00041AD5" w:rsidR="00E869E4">
        <w:rPr>
          <w:rFonts w:ascii="Palatino Linotype" w:hAnsi="Palatino Linotype"/>
          <w:color w:val="000000" w:themeColor="text1"/>
        </w:rPr>
        <w:t xml:space="preserve">(but unspent) </w:t>
      </w:r>
      <w:r w:rsidRPr="00041AD5" w:rsidR="00F72155">
        <w:rPr>
          <w:rFonts w:ascii="Palatino Linotype" w:hAnsi="Palatino Linotype"/>
          <w:color w:val="000000" w:themeColor="text1"/>
        </w:rPr>
        <w:t>funds</w:t>
      </w:r>
      <w:r w:rsidRPr="00041AD5" w:rsidR="00751A8F">
        <w:rPr>
          <w:rFonts w:ascii="Palatino Linotype" w:hAnsi="Palatino Linotype"/>
          <w:color w:val="000000" w:themeColor="text1"/>
        </w:rPr>
        <w:t>, then the ratepayer contribution</w:t>
      </w:r>
      <w:r w:rsidRPr="00041AD5" w:rsidR="00F72155">
        <w:rPr>
          <w:rFonts w:ascii="Palatino Linotype" w:hAnsi="Palatino Linotype"/>
          <w:color w:val="000000" w:themeColor="text1"/>
        </w:rPr>
        <w:t xml:space="preserve"> </w:t>
      </w:r>
      <w:r w:rsidRPr="00041AD5" w:rsidR="007B727F">
        <w:rPr>
          <w:rFonts w:ascii="Palatino Linotype" w:hAnsi="Palatino Linotype"/>
          <w:color w:val="000000" w:themeColor="text1"/>
        </w:rPr>
        <w:t>would</w:t>
      </w:r>
      <w:r w:rsidRPr="00041AD5" w:rsidR="00846073">
        <w:rPr>
          <w:rFonts w:ascii="Palatino Linotype" w:hAnsi="Palatino Linotype"/>
          <w:color w:val="000000" w:themeColor="text1"/>
        </w:rPr>
        <w:t xml:space="preserve"> </w:t>
      </w:r>
      <w:r w:rsidRPr="00041AD5" w:rsidR="00F72155">
        <w:rPr>
          <w:rFonts w:ascii="Palatino Linotype" w:hAnsi="Palatino Linotype"/>
          <w:color w:val="000000" w:themeColor="text1"/>
        </w:rPr>
        <w:t>exceed</w:t>
      </w:r>
      <w:r w:rsidRPr="00041AD5" w:rsidR="007B727F">
        <w:rPr>
          <w:rFonts w:ascii="Palatino Linotype" w:hAnsi="Palatino Linotype"/>
          <w:color w:val="000000" w:themeColor="text1"/>
        </w:rPr>
        <w:t xml:space="preserve"> the 10% administrative cost budget cap</w:t>
      </w:r>
      <w:r w:rsidRPr="00041AD5" w:rsidR="00D35042">
        <w:rPr>
          <w:rFonts w:ascii="Palatino Linotype" w:hAnsi="Palatino Linotype"/>
          <w:color w:val="000000" w:themeColor="text1"/>
        </w:rPr>
        <w:t>.</w:t>
      </w:r>
      <w:r w:rsidRPr="00041AD5" w:rsidR="00092785">
        <w:rPr>
          <w:rStyle w:val="FootnoteReference"/>
          <w:rFonts w:ascii="Palatino Linotype" w:hAnsi="Palatino Linotype"/>
          <w:color w:val="000000" w:themeColor="text1"/>
        </w:rPr>
        <w:footnoteReference w:id="66"/>
      </w:r>
    </w:p>
    <w:p w:rsidR="00B609BE" w:rsidP="00B609BE" w:rsidRDefault="00B609BE" w14:paraId="70D2B1E5" w14:textId="77777777">
      <w:pPr>
        <w:pStyle w:val="10sp0"/>
        <w:spacing w:line="276" w:lineRule="auto"/>
        <w:rPr>
          <w:rFonts w:ascii="Palatino Linotype" w:hAnsi="Palatino Linotype"/>
          <w:color w:val="000000" w:themeColor="text1"/>
        </w:rPr>
      </w:pPr>
    </w:p>
    <w:p w:rsidRPr="00041AD5" w:rsidR="0020213F" w:rsidP="0020213F" w:rsidRDefault="0020213F" w14:paraId="2377D932" w14:textId="77777777">
      <w:pPr>
        <w:pStyle w:val="10sp0"/>
        <w:spacing w:after="0" w:line="276" w:lineRule="auto"/>
        <w:rPr>
          <w:rFonts w:ascii="Palatino Linotype" w:hAnsi="Palatino Linotype" w:eastAsia="Palatino Linotype"/>
          <w:color w:val="000000" w:themeColor="text1"/>
        </w:rPr>
      </w:pPr>
    </w:p>
    <w:tbl>
      <w:tblPr>
        <w:tblStyle w:val="TableGrid"/>
        <w:tblW w:w="9558" w:type="dxa"/>
        <w:tblInd w:w="-113" w:type="dxa"/>
        <w:tblLayout w:type="fixed"/>
        <w:tblLook w:val="04A0" w:firstRow="1" w:lastRow="0" w:firstColumn="1" w:lastColumn="0" w:noHBand="0" w:noVBand="1"/>
      </w:tblPr>
      <w:tblGrid>
        <w:gridCol w:w="6768"/>
        <w:gridCol w:w="990"/>
        <w:gridCol w:w="1800"/>
      </w:tblGrid>
      <w:tr w:rsidRPr="00041AD5" w:rsidR="00465E31" w14:paraId="282217A9" w14:textId="77777777">
        <w:tc>
          <w:tcPr>
            <w:tcW w:w="9558" w:type="dxa"/>
            <w:gridSpan w:val="3"/>
          </w:tcPr>
          <w:p w:rsidRPr="00041AD5" w:rsidR="00465E31" w:rsidRDefault="00465E31" w14:paraId="3A682E94" w14:textId="09C85CE6">
            <w:pPr>
              <w:jc w:val="center"/>
              <w:rPr>
                <w:rFonts w:ascii="Palatino Linotype" w:hAnsi="Palatino Linotype"/>
                <w:b/>
                <w:bCs/>
                <w:color w:val="000000" w:themeColor="text1"/>
              </w:rPr>
            </w:pPr>
            <w:r w:rsidRPr="00041AD5">
              <w:rPr>
                <w:rFonts w:ascii="Palatino Linotype" w:hAnsi="Palatino Linotype"/>
                <w:b/>
                <w:bCs/>
                <w:color w:val="000000" w:themeColor="text1"/>
              </w:rPr>
              <w:lastRenderedPageBreak/>
              <w:t>Table 4: CEC’s 2024 Gas RD&amp;D Plan Budgets</w:t>
            </w:r>
          </w:p>
        </w:tc>
      </w:tr>
      <w:tr w:rsidRPr="00041AD5" w:rsidR="00825E53" w14:paraId="3598CCC4" w14:textId="77777777">
        <w:tc>
          <w:tcPr>
            <w:tcW w:w="6768" w:type="dxa"/>
            <w:tcBorders>
              <w:right w:val="single" w:color="auto" w:sz="4" w:space="0"/>
            </w:tcBorders>
          </w:tcPr>
          <w:p w:rsidRPr="00F37E3F" w:rsidR="00825E53" w:rsidP="00825E53" w:rsidRDefault="00825E53" w14:paraId="38D1FFD5" w14:textId="473C023B">
            <w:pPr>
              <w:rPr>
                <w:rFonts w:ascii="Palatino Linotype" w:hAnsi="Palatino Linotype"/>
                <w:b/>
                <w:bCs/>
                <w:color w:val="000000" w:themeColor="text1"/>
                <w:sz w:val="22"/>
                <w:szCs w:val="22"/>
              </w:rPr>
            </w:pPr>
            <w:r w:rsidRPr="00F37E3F">
              <w:rPr>
                <w:rFonts w:ascii="Palatino Linotype" w:hAnsi="Palatino Linotype"/>
                <w:color w:val="000000" w:themeColor="text1"/>
                <w:sz w:val="22"/>
                <w:szCs w:val="22"/>
              </w:rPr>
              <w:t>Applicable Unspent Funds per April 30, 2026, Data Request</w:t>
            </w:r>
            <w:r w:rsidRPr="00F37E3F" w:rsidR="00B03DC9">
              <w:rPr>
                <w:rStyle w:val="FootnoteReference"/>
                <w:rFonts w:ascii="Palatino Linotype" w:hAnsi="Palatino Linotype"/>
                <w:b/>
                <w:bCs/>
                <w:color w:val="000000" w:themeColor="text1"/>
                <w:sz w:val="22"/>
                <w:szCs w:val="22"/>
              </w:rPr>
              <w:footnoteReference w:id="67"/>
            </w:r>
          </w:p>
        </w:tc>
        <w:tc>
          <w:tcPr>
            <w:tcW w:w="990" w:type="dxa"/>
            <w:tcBorders>
              <w:top w:val="single" w:color="auto" w:sz="4" w:space="0"/>
              <w:left w:val="single" w:color="auto" w:sz="4" w:space="0"/>
              <w:bottom w:val="single" w:color="auto" w:sz="4" w:space="0"/>
              <w:right w:val="nil"/>
            </w:tcBorders>
            <w:vAlign w:val="center"/>
          </w:tcPr>
          <w:p w:rsidRPr="00F37E3F" w:rsidR="00825E53" w:rsidP="00825E53" w:rsidRDefault="00825E53" w14:paraId="6B5053C3" w14:textId="4CAD572D">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tcPr>
          <w:p w:rsidRPr="00F37E3F" w:rsidR="00825E53" w:rsidP="00825E53" w:rsidRDefault="00825E53" w14:paraId="03AA4153" w14:textId="30F6471E">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31,076,691</w:t>
            </w:r>
          </w:p>
        </w:tc>
      </w:tr>
      <w:tr w:rsidRPr="00041AD5" w:rsidR="00465E31" w:rsidTr="00465E31" w14:paraId="5CED8627" w14:textId="77777777">
        <w:tc>
          <w:tcPr>
            <w:tcW w:w="6768" w:type="dxa"/>
            <w:tcBorders>
              <w:right w:val="single" w:color="auto" w:sz="4" w:space="0"/>
            </w:tcBorders>
          </w:tcPr>
          <w:p w:rsidRPr="00F37E3F" w:rsidR="00465E31" w:rsidRDefault="00430474" w14:paraId="3ADCB26D" w14:textId="3C55EB98">
            <w:pPr>
              <w:rPr>
                <w:rFonts w:ascii="Palatino Linotype" w:hAnsi="Palatino Linotype"/>
                <w:color w:val="000000" w:themeColor="text1"/>
                <w:sz w:val="22"/>
                <w:szCs w:val="22"/>
              </w:rPr>
            </w:pPr>
            <w:r w:rsidRPr="00F37E3F">
              <w:rPr>
                <w:rFonts w:ascii="Palatino Linotype" w:hAnsi="Palatino Linotype"/>
                <w:b/>
                <w:bCs/>
                <w:color w:val="000000" w:themeColor="text1"/>
                <w:sz w:val="22"/>
                <w:szCs w:val="22"/>
              </w:rPr>
              <w:t xml:space="preserve">Utilized </w:t>
            </w:r>
            <w:r w:rsidRPr="00F37E3F" w:rsidR="001261C2">
              <w:rPr>
                <w:rFonts w:ascii="Palatino Linotype" w:hAnsi="Palatino Linotype"/>
                <w:b/>
                <w:bCs/>
                <w:color w:val="000000" w:themeColor="text1"/>
                <w:sz w:val="22"/>
                <w:szCs w:val="22"/>
              </w:rPr>
              <w:t xml:space="preserve">Applicable </w:t>
            </w:r>
            <w:r w:rsidRPr="00F37E3F" w:rsidR="00465E31">
              <w:rPr>
                <w:rFonts w:ascii="Palatino Linotype" w:hAnsi="Palatino Linotype"/>
                <w:b/>
                <w:bCs/>
                <w:color w:val="000000" w:themeColor="text1"/>
                <w:sz w:val="22"/>
                <w:szCs w:val="22"/>
              </w:rPr>
              <w:t>Unspent Funds</w:t>
            </w:r>
            <w:r w:rsidRPr="00F37E3F" w:rsidR="0061598E">
              <w:rPr>
                <w:rFonts w:ascii="Palatino Linotype" w:hAnsi="Palatino Linotype"/>
                <w:b/>
                <w:bCs/>
                <w:color w:val="000000" w:themeColor="text1"/>
                <w:sz w:val="22"/>
                <w:szCs w:val="22"/>
              </w:rPr>
              <w:t xml:space="preserve"> for Initiatives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3FB5E294"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3FC21F95" w14:textId="20D113A3">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EC0B8D" w:rsidTr="00465E31" w14:paraId="2779055F" w14:textId="77777777">
        <w:tc>
          <w:tcPr>
            <w:tcW w:w="6768" w:type="dxa"/>
            <w:tcBorders>
              <w:right w:val="single" w:color="auto" w:sz="4" w:space="0"/>
            </w:tcBorders>
          </w:tcPr>
          <w:p w:rsidRPr="00F37E3F" w:rsidR="00EC0B8D" w:rsidRDefault="0061598E" w14:paraId="27846FEC" w14:textId="6CE7349D">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Associated Funds for Program Administration</w:t>
            </w:r>
          </w:p>
        </w:tc>
        <w:tc>
          <w:tcPr>
            <w:tcW w:w="990" w:type="dxa"/>
            <w:tcBorders>
              <w:top w:val="single" w:color="auto" w:sz="4" w:space="0"/>
              <w:left w:val="single" w:color="auto" w:sz="4" w:space="0"/>
              <w:bottom w:val="single" w:color="auto" w:sz="4" w:space="0"/>
              <w:right w:val="nil"/>
            </w:tcBorders>
            <w:vAlign w:val="center"/>
          </w:tcPr>
          <w:p w:rsidRPr="00F37E3F" w:rsidR="00EC0B8D" w:rsidRDefault="00EC0B8D" w14:paraId="1EC68927" w14:textId="68CFD49E">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EC0B8D" w:rsidRDefault="00EC0B8D" w14:paraId="41885D88" w14:textId="18862833">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2,400,000</w:t>
            </w:r>
          </w:p>
        </w:tc>
      </w:tr>
      <w:tr w:rsidRPr="00041AD5" w:rsidR="00465E31" w:rsidTr="00465E31" w14:paraId="74973485" w14:textId="77777777">
        <w:tc>
          <w:tcPr>
            <w:tcW w:w="6768" w:type="dxa"/>
            <w:tcBorders>
              <w:right w:val="single" w:color="auto" w:sz="4" w:space="0"/>
            </w:tcBorders>
          </w:tcPr>
          <w:p w:rsidRPr="00F37E3F" w:rsidR="00465E31" w:rsidRDefault="00465E31" w14:paraId="1F40644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Initiatives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0453D70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1F6CFC37"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0</w:t>
            </w:r>
          </w:p>
        </w:tc>
      </w:tr>
      <w:tr w:rsidRPr="00041AD5" w:rsidR="00465E31" w:rsidTr="00465E31" w14:paraId="0CE6A356" w14:textId="77777777">
        <w:tc>
          <w:tcPr>
            <w:tcW w:w="6768" w:type="dxa"/>
            <w:tcBorders>
              <w:right w:val="single" w:color="auto" w:sz="4" w:space="0"/>
            </w:tcBorders>
          </w:tcPr>
          <w:p w:rsidRPr="00F37E3F" w:rsidR="00465E31" w:rsidRDefault="00465E31" w14:paraId="67C6D13E"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Program Administration</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51562C56"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71EFBFE6"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0</w:t>
            </w:r>
          </w:p>
        </w:tc>
      </w:tr>
      <w:tr w:rsidRPr="00041AD5" w:rsidR="00465E31" w:rsidTr="00465E31" w14:paraId="20E8881E" w14:textId="77777777">
        <w:tc>
          <w:tcPr>
            <w:tcW w:w="6768" w:type="dxa"/>
            <w:tcBorders>
              <w:right w:val="single" w:color="auto" w:sz="4" w:space="0"/>
            </w:tcBorders>
          </w:tcPr>
          <w:p w:rsidRPr="00F37E3F" w:rsidR="00465E31" w:rsidRDefault="00465E31" w14:paraId="0714D451"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New Ratepayer Funds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4521D223"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3D8750B9"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 xml:space="preserve">0     </w:t>
            </w:r>
          </w:p>
        </w:tc>
      </w:tr>
      <w:tr w:rsidRPr="00041AD5" w:rsidR="00465E31" w:rsidTr="00465E31" w14:paraId="784614C0" w14:textId="77777777">
        <w:tc>
          <w:tcPr>
            <w:tcW w:w="6768" w:type="dxa"/>
            <w:tcBorders>
              <w:right w:val="single" w:color="auto" w:sz="4" w:space="0"/>
            </w:tcBorders>
          </w:tcPr>
          <w:p w:rsidRPr="00F37E3F" w:rsidR="00465E31" w:rsidRDefault="00465E31" w14:paraId="13BAACCF"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Initiatives</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7B8446BB"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1C9A635B"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465E31" w:rsidTr="00465E31" w14:paraId="7548CD12" w14:textId="77777777">
        <w:tc>
          <w:tcPr>
            <w:tcW w:w="6768" w:type="dxa"/>
            <w:tcBorders>
              <w:right w:val="single" w:color="auto" w:sz="4" w:space="0"/>
            </w:tcBorders>
          </w:tcPr>
          <w:p w:rsidRPr="00F37E3F" w:rsidR="00465E31" w:rsidRDefault="00465E31" w14:paraId="339711D2"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Program Administration</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459379BC"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A97EB6" w14:paraId="45B1EFF9" w14:textId="5FA98F7F">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2,400,000</w:t>
            </w:r>
          </w:p>
        </w:tc>
      </w:tr>
      <w:tr w:rsidRPr="00041AD5" w:rsidR="00465E31" w:rsidTr="00465E31" w14:paraId="013768AC" w14:textId="77777777">
        <w:tc>
          <w:tcPr>
            <w:tcW w:w="6768" w:type="dxa"/>
            <w:tcBorders>
              <w:right w:val="single" w:color="auto" w:sz="4" w:space="0"/>
            </w:tcBorders>
          </w:tcPr>
          <w:p w:rsidRPr="00F37E3F" w:rsidR="00465E31" w:rsidRDefault="00426D5F" w14:paraId="04F0114C" w14:textId="7F354804">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ANNUAL BUDGET</w:t>
            </w:r>
          </w:p>
        </w:tc>
        <w:tc>
          <w:tcPr>
            <w:tcW w:w="990" w:type="dxa"/>
            <w:tcBorders>
              <w:top w:val="single" w:color="auto" w:sz="4" w:space="0"/>
              <w:left w:val="single" w:color="auto" w:sz="4" w:space="0"/>
              <w:bottom w:val="single" w:color="auto" w:sz="4" w:space="0"/>
              <w:right w:val="nil"/>
            </w:tcBorders>
            <w:vAlign w:val="center"/>
          </w:tcPr>
          <w:p w:rsidRPr="00F37E3F" w:rsidR="00465E31" w:rsidRDefault="00465E31" w14:paraId="08D43780" w14:textId="77777777">
            <w:pPr>
              <w:rPr>
                <w:rFonts w:ascii="Palatino Linotype" w:hAnsi="Palatino Linotype"/>
                <w:b/>
                <w:bCs/>
                <w:color w:val="000000" w:themeColor="text1"/>
                <w:sz w:val="22"/>
                <w:szCs w:val="22"/>
              </w:rPr>
            </w:pPr>
            <w:r w:rsidRPr="00F37E3F">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F37E3F" w:rsidR="00465E31" w:rsidRDefault="00465E31" w14:paraId="5061E764" w14:textId="40F281E3">
            <w:pPr>
              <w:jc w:val="right"/>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2</w:t>
            </w:r>
            <w:r w:rsidRPr="00F37E3F" w:rsidR="00EC0B8D">
              <w:rPr>
                <w:rFonts w:ascii="Palatino Linotype" w:hAnsi="Palatino Linotype"/>
                <w:b/>
                <w:bCs/>
                <w:color w:val="000000" w:themeColor="text1"/>
                <w:sz w:val="22"/>
                <w:szCs w:val="22"/>
              </w:rPr>
              <w:t>4</w:t>
            </w:r>
            <w:r w:rsidRPr="00F37E3F">
              <w:rPr>
                <w:rFonts w:ascii="Palatino Linotype" w:hAnsi="Palatino Linotype"/>
                <w:b/>
                <w:bCs/>
                <w:color w:val="000000" w:themeColor="text1"/>
                <w:sz w:val="22"/>
                <w:szCs w:val="22"/>
              </w:rPr>
              <w:t>,</w:t>
            </w:r>
            <w:r w:rsidRPr="00F37E3F" w:rsidR="00EC0B8D">
              <w:rPr>
                <w:rFonts w:ascii="Palatino Linotype" w:hAnsi="Palatino Linotype"/>
                <w:b/>
                <w:bCs/>
                <w:color w:val="000000" w:themeColor="text1"/>
                <w:sz w:val="22"/>
                <w:szCs w:val="22"/>
              </w:rPr>
              <w:t>0</w:t>
            </w:r>
            <w:r w:rsidRPr="00F37E3F">
              <w:rPr>
                <w:rFonts w:ascii="Palatino Linotype" w:hAnsi="Palatino Linotype"/>
                <w:b/>
                <w:bCs/>
                <w:color w:val="000000" w:themeColor="text1"/>
                <w:sz w:val="22"/>
                <w:szCs w:val="22"/>
              </w:rPr>
              <w:t>00,000</w:t>
            </w:r>
          </w:p>
        </w:tc>
      </w:tr>
    </w:tbl>
    <w:p w:rsidRPr="00041AD5" w:rsidR="00465E31" w:rsidP="00B609BE" w:rsidRDefault="00465E31" w14:paraId="02DE6406" w14:textId="77777777">
      <w:pPr>
        <w:pStyle w:val="10sp0"/>
        <w:spacing w:before="240" w:after="0" w:line="276" w:lineRule="auto"/>
        <w:rPr>
          <w:rFonts w:ascii="Palatino Linotype" w:hAnsi="Palatino Linotype"/>
          <w:b/>
          <w:bCs/>
          <w:color w:val="000000" w:themeColor="text1"/>
        </w:rPr>
      </w:pPr>
    </w:p>
    <w:p w:rsidRPr="00041AD5" w:rsidR="00D426A3" w:rsidP="00816348" w:rsidRDefault="00D426A3" w14:paraId="04366A08" w14:textId="0BBC7E1E">
      <w:pPr>
        <w:pStyle w:val="10sp0"/>
        <w:spacing w:line="276" w:lineRule="auto"/>
        <w:rPr>
          <w:rFonts w:ascii="Palatino Linotype" w:hAnsi="Palatino Linotype"/>
          <w:b/>
          <w:bCs/>
          <w:color w:val="000000" w:themeColor="text1"/>
        </w:rPr>
      </w:pPr>
      <w:r w:rsidRPr="00041AD5">
        <w:rPr>
          <w:rFonts w:ascii="Palatino Linotype" w:hAnsi="Palatino Linotype"/>
          <w:b/>
          <w:bCs/>
          <w:color w:val="000000" w:themeColor="text1"/>
        </w:rPr>
        <w:t xml:space="preserve">Assessment of 2025 Plan </w:t>
      </w:r>
    </w:p>
    <w:p w:rsidRPr="00041AD5" w:rsidR="00816348" w:rsidP="00816348" w:rsidRDefault="00BB4C4A" w14:paraId="3F918F0D" w14:textId="591C2346">
      <w:pPr>
        <w:pStyle w:val="10sp0"/>
        <w:spacing w:after="0"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 xml:space="preserve">Energy Division </w:t>
      </w:r>
      <w:r w:rsidRPr="00041AD5">
        <w:rPr>
          <w:rFonts w:ascii="Palatino Linotype" w:hAnsi="Palatino Linotype"/>
          <w:color w:val="000000" w:themeColor="text1"/>
        </w:rPr>
        <w:t>s</w:t>
      </w:r>
      <w:r w:rsidRPr="00041AD5" w:rsidR="00426CD9">
        <w:rPr>
          <w:rFonts w:ascii="Palatino Linotype" w:hAnsi="Palatino Linotype"/>
          <w:color w:val="000000" w:themeColor="text1"/>
        </w:rPr>
        <w:t>taff</w:t>
      </w:r>
      <w:r w:rsidRPr="00041AD5" w:rsidR="00816348">
        <w:rPr>
          <w:rFonts w:ascii="Palatino Linotype" w:hAnsi="Palatino Linotype"/>
          <w:color w:val="000000" w:themeColor="text1"/>
        </w:rPr>
        <w:t xml:space="preserve"> conducted a</w:t>
      </w:r>
      <w:r w:rsidRPr="00041AD5" w:rsidR="00BB0000">
        <w:rPr>
          <w:rFonts w:ascii="Palatino Linotype" w:hAnsi="Palatino Linotype"/>
          <w:color w:val="000000" w:themeColor="text1"/>
        </w:rPr>
        <w:t xml:space="preserve">n </w:t>
      </w:r>
      <w:r w:rsidRPr="00041AD5" w:rsidR="00816348">
        <w:rPr>
          <w:rFonts w:ascii="Palatino Linotype" w:hAnsi="Palatino Linotype"/>
          <w:color w:val="000000" w:themeColor="text1"/>
        </w:rPr>
        <w:t>assessment of CEC’s AL 10-G-A proposing its 2025 Gas RD&amp;D Investment Plan.</w:t>
      </w:r>
      <w:r w:rsidRPr="00041AD5" w:rsidR="00E456E0">
        <w:rPr>
          <w:rStyle w:val="FootnoteReference"/>
          <w:rFonts w:ascii="Palatino Linotype" w:hAnsi="Palatino Linotype"/>
          <w:color w:val="000000" w:themeColor="text1"/>
        </w:rPr>
        <w:footnoteReference w:id="68"/>
      </w:r>
      <w:r w:rsidRPr="00041AD5" w:rsidR="00816348">
        <w:rPr>
          <w:rFonts w:ascii="Palatino Linotype" w:hAnsi="Palatino Linotype"/>
          <w:color w:val="000000" w:themeColor="text1"/>
        </w:rPr>
        <w:t xml:space="preserve"> </w:t>
      </w:r>
      <w:r w:rsidRPr="00041AD5" w:rsidR="0037224F">
        <w:rPr>
          <w:rFonts w:ascii="Palatino Linotype" w:hAnsi="Palatino Linotype"/>
          <w:color w:val="000000" w:themeColor="text1"/>
        </w:rPr>
        <w:t>Staff assessed CEC’s 202</w:t>
      </w:r>
      <w:r w:rsidRPr="00041AD5" w:rsidR="00D45CB3">
        <w:rPr>
          <w:rFonts w:ascii="Palatino Linotype" w:hAnsi="Palatino Linotype"/>
          <w:color w:val="000000" w:themeColor="text1"/>
        </w:rPr>
        <w:t>5</w:t>
      </w:r>
      <w:r w:rsidRPr="00041AD5" w:rsidR="0037224F">
        <w:rPr>
          <w:rFonts w:ascii="Palatino Linotype" w:hAnsi="Palatino Linotype"/>
          <w:color w:val="000000" w:themeColor="text1"/>
        </w:rPr>
        <w:t xml:space="preserve"> Plan based on consistency with requirements and </w:t>
      </w:r>
      <w:r w:rsidRPr="00041AD5" w:rsidR="00DD097C">
        <w:rPr>
          <w:rFonts w:ascii="Palatino Linotype" w:hAnsi="Palatino Linotype"/>
          <w:color w:val="000000" w:themeColor="text1"/>
        </w:rPr>
        <w:t xml:space="preserve">previous </w:t>
      </w:r>
      <w:r w:rsidRPr="00041AD5" w:rsidR="0037224F">
        <w:rPr>
          <w:rFonts w:ascii="Palatino Linotype" w:hAnsi="Palatino Linotype"/>
          <w:color w:val="000000" w:themeColor="text1"/>
        </w:rPr>
        <w:t xml:space="preserve">Commission guidance. </w:t>
      </w:r>
      <w:r w:rsidRPr="00041AD5" w:rsidR="00DD097C">
        <w:rPr>
          <w:rFonts w:ascii="Palatino Linotype" w:hAnsi="Palatino Linotype"/>
          <w:color w:val="000000" w:themeColor="text1"/>
        </w:rPr>
        <w:t>T</w:t>
      </w:r>
      <w:r w:rsidRPr="00041AD5" w:rsidR="00504846">
        <w:rPr>
          <w:rFonts w:ascii="Palatino Linotype" w:hAnsi="Palatino Linotype"/>
          <w:color w:val="000000" w:themeColor="text1"/>
        </w:rPr>
        <w:t xml:space="preserve">he Commission finds that </w:t>
      </w:r>
      <w:r w:rsidRPr="00041AD5" w:rsidR="00DD097C">
        <w:rPr>
          <w:rFonts w:ascii="Palatino Linotype" w:hAnsi="Palatino Linotype"/>
          <w:color w:val="000000" w:themeColor="text1"/>
        </w:rPr>
        <w:t xml:space="preserve">in some areas, </w:t>
      </w:r>
      <w:r w:rsidRPr="00041AD5" w:rsidR="00504846">
        <w:rPr>
          <w:rFonts w:ascii="Palatino Linotype" w:hAnsi="Palatino Linotype"/>
          <w:color w:val="000000" w:themeColor="text1"/>
        </w:rPr>
        <w:t xml:space="preserve">CEC’s AL 10-G-A is not </w:t>
      </w:r>
      <w:r w:rsidRPr="00041AD5" w:rsidR="00F5798E">
        <w:rPr>
          <w:rFonts w:ascii="Palatino Linotype" w:hAnsi="Palatino Linotype"/>
          <w:color w:val="000000" w:themeColor="text1"/>
        </w:rPr>
        <w:t xml:space="preserve">fully </w:t>
      </w:r>
      <w:r w:rsidRPr="00041AD5" w:rsidR="00504846">
        <w:rPr>
          <w:rFonts w:ascii="Palatino Linotype" w:hAnsi="Palatino Linotype"/>
          <w:color w:val="000000" w:themeColor="text1"/>
        </w:rPr>
        <w:t xml:space="preserve">compliant with Commission requirements </w:t>
      </w:r>
      <w:r w:rsidRPr="00041AD5" w:rsidR="00957AA7">
        <w:rPr>
          <w:rFonts w:ascii="Palatino Linotype" w:hAnsi="Palatino Linotype"/>
          <w:color w:val="000000" w:themeColor="text1"/>
        </w:rPr>
        <w:t xml:space="preserve">for </w:t>
      </w:r>
      <w:r w:rsidRPr="00041AD5" w:rsidR="00504846">
        <w:rPr>
          <w:rFonts w:ascii="Palatino Linotype" w:hAnsi="Palatino Linotype"/>
          <w:color w:val="000000" w:themeColor="text1"/>
        </w:rPr>
        <w:t>the reasons</w:t>
      </w:r>
      <w:r w:rsidRPr="00041AD5" w:rsidR="00DD097C">
        <w:rPr>
          <w:rFonts w:ascii="Palatino Linotype" w:hAnsi="Palatino Linotype"/>
          <w:color w:val="000000" w:themeColor="text1"/>
        </w:rPr>
        <w:t xml:space="preserve"> described below</w:t>
      </w:r>
      <w:r w:rsidRPr="00041AD5" w:rsidR="00C62189">
        <w:rPr>
          <w:rFonts w:ascii="Palatino Linotype" w:hAnsi="Palatino Linotype"/>
          <w:color w:val="000000" w:themeColor="text1"/>
        </w:rPr>
        <w:t>.</w:t>
      </w:r>
      <w:r w:rsidRPr="00041AD5" w:rsidR="00504846">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See </w:t>
      </w:r>
      <w:r w:rsidRPr="00041AD5" w:rsidR="00C62189">
        <w:rPr>
          <w:rFonts w:ascii="Palatino Linotype" w:hAnsi="Palatino Linotype"/>
          <w:color w:val="000000" w:themeColor="text1"/>
        </w:rPr>
        <w:t xml:space="preserve">also </w:t>
      </w:r>
      <w:r w:rsidRPr="00041AD5" w:rsidR="0037224F">
        <w:rPr>
          <w:rFonts w:ascii="Palatino Linotype" w:hAnsi="Palatino Linotype"/>
          <w:color w:val="000000" w:themeColor="text1"/>
        </w:rPr>
        <w:t>Appendix</w:t>
      </w:r>
      <w:r w:rsidRPr="00041AD5" w:rsidR="00A30E95">
        <w:rPr>
          <w:rFonts w:ascii="Palatino Linotype" w:hAnsi="Palatino Linotype"/>
          <w:color w:val="000000" w:themeColor="text1"/>
        </w:rPr>
        <w:t xml:space="preserve"> </w:t>
      </w:r>
      <w:r w:rsidRPr="00041AD5" w:rsidR="00587988">
        <w:rPr>
          <w:rFonts w:ascii="Palatino Linotype" w:hAnsi="Palatino Linotype"/>
          <w:color w:val="000000" w:themeColor="text1"/>
        </w:rPr>
        <w:t>H</w:t>
      </w:r>
      <w:r w:rsidRPr="00041AD5" w:rsidR="00A30E95">
        <w:rPr>
          <w:rFonts w:ascii="Palatino Linotype" w:hAnsi="Palatino Linotype"/>
          <w:color w:val="000000" w:themeColor="text1"/>
        </w:rPr>
        <w:t xml:space="preserve"> </w:t>
      </w:r>
      <w:r w:rsidRPr="00041AD5" w:rsidR="0037224F">
        <w:rPr>
          <w:rFonts w:ascii="Palatino Linotype" w:hAnsi="Palatino Linotype"/>
          <w:color w:val="000000" w:themeColor="text1"/>
        </w:rPr>
        <w:t xml:space="preserve">for </w:t>
      </w:r>
      <w:r w:rsidRPr="00041AD5" w:rsidR="005E6388">
        <w:rPr>
          <w:rFonts w:ascii="Palatino Linotype" w:hAnsi="Palatino Linotype"/>
          <w:color w:val="000000" w:themeColor="text1"/>
        </w:rPr>
        <w:t xml:space="preserve">additional </w:t>
      </w:r>
      <w:r w:rsidRPr="00041AD5" w:rsidR="0037224F">
        <w:rPr>
          <w:rFonts w:ascii="Palatino Linotype" w:hAnsi="Palatino Linotype"/>
          <w:color w:val="000000" w:themeColor="text1"/>
        </w:rPr>
        <w:t>details:</w:t>
      </w:r>
    </w:p>
    <w:p w:rsidRPr="00041AD5" w:rsidR="006643BA" w:rsidP="003B475F" w:rsidRDefault="00B9409D" w14:paraId="7654E9A5" w14:textId="11A39C0B">
      <w:pPr>
        <w:pStyle w:val="10sp0"/>
        <w:numPr>
          <w:ilvl w:val="0"/>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 xml:space="preserve">The </w:t>
      </w:r>
      <w:r w:rsidRPr="00041AD5" w:rsidR="006643BA">
        <w:rPr>
          <w:rFonts w:ascii="Palatino Linotype" w:hAnsi="Palatino Linotype"/>
          <w:color w:val="000000" w:themeColor="text1"/>
        </w:rPr>
        <w:t xml:space="preserve">CEC does not disclose the following nor demonstrate that </w:t>
      </w:r>
      <w:r w:rsidRPr="00041AD5" w:rsidR="001E4701">
        <w:rPr>
          <w:rFonts w:ascii="Palatino Linotype" w:hAnsi="Palatino Linotype"/>
          <w:color w:val="000000" w:themeColor="text1"/>
        </w:rPr>
        <w:t>it</w:t>
      </w:r>
      <w:r w:rsidRPr="00041AD5" w:rsidR="006643BA">
        <w:rPr>
          <w:rFonts w:ascii="Palatino Linotype" w:hAnsi="Palatino Linotype"/>
          <w:color w:val="000000" w:themeColor="text1"/>
        </w:rPr>
        <w:t>:</w:t>
      </w:r>
    </w:p>
    <w:p w:rsidRPr="00041AD5" w:rsidR="001E4701" w:rsidP="001E4701" w:rsidRDefault="001E4701" w14:paraId="1DC07A56" w14:textId="77777777">
      <w:pPr>
        <w:pStyle w:val="10sp0"/>
        <w:numPr>
          <w:ilvl w:val="1"/>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First utilized its applicable unspent fund balances, providing details of encumbrance and spending windows to demonstrate compliance.</w:t>
      </w:r>
      <w:r w:rsidRPr="00041AD5">
        <w:rPr>
          <w:rStyle w:val="FootnoteReference"/>
          <w:rFonts w:ascii="Palatino Linotype" w:hAnsi="Palatino Linotype"/>
          <w:color w:val="000000" w:themeColor="text1"/>
        </w:rPr>
        <w:footnoteReference w:id="69"/>
      </w:r>
      <w:r w:rsidRPr="00041AD5">
        <w:rPr>
          <w:rFonts w:ascii="Palatino Linotype" w:hAnsi="Palatino Linotype"/>
          <w:color w:val="000000" w:themeColor="text1"/>
        </w:rPr>
        <w:t xml:space="preserve"> </w:t>
      </w:r>
    </w:p>
    <w:p w:rsidRPr="00041AD5" w:rsidR="001E4701" w:rsidP="001E4701" w:rsidRDefault="001E4701" w14:paraId="7C21EDA9" w14:textId="77777777">
      <w:pPr>
        <w:pStyle w:val="10sp0"/>
        <w:numPr>
          <w:ilvl w:val="1"/>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Addressed whether any commercial benefits have resulted from Gas RD&amp;D investment or otherwise state that none have accrued.</w:t>
      </w:r>
      <w:r w:rsidRPr="00041AD5">
        <w:rPr>
          <w:rStyle w:val="FootnoteReference"/>
          <w:rFonts w:ascii="Palatino Linotype" w:hAnsi="Palatino Linotype"/>
          <w:color w:val="000000" w:themeColor="text1"/>
        </w:rPr>
        <w:footnoteReference w:id="70"/>
      </w:r>
      <w:r w:rsidRPr="00041AD5">
        <w:rPr>
          <w:rFonts w:ascii="Palatino Linotype" w:hAnsi="Palatino Linotype"/>
          <w:color w:val="000000" w:themeColor="text1"/>
        </w:rPr>
        <w:t xml:space="preserve"> </w:t>
      </w:r>
    </w:p>
    <w:p w:rsidRPr="00041AD5" w:rsidR="001E4701" w:rsidP="00B9409D" w:rsidRDefault="001E4701" w14:paraId="22C1E77F" w14:textId="18D48DBE">
      <w:pPr>
        <w:pStyle w:val="10sp0"/>
        <w:numPr>
          <w:ilvl w:val="1"/>
          <w:numId w:val="11"/>
        </w:numPr>
        <w:spacing w:after="0" w:line="276" w:lineRule="auto"/>
        <w:rPr>
          <w:rFonts w:ascii="Palatino Linotype" w:hAnsi="Palatino Linotype"/>
          <w:color w:val="000000" w:themeColor="text1"/>
        </w:rPr>
      </w:pPr>
      <w:r w:rsidRPr="00041AD5">
        <w:rPr>
          <w:rFonts w:ascii="Palatino Linotype" w:hAnsi="Palatino Linotype"/>
          <w:color w:val="000000" w:themeColor="text1"/>
        </w:rPr>
        <w:t>Explained whether any interest</w:t>
      </w:r>
      <w:r w:rsidRPr="00041AD5" w:rsidDel="00153309">
        <w:rPr>
          <w:rFonts w:ascii="Palatino Linotype" w:hAnsi="Palatino Linotype"/>
          <w:color w:val="000000" w:themeColor="text1"/>
        </w:rPr>
        <w:t xml:space="preserve"> </w:t>
      </w:r>
      <w:r w:rsidRPr="00041AD5">
        <w:rPr>
          <w:rFonts w:ascii="Palatino Linotype" w:hAnsi="Palatino Linotype"/>
          <w:color w:val="000000" w:themeColor="text1"/>
        </w:rPr>
        <w:t>has accrued on deposited amounts in balancing accounts held by utilities.</w:t>
      </w:r>
      <w:r w:rsidRPr="00041AD5">
        <w:rPr>
          <w:rStyle w:val="FootnoteReference"/>
          <w:rFonts w:ascii="Palatino Linotype" w:hAnsi="Palatino Linotype"/>
          <w:color w:val="000000" w:themeColor="text1"/>
        </w:rPr>
        <w:footnoteReference w:id="71"/>
      </w:r>
      <w:r w:rsidRPr="00041AD5">
        <w:rPr>
          <w:rFonts w:ascii="Palatino Linotype" w:hAnsi="Palatino Linotype"/>
          <w:color w:val="000000" w:themeColor="text1"/>
        </w:rPr>
        <w:t xml:space="preserve"> </w:t>
      </w:r>
    </w:p>
    <w:p w:rsidRPr="0020213F" w:rsidR="006643BA" w:rsidP="0020213F" w:rsidRDefault="00B9409D" w14:paraId="03EBAC69" w14:textId="76CDB9BD">
      <w:pPr>
        <w:pStyle w:val="10sp0"/>
        <w:numPr>
          <w:ilvl w:val="0"/>
          <w:numId w:val="11"/>
        </w:numPr>
        <w:spacing w:line="276" w:lineRule="auto"/>
        <w:rPr>
          <w:rFonts w:ascii="Palatino Linotype" w:hAnsi="Palatino Linotype"/>
          <w:color w:val="000000" w:themeColor="text1"/>
        </w:rPr>
      </w:pPr>
      <w:r w:rsidRPr="00041AD5">
        <w:rPr>
          <w:rFonts w:ascii="Palatino Linotype" w:hAnsi="Palatino Linotype"/>
          <w:color w:val="000000" w:themeColor="text1"/>
          <w:szCs w:val="24"/>
        </w:rPr>
        <w:t xml:space="preserve">The </w:t>
      </w:r>
      <w:r w:rsidRPr="00041AD5" w:rsidR="00F65187">
        <w:rPr>
          <w:rFonts w:ascii="Palatino Linotype" w:hAnsi="Palatino Linotype"/>
          <w:color w:val="000000" w:themeColor="text1"/>
          <w:szCs w:val="24"/>
        </w:rPr>
        <w:t>CEC</w:t>
      </w:r>
      <w:r w:rsidRPr="00041AD5" w:rsidR="00F65187">
        <w:rPr>
          <w:rFonts w:ascii="Palatino Linotype" w:hAnsi="Palatino Linotype"/>
          <w:color w:val="000000" w:themeColor="text1"/>
        </w:rPr>
        <w:t xml:space="preserve"> </w:t>
      </w:r>
      <w:r w:rsidRPr="00041AD5" w:rsidR="00C62189">
        <w:rPr>
          <w:rFonts w:ascii="Palatino Linotype" w:hAnsi="Palatino Linotype"/>
          <w:color w:val="000000" w:themeColor="text1"/>
        </w:rPr>
        <w:t>does not</w:t>
      </w:r>
      <w:r w:rsidRPr="00041AD5" w:rsidR="00F65187">
        <w:rPr>
          <w:rFonts w:ascii="Palatino Linotype" w:hAnsi="Palatino Linotype"/>
          <w:color w:val="000000" w:themeColor="text1"/>
        </w:rPr>
        <w:t xml:space="preserve"> provide </w:t>
      </w:r>
      <w:r w:rsidR="003221CF">
        <w:rPr>
          <w:rFonts w:ascii="Palatino Linotype" w:hAnsi="Palatino Linotype"/>
          <w:color w:val="000000" w:themeColor="text1"/>
        </w:rPr>
        <w:t xml:space="preserve">sufficient </w:t>
      </w:r>
      <w:r w:rsidRPr="00041AD5" w:rsidR="00F65187">
        <w:rPr>
          <w:rFonts w:ascii="Palatino Linotype" w:hAnsi="Palatino Linotype"/>
          <w:color w:val="000000" w:themeColor="text1"/>
        </w:rPr>
        <w:t xml:space="preserve">detail to demonstrate that </w:t>
      </w:r>
      <w:r w:rsidRPr="00041AD5" w:rsidR="00483671">
        <w:rPr>
          <w:rFonts w:ascii="Palatino Linotype" w:hAnsi="Palatino Linotype"/>
          <w:color w:val="000000" w:themeColor="text1"/>
        </w:rPr>
        <w:t xml:space="preserve">the </w:t>
      </w:r>
      <w:r w:rsidRPr="00041AD5" w:rsidR="00483671">
        <w:rPr>
          <w:rFonts w:ascii="Palatino Linotype" w:hAnsi="Palatino Linotype"/>
          <w:i/>
          <w:color w:val="000000" w:themeColor="text1"/>
        </w:rPr>
        <w:t xml:space="preserve">Networked Geothermal Heat Pumps </w:t>
      </w:r>
      <w:r w:rsidRPr="00041AD5" w:rsidR="00483671">
        <w:rPr>
          <w:rFonts w:ascii="Palatino Linotype" w:hAnsi="Palatino Linotype"/>
          <w:color w:val="000000" w:themeColor="text1"/>
        </w:rPr>
        <w:t xml:space="preserve">Initiative </w:t>
      </w:r>
      <w:r w:rsidRPr="00041AD5" w:rsidR="00BA6849">
        <w:rPr>
          <w:rFonts w:ascii="Palatino Linotype" w:hAnsi="Palatino Linotype"/>
          <w:color w:val="000000" w:themeColor="text1"/>
        </w:rPr>
        <w:t xml:space="preserve">will involve activities that are </w:t>
      </w:r>
      <w:r w:rsidRPr="00041AD5" w:rsidR="00F65187">
        <w:rPr>
          <w:rFonts w:ascii="Palatino Linotype" w:hAnsi="Palatino Linotype"/>
          <w:color w:val="000000" w:themeColor="text1"/>
        </w:rPr>
        <w:t xml:space="preserve">complementary </w:t>
      </w:r>
      <w:r w:rsidRPr="00041AD5" w:rsidR="00BA6849">
        <w:rPr>
          <w:rFonts w:ascii="Palatino Linotype" w:hAnsi="Palatino Linotype"/>
          <w:color w:val="000000" w:themeColor="text1"/>
        </w:rPr>
        <w:t xml:space="preserve">to </w:t>
      </w:r>
      <w:r w:rsidRPr="00041AD5" w:rsidR="00F65187">
        <w:rPr>
          <w:rFonts w:ascii="Palatino Linotype" w:hAnsi="Palatino Linotype"/>
          <w:color w:val="000000" w:themeColor="text1"/>
        </w:rPr>
        <w:lastRenderedPageBreak/>
        <w:t xml:space="preserve">rather than duplicative </w:t>
      </w:r>
      <w:r w:rsidRPr="00041AD5" w:rsidR="00BA6849">
        <w:rPr>
          <w:rFonts w:ascii="Palatino Linotype" w:hAnsi="Palatino Linotype"/>
          <w:color w:val="000000" w:themeColor="text1"/>
        </w:rPr>
        <w:t>of ongoing and proposed CEC Gas RD&amp;D and</w:t>
      </w:r>
      <w:r w:rsidRPr="00041AD5" w:rsidR="00DB2535">
        <w:rPr>
          <w:rFonts w:ascii="Palatino Linotype" w:hAnsi="Palatino Linotype"/>
          <w:color w:val="000000" w:themeColor="text1"/>
        </w:rPr>
        <w:t xml:space="preserve"> </w:t>
      </w:r>
      <w:r w:rsidRPr="00041AD5" w:rsidR="00DB2535">
        <w:rPr>
          <w:rFonts w:ascii="Palatino Linotype" w:hAnsi="Palatino Linotype" w:eastAsia="Palatino Linotype"/>
          <w:color w:val="000000" w:themeColor="text1"/>
        </w:rPr>
        <w:t>Electric Program Investment Charge (EPIC)</w:t>
      </w:r>
      <w:r w:rsidRPr="00041AD5" w:rsidR="00BA6849">
        <w:rPr>
          <w:rFonts w:ascii="Palatino Linotype" w:hAnsi="Palatino Linotype"/>
          <w:color w:val="000000" w:themeColor="text1"/>
        </w:rPr>
        <w:t xml:space="preserve"> Initiatives</w:t>
      </w:r>
      <w:r w:rsidRPr="00041AD5" w:rsidR="00F65187">
        <w:rPr>
          <w:rFonts w:ascii="Palatino Linotype" w:hAnsi="Palatino Linotype"/>
          <w:color w:val="000000" w:themeColor="text1"/>
        </w:rPr>
        <w:t>.</w:t>
      </w:r>
      <w:r w:rsidRPr="00041AD5" w:rsidR="00F65187">
        <w:rPr>
          <w:rStyle w:val="FootnoteReference"/>
          <w:rFonts w:ascii="Palatino Linotype" w:hAnsi="Palatino Linotype"/>
          <w:color w:val="000000" w:themeColor="text1"/>
        </w:rPr>
        <w:footnoteReference w:id="72"/>
      </w:r>
      <w:r w:rsidRPr="00041AD5" w:rsidR="00F65187">
        <w:rPr>
          <w:rFonts w:ascii="Palatino Linotype" w:hAnsi="Palatino Linotype"/>
          <w:color w:val="000000" w:themeColor="text1"/>
        </w:rPr>
        <w:t xml:space="preserve"> </w:t>
      </w:r>
    </w:p>
    <w:p w:rsidRPr="00041AD5" w:rsidR="00EB1970" w:rsidP="00E75BDC" w:rsidRDefault="008A0E78" w14:paraId="1B28AD90" w14:textId="5AFD04B0">
      <w:pPr>
        <w:pStyle w:val="10sp0"/>
        <w:spacing w:line="276" w:lineRule="auto"/>
        <w:rPr>
          <w:rFonts w:ascii="Palatino Linotype" w:hAnsi="Palatino Linotype" w:eastAsia="Palatino Linotype"/>
          <w:color w:val="000000" w:themeColor="text1"/>
        </w:rPr>
      </w:pPr>
      <w:r w:rsidRPr="00041AD5">
        <w:rPr>
          <w:rFonts w:ascii="Palatino Linotype" w:hAnsi="Palatino Linotype" w:eastAsia="Palatino Linotype"/>
          <w:color w:val="000000" w:themeColor="text1"/>
        </w:rPr>
        <w:t>The omissions noted above can be rectified with supplemental information. </w:t>
      </w:r>
      <w:r w:rsidRPr="00041AD5" w:rsidR="00E75BDC">
        <w:rPr>
          <w:rFonts w:ascii="Palatino Linotype" w:hAnsi="Palatino Linotype" w:eastAsia="Palatino Linotype"/>
          <w:color w:val="000000" w:themeColor="text1"/>
        </w:rPr>
        <w:t xml:space="preserve">The CEC shall submit a revised 2025 Plan via Tier 2 AL within 90 days </w:t>
      </w:r>
      <w:r w:rsidRPr="00041AD5">
        <w:rPr>
          <w:rFonts w:ascii="Palatino Linotype" w:hAnsi="Palatino Linotype" w:eastAsia="Palatino Linotype"/>
          <w:color w:val="000000" w:themeColor="text1"/>
        </w:rPr>
        <w:t xml:space="preserve">that can </w:t>
      </w:r>
      <w:r w:rsidRPr="00041AD5" w:rsidR="00E75BDC">
        <w:rPr>
          <w:rFonts w:ascii="Palatino Linotype" w:hAnsi="Palatino Linotype" w:eastAsia="Palatino Linotype"/>
          <w:color w:val="000000" w:themeColor="text1"/>
        </w:rPr>
        <w:t xml:space="preserve">address the </w:t>
      </w:r>
      <w:r w:rsidRPr="00041AD5" w:rsidR="00BD684B">
        <w:rPr>
          <w:rFonts w:ascii="Palatino Linotype" w:hAnsi="Palatino Linotype" w:eastAsia="Palatino Linotype"/>
          <w:color w:val="000000" w:themeColor="text1"/>
        </w:rPr>
        <w:t>items</w:t>
      </w:r>
      <w:r w:rsidRPr="00041AD5" w:rsidR="00E75BDC">
        <w:rPr>
          <w:rFonts w:ascii="Palatino Linotype" w:hAnsi="Palatino Linotype" w:eastAsia="Palatino Linotype"/>
          <w:color w:val="000000" w:themeColor="text1"/>
        </w:rPr>
        <w:t xml:space="preserve"> described above</w:t>
      </w:r>
      <w:r w:rsidRPr="00041AD5" w:rsidR="000C31E4">
        <w:rPr>
          <w:rFonts w:ascii="Palatino Linotype" w:hAnsi="Palatino Linotype" w:eastAsia="Palatino Linotype"/>
          <w:color w:val="000000" w:themeColor="text1"/>
        </w:rPr>
        <w:t>,</w:t>
      </w:r>
      <w:r w:rsidRPr="00041AD5" w:rsidR="00E75BDC">
        <w:rPr>
          <w:rFonts w:ascii="Palatino Linotype" w:hAnsi="Palatino Linotype" w:eastAsia="Palatino Linotype"/>
          <w:color w:val="000000" w:themeColor="text1"/>
        </w:rPr>
        <w:t xml:space="preserve"> and as detailed in </w:t>
      </w:r>
      <w:r w:rsidRPr="00041AD5" w:rsidR="002A7D2F">
        <w:rPr>
          <w:rFonts w:ascii="Palatino Linotype" w:hAnsi="Palatino Linotype" w:eastAsia="Palatino Linotype"/>
          <w:color w:val="000000" w:themeColor="text1"/>
        </w:rPr>
        <w:t>A</w:t>
      </w:r>
      <w:r w:rsidRPr="00041AD5" w:rsidR="00E75BDC">
        <w:rPr>
          <w:rFonts w:ascii="Palatino Linotype" w:hAnsi="Palatino Linotype" w:eastAsia="Palatino Linotype"/>
          <w:color w:val="000000" w:themeColor="text1"/>
        </w:rPr>
        <w:t xml:space="preserve">ppendix </w:t>
      </w:r>
      <w:r w:rsidRPr="00041AD5" w:rsidR="00587988">
        <w:rPr>
          <w:rFonts w:ascii="Palatino Linotype" w:hAnsi="Palatino Linotype" w:eastAsia="Palatino Linotype"/>
          <w:color w:val="000000" w:themeColor="text1"/>
        </w:rPr>
        <w:t>H</w:t>
      </w:r>
      <w:r w:rsidRPr="00041AD5" w:rsidR="00EF2CDA">
        <w:rPr>
          <w:rFonts w:ascii="Palatino Linotype" w:hAnsi="Palatino Linotype" w:eastAsia="Palatino Linotype"/>
          <w:color w:val="000000" w:themeColor="text1"/>
        </w:rPr>
        <w:t xml:space="preserve"> </w:t>
      </w:r>
      <w:r w:rsidRPr="00041AD5" w:rsidR="00E75BDC">
        <w:rPr>
          <w:rFonts w:ascii="Palatino Linotype" w:hAnsi="Palatino Linotype" w:eastAsia="Palatino Linotype"/>
          <w:color w:val="000000" w:themeColor="text1"/>
        </w:rPr>
        <w:t>of this Resolution</w:t>
      </w:r>
      <w:r w:rsidRPr="00041AD5" w:rsidR="00703F39">
        <w:rPr>
          <w:rFonts w:ascii="Palatino Linotype" w:hAnsi="Palatino Linotype" w:eastAsia="Palatino Linotype"/>
          <w:color w:val="000000" w:themeColor="text1"/>
        </w:rPr>
        <w:t>.</w:t>
      </w:r>
      <w:r w:rsidRPr="00041AD5" w:rsidR="00E75BDC">
        <w:rPr>
          <w:rStyle w:val="FootnoteReference"/>
          <w:rFonts w:ascii="Palatino Linotype" w:hAnsi="Palatino Linotype" w:eastAsia="Palatino Linotype"/>
          <w:color w:val="000000" w:themeColor="text1"/>
        </w:rPr>
        <w:footnoteReference w:id="73"/>
      </w:r>
      <w:r w:rsidRPr="00041AD5" w:rsidR="00E75BDC">
        <w:rPr>
          <w:rFonts w:ascii="Palatino Linotype" w:hAnsi="Palatino Linotype" w:eastAsia="Palatino Linotype"/>
          <w:color w:val="000000" w:themeColor="text1"/>
        </w:rPr>
        <w:t xml:space="preserve"> </w:t>
      </w:r>
      <w:r w:rsidRPr="00041AD5" w:rsidR="00703F39">
        <w:rPr>
          <w:rFonts w:ascii="Palatino Linotype" w:hAnsi="Palatino Linotype" w:eastAsia="Palatino Linotype"/>
          <w:color w:val="000000" w:themeColor="text1"/>
        </w:rPr>
        <w:t>On</w:t>
      </w:r>
      <w:r w:rsidRPr="00041AD5" w:rsidR="00E45918">
        <w:rPr>
          <w:rFonts w:ascii="Palatino Linotype" w:hAnsi="Palatino Linotype" w:eastAsia="Palatino Linotype"/>
          <w:color w:val="000000" w:themeColor="text1"/>
        </w:rPr>
        <w:t>c</w:t>
      </w:r>
      <w:r w:rsidRPr="00041AD5" w:rsidR="00703F39">
        <w:rPr>
          <w:rFonts w:ascii="Palatino Linotype" w:hAnsi="Palatino Linotype" w:eastAsia="Palatino Linotype"/>
          <w:color w:val="000000" w:themeColor="text1"/>
        </w:rPr>
        <w:t xml:space="preserve">e approved, </w:t>
      </w:r>
      <w:r w:rsidRPr="00041AD5" w:rsidR="00977EF5">
        <w:rPr>
          <w:rFonts w:ascii="Palatino Linotype" w:hAnsi="Palatino Linotype" w:eastAsia="Palatino Linotype"/>
          <w:color w:val="000000" w:themeColor="text1"/>
        </w:rPr>
        <w:t xml:space="preserve">the CEC will have full approval of its 2025 Plan and can utilize </w:t>
      </w:r>
      <w:r w:rsidRPr="00041AD5" w:rsidR="00AD7532">
        <w:rPr>
          <w:rFonts w:ascii="Palatino Linotype" w:hAnsi="Palatino Linotype" w:eastAsia="Palatino Linotype"/>
          <w:color w:val="000000" w:themeColor="text1"/>
        </w:rPr>
        <w:t xml:space="preserve">the </w:t>
      </w:r>
      <w:r w:rsidRPr="00041AD5" w:rsidR="006A0B1C">
        <w:rPr>
          <w:rFonts w:ascii="Palatino Linotype" w:hAnsi="Palatino Linotype" w:eastAsia="Palatino Linotype"/>
          <w:color w:val="000000" w:themeColor="text1"/>
        </w:rPr>
        <w:t>authorized</w:t>
      </w:r>
      <w:r w:rsidRPr="00041AD5" w:rsidR="00977EF5">
        <w:rPr>
          <w:rFonts w:ascii="Palatino Linotype" w:hAnsi="Palatino Linotype" w:eastAsia="Palatino Linotype"/>
          <w:color w:val="000000" w:themeColor="text1"/>
        </w:rPr>
        <w:t xml:space="preserve"> funding. </w:t>
      </w:r>
    </w:p>
    <w:p w:rsidRPr="00041AD5" w:rsidR="007F11C8" w:rsidP="00E75BDC" w:rsidRDefault="00FC0D82" w14:paraId="27B7F596" w14:textId="06C7772C">
      <w:pPr>
        <w:pStyle w:val="10sp0"/>
        <w:spacing w:line="276" w:lineRule="auto"/>
        <w:rPr>
          <w:rFonts w:ascii="Palatino Linotype" w:hAnsi="Palatino Linotype"/>
          <w:color w:val="000000" w:themeColor="text1"/>
        </w:rPr>
      </w:pPr>
      <w:r w:rsidRPr="00041AD5">
        <w:rPr>
          <w:rFonts w:ascii="Palatino Linotype" w:hAnsi="Palatino Linotype" w:eastAsia="Palatino Linotype"/>
          <w:color w:val="000000" w:themeColor="text1"/>
        </w:rPr>
        <w:t>Energy Division staff worked with CEC staff to review the balance of</w:t>
      </w:r>
      <w:r w:rsidRPr="00041AD5" w:rsidR="00E4290A">
        <w:rPr>
          <w:rFonts w:ascii="Palatino Linotype" w:hAnsi="Palatino Linotype" w:eastAsia="Palatino Linotype"/>
          <w:color w:val="000000" w:themeColor="text1"/>
        </w:rPr>
        <w:t xml:space="preserve"> </w:t>
      </w:r>
      <w:r w:rsidRPr="00041AD5">
        <w:rPr>
          <w:rFonts w:ascii="Palatino Linotype" w:hAnsi="Palatino Linotype" w:eastAsia="Palatino Linotype"/>
          <w:color w:val="000000" w:themeColor="text1"/>
        </w:rPr>
        <w:t>previously approved funds in relation to currently requested funds for the CEC’s 202</w:t>
      </w:r>
      <w:r w:rsidRPr="00041AD5" w:rsidR="00E40BA9">
        <w:rPr>
          <w:rFonts w:ascii="Palatino Linotype" w:hAnsi="Palatino Linotype" w:eastAsia="Palatino Linotype"/>
          <w:color w:val="000000" w:themeColor="text1"/>
        </w:rPr>
        <w:t>5</w:t>
      </w:r>
      <w:r w:rsidRPr="00041AD5">
        <w:rPr>
          <w:rFonts w:ascii="Palatino Linotype" w:hAnsi="Palatino Linotype" w:eastAsia="Palatino Linotype"/>
          <w:color w:val="000000" w:themeColor="text1"/>
        </w:rPr>
        <w:t xml:space="preserve"> Plan. The CEC has available funding unspent from prior years; as of the April 30, 2026, data request, the CEC reported </w:t>
      </w:r>
      <w:r w:rsidRPr="00041AD5" w:rsidR="000C5CC6">
        <w:rPr>
          <w:rFonts w:ascii="Palatino Linotype" w:hAnsi="Palatino Linotype" w:eastAsia="Palatino Linotype"/>
          <w:color w:val="000000" w:themeColor="text1"/>
        </w:rPr>
        <w:t>$31,076,691</w:t>
      </w:r>
      <w:r w:rsidRPr="00041AD5">
        <w:rPr>
          <w:rFonts w:ascii="Palatino Linotype" w:hAnsi="Palatino Linotype" w:eastAsia="Palatino Linotype"/>
          <w:color w:val="000000" w:themeColor="text1"/>
        </w:rPr>
        <w:t xml:space="preserve"> in applicable unspent</w:t>
      </w:r>
      <w:r w:rsidRPr="00041AD5">
        <w:rPr>
          <w:rFonts w:ascii="Palatino Linotype" w:hAnsi="Palatino Linotype" w:eastAsia="Palatino Linotype"/>
          <w:b/>
          <w:bCs/>
          <w:color w:val="000000" w:themeColor="text1"/>
        </w:rPr>
        <w:t> </w:t>
      </w:r>
      <w:r w:rsidRPr="00041AD5">
        <w:rPr>
          <w:rFonts w:ascii="Palatino Linotype" w:hAnsi="Palatino Linotype" w:eastAsia="Palatino Linotype"/>
          <w:color w:val="000000" w:themeColor="text1"/>
        </w:rPr>
        <w:t xml:space="preserve">fund balances. </w:t>
      </w:r>
      <w:r w:rsidRPr="00041AD5" w:rsidR="00F04B0D">
        <w:rPr>
          <w:rFonts w:ascii="Palatino Linotype" w:hAnsi="Palatino Linotype" w:eastAsia="Palatino Linotype"/>
          <w:color w:val="000000" w:themeColor="text1"/>
        </w:rPr>
        <w:t>Some of these funds, $21.6M, shall be used to cover CEC 2024 Plan costs as</w:t>
      </w:r>
      <w:r w:rsidRPr="00041AD5" w:rsidR="00AF1F14">
        <w:rPr>
          <w:rFonts w:ascii="Palatino Linotype" w:hAnsi="Palatino Linotype" w:eastAsia="Palatino Linotype"/>
          <w:color w:val="000000" w:themeColor="text1"/>
        </w:rPr>
        <w:t xml:space="preserve"> noted above. </w:t>
      </w:r>
      <w:r w:rsidRPr="00041AD5" w:rsidR="00EE08AF">
        <w:rPr>
          <w:rFonts w:ascii="Palatino Linotype" w:hAnsi="Palatino Linotype" w:eastAsia="Palatino Linotype"/>
          <w:color w:val="000000" w:themeColor="text1"/>
        </w:rPr>
        <w:t>There will then be a remaining balance of $9,476,691 in applicable unspent funds.</w:t>
      </w:r>
      <w:r w:rsidRPr="00041AD5" w:rsidR="0096646D">
        <w:rPr>
          <w:rFonts w:ascii="Palatino Linotype" w:hAnsi="Palatino Linotype"/>
          <w:color w:val="000000" w:themeColor="text1"/>
        </w:rPr>
        <w:t xml:space="preserve"> </w:t>
      </w:r>
    </w:p>
    <w:p w:rsidRPr="00041AD5" w:rsidR="00C929B5" w:rsidP="00E75BDC" w:rsidRDefault="0096646D" w14:paraId="43A72073" w14:textId="07A945E4">
      <w:pPr>
        <w:pStyle w:val="10sp0"/>
        <w:spacing w:line="276" w:lineRule="auto"/>
        <w:rPr>
          <w:rFonts w:ascii="Palatino Linotype" w:hAnsi="Palatino Linotype"/>
          <w:color w:val="000000" w:themeColor="text1"/>
        </w:rPr>
      </w:pPr>
      <w:r w:rsidRPr="00041AD5">
        <w:rPr>
          <w:rFonts w:ascii="Palatino Linotype" w:hAnsi="Palatino Linotype"/>
          <w:color w:val="000000" w:themeColor="text1"/>
        </w:rPr>
        <w:t xml:space="preserve">The Commission’s approval of a total budget of $24 million for the CEC’s 2025 Plan is comprised of </w:t>
      </w:r>
      <w:r w:rsidRPr="00041AD5">
        <w:rPr>
          <w:rFonts w:ascii="Palatino Linotype" w:hAnsi="Palatino Linotype" w:eastAsia="Palatino Linotype"/>
          <w:color w:val="000000" w:themeColor="text1"/>
        </w:rPr>
        <w:t>$9,476,691 in unspent funds and their associated Program Administrative funds and</w:t>
      </w:r>
      <w:r w:rsidRPr="00041AD5">
        <w:rPr>
          <w:rFonts w:ascii="Palatino Linotype" w:hAnsi="Palatino Linotype"/>
          <w:color w:val="000000" w:themeColor="text1"/>
        </w:rPr>
        <w:t xml:space="preserve"> $13,470,429 in authorized new ratepayer funds.</w:t>
      </w:r>
      <w:r w:rsidRPr="00041AD5">
        <w:rPr>
          <w:rStyle w:val="FootnoteReference"/>
          <w:rFonts w:asciiTheme="minorHAnsi" w:hAnsiTheme="minorHAnsi" w:eastAsiaTheme="minorEastAsia" w:cstheme="minorBidi"/>
          <w:color w:val="000000" w:themeColor="text1"/>
          <w:szCs w:val="24"/>
        </w:rPr>
        <w:footnoteReference w:id="74"/>
      </w:r>
      <w:r w:rsidRPr="00041AD5" w:rsidR="00F44549">
        <w:rPr>
          <w:rFonts w:ascii="Palatino Linotype" w:hAnsi="Palatino Linotype" w:eastAsia="Palatino Linotype"/>
          <w:color w:val="000000" w:themeColor="text1"/>
        </w:rPr>
        <w:t xml:space="preserve"> T</w:t>
      </w:r>
      <w:r w:rsidRPr="00041AD5" w:rsidR="00CE749E">
        <w:rPr>
          <w:rFonts w:ascii="Palatino Linotype" w:hAnsi="Palatino Linotype" w:eastAsia="Palatino Linotype"/>
          <w:color w:val="000000" w:themeColor="text1"/>
        </w:rPr>
        <w:t>o fund its 2025 Plan, t</w:t>
      </w:r>
      <w:r w:rsidRPr="00041AD5" w:rsidR="00CE749E">
        <w:rPr>
          <w:rFonts w:ascii="Palatino Linotype" w:hAnsi="Palatino Linotype" w:eastAsia="Times New Roman"/>
          <w:color w:val="000000" w:themeColor="text1"/>
        </w:rPr>
        <w:t xml:space="preserve">he CEC shall first utilize its remaining </w:t>
      </w:r>
      <w:r w:rsidRPr="00041AD5" w:rsidR="00CE749E">
        <w:rPr>
          <w:rFonts w:ascii="Palatino Linotype" w:hAnsi="Palatino Linotype" w:eastAsia="Palatino Linotype"/>
          <w:color w:val="000000" w:themeColor="text1"/>
        </w:rPr>
        <w:t>balance of applicable unspent</w:t>
      </w:r>
      <w:r w:rsidRPr="00041AD5" w:rsidR="00CE749E">
        <w:rPr>
          <w:rFonts w:ascii="Palatino Linotype" w:hAnsi="Palatino Linotype" w:eastAsia="Palatino Linotype"/>
          <w:b/>
          <w:bCs/>
          <w:color w:val="000000" w:themeColor="text1"/>
        </w:rPr>
        <w:t xml:space="preserve"> </w:t>
      </w:r>
      <w:r w:rsidRPr="00041AD5" w:rsidR="00CE749E">
        <w:rPr>
          <w:rFonts w:ascii="Palatino Linotype" w:hAnsi="Palatino Linotype" w:eastAsia="Palatino Linotype"/>
          <w:color w:val="000000" w:themeColor="text1"/>
        </w:rPr>
        <w:t>funds after funding its 202</w:t>
      </w:r>
      <w:r w:rsidRPr="00041AD5" w:rsidR="00CB44C0">
        <w:rPr>
          <w:rFonts w:ascii="Palatino Linotype" w:hAnsi="Palatino Linotype" w:eastAsia="Palatino Linotype"/>
          <w:color w:val="000000" w:themeColor="text1"/>
        </w:rPr>
        <w:t>4</w:t>
      </w:r>
      <w:r w:rsidRPr="00041AD5" w:rsidR="00CE749E">
        <w:rPr>
          <w:rFonts w:ascii="Palatino Linotype" w:hAnsi="Palatino Linotype" w:eastAsia="Palatino Linotype"/>
          <w:color w:val="000000" w:themeColor="text1"/>
        </w:rPr>
        <w:t xml:space="preserve"> Plan</w:t>
      </w:r>
      <w:r w:rsidRPr="00041AD5" w:rsidR="00CB44C0">
        <w:rPr>
          <w:rFonts w:ascii="Palatino Linotype" w:hAnsi="Palatino Linotype" w:eastAsia="Palatino Linotype"/>
          <w:color w:val="000000" w:themeColor="text1"/>
        </w:rPr>
        <w:t xml:space="preserve">, </w:t>
      </w:r>
      <w:r w:rsidRPr="00041AD5" w:rsidR="00CB44C0">
        <w:rPr>
          <w:rFonts w:ascii="Palatino Linotype" w:hAnsi="Palatino Linotype"/>
          <w:color w:val="000000" w:themeColor="text1"/>
        </w:rPr>
        <w:t>which the Commission approved via previous CEC Gas RD&amp;D Plans with associated Program Administration budgets.</w:t>
      </w:r>
      <w:r w:rsidRPr="00041AD5" w:rsidR="00CB44C0">
        <w:rPr>
          <w:rFonts w:ascii="Palatino Linotype" w:hAnsi="Palatino Linotype" w:eastAsia="Palatino Linotype"/>
          <w:color w:val="000000" w:themeColor="text1"/>
        </w:rPr>
        <w:t xml:space="preserve"> </w:t>
      </w:r>
      <w:r w:rsidRPr="00041AD5" w:rsidR="00965B68">
        <w:rPr>
          <w:rFonts w:ascii="Palatino Linotype" w:hAnsi="Palatino Linotype" w:eastAsia="Palatino Linotype"/>
          <w:color w:val="000000" w:themeColor="text1"/>
        </w:rPr>
        <w:t>A</w:t>
      </w:r>
      <w:r w:rsidRPr="00041AD5" w:rsidR="00D062A3">
        <w:rPr>
          <w:rFonts w:ascii="Palatino Linotype" w:hAnsi="Palatino Linotype" w:eastAsia="Palatino Linotype"/>
          <w:color w:val="000000" w:themeColor="text1"/>
        </w:rPr>
        <w:t>ccordingly,</w:t>
      </w:r>
      <w:r w:rsidRPr="00041AD5" w:rsidR="00B77E7F">
        <w:rPr>
          <w:rFonts w:ascii="Palatino Linotype" w:hAnsi="Palatino Linotype" w:eastAsia="Palatino Linotype"/>
          <w:color w:val="000000" w:themeColor="text1"/>
        </w:rPr>
        <w:t xml:space="preserve"> </w:t>
      </w:r>
      <w:r w:rsidRPr="00041AD5" w:rsidR="00DF5278">
        <w:rPr>
          <w:rFonts w:ascii="Palatino Linotype" w:hAnsi="Palatino Linotype" w:eastAsia="Palatino Linotype"/>
          <w:color w:val="000000" w:themeColor="text1"/>
        </w:rPr>
        <w:t xml:space="preserve">the </w:t>
      </w:r>
      <w:r w:rsidRPr="00041AD5" w:rsidR="00B77E7F">
        <w:rPr>
          <w:rFonts w:ascii="Palatino Linotype" w:hAnsi="Palatino Linotype" w:eastAsia="Palatino Linotype"/>
          <w:color w:val="000000" w:themeColor="text1"/>
        </w:rPr>
        <w:t>CEC</w:t>
      </w:r>
      <w:r w:rsidRPr="00041AD5" w:rsidDel="00FE4B25" w:rsidR="00B77E7F">
        <w:rPr>
          <w:rFonts w:ascii="Palatino Linotype" w:hAnsi="Palatino Linotype" w:eastAsia="Palatino Linotype"/>
          <w:color w:val="000000" w:themeColor="text1"/>
        </w:rPr>
        <w:t xml:space="preserve"> </w:t>
      </w:r>
      <w:r w:rsidRPr="00041AD5" w:rsidR="00FE4B25">
        <w:rPr>
          <w:rFonts w:ascii="Palatino Linotype" w:hAnsi="Palatino Linotype" w:eastAsia="Palatino Linotype"/>
          <w:color w:val="000000" w:themeColor="text1"/>
        </w:rPr>
        <w:t xml:space="preserve">is authorized to </w:t>
      </w:r>
      <w:r w:rsidRPr="00041AD5" w:rsidR="00B77E7F">
        <w:rPr>
          <w:rFonts w:ascii="Palatino Linotype" w:hAnsi="Palatino Linotype" w:eastAsia="Palatino Linotype"/>
          <w:color w:val="000000" w:themeColor="text1"/>
        </w:rPr>
        <w:t xml:space="preserve">supplement </w:t>
      </w:r>
      <w:r w:rsidRPr="00041AD5" w:rsidR="00FE4B25">
        <w:rPr>
          <w:rFonts w:ascii="Palatino Linotype" w:hAnsi="Palatino Linotype" w:eastAsia="Palatino Linotype"/>
          <w:color w:val="000000" w:themeColor="text1"/>
        </w:rPr>
        <w:t xml:space="preserve">the balance of </w:t>
      </w:r>
      <w:r w:rsidRPr="00041AD5" w:rsidR="007D5087">
        <w:rPr>
          <w:rFonts w:ascii="Palatino Linotype" w:hAnsi="Palatino Linotype" w:eastAsia="Palatino Linotype"/>
          <w:color w:val="000000" w:themeColor="text1"/>
        </w:rPr>
        <w:t xml:space="preserve">unspent funds with </w:t>
      </w:r>
      <w:r w:rsidRPr="00041AD5" w:rsidR="00D062A3">
        <w:rPr>
          <w:rFonts w:ascii="Palatino Linotype" w:hAnsi="Palatino Linotype" w:eastAsia="Palatino Linotype"/>
          <w:color w:val="000000" w:themeColor="text1"/>
        </w:rPr>
        <w:t>$</w:t>
      </w:r>
      <w:r w:rsidRPr="00041AD5" w:rsidR="00EC73BA">
        <w:rPr>
          <w:rFonts w:ascii="Palatino Linotype" w:hAnsi="Palatino Linotype"/>
          <w:color w:val="000000" w:themeColor="text1"/>
        </w:rPr>
        <w:t xml:space="preserve">12,123,309 in new ratepayer </w:t>
      </w:r>
      <w:r w:rsidRPr="00041AD5" w:rsidR="00CB44C0">
        <w:rPr>
          <w:rFonts w:ascii="Palatino Linotype" w:hAnsi="Palatino Linotype"/>
          <w:color w:val="000000" w:themeColor="text1"/>
        </w:rPr>
        <w:t>collections</w:t>
      </w:r>
      <w:r w:rsidRPr="00041AD5" w:rsidR="00AC4A85">
        <w:rPr>
          <w:rFonts w:ascii="Palatino Linotype" w:hAnsi="Palatino Linotype"/>
          <w:color w:val="000000" w:themeColor="text1"/>
        </w:rPr>
        <w:t xml:space="preserve"> for Initiatives</w:t>
      </w:r>
      <w:r w:rsidRPr="00041AD5" w:rsidR="00D57410">
        <w:rPr>
          <w:rFonts w:ascii="Palatino Linotype" w:hAnsi="Palatino Linotype"/>
          <w:color w:val="000000" w:themeColor="text1"/>
        </w:rPr>
        <w:t xml:space="preserve">, amounting to the authorized $21.6 million budget cap for </w:t>
      </w:r>
      <w:r w:rsidRPr="00041AD5" w:rsidR="007A0106">
        <w:rPr>
          <w:rFonts w:ascii="Palatino Linotype" w:hAnsi="Palatino Linotype"/>
          <w:color w:val="000000" w:themeColor="text1"/>
        </w:rPr>
        <w:t xml:space="preserve">approved RD&amp;D </w:t>
      </w:r>
      <w:r w:rsidRPr="00041AD5" w:rsidR="00D57410">
        <w:rPr>
          <w:rFonts w:ascii="Palatino Linotype" w:hAnsi="Palatino Linotype"/>
          <w:color w:val="000000" w:themeColor="text1"/>
        </w:rPr>
        <w:t>Initiatives</w:t>
      </w:r>
      <w:r w:rsidRPr="00041AD5" w:rsidR="00C81EE1">
        <w:rPr>
          <w:rFonts w:ascii="Palatino Linotype" w:hAnsi="Palatino Linotype"/>
          <w:color w:val="000000" w:themeColor="text1"/>
        </w:rPr>
        <w:t>.</w:t>
      </w:r>
      <w:r w:rsidRPr="00041AD5" w:rsidR="00F51203">
        <w:rPr>
          <w:rFonts w:ascii="Palatino Linotype" w:hAnsi="Palatino Linotype"/>
          <w:color w:val="000000" w:themeColor="text1"/>
        </w:rPr>
        <w:t xml:space="preserve"> </w:t>
      </w:r>
      <w:r w:rsidRPr="00041AD5" w:rsidR="00342D8E">
        <w:rPr>
          <w:rFonts w:ascii="Palatino Linotype" w:hAnsi="Palatino Linotype"/>
          <w:color w:val="000000" w:themeColor="text1"/>
        </w:rPr>
        <w:t xml:space="preserve">Proportionally the CEC is </w:t>
      </w:r>
      <w:r w:rsidRPr="00041AD5" w:rsidR="005D2D58">
        <w:rPr>
          <w:rFonts w:ascii="Palatino Linotype" w:hAnsi="Palatino Linotype"/>
          <w:color w:val="000000" w:themeColor="text1"/>
        </w:rPr>
        <w:t xml:space="preserve">additionally </w:t>
      </w:r>
      <w:r w:rsidRPr="00041AD5" w:rsidR="00342D8E">
        <w:rPr>
          <w:rFonts w:ascii="Palatino Linotype" w:hAnsi="Palatino Linotype"/>
          <w:color w:val="000000" w:themeColor="text1"/>
        </w:rPr>
        <w:t xml:space="preserve">eligible for approximately 56.13% of the authorized $2.4 million Program Administration budget cap from new </w:t>
      </w:r>
      <w:r w:rsidRPr="00041AD5" w:rsidR="00342D8E">
        <w:rPr>
          <w:rFonts w:ascii="Palatino Linotype" w:hAnsi="Palatino Linotype"/>
          <w:color w:val="000000" w:themeColor="text1"/>
        </w:rPr>
        <w:lastRenderedPageBreak/>
        <w:t xml:space="preserve">ratepayer funds, amounting to $1,347,120. </w:t>
      </w:r>
      <w:r w:rsidRPr="00041AD5" w:rsidR="00D239FE">
        <w:rPr>
          <w:rFonts w:ascii="Palatino Linotype" w:hAnsi="Palatino Linotype"/>
          <w:color w:val="000000" w:themeColor="text1"/>
        </w:rPr>
        <w:t>The CPUC is not currently able to authorize additional funding beyond the details above since Program Administration funds were already jointly allocated with the unspent funds.</w:t>
      </w:r>
      <w:r w:rsidRPr="00041AD5" w:rsidR="008C071C">
        <w:rPr>
          <w:rFonts w:ascii="Palatino Linotype" w:hAnsi="Palatino Linotype"/>
          <w:color w:val="000000" w:themeColor="text1"/>
        </w:rPr>
        <w:t xml:space="preserve"> </w:t>
      </w:r>
      <w:r w:rsidRPr="00041AD5" w:rsidR="009B147F">
        <w:rPr>
          <w:rFonts w:ascii="Palatino Linotype" w:hAnsi="Palatino Linotype"/>
          <w:color w:val="000000" w:themeColor="text1"/>
        </w:rPr>
        <w:t>If the CPUC were to allocate additional Program Administration dollars associated with these previously approved (but unspent) funds, then the ratepayer contribution</w:t>
      </w:r>
      <w:r w:rsidRPr="00041AD5" w:rsidR="009D180F">
        <w:rPr>
          <w:rFonts w:ascii="Palatino Linotype" w:hAnsi="Palatino Linotype"/>
          <w:color w:val="000000" w:themeColor="text1"/>
        </w:rPr>
        <w:t xml:space="preserve"> would exceed the 10% administrative cost budget cap.</w:t>
      </w:r>
      <w:r w:rsidRPr="00041AD5" w:rsidR="009D180F">
        <w:rPr>
          <w:rStyle w:val="FootnoteReference"/>
          <w:rFonts w:ascii="Palatino Linotype" w:hAnsi="Palatino Linotype"/>
          <w:color w:val="000000" w:themeColor="text1"/>
        </w:rPr>
        <w:footnoteReference w:id="75"/>
      </w:r>
      <w:r w:rsidRPr="00041AD5" w:rsidR="009D180F">
        <w:rPr>
          <w:rFonts w:ascii="Palatino Linotype" w:hAnsi="Palatino Linotype"/>
          <w:color w:val="000000" w:themeColor="text1"/>
        </w:rPr>
        <w:t xml:space="preserve"> </w:t>
      </w:r>
    </w:p>
    <w:p w:rsidRPr="00041AD5" w:rsidR="00F37100" w:rsidP="002B6C26" w:rsidRDefault="00BF6683" w14:paraId="1395CEFC" w14:textId="4F4459DF">
      <w:pPr>
        <w:spacing w:after="0" w:line="276" w:lineRule="auto"/>
        <w:rPr>
          <w:rFonts w:ascii="Palatino Linotype" w:hAnsi="Palatino Linotype" w:eastAsia="Times New Roman" w:cs="Times New Roman"/>
          <w:b/>
          <w:color w:val="000000" w:themeColor="text1"/>
          <w:kern w:val="0"/>
          <w14:ligatures w14:val="none"/>
        </w:rPr>
      </w:pPr>
      <w:r w:rsidRPr="00041AD5">
        <w:rPr>
          <w:rFonts w:ascii="Palatino Linotype" w:hAnsi="Palatino Linotype" w:eastAsia="Palatino Linotype"/>
          <w:color w:val="000000" w:themeColor="text1"/>
        </w:rPr>
        <w:t>If, a</w:t>
      </w:r>
      <w:r w:rsidRPr="00041AD5" w:rsidR="00914F7E">
        <w:rPr>
          <w:rFonts w:ascii="Palatino Linotype" w:hAnsi="Palatino Linotype" w:eastAsia="Palatino Linotype"/>
          <w:color w:val="000000" w:themeColor="text1"/>
        </w:rPr>
        <w:t>t the time this Resolution is issued,</w:t>
      </w:r>
      <w:r w:rsidRPr="00041AD5" w:rsidDel="00BF6683" w:rsidR="00914F7E">
        <w:rPr>
          <w:rFonts w:ascii="Palatino Linotype" w:hAnsi="Palatino Linotype" w:eastAsia="Palatino Linotype"/>
          <w:color w:val="000000" w:themeColor="text1"/>
        </w:rPr>
        <w:t xml:space="preserve"> </w:t>
      </w:r>
      <w:r w:rsidRPr="00041AD5" w:rsidR="00914F7E">
        <w:rPr>
          <w:rFonts w:ascii="Palatino Linotype" w:hAnsi="Palatino Linotype" w:eastAsia="Palatino Linotype"/>
          <w:color w:val="000000" w:themeColor="text1"/>
        </w:rPr>
        <w:t>the CEC has encumbered or spent a portion of the approximately $31M in applicable unspent</w:t>
      </w:r>
      <w:r w:rsidRPr="00041AD5" w:rsidR="00914F7E">
        <w:rPr>
          <w:rFonts w:ascii="Palatino Linotype" w:hAnsi="Palatino Linotype" w:eastAsia="Palatino Linotype"/>
          <w:b/>
          <w:bCs/>
          <w:color w:val="000000" w:themeColor="text1"/>
        </w:rPr>
        <w:t xml:space="preserve"> </w:t>
      </w:r>
      <w:r w:rsidRPr="00041AD5" w:rsidR="00914F7E">
        <w:rPr>
          <w:rFonts w:ascii="Palatino Linotype" w:hAnsi="Palatino Linotype" w:eastAsia="Palatino Linotype"/>
          <w:color w:val="000000" w:themeColor="text1"/>
        </w:rPr>
        <w:t xml:space="preserve">funds since reporting balances </w:t>
      </w:r>
      <w:r w:rsidRPr="00041AD5" w:rsidR="00DD19A6">
        <w:rPr>
          <w:rFonts w:ascii="Palatino Linotype" w:hAnsi="Palatino Linotype" w:eastAsia="Palatino Linotype"/>
          <w:color w:val="000000" w:themeColor="text1"/>
        </w:rPr>
        <w:t xml:space="preserve">to the CPUC </w:t>
      </w:r>
      <w:r w:rsidRPr="00041AD5" w:rsidR="00914F7E">
        <w:rPr>
          <w:rFonts w:ascii="Palatino Linotype" w:hAnsi="Palatino Linotype" w:eastAsia="Palatino Linotype"/>
          <w:color w:val="000000" w:themeColor="text1"/>
        </w:rPr>
        <w:t xml:space="preserve">on April 30, 2026, the CEC shall provide updated balances to Energy Division in its Tier 2 ALs in the format </w:t>
      </w:r>
      <w:r w:rsidRPr="00041AD5" w:rsidR="00DD19A6">
        <w:rPr>
          <w:rFonts w:ascii="Palatino Linotype" w:hAnsi="Palatino Linotype" w:eastAsia="Palatino Linotype"/>
          <w:color w:val="000000" w:themeColor="text1"/>
        </w:rPr>
        <w:t xml:space="preserve">provided in </w:t>
      </w:r>
      <w:r w:rsidRPr="00041AD5" w:rsidR="00914F7E">
        <w:rPr>
          <w:rFonts w:ascii="Palatino Linotype" w:hAnsi="Palatino Linotype" w:eastAsia="Palatino Linotype"/>
          <w:color w:val="000000" w:themeColor="text1"/>
        </w:rPr>
        <w:t xml:space="preserve">Appendix </w:t>
      </w:r>
      <w:r w:rsidRPr="00041AD5" w:rsidR="00587988">
        <w:rPr>
          <w:rFonts w:ascii="Palatino Linotype" w:hAnsi="Palatino Linotype" w:eastAsia="Palatino Linotype"/>
          <w:color w:val="000000" w:themeColor="text1"/>
        </w:rPr>
        <w:t>F</w:t>
      </w:r>
      <w:r w:rsidRPr="00041AD5" w:rsidR="00914F7E">
        <w:rPr>
          <w:rFonts w:ascii="Palatino Linotype" w:hAnsi="Palatino Linotype" w:eastAsia="Palatino Linotype"/>
          <w:color w:val="000000" w:themeColor="text1"/>
        </w:rPr>
        <w:t>. In its Tier 2 AL, the CEC shall also report potential interest and commercial benefits from Gas RD&amp;D funds and investments or otherwise state that none have accrued</w:t>
      </w:r>
      <w:r w:rsidRPr="00041AD5" w:rsidR="005057A7">
        <w:rPr>
          <w:rFonts w:ascii="Palatino Linotype" w:hAnsi="Palatino Linotype" w:eastAsia="Palatino Linotype"/>
          <w:color w:val="000000" w:themeColor="text1"/>
        </w:rPr>
        <w:t>.</w:t>
      </w:r>
      <w:r w:rsidRPr="00041AD5" w:rsidR="00914F7E">
        <w:rPr>
          <w:rFonts w:ascii="Palatino Linotype" w:hAnsi="Palatino Linotype" w:eastAsia="Palatino Linotype"/>
          <w:color w:val="000000" w:themeColor="text1"/>
        </w:rPr>
        <w:t xml:space="preserve"> Energy Division is authorized to modify the calculations of CEC’s 2025 Plan budget commensurately based on the balances of applicable unspent funds in addition to accrued interest and commercial benefits according to the methods described in this Resolution. </w:t>
      </w:r>
    </w:p>
    <w:p w:rsidRPr="00041AD5" w:rsidR="00CA2AF6" w:rsidP="00CA2AF6" w:rsidRDefault="00CA2AF6" w14:paraId="23623838" w14:textId="77777777">
      <w:pPr>
        <w:spacing w:after="0" w:line="276" w:lineRule="auto"/>
        <w:rPr>
          <w:rFonts w:ascii="Palatino Linotype" w:hAnsi="Palatino Linotype" w:eastAsia="Times New Roman" w:cs="Times New Roman"/>
          <w:b/>
          <w:bCs/>
          <w:color w:val="000000" w:themeColor="text1"/>
          <w:kern w:val="0"/>
          <w14:ligatures w14:val="none"/>
        </w:rPr>
      </w:pPr>
    </w:p>
    <w:tbl>
      <w:tblPr>
        <w:tblStyle w:val="TableGrid"/>
        <w:tblW w:w="9558" w:type="dxa"/>
        <w:tblInd w:w="-113" w:type="dxa"/>
        <w:tblLayout w:type="fixed"/>
        <w:tblLook w:val="04A0" w:firstRow="1" w:lastRow="0" w:firstColumn="1" w:lastColumn="0" w:noHBand="0" w:noVBand="1"/>
      </w:tblPr>
      <w:tblGrid>
        <w:gridCol w:w="7038"/>
        <w:gridCol w:w="540"/>
        <w:gridCol w:w="1980"/>
      </w:tblGrid>
      <w:tr w:rsidRPr="00041AD5" w:rsidR="00465E31" w:rsidTr="00465E31" w14:paraId="1CDF40E3" w14:textId="77777777">
        <w:tc>
          <w:tcPr>
            <w:tcW w:w="9558" w:type="dxa"/>
            <w:gridSpan w:val="3"/>
          </w:tcPr>
          <w:p w:rsidRPr="00041AD5" w:rsidR="00465E31" w:rsidRDefault="00465E31" w14:paraId="40A1DE70" w14:textId="66A08D4A">
            <w:pPr>
              <w:jc w:val="center"/>
              <w:rPr>
                <w:rFonts w:ascii="Palatino Linotype" w:hAnsi="Palatino Linotype"/>
                <w:b/>
                <w:bCs/>
                <w:color w:val="000000" w:themeColor="text1"/>
              </w:rPr>
            </w:pPr>
            <w:r w:rsidRPr="00041AD5">
              <w:rPr>
                <w:rFonts w:ascii="Palatino Linotype" w:hAnsi="Palatino Linotype"/>
                <w:b/>
                <w:bCs/>
                <w:color w:val="000000" w:themeColor="text1"/>
              </w:rPr>
              <w:t>Table 5: CEC’s 2025 Gas RD&amp;D Plan Budgets</w:t>
            </w:r>
          </w:p>
        </w:tc>
      </w:tr>
      <w:tr w:rsidRPr="00041AD5" w:rsidR="00A471E3" w:rsidTr="00465E31" w14:paraId="350A12B9" w14:textId="77777777">
        <w:tc>
          <w:tcPr>
            <w:tcW w:w="7038" w:type="dxa"/>
            <w:tcBorders>
              <w:right w:val="single" w:color="auto" w:sz="4" w:space="0"/>
            </w:tcBorders>
          </w:tcPr>
          <w:p w:rsidRPr="00F37E3F" w:rsidR="00A471E3" w:rsidP="00A97EB6" w:rsidRDefault="00A471E3" w14:paraId="10FAECB2" w14:textId="04F5F132">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Applicable Unspent Funds per April 30, 2026, Data Request</w:t>
            </w:r>
            <w:r w:rsidRPr="00F37E3F" w:rsidR="00987734">
              <w:rPr>
                <w:rStyle w:val="FootnoteReference"/>
                <w:rFonts w:ascii="Palatino Linotype" w:hAnsi="Palatino Linotype"/>
                <w:color w:val="000000" w:themeColor="text1"/>
                <w:sz w:val="22"/>
                <w:szCs w:val="22"/>
              </w:rPr>
              <w:footnoteReference w:id="76"/>
            </w:r>
          </w:p>
        </w:tc>
        <w:tc>
          <w:tcPr>
            <w:tcW w:w="540" w:type="dxa"/>
            <w:tcBorders>
              <w:top w:val="single" w:color="auto" w:sz="4" w:space="0"/>
              <w:left w:val="single" w:color="auto" w:sz="4" w:space="0"/>
              <w:bottom w:val="single" w:color="auto" w:sz="4" w:space="0"/>
              <w:right w:val="nil"/>
            </w:tcBorders>
            <w:vAlign w:val="center"/>
          </w:tcPr>
          <w:p w:rsidRPr="00F37E3F" w:rsidR="00A471E3" w:rsidP="00A97EB6" w:rsidRDefault="00B42D4B" w14:paraId="055721EA" w14:textId="07FEA191">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A471E3" w:rsidP="00A97EB6" w:rsidRDefault="00B42D4B" w14:paraId="7ABCB8CA" w14:textId="357942A6">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31,076,691</w:t>
            </w:r>
          </w:p>
        </w:tc>
      </w:tr>
      <w:tr w:rsidRPr="00041AD5" w:rsidR="002337FE" w:rsidTr="00465E31" w14:paraId="6297F701" w14:textId="77777777">
        <w:tc>
          <w:tcPr>
            <w:tcW w:w="7038" w:type="dxa"/>
            <w:tcBorders>
              <w:right w:val="single" w:color="auto" w:sz="4" w:space="0"/>
            </w:tcBorders>
          </w:tcPr>
          <w:p w:rsidRPr="00F37E3F" w:rsidR="002337FE" w:rsidP="00A97EB6" w:rsidRDefault="00624604" w14:paraId="0D5F0816" w14:textId="3E6E198C">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Funding Re-allocated from Unspent Funds to 2024 Plan</w:t>
            </w:r>
          </w:p>
        </w:tc>
        <w:tc>
          <w:tcPr>
            <w:tcW w:w="540" w:type="dxa"/>
            <w:tcBorders>
              <w:top w:val="single" w:color="auto" w:sz="4" w:space="0"/>
              <w:left w:val="single" w:color="auto" w:sz="4" w:space="0"/>
              <w:bottom w:val="single" w:color="auto" w:sz="4" w:space="0"/>
              <w:right w:val="nil"/>
            </w:tcBorders>
            <w:vAlign w:val="center"/>
          </w:tcPr>
          <w:p w:rsidRPr="00F37E3F" w:rsidR="002337FE" w:rsidP="00A97EB6" w:rsidRDefault="00624604" w14:paraId="11C5F1D0" w14:textId="1EF9BFBC">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2337FE" w:rsidP="00A97EB6" w:rsidRDefault="00624604" w14:paraId="71DA666A" w14:textId="136E37A1">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A97EB6" w:rsidTr="00465E31" w14:paraId="18C2B895" w14:textId="77777777">
        <w:tc>
          <w:tcPr>
            <w:tcW w:w="7038" w:type="dxa"/>
            <w:tcBorders>
              <w:right w:val="single" w:color="auto" w:sz="4" w:space="0"/>
            </w:tcBorders>
          </w:tcPr>
          <w:p w:rsidRPr="00F37E3F" w:rsidR="00A97EB6" w:rsidP="00A97EB6" w:rsidRDefault="003A7AD1" w14:paraId="4B589587" w14:textId="74781943">
            <w:pPr>
              <w:rPr>
                <w:rFonts w:ascii="Palatino Linotype" w:hAnsi="Palatino Linotype"/>
                <w:color w:val="000000" w:themeColor="text1"/>
                <w:sz w:val="22"/>
                <w:szCs w:val="22"/>
              </w:rPr>
            </w:pPr>
            <w:r w:rsidRPr="00F37E3F">
              <w:rPr>
                <w:rFonts w:ascii="Palatino Linotype" w:hAnsi="Palatino Linotype"/>
                <w:b/>
                <w:bCs/>
                <w:color w:val="000000" w:themeColor="text1"/>
                <w:sz w:val="22"/>
                <w:szCs w:val="22"/>
              </w:rPr>
              <w:t xml:space="preserve">Utilized </w:t>
            </w:r>
            <w:r w:rsidRPr="00F37E3F" w:rsidR="00A97EB6">
              <w:rPr>
                <w:rFonts w:ascii="Palatino Linotype" w:hAnsi="Palatino Linotype"/>
                <w:b/>
                <w:bCs/>
                <w:color w:val="000000" w:themeColor="text1"/>
                <w:sz w:val="22"/>
                <w:szCs w:val="22"/>
              </w:rPr>
              <w:t xml:space="preserve">Applicable Unspent Funds for </w:t>
            </w:r>
            <w:r w:rsidRPr="00F37E3F" w:rsidR="00624604">
              <w:rPr>
                <w:rFonts w:ascii="Palatino Linotype" w:hAnsi="Palatino Linotype"/>
                <w:b/>
                <w:bCs/>
                <w:color w:val="000000" w:themeColor="text1"/>
                <w:sz w:val="22"/>
                <w:szCs w:val="22"/>
              </w:rPr>
              <w:t xml:space="preserve">2025 </w:t>
            </w:r>
            <w:r w:rsidRPr="00F37E3F" w:rsidR="00A97EB6">
              <w:rPr>
                <w:rFonts w:ascii="Palatino Linotype" w:hAnsi="Palatino Linotype"/>
                <w:b/>
                <w:bCs/>
                <w:color w:val="000000" w:themeColor="text1"/>
                <w:sz w:val="22"/>
                <w:szCs w:val="22"/>
              </w:rPr>
              <w:t>Initiatives</w:t>
            </w:r>
          </w:p>
        </w:tc>
        <w:tc>
          <w:tcPr>
            <w:tcW w:w="540" w:type="dxa"/>
            <w:tcBorders>
              <w:top w:val="single" w:color="auto" w:sz="4" w:space="0"/>
              <w:left w:val="single" w:color="auto" w:sz="4" w:space="0"/>
              <w:bottom w:val="single" w:color="auto" w:sz="4" w:space="0"/>
              <w:right w:val="nil"/>
            </w:tcBorders>
            <w:vAlign w:val="center"/>
          </w:tcPr>
          <w:p w:rsidRPr="00F37E3F" w:rsidR="00A97EB6" w:rsidP="00A97EB6" w:rsidRDefault="00A97EB6" w14:paraId="5694B9F2"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A97EB6" w:rsidP="00A97EB6" w:rsidRDefault="00A97EB6" w14:paraId="22AE6E1B"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9,476,691</w:t>
            </w:r>
          </w:p>
        </w:tc>
      </w:tr>
      <w:tr w:rsidRPr="00041AD5" w:rsidR="00A97EB6" w:rsidTr="00465E31" w14:paraId="31614B5E" w14:textId="77777777">
        <w:tc>
          <w:tcPr>
            <w:tcW w:w="7038" w:type="dxa"/>
            <w:tcBorders>
              <w:right w:val="single" w:color="auto" w:sz="4" w:space="0"/>
            </w:tcBorders>
          </w:tcPr>
          <w:p w:rsidRPr="00F37E3F" w:rsidR="00A97EB6" w:rsidP="00A97EB6" w:rsidRDefault="00A97EB6" w14:paraId="562EC24A" w14:textId="1950B617">
            <w:pPr>
              <w:rPr>
                <w:rFonts w:ascii="Palatino Linotype" w:hAnsi="Palatino Linotype"/>
                <w:color w:val="000000" w:themeColor="text1"/>
                <w:sz w:val="22"/>
                <w:szCs w:val="22"/>
              </w:rPr>
            </w:pPr>
            <w:r w:rsidRPr="00F37E3F">
              <w:rPr>
                <w:rFonts w:ascii="Palatino Linotype" w:hAnsi="Palatino Linotype"/>
                <w:b/>
                <w:bCs/>
                <w:color w:val="000000" w:themeColor="text1"/>
                <w:sz w:val="22"/>
                <w:szCs w:val="22"/>
              </w:rPr>
              <w:t>Associated Funds for Program Administration</w:t>
            </w:r>
          </w:p>
        </w:tc>
        <w:tc>
          <w:tcPr>
            <w:tcW w:w="540" w:type="dxa"/>
            <w:tcBorders>
              <w:top w:val="single" w:color="auto" w:sz="4" w:space="0"/>
              <w:left w:val="single" w:color="auto" w:sz="4" w:space="0"/>
              <w:bottom w:val="single" w:color="auto" w:sz="4" w:space="0"/>
              <w:right w:val="nil"/>
            </w:tcBorders>
            <w:vAlign w:val="center"/>
          </w:tcPr>
          <w:p w:rsidRPr="00F37E3F" w:rsidR="00A97EB6" w:rsidP="00A97EB6" w:rsidRDefault="00A97EB6" w14:paraId="5AE0700A" w14:textId="2609F9DA">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A97EB6" w:rsidP="00A97EB6" w:rsidRDefault="00A97EB6" w14:paraId="6F3723B2" w14:textId="6A075451">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1,052,880</w:t>
            </w:r>
          </w:p>
        </w:tc>
      </w:tr>
      <w:tr w:rsidRPr="00041AD5" w:rsidR="00465E31" w:rsidTr="00465E31" w14:paraId="6BDA0178" w14:textId="77777777">
        <w:tc>
          <w:tcPr>
            <w:tcW w:w="7038" w:type="dxa"/>
            <w:tcBorders>
              <w:right w:val="single" w:color="auto" w:sz="4" w:space="0"/>
            </w:tcBorders>
          </w:tcPr>
          <w:p w:rsidRPr="00F37E3F" w:rsidR="00465E31" w:rsidRDefault="00465E31" w14:paraId="012FFD81"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Initiatives</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777FBE0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7AAA21A7"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12,123,309</w:t>
            </w:r>
          </w:p>
        </w:tc>
      </w:tr>
      <w:tr w:rsidRPr="00041AD5" w:rsidR="00465E31" w:rsidTr="00465E31" w14:paraId="571C6202" w14:textId="77777777">
        <w:tc>
          <w:tcPr>
            <w:tcW w:w="7038" w:type="dxa"/>
            <w:tcBorders>
              <w:right w:val="single" w:color="auto" w:sz="4" w:space="0"/>
            </w:tcBorders>
          </w:tcPr>
          <w:p w:rsidRPr="00F37E3F" w:rsidR="00465E31" w:rsidRDefault="00465E31" w14:paraId="257757E6"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New Ratepayer Funds for Program Administration</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55B7FF31"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0EC5D8D7"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1,347,120</w:t>
            </w:r>
          </w:p>
        </w:tc>
      </w:tr>
      <w:tr w:rsidRPr="00041AD5" w:rsidR="00465E31" w:rsidTr="00465E31" w14:paraId="1E37258F" w14:textId="77777777">
        <w:tc>
          <w:tcPr>
            <w:tcW w:w="7038" w:type="dxa"/>
            <w:tcBorders>
              <w:right w:val="single" w:color="auto" w:sz="4" w:space="0"/>
            </w:tcBorders>
          </w:tcPr>
          <w:p w:rsidRPr="00F37E3F" w:rsidR="00465E31" w:rsidRDefault="00465E31" w14:paraId="76E8BF83"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New Ratepayer Funds</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5480E398"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6FA814E9"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13,470,429</w:t>
            </w:r>
          </w:p>
        </w:tc>
      </w:tr>
      <w:tr w:rsidRPr="00041AD5" w:rsidR="00465E31" w:rsidTr="00465E31" w14:paraId="625D1B44" w14:textId="77777777">
        <w:tc>
          <w:tcPr>
            <w:tcW w:w="7038" w:type="dxa"/>
            <w:tcBorders>
              <w:right w:val="single" w:color="auto" w:sz="4" w:space="0"/>
            </w:tcBorders>
          </w:tcPr>
          <w:p w:rsidRPr="00F37E3F" w:rsidR="00465E31" w:rsidRDefault="00465E31" w14:paraId="44A89C9E"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Initiatives</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6C3EDB4E"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42701EDF" w14:textId="77777777">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21,600,000</w:t>
            </w:r>
          </w:p>
        </w:tc>
      </w:tr>
      <w:tr w:rsidRPr="00041AD5" w:rsidR="00465E31" w:rsidTr="00465E31" w14:paraId="74233768" w14:textId="77777777">
        <w:tc>
          <w:tcPr>
            <w:tcW w:w="7038" w:type="dxa"/>
            <w:tcBorders>
              <w:right w:val="single" w:color="auto" w:sz="4" w:space="0"/>
            </w:tcBorders>
          </w:tcPr>
          <w:p w:rsidRPr="00F37E3F" w:rsidR="00465E31" w:rsidRDefault="00465E31" w14:paraId="28EBD9C5"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Budget for Program Administration</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403303EC" w14:textId="77777777">
            <w:pPr>
              <w:rPr>
                <w:rFonts w:ascii="Palatino Linotype" w:hAnsi="Palatino Linotype"/>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A97EB6" w14:paraId="002A5C4A" w14:textId="1B78200E">
            <w:pPr>
              <w:jc w:val="right"/>
              <w:rPr>
                <w:rFonts w:ascii="Palatino Linotype" w:hAnsi="Palatino Linotype"/>
                <w:color w:val="000000" w:themeColor="text1"/>
                <w:sz w:val="22"/>
                <w:szCs w:val="22"/>
              </w:rPr>
            </w:pPr>
            <w:r w:rsidRPr="00F37E3F">
              <w:rPr>
                <w:rFonts w:ascii="Palatino Linotype" w:hAnsi="Palatino Linotype"/>
                <w:color w:val="000000" w:themeColor="text1"/>
                <w:sz w:val="22"/>
                <w:szCs w:val="22"/>
              </w:rPr>
              <w:t>2,400,000</w:t>
            </w:r>
          </w:p>
        </w:tc>
      </w:tr>
      <w:tr w:rsidRPr="00041AD5" w:rsidR="00465E31" w:rsidTr="00465E31" w14:paraId="6101001C" w14:textId="77777777">
        <w:tc>
          <w:tcPr>
            <w:tcW w:w="7038" w:type="dxa"/>
            <w:tcBorders>
              <w:right w:val="single" w:color="auto" w:sz="4" w:space="0"/>
            </w:tcBorders>
          </w:tcPr>
          <w:p w:rsidRPr="00F37E3F" w:rsidR="00465E31" w:rsidRDefault="00465E31" w14:paraId="0611774A" w14:textId="77777777">
            <w:pPr>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Total Annual Budget</w:t>
            </w:r>
          </w:p>
        </w:tc>
        <w:tc>
          <w:tcPr>
            <w:tcW w:w="540" w:type="dxa"/>
            <w:tcBorders>
              <w:top w:val="single" w:color="auto" w:sz="4" w:space="0"/>
              <w:left w:val="single" w:color="auto" w:sz="4" w:space="0"/>
              <w:bottom w:val="single" w:color="auto" w:sz="4" w:space="0"/>
              <w:right w:val="nil"/>
            </w:tcBorders>
            <w:vAlign w:val="center"/>
          </w:tcPr>
          <w:p w:rsidRPr="00F37E3F" w:rsidR="00465E31" w:rsidRDefault="00465E31" w14:paraId="470DE5FB" w14:textId="77777777">
            <w:pPr>
              <w:rPr>
                <w:rFonts w:ascii="Palatino Linotype" w:hAnsi="Palatino Linotype"/>
                <w:b/>
                <w:bCs/>
                <w:color w:val="000000" w:themeColor="text1"/>
                <w:sz w:val="22"/>
                <w:szCs w:val="22"/>
              </w:rPr>
            </w:pPr>
            <w:r w:rsidRPr="00F37E3F">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F37E3F" w:rsidR="00465E31" w:rsidRDefault="00465E31" w14:paraId="7B3CA7DF" w14:textId="40DED9DA">
            <w:pPr>
              <w:jc w:val="right"/>
              <w:rPr>
                <w:rFonts w:ascii="Palatino Linotype" w:hAnsi="Palatino Linotype"/>
                <w:b/>
                <w:bCs/>
                <w:color w:val="000000" w:themeColor="text1"/>
                <w:sz w:val="22"/>
                <w:szCs w:val="22"/>
              </w:rPr>
            </w:pPr>
            <w:r w:rsidRPr="00F37E3F">
              <w:rPr>
                <w:rFonts w:ascii="Palatino Linotype" w:hAnsi="Palatino Linotype"/>
                <w:b/>
                <w:bCs/>
                <w:color w:val="000000" w:themeColor="text1"/>
                <w:sz w:val="22"/>
                <w:szCs w:val="22"/>
              </w:rPr>
              <w:t>2</w:t>
            </w:r>
            <w:r w:rsidRPr="00F37E3F" w:rsidR="00A97EB6">
              <w:rPr>
                <w:rFonts w:ascii="Palatino Linotype" w:hAnsi="Palatino Linotype"/>
                <w:b/>
                <w:bCs/>
                <w:color w:val="000000" w:themeColor="text1"/>
                <w:sz w:val="22"/>
                <w:szCs w:val="22"/>
              </w:rPr>
              <w:t>4,000,000</w:t>
            </w:r>
          </w:p>
        </w:tc>
      </w:tr>
    </w:tbl>
    <w:p w:rsidRPr="00041AD5" w:rsidR="00E13A8D" w:rsidP="00E13A8D" w:rsidRDefault="00E13A8D" w14:paraId="57786ED0" w14:textId="77777777">
      <w:pPr>
        <w:spacing w:after="0" w:line="276" w:lineRule="auto"/>
        <w:rPr>
          <w:rFonts w:ascii="Palatino Linotype" w:hAnsi="Palatino Linotype" w:eastAsia="Palatino Linotype" w:cs="Times New Roman"/>
          <w:color w:val="000000" w:themeColor="text1"/>
          <w:kern w:val="0"/>
          <w14:ligatures w14:val="none"/>
        </w:rPr>
      </w:pPr>
    </w:p>
    <w:p w:rsidRPr="00503AF5" w:rsidR="00B609BE" w:rsidP="00503AF5" w:rsidRDefault="000E01F1" w14:paraId="5C0D5FAF" w14:textId="5831BE29">
      <w:p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For clarity, we provide the graph below to illustrate how applicable unspent funds and associated Program Administration funds may be supplemented by new ratepayer funds within the authorized zero-based budget caps: </w:t>
      </w:r>
    </w:p>
    <w:p w:rsidRPr="00041AD5" w:rsidR="00E820A0" w:rsidP="00E820A0" w:rsidRDefault="00E820A0" w14:paraId="7CE9DA66" w14:textId="0BEE9D18">
      <w:pPr>
        <w:spacing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bCs/>
          <w:color w:val="000000" w:themeColor="text1"/>
          <w:kern w:val="0"/>
          <w14:ligatures w14:val="none"/>
        </w:rPr>
        <w:lastRenderedPageBreak/>
        <w:t>Figure 1: Summary of Commission-Approved 2024 and 2025 Plan Budgets by Unspent and New Ratepayer Funds </w:t>
      </w:r>
    </w:p>
    <w:p w:rsidRPr="00F37E3F" w:rsidR="00396794" w:rsidP="00F37E3F" w:rsidRDefault="00E820A0" w14:paraId="2AC88C04" w14:textId="2AE656FA">
      <w:pPr>
        <w:spacing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bCs/>
          <w:noProof/>
          <w:color w:val="000000" w:themeColor="text1"/>
          <w:kern w:val="0"/>
          <w14:ligatures w14:val="none"/>
        </w:rPr>
        <w:drawing>
          <wp:inline distT="0" distB="0" distL="0" distR="0" wp14:anchorId="7EA78D6F" wp14:editId="14E6FB02">
            <wp:extent cx="5943600" cy="4959350"/>
            <wp:effectExtent l="0" t="0" r="0" b="0"/>
            <wp:docPr id="16836327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959350"/>
                    </a:xfrm>
                    <a:prstGeom prst="rect">
                      <a:avLst/>
                    </a:prstGeom>
                    <a:noFill/>
                    <a:ln>
                      <a:noFill/>
                    </a:ln>
                  </pic:spPr>
                </pic:pic>
              </a:graphicData>
            </a:graphic>
          </wp:inline>
        </w:drawing>
      </w:r>
      <w:r w:rsidRPr="00041AD5">
        <w:rPr>
          <w:rFonts w:ascii="Palatino Linotype" w:hAnsi="Palatino Linotype" w:eastAsia="Palatino Linotype" w:cs="Times New Roman"/>
          <w:b/>
          <w:bCs/>
          <w:color w:val="000000" w:themeColor="text1"/>
          <w:kern w:val="0"/>
          <w14:ligatures w14:val="none"/>
        </w:rPr>
        <w:t> </w:t>
      </w:r>
    </w:p>
    <w:p w:rsidRPr="0008578D" w:rsidR="00EC1477" w:rsidP="0008578D" w:rsidRDefault="00875510" w14:paraId="46FE575D" w14:textId="6580838D">
      <w:pPr>
        <w:spacing w:line="276" w:lineRule="auto"/>
        <w:rPr>
          <w:rFonts w:ascii="Palatino Linotype" w:hAnsi="Palatino Linotype" w:eastAsia="Palatino Linotype" w:cs="Times New Roman"/>
          <w:b/>
          <w:bCs/>
          <w:color w:val="000000" w:themeColor="text1"/>
          <w:kern w:val="0"/>
          <w14:ligatures w14:val="none"/>
        </w:rPr>
      </w:pPr>
      <w:r w:rsidRPr="00041AD5">
        <w:rPr>
          <w:rFonts w:ascii="Palatino Linotype" w:hAnsi="Palatino Linotype" w:eastAsia="Palatino Linotype" w:cs="Times New Roman"/>
          <w:b/>
          <w:color w:val="000000" w:themeColor="text1"/>
          <w:kern w:val="0"/>
          <w14:ligatures w14:val="none"/>
        </w:rPr>
        <w:t>Consolidated</w:t>
      </w:r>
      <w:r w:rsidRPr="00041AD5">
        <w:rPr>
          <w:rFonts w:ascii="Palatino Linotype" w:hAnsi="Palatino Linotype" w:eastAsia="Palatino Linotype" w:cs="Times New Roman"/>
          <w:b/>
          <w:bCs/>
          <w:color w:val="000000" w:themeColor="text1"/>
          <w:kern w:val="0"/>
          <w14:ligatures w14:val="none"/>
        </w:rPr>
        <w:t xml:space="preserve"> </w:t>
      </w:r>
      <w:r w:rsidRPr="00041AD5" w:rsidR="00C456E6">
        <w:rPr>
          <w:rFonts w:ascii="Palatino Linotype" w:hAnsi="Palatino Linotype" w:eastAsia="Palatino Linotype" w:cs="Times New Roman"/>
          <w:b/>
          <w:bCs/>
          <w:color w:val="000000" w:themeColor="text1"/>
          <w:kern w:val="0"/>
          <w14:ligatures w14:val="none"/>
        </w:rPr>
        <w:t xml:space="preserve">Guidance for Future CEC </w:t>
      </w:r>
      <w:r w:rsidRPr="00041AD5" w:rsidR="00F37100">
        <w:rPr>
          <w:rFonts w:ascii="Palatino Linotype" w:hAnsi="Palatino Linotype" w:eastAsia="Palatino Linotype" w:cs="Times New Roman"/>
          <w:b/>
          <w:bCs/>
          <w:color w:val="000000" w:themeColor="text1"/>
          <w:kern w:val="0"/>
          <w14:ligatures w14:val="none"/>
        </w:rPr>
        <w:t xml:space="preserve">Gas RD&amp;D </w:t>
      </w:r>
      <w:r w:rsidR="0008578D">
        <w:rPr>
          <w:rFonts w:ascii="Palatino Linotype" w:hAnsi="Palatino Linotype" w:eastAsia="Palatino Linotype" w:cs="Times New Roman"/>
          <w:b/>
          <w:bCs/>
          <w:color w:val="000000" w:themeColor="text1"/>
          <w:kern w:val="0"/>
          <w14:ligatures w14:val="none"/>
        </w:rPr>
        <w:t>Compliance Filings</w:t>
      </w:r>
      <w:r w:rsidRPr="00041AD5" w:rsidR="00F37100">
        <w:rPr>
          <w:rFonts w:ascii="Palatino Linotype" w:hAnsi="Palatino Linotype" w:eastAsia="Palatino Linotype" w:cs="Times New Roman"/>
          <w:b/>
          <w:bCs/>
          <w:color w:val="000000" w:themeColor="text1"/>
          <w:kern w:val="0"/>
          <w14:ligatures w14:val="none"/>
        </w:rPr>
        <w:t xml:space="preserve"> </w:t>
      </w:r>
    </w:p>
    <w:p w:rsidRPr="00041AD5" w:rsidR="006303D2" w:rsidP="00F269F3" w:rsidRDefault="006B0DA9" w14:paraId="6EE1184C" w14:textId="5D368B34">
      <w:pPr>
        <w:spacing w:after="0"/>
        <w:rPr>
          <w:rFonts w:ascii="Palatino Linotype" w:hAnsi="Palatino Linotype"/>
          <w:color w:val="000000" w:themeColor="text1"/>
          <w:highlight w:val="yellow"/>
        </w:rPr>
      </w:pPr>
      <w:r w:rsidRPr="00041AD5">
        <w:rPr>
          <w:rFonts w:ascii="Palatino Linotype" w:hAnsi="Palatino Linotype"/>
          <w:color w:val="000000" w:themeColor="text1"/>
        </w:rPr>
        <w:t xml:space="preserve">The Commission </w:t>
      </w:r>
      <w:r w:rsidRPr="00041AD5" w:rsidR="001D6CBB">
        <w:rPr>
          <w:rFonts w:ascii="Palatino Linotype" w:hAnsi="Palatino Linotype"/>
          <w:color w:val="000000" w:themeColor="text1"/>
        </w:rPr>
        <w:t>details the following</w:t>
      </w:r>
      <w:r w:rsidRPr="00041AD5" w:rsidR="008F0D5D">
        <w:rPr>
          <w:rFonts w:ascii="Palatino Linotype" w:hAnsi="Palatino Linotype"/>
          <w:color w:val="000000" w:themeColor="text1"/>
        </w:rPr>
        <w:t xml:space="preserve"> requirements for the efficient development</w:t>
      </w:r>
      <w:r w:rsidRPr="00041AD5" w:rsidR="00E46E87">
        <w:rPr>
          <w:rFonts w:ascii="Palatino Linotype" w:hAnsi="Palatino Linotype"/>
          <w:color w:val="000000" w:themeColor="text1"/>
        </w:rPr>
        <w:t xml:space="preserve">, </w:t>
      </w:r>
      <w:r w:rsidRPr="00041AD5" w:rsidR="008F0D5D">
        <w:rPr>
          <w:rFonts w:ascii="Palatino Linotype" w:hAnsi="Palatino Linotype"/>
          <w:color w:val="000000" w:themeColor="text1"/>
        </w:rPr>
        <w:t>streamlined review</w:t>
      </w:r>
      <w:r w:rsidRPr="00041AD5" w:rsidR="00E46E87">
        <w:rPr>
          <w:rFonts w:ascii="Palatino Linotype" w:hAnsi="Palatino Linotype"/>
          <w:color w:val="000000" w:themeColor="text1"/>
        </w:rPr>
        <w:t>, and effective implementation</w:t>
      </w:r>
      <w:r w:rsidRPr="00041AD5" w:rsidR="008F0D5D">
        <w:rPr>
          <w:rFonts w:ascii="Palatino Linotype" w:hAnsi="Palatino Linotype"/>
          <w:color w:val="000000" w:themeColor="text1"/>
        </w:rPr>
        <w:t xml:space="preserve"> of future proposed Gas RD&amp;D Plans</w:t>
      </w:r>
      <w:r w:rsidRPr="00041AD5">
        <w:rPr>
          <w:rFonts w:ascii="Palatino Linotype" w:hAnsi="Palatino Linotype"/>
          <w:color w:val="000000" w:themeColor="text1"/>
        </w:rPr>
        <w:t>.</w:t>
      </w:r>
      <w:r w:rsidRPr="00041AD5" w:rsidR="00682ACB">
        <w:rPr>
          <w:rFonts w:ascii="Palatino Linotype" w:hAnsi="Palatino Linotype"/>
          <w:color w:val="000000" w:themeColor="text1"/>
        </w:rPr>
        <w:t xml:space="preserve"> </w:t>
      </w:r>
      <w:r w:rsidRPr="00041AD5" w:rsidR="00DE64B9">
        <w:rPr>
          <w:rFonts w:ascii="Palatino Linotype" w:hAnsi="Palatino Linotype"/>
          <w:color w:val="000000" w:themeColor="text1"/>
        </w:rPr>
        <w:t>The CEC Gas RD&amp;D Program requirements span over two decades of statute, the Gas RD&amp;D funding guidance in D.04-08-010, and 21 Commission resolutions approving the CEC’s Gas RD&amp;D Plans beginning in 2004</w:t>
      </w:r>
      <w:r w:rsidRPr="00041AD5" w:rsidR="00B46E66">
        <w:rPr>
          <w:rFonts w:ascii="Palatino Linotype" w:hAnsi="Palatino Linotype"/>
          <w:color w:val="000000" w:themeColor="text1"/>
        </w:rPr>
        <w:t>,</w:t>
      </w:r>
      <w:r w:rsidRPr="00041AD5" w:rsidR="00DE64B9">
        <w:rPr>
          <w:rStyle w:val="FootnoteReference"/>
          <w:rFonts w:ascii="Palatino Linotype" w:hAnsi="Palatino Linotype" w:eastAsia="Palatino Linotype" w:cs="Times New Roman"/>
          <w:color w:val="000000" w:themeColor="text1"/>
          <w:kern w:val="0"/>
          <w14:ligatures w14:val="none"/>
        </w:rPr>
        <w:footnoteReference w:id="77"/>
      </w:r>
      <w:r w:rsidRPr="00041AD5" w:rsidR="00DE64B9">
        <w:rPr>
          <w:rFonts w:ascii="Palatino Linotype" w:hAnsi="Palatino Linotype"/>
          <w:color w:val="000000" w:themeColor="text1"/>
        </w:rPr>
        <w:t xml:space="preserve"> </w:t>
      </w:r>
      <w:r w:rsidRPr="00041AD5" w:rsidR="00EF2E13">
        <w:rPr>
          <w:rFonts w:ascii="Palatino Linotype" w:hAnsi="Palatino Linotype"/>
          <w:color w:val="000000" w:themeColor="text1"/>
        </w:rPr>
        <w:t xml:space="preserve">all of which </w:t>
      </w:r>
      <w:r w:rsidRPr="00041AD5" w:rsidR="00682ACB">
        <w:rPr>
          <w:rFonts w:ascii="Palatino Linotype" w:hAnsi="Palatino Linotype"/>
          <w:color w:val="000000" w:themeColor="text1"/>
        </w:rPr>
        <w:t>were rigorously reviewed by Energy Division staff</w:t>
      </w:r>
      <w:r w:rsidRPr="00041AD5" w:rsidR="00EF2E13">
        <w:rPr>
          <w:rFonts w:ascii="Palatino Linotype" w:hAnsi="Palatino Linotype"/>
          <w:color w:val="000000" w:themeColor="text1"/>
        </w:rPr>
        <w:t>.</w:t>
      </w:r>
      <w:r w:rsidRPr="00041AD5" w:rsidR="00682ACB">
        <w:rPr>
          <w:rFonts w:ascii="Palatino Linotype" w:hAnsi="Palatino Linotype"/>
          <w:color w:val="000000" w:themeColor="text1"/>
        </w:rPr>
        <w:t xml:space="preserve">  </w:t>
      </w:r>
      <w:r w:rsidRPr="00041AD5" w:rsidR="000A3409">
        <w:rPr>
          <w:rFonts w:ascii="Palatino Linotype" w:hAnsi="Palatino Linotype" w:eastAsia="Times New Roman" w:cs="Times New Roman"/>
          <w:color w:val="000000" w:themeColor="text1"/>
          <w:kern w:val="0"/>
          <w14:ligatures w14:val="none"/>
        </w:rPr>
        <w:t xml:space="preserve">This Resolution provides </w:t>
      </w:r>
      <w:r w:rsidRPr="00041AD5" w:rsidR="00EF2E13">
        <w:rPr>
          <w:rFonts w:ascii="Palatino Linotype" w:hAnsi="Palatino Linotype" w:eastAsia="Times New Roman" w:cs="Times New Roman"/>
          <w:color w:val="000000" w:themeColor="text1"/>
          <w:kern w:val="0"/>
          <w14:ligatures w14:val="none"/>
        </w:rPr>
        <w:t>this</w:t>
      </w:r>
      <w:r w:rsidRPr="00041AD5" w:rsidR="000A3409">
        <w:rPr>
          <w:rFonts w:ascii="Palatino Linotype" w:hAnsi="Palatino Linotype" w:eastAsia="Times New Roman" w:cs="Times New Roman"/>
          <w:color w:val="000000" w:themeColor="text1"/>
          <w:kern w:val="0"/>
          <w14:ligatures w14:val="none"/>
        </w:rPr>
        <w:t xml:space="preserve"> consolidated list of program </w:t>
      </w:r>
      <w:r w:rsidRPr="00041AD5" w:rsidR="000A3409">
        <w:rPr>
          <w:rFonts w:ascii="Palatino Linotype" w:hAnsi="Palatino Linotype" w:eastAsia="Times New Roman" w:cs="Times New Roman"/>
          <w:color w:val="000000" w:themeColor="text1"/>
          <w:kern w:val="0"/>
          <w14:ligatures w14:val="none"/>
        </w:rPr>
        <w:lastRenderedPageBreak/>
        <w:t xml:space="preserve">requirements based on </w:t>
      </w:r>
      <w:r w:rsidRPr="00041AD5" w:rsidR="00EF2E13">
        <w:rPr>
          <w:rFonts w:ascii="Palatino Linotype" w:hAnsi="Palatino Linotype" w:eastAsia="Times New Roman" w:cs="Times New Roman"/>
          <w:color w:val="000000" w:themeColor="text1"/>
          <w:kern w:val="0"/>
          <w14:ligatures w14:val="none"/>
        </w:rPr>
        <w:t xml:space="preserve">the reviewed </w:t>
      </w:r>
      <w:r w:rsidRPr="00041AD5" w:rsidR="000A3409">
        <w:rPr>
          <w:rFonts w:ascii="Palatino Linotype" w:hAnsi="Palatino Linotype" w:eastAsia="Times New Roman" w:cs="Times New Roman"/>
          <w:color w:val="000000" w:themeColor="text1"/>
          <w:kern w:val="0"/>
          <w14:ligatures w14:val="none"/>
        </w:rPr>
        <w:t>prior decisions and resolutions as well as establishes new requirements for improved Commission oversight.</w:t>
      </w:r>
      <w:r w:rsidRPr="00041AD5" w:rsidR="00216814">
        <w:rPr>
          <w:rFonts w:ascii="Palatino Linotype" w:hAnsi="Palatino Linotype"/>
          <w:color w:val="000000" w:themeColor="text1"/>
        </w:rPr>
        <w:t xml:space="preserve"> </w:t>
      </w:r>
    </w:p>
    <w:p w:rsidRPr="00041AD5" w:rsidR="00344BB2" w:rsidP="006C733A" w:rsidRDefault="00344BB2" w14:paraId="38237D7B"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344BB2" w:rsidP="001844F5" w:rsidRDefault="006A0099" w14:paraId="28FE6F04" w14:textId="54C94C97">
      <w:pPr>
        <w:spacing w:line="276" w:lineRule="auto"/>
        <w:rPr>
          <w:rFonts w:ascii="Palatino Linotype" w:hAnsi="Palatino Linotype" w:eastAsia="Century Gothic" w:cs="Century Gothic"/>
          <w:color w:val="000000" w:themeColor="text1"/>
          <w:u w:val="single"/>
        </w:rPr>
      </w:pPr>
      <w:r w:rsidRPr="00041AD5">
        <w:rPr>
          <w:rFonts w:ascii="Palatino Linotype" w:hAnsi="Palatino Linotype" w:eastAsia="Century Gothic" w:cs="Century Gothic"/>
          <w:color w:val="000000" w:themeColor="text1"/>
          <w:u w:val="single"/>
        </w:rPr>
        <w:t>Annual Investment Planning</w:t>
      </w:r>
    </w:p>
    <w:p w:rsidRPr="00041AD5" w:rsidR="00344BB2" w:rsidP="003A4AC1" w:rsidRDefault="006A0099" w14:paraId="20BEFDBB" w14:textId="77777777">
      <w:pPr>
        <w:spacing w:line="276" w:lineRule="auto"/>
        <w:rPr>
          <w:rFonts w:ascii="Palatino Linotype" w:hAnsi="Palatino Linotype" w:eastAsia="Century Gothic" w:cs="Century Gothic"/>
          <w:color w:val="000000" w:themeColor="text1"/>
          <w:u w:val="single"/>
        </w:rPr>
      </w:pPr>
      <w:r w:rsidRPr="00041AD5">
        <w:rPr>
          <w:rFonts w:ascii="Palatino Linotype" w:hAnsi="Palatino Linotype" w:eastAsia="Palatino Linotype" w:cs="Times New Roman"/>
          <w:i/>
          <w:iCs/>
          <w:color w:val="000000" w:themeColor="text1"/>
        </w:rPr>
        <w:t xml:space="preserve">Initiative Criteria </w:t>
      </w:r>
    </w:p>
    <w:p w:rsidRPr="00041AD5" w:rsidR="006A0099" w:rsidP="00344BB2" w:rsidRDefault="004B5BBC" w14:paraId="04B66EF6" w14:textId="4A02AB2E">
      <w:pPr>
        <w:spacing w:after="0" w:line="276" w:lineRule="auto"/>
        <w:rPr>
          <w:rFonts w:ascii="Palatino Linotype" w:hAnsi="Palatino Linotype" w:eastAsia="Century Gothic" w:cs="Century Gothic"/>
          <w:color w:val="000000" w:themeColor="text1"/>
          <w:u w:val="single"/>
        </w:rPr>
      </w:pPr>
      <w:r w:rsidRPr="00041AD5">
        <w:rPr>
          <w:rFonts w:ascii="Palatino Linotype" w:hAnsi="Palatino Linotype" w:eastAsia="Century Gothic" w:cs="Century Gothic"/>
          <w:color w:val="000000" w:themeColor="text1"/>
        </w:rPr>
        <w:t xml:space="preserve">The </w:t>
      </w:r>
      <w:r w:rsidRPr="00041AD5" w:rsidR="006A0099">
        <w:rPr>
          <w:rFonts w:ascii="Palatino Linotype" w:hAnsi="Palatino Linotype" w:eastAsia="Century Gothic" w:cs="Century Gothic"/>
          <w:color w:val="000000" w:themeColor="text1"/>
        </w:rPr>
        <w:t xml:space="preserve">CEC shall develop and propose Gas RD&amp;D investments at the Initiative level and demonstrate the following for each, consistent with Commission guidance (see Appendix </w:t>
      </w:r>
      <w:r w:rsidRPr="00041AD5" w:rsidR="00587988">
        <w:rPr>
          <w:rFonts w:ascii="Palatino Linotype" w:hAnsi="Palatino Linotype" w:eastAsia="Century Gothic" w:cs="Century Gothic"/>
          <w:color w:val="000000" w:themeColor="text1"/>
        </w:rPr>
        <w:t>C</w:t>
      </w:r>
      <w:r w:rsidRPr="00041AD5" w:rsidR="006A0099">
        <w:rPr>
          <w:rFonts w:ascii="Palatino Linotype" w:hAnsi="Palatino Linotype" w:eastAsia="Century Gothic" w:cs="Century Gothic"/>
          <w:color w:val="000000" w:themeColor="text1"/>
        </w:rPr>
        <w:t>):</w:t>
      </w:r>
    </w:p>
    <w:p w:rsidRPr="00041AD5" w:rsidR="006A0099" w:rsidP="00A556C9" w:rsidRDefault="006A0099" w14:paraId="65CB98C0" w14:textId="2043D7A3">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Policy Priority:</w:t>
      </w:r>
      <w:r w:rsidRPr="00041AD5">
        <w:rPr>
          <w:rFonts w:ascii="Palatino Linotype" w:hAnsi="Palatino Linotype" w:eastAsia="Century Gothic" w:cs="Century Gothic"/>
          <w:color w:val="000000" w:themeColor="text1"/>
        </w:rPr>
        <w:t xml:space="preserve"> Alignment with and prioritization of critical gaps and needs identified in specific CPUC policies and proceedings</w:t>
      </w:r>
      <w:r w:rsidRPr="00041AD5" w:rsidR="00DA7F63">
        <w:rPr>
          <w:rFonts w:ascii="Palatino Linotype" w:hAnsi="Palatino Linotype" w:eastAsia="Century Gothic" w:cs="Century Gothic"/>
          <w:color w:val="000000" w:themeColor="text1"/>
        </w:rPr>
        <w:t>, which support</w:t>
      </w:r>
      <w:r w:rsidRPr="00041AD5">
        <w:rPr>
          <w:rFonts w:ascii="Palatino Linotype" w:hAnsi="Palatino Linotype" w:eastAsia="Century Gothic" w:cs="Century Gothic"/>
          <w:color w:val="000000" w:themeColor="text1"/>
        </w:rPr>
        <w:t xml:space="preserve"> </w:t>
      </w:r>
      <w:r w:rsidRPr="00041AD5" w:rsidR="00DA7F63">
        <w:rPr>
          <w:rFonts w:ascii="Palatino Linotype" w:hAnsi="Palatino Linotype" w:eastAsia="Century Gothic" w:cs="Century Gothic"/>
          <w:color w:val="000000" w:themeColor="text1"/>
        </w:rPr>
        <w:t xml:space="preserve">State goals, </w:t>
      </w:r>
      <w:r w:rsidRPr="00041AD5">
        <w:rPr>
          <w:rFonts w:ascii="Palatino Linotype" w:hAnsi="Palatino Linotype" w:eastAsia="Century Gothic" w:cs="Century Gothic"/>
          <w:color w:val="000000" w:themeColor="text1"/>
        </w:rPr>
        <w:t>informed by consultation with CPUC staff</w:t>
      </w:r>
      <w:r w:rsidRPr="00041AD5" w:rsidR="00BF11B8">
        <w:rPr>
          <w:rFonts w:ascii="Palatino Linotype" w:hAnsi="Palatino Linotype" w:eastAsia="Century Gothic" w:cs="Century Gothic"/>
          <w:color w:val="000000" w:themeColor="text1"/>
        </w:rPr>
        <w:t xml:space="preserve"> </w:t>
      </w:r>
      <w:r w:rsidRPr="00041AD5" w:rsidR="005F4A76">
        <w:rPr>
          <w:rFonts w:ascii="Palatino Linotype" w:hAnsi="Palatino Linotype" w:eastAsia="Century Gothic" w:cs="Century Gothic"/>
          <w:color w:val="000000" w:themeColor="text1"/>
        </w:rPr>
        <w:t>on</w:t>
      </w:r>
      <w:r w:rsidRPr="00041AD5" w:rsidR="00816C47">
        <w:rPr>
          <w:rFonts w:ascii="Palatino Linotype" w:hAnsi="Palatino Linotype" w:eastAsia="Century Gothic" w:cs="Century Gothic"/>
          <w:color w:val="000000" w:themeColor="text1"/>
        </w:rPr>
        <w:t xml:space="preserve"> </w:t>
      </w:r>
      <w:r w:rsidRPr="00041AD5" w:rsidR="00C86ED1">
        <w:rPr>
          <w:rFonts w:ascii="Palatino Linotype" w:hAnsi="Palatino Linotype" w:eastAsia="Century Gothic" w:cs="Century Gothic"/>
          <w:color w:val="000000" w:themeColor="text1"/>
        </w:rPr>
        <w:t xml:space="preserve">targeted </w:t>
      </w:r>
      <w:r w:rsidRPr="00041AD5" w:rsidR="005F4A76">
        <w:rPr>
          <w:rFonts w:ascii="Palatino Linotype" w:hAnsi="Palatino Linotype" w:eastAsia="Century Gothic" w:cs="Century Gothic"/>
          <w:color w:val="000000" w:themeColor="text1"/>
        </w:rPr>
        <w:t xml:space="preserve">policy </w:t>
      </w:r>
      <w:r w:rsidRPr="00041AD5" w:rsidR="00C86ED1">
        <w:rPr>
          <w:rFonts w:ascii="Palatino Linotype" w:hAnsi="Palatino Linotype" w:eastAsia="Century Gothic" w:cs="Century Gothic"/>
          <w:color w:val="000000" w:themeColor="text1"/>
        </w:rPr>
        <w:t>objectives</w:t>
      </w:r>
      <w:r w:rsidRPr="00041AD5">
        <w:rPr>
          <w:rFonts w:ascii="Palatino Linotype" w:hAnsi="Palatino Linotype" w:eastAsia="Century Gothic" w:cs="Century Gothic"/>
          <w:color w:val="000000" w:themeColor="text1"/>
        </w:rPr>
        <w:t>.</w:t>
      </w:r>
    </w:p>
    <w:p w:rsidRPr="00041AD5" w:rsidR="006A0099" w:rsidP="00A556C9" w:rsidRDefault="006A0099" w14:paraId="4EAFDF3B"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Identified Need:</w:t>
      </w:r>
      <w:r w:rsidRPr="00041AD5">
        <w:rPr>
          <w:rFonts w:ascii="Palatino Linotype" w:hAnsi="Palatino Linotype" w:eastAsia="Century Gothic" w:cs="Century Gothic"/>
          <w:color w:val="000000" w:themeColor="text1"/>
        </w:rPr>
        <w:t xml:space="preserve"> </w:t>
      </w:r>
      <w:r w:rsidRPr="00041AD5">
        <w:rPr>
          <w:rFonts w:ascii="Palatino Linotype" w:hAnsi="Palatino Linotype"/>
          <w:color w:val="000000" w:themeColor="text1"/>
        </w:rPr>
        <w:t>Innovation and differentiation from existing RD&amp;D activities to support complementary rather than duplicative efforts, informed by specific consultation with other Gas RD&amp;D Administrators. Demonstrate that the Initiative will leverage existing progress while providing distinct additional value.</w:t>
      </w:r>
    </w:p>
    <w:p w:rsidRPr="00041AD5" w:rsidR="006A0099" w:rsidP="00A556C9" w:rsidRDefault="006A0099" w14:paraId="4C13C056"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Proposed Solution</w:t>
      </w:r>
      <w:r w:rsidRPr="00041AD5">
        <w:rPr>
          <w:rFonts w:ascii="Palatino Linotype" w:hAnsi="Palatino Linotype" w:eastAsia="Century Gothic" w:cs="Century Gothic"/>
          <w:color w:val="000000" w:themeColor="text1"/>
        </w:rPr>
        <w:t>: Describe Research Topics, anticipated near-term project outputs commensurate with the proposed funding level, and intended pathways to scale, commercialize, and otherwise utilize results from RD&amp;D activities to promote technology transfer and market facilitation.</w:t>
      </w:r>
    </w:p>
    <w:p w:rsidRPr="00041AD5" w:rsidR="006A0099" w:rsidP="00A556C9" w:rsidRDefault="006A0099" w14:paraId="2CC67E48"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b/>
          <w:bCs/>
          <w:color w:val="000000" w:themeColor="text1"/>
        </w:rPr>
        <w:t>Anticipated Impacts</w:t>
      </w:r>
      <w:r w:rsidRPr="00041AD5">
        <w:rPr>
          <w:rFonts w:ascii="Palatino Linotype" w:hAnsi="Palatino Linotype" w:eastAsia="Century Gothic" w:cs="Century Gothic"/>
          <w:color w:val="000000" w:themeColor="text1"/>
        </w:rPr>
        <w:t>:</w:t>
      </w:r>
    </w:p>
    <w:p w:rsidRPr="00041AD5" w:rsidR="006A0099" w:rsidP="00A556C9" w:rsidRDefault="006A0099" w14:paraId="55E75E3B" w14:textId="322611A8">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color w:val="000000" w:themeColor="text1"/>
        </w:rPr>
        <w:t>Reasonable probability of providing California ratepayer benefit by locating projects in the State of California</w:t>
      </w:r>
      <w:r w:rsidRPr="00041AD5">
        <w:rPr>
          <w:rStyle w:val="FootnoteReference"/>
          <w:rFonts w:ascii="Palatino Linotype" w:hAnsi="Palatino Linotype" w:eastAsia="Century Gothic" w:cs="Century Gothic"/>
          <w:color w:val="000000" w:themeColor="text1"/>
        </w:rPr>
        <w:footnoteReference w:id="78"/>
      </w:r>
      <w:r w:rsidRPr="00041AD5">
        <w:rPr>
          <w:rFonts w:ascii="Palatino Linotype" w:hAnsi="Palatino Linotype" w:eastAsia="Century Gothic" w:cs="Century Gothic"/>
          <w:color w:val="000000" w:themeColor="text1"/>
        </w:rPr>
        <w:t xml:space="preserve"> and detailed planned methodologies for tracking and evaluating quantitative impacts from investments through the use of the </w:t>
      </w:r>
      <w:r w:rsidRPr="00041AD5" w:rsidR="00DB2535">
        <w:rPr>
          <w:rFonts w:ascii="Palatino Linotype" w:hAnsi="Palatino Linotype" w:eastAsiaTheme="minorEastAsia"/>
          <w:color w:val="000000" w:themeColor="text1"/>
        </w:rPr>
        <w:t xml:space="preserve">EPIC </w:t>
      </w:r>
      <w:r w:rsidRPr="00041AD5">
        <w:rPr>
          <w:rFonts w:ascii="Palatino Linotype" w:hAnsi="Palatino Linotype" w:eastAsia="Century Gothic" w:cs="Century Gothic"/>
          <w:color w:val="000000" w:themeColor="text1"/>
        </w:rPr>
        <w:t>Program’s Uniform Impacts Analysis Foundational Principles.</w:t>
      </w:r>
      <w:r w:rsidRPr="00041AD5">
        <w:rPr>
          <w:rStyle w:val="FootnoteReference"/>
          <w:rFonts w:ascii="Palatino Linotype" w:hAnsi="Palatino Linotype" w:eastAsia="Century Gothic" w:cs="Century Gothic"/>
          <w:color w:val="000000" w:themeColor="text1"/>
        </w:rPr>
        <w:footnoteReference w:id="79"/>
      </w:r>
    </w:p>
    <w:p w:rsidRPr="00041AD5" w:rsidR="006A0099" w:rsidDel="00167DED" w:rsidP="00A556C9" w:rsidRDefault="006A0099" w14:paraId="2816E19D" w14:textId="77777777">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color w:val="000000" w:themeColor="text1"/>
        </w:rPr>
        <w:t>C</w:t>
      </w:r>
      <w:r w:rsidRPr="00041AD5" w:rsidDel="00167DED">
        <w:rPr>
          <w:rFonts w:ascii="Palatino Linotype" w:hAnsi="Palatino Linotype" w:eastAsia="Century Gothic" w:cs="Century Gothic"/>
          <w:color w:val="000000" w:themeColor="text1"/>
        </w:rPr>
        <w:t>ost-effectiveness and protection of affordability</w:t>
      </w:r>
      <w:r w:rsidRPr="00041AD5">
        <w:rPr>
          <w:rFonts w:ascii="Palatino Linotype" w:hAnsi="Palatino Linotype" w:eastAsia="Century Gothic" w:cs="Century Gothic"/>
          <w:color w:val="000000" w:themeColor="text1"/>
        </w:rPr>
        <w:t xml:space="preserve"> to ratepayers.</w:t>
      </w:r>
    </w:p>
    <w:p w:rsidRPr="00041AD5" w:rsidR="006A0099" w:rsidP="00A556C9" w:rsidRDefault="006A0099" w14:paraId="10DA1842" w14:textId="77777777">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041AD5">
        <w:rPr>
          <w:rFonts w:ascii="Palatino Linotype" w:hAnsi="Palatino Linotype" w:eastAsia="Century Gothic" w:cs="Century Gothic"/>
          <w:color w:val="000000" w:themeColor="text1"/>
        </w:rPr>
        <w:lastRenderedPageBreak/>
        <w:t>Promote equity and provide benefits to Environmental &amp; Social Justice (ESJ) communities, informed by consultation with community-based organizations (CBOs) and the Commission’s most current ESJ Action Plan.</w:t>
      </w:r>
      <w:r w:rsidRPr="00041AD5">
        <w:rPr>
          <w:rStyle w:val="FootnoteReference"/>
          <w:rFonts w:ascii="Palatino Linotype" w:hAnsi="Palatino Linotype" w:eastAsia="Century Gothic" w:cs="Century Gothic"/>
          <w:color w:val="000000" w:themeColor="text1"/>
        </w:rPr>
        <w:footnoteReference w:id="80"/>
      </w:r>
    </w:p>
    <w:p w:rsidRPr="00041AD5" w:rsidR="006A0099" w:rsidP="006A0099" w:rsidRDefault="006A0099" w14:paraId="19E155C0" w14:textId="77777777">
      <w:pPr>
        <w:spacing w:after="0" w:line="276" w:lineRule="auto"/>
        <w:rPr>
          <w:rFonts w:ascii="Palatino Linotype" w:hAnsi="Palatino Linotype" w:eastAsia="Palatino Linotype" w:cs="Times New Roman"/>
          <w:i/>
          <w:iCs/>
          <w:color w:val="000000" w:themeColor="text1"/>
          <w:kern w:val="0"/>
          <w14:ligatures w14:val="none"/>
        </w:rPr>
      </w:pPr>
    </w:p>
    <w:p w:rsidRPr="00041AD5" w:rsidR="006A0099" w:rsidDel="00AE184D" w:rsidP="006A0099" w:rsidRDefault="006A0099" w14:paraId="74A35BF2" w14:textId="07D1F37C">
      <w:pPr>
        <w:spacing w:after="0" w:line="276" w:lineRule="auto"/>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Pre-Submittal Consultation</w:t>
      </w:r>
    </w:p>
    <w:p w:rsidRPr="00041AD5" w:rsidR="003A4AC1" w:rsidP="00155497" w:rsidRDefault="003A4AC1" w14:paraId="0359B993" w14:textId="115DE1C7">
      <w:pPr>
        <w:spacing w:before="240" w:after="0" w:line="276" w:lineRule="auto"/>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Theme="minorEastAsia"/>
          <w:color w:val="000000" w:themeColor="text1"/>
        </w:rPr>
        <w:t xml:space="preserve">The refined, comprehensive pre-submittal consultation process detailed </w:t>
      </w:r>
      <w:r w:rsidRPr="00041AD5" w:rsidR="00155497">
        <w:rPr>
          <w:rFonts w:ascii="Palatino Linotype" w:hAnsi="Palatino Linotype" w:eastAsiaTheme="minorEastAsia"/>
          <w:color w:val="000000" w:themeColor="text1"/>
        </w:rPr>
        <w:t xml:space="preserve">below </w:t>
      </w:r>
      <w:r w:rsidRPr="00041AD5">
        <w:rPr>
          <w:rFonts w:ascii="Palatino Linotype" w:hAnsi="Palatino Linotype" w:eastAsiaTheme="minorEastAsia"/>
          <w:color w:val="000000" w:themeColor="text1"/>
        </w:rPr>
        <w:t>promotes coordinated strategic planning across administrators to facilitate</w:t>
      </w:r>
      <w:r w:rsidRPr="00041AD5" w:rsidR="00B8435B">
        <w:rPr>
          <w:rFonts w:ascii="Palatino Linotype" w:hAnsi="Palatino Linotype" w:eastAsiaTheme="minorEastAsia"/>
          <w:color w:val="000000" w:themeColor="text1"/>
        </w:rPr>
        <w:t xml:space="preserve"> a</w:t>
      </w:r>
      <w:r w:rsidRPr="00041AD5">
        <w:rPr>
          <w:rFonts w:ascii="Palatino Linotype" w:hAnsi="Palatino Linotype" w:eastAsiaTheme="minorEastAsia"/>
          <w:color w:val="000000" w:themeColor="text1"/>
        </w:rPr>
        <w:t xml:space="preserve"> holistic investment planning approach</w:t>
      </w:r>
      <w:r w:rsidRPr="00041AD5" w:rsidR="00B8435B">
        <w:rPr>
          <w:rFonts w:ascii="Palatino Linotype" w:hAnsi="Palatino Linotype" w:eastAsiaTheme="minorEastAsia"/>
          <w:color w:val="000000" w:themeColor="text1"/>
        </w:rPr>
        <w:t>:</w:t>
      </w:r>
      <w:r w:rsidRPr="00041AD5">
        <w:rPr>
          <w:rStyle w:val="FootnoteReference"/>
          <w:rFonts w:ascii="Palatino Linotype" w:hAnsi="Palatino Linotype" w:eastAsiaTheme="minorEastAsia"/>
          <w:color w:val="000000" w:themeColor="text1"/>
        </w:rPr>
        <w:footnoteReference w:id="81"/>
      </w:r>
    </w:p>
    <w:p w:rsidRPr="00041AD5" w:rsidR="006A0099" w:rsidP="006A0099" w:rsidRDefault="006A0099" w14:paraId="3A0B51C5"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6A0099" w:rsidP="00BB33C1" w:rsidRDefault="006A0099" w14:paraId="5F4CB9F9" w14:textId="77777777">
      <w:pPr>
        <w:pStyle w:val="ListParagraph"/>
        <w:numPr>
          <w:ilvl w:val="0"/>
          <w:numId w:val="43"/>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Intra-Administrator Coordination</w:t>
      </w:r>
    </w:p>
    <w:p w:rsidRPr="00041AD5" w:rsidR="006A0099" w:rsidP="00175D56" w:rsidRDefault="003969DE" w14:paraId="1D876345" w14:textId="45883502">
      <w:pPr>
        <w:spacing w:after="0" w:line="276" w:lineRule="auto"/>
        <w:ind w:left="360"/>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The </w:t>
      </w:r>
      <w:r w:rsidRPr="00041AD5" w:rsidR="006A0099">
        <w:rPr>
          <w:rFonts w:ascii="Palatino Linotype" w:hAnsi="Palatino Linotype" w:eastAsia="Palatino Linotype" w:cs="Times New Roman"/>
          <w:color w:val="000000" w:themeColor="text1"/>
        </w:rPr>
        <w:t>CEC shall be proactive in collaborating with the</w:t>
      </w:r>
      <w:r w:rsidRPr="00041AD5" w:rsidR="008A51C8">
        <w:rPr>
          <w:rFonts w:ascii="Palatino Linotype" w:hAnsi="Palatino Linotype" w:eastAsia="Palatino Linotype" w:cs="Times New Roman"/>
          <w:color w:val="000000" w:themeColor="text1"/>
        </w:rPr>
        <w:t xml:space="preserve"> IOU</w:t>
      </w:r>
      <w:r w:rsidRPr="00041AD5" w:rsidR="00013D7A">
        <w:rPr>
          <w:rFonts w:ascii="Palatino Linotype" w:hAnsi="Palatino Linotype" w:eastAsia="Palatino Linotype" w:cs="Times New Roman"/>
          <w:color w:val="000000" w:themeColor="text1"/>
        </w:rPr>
        <w:t xml:space="preserve"> </w:t>
      </w:r>
      <w:r w:rsidRPr="00041AD5" w:rsidR="00686880">
        <w:rPr>
          <w:rFonts w:ascii="Palatino Linotype" w:hAnsi="Palatino Linotype" w:eastAsia="Palatino Linotype" w:cs="Times New Roman"/>
          <w:color w:val="000000" w:themeColor="text1"/>
        </w:rPr>
        <w:t xml:space="preserve">Gas RD&amp;D </w:t>
      </w:r>
      <w:r w:rsidRPr="00041AD5" w:rsidR="00013D7A">
        <w:rPr>
          <w:rFonts w:ascii="Palatino Linotype" w:hAnsi="Palatino Linotype" w:eastAsia="Palatino Linotype" w:cs="Times New Roman"/>
          <w:color w:val="000000" w:themeColor="text1"/>
        </w:rPr>
        <w:t>administrator</w:t>
      </w:r>
      <w:r w:rsidRPr="00041AD5" w:rsidR="008A51C8">
        <w:rPr>
          <w:rFonts w:ascii="Palatino Linotype" w:hAnsi="Palatino Linotype" w:eastAsia="Palatino Linotype" w:cs="Times New Roman"/>
          <w:color w:val="000000" w:themeColor="text1"/>
        </w:rPr>
        <w:t>s</w:t>
      </w:r>
      <w:r w:rsidRPr="00041AD5" w:rsidR="006A0099">
        <w:rPr>
          <w:rFonts w:ascii="Palatino Linotype" w:hAnsi="Palatino Linotype" w:eastAsia="Palatino Linotype" w:cs="Times New Roman"/>
          <w:color w:val="000000" w:themeColor="text1"/>
        </w:rPr>
        <w:t>, Pacific Gas &amp; Electric (PG&amp;E) and Southern California Gas (</w:t>
      </w:r>
      <w:r w:rsidRPr="00041AD5" w:rsidR="00CD6242">
        <w:rPr>
          <w:rFonts w:ascii="Palatino Linotype" w:hAnsi="Palatino Linotype" w:eastAsia="Palatino Linotype" w:cs="Times New Roman"/>
          <w:color w:val="000000" w:themeColor="text1"/>
        </w:rPr>
        <w:t>S</w:t>
      </w:r>
      <w:r w:rsidRPr="00041AD5" w:rsidR="00D86396">
        <w:rPr>
          <w:rFonts w:ascii="Palatino Linotype" w:hAnsi="Palatino Linotype" w:eastAsia="Palatino Linotype" w:cs="Times New Roman"/>
          <w:color w:val="000000" w:themeColor="text1"/>
        </w:rPr>
        <w:t>oCalGas</w:t>
      </w:r>
      <w:r w:rsidRPr="00041AD5" w:rsidR="006A0099">
        <w:rPr>
          <w:rFonts w:ascii="Palatino Linotype" w:hAnsi="Palatino Linotype" w:eastAsia="Palatino Linotype" w:cs="Times New Roman"/>
          <w:color w:val="000000" w:themeColor="text1"/>
        </w:rPr>
        <w:t xml:space="preserve">), to </w:t>
      </w:r>
      <w:r w:rsidRPr="00041AD5" w:rsidR="006A0099">
        <w:rPr>
          <w:rFonts w:ascii="Palatino Linotype" w:hAnsi="Palatino Linotype" w:eastAsia="Palatino Linotype" w:cs="Times New Roman"/>
          <w:color w:val="000000" w:themeColor="text1"/>
          <w:kern w:val="0"/>
          <w14:ligatures w14:val="none"/>
        </w:rPr>
        <w:t xml:space="preserve">promote </w:t>
      </w:r>
      <w:r w:rsidRPr="00041AD5" w:rsidR="006A0099">
        <w:rPr>
          <w:rFonts w:ascii="Palatino Linotype" w:hAnsi="Palatino Linotype" w:eastAsia="Palatino Linotype" w:cs="Times New Roman"/>
          <w:color w:val="000000" w:themeColor="text1"/>
        </w:rPr>
        <w:t xml:space="preserve">and demonstrate </w:t>
      </w:r>
      <w:r w:rsidRPr="00041AD5" w:rsidR="00591322">
        <w:rPr>
          <w:rFonts w:ascii="Palatino Linotype" w:hAnsi="Palatino Linotype" w:eastAsia="Palatino Linotype" w:cs="Times New Roman"/>
          <w:color w:val="000000" w:themeColor="text1"/>
        </w:rPr>
        <w:t xml:space="preserve">strategically coordinated and </w:t>
      </w:r>
      <w:r w:rsidRPr="00041AD5" w:rsidR="006A0099">
        <w:rPr>
          <w:rFonts w:ascii="Palatino Linotype" w:hAnsi="Palatino Linotype" w:eastAsia="Palatino Linotype" w:cs="Times New Roman"/>
          <w:color w:val="000000" w:themeColor="text1"/>
          <w:kern w:val="0"/>
          <w14:ligatures w14:val="none"/>
        </w:rPr>
        <w:t>complementary rather than duplicative RD&amp;D activities.</w:t>
      </w:r>
      <w:r w:rsidRPr="00041AD5" w:rsidR="00B95C9C">
        <w:rPr>
          <w:rStyle w:val="FootnoteReference"/>
          <w:rFonts w:ascii="Palatino Linotype" w:hAnsi="Palatino Linotype" w:eastAsia="Palatino Linotype" w:cs="Times New Roman"/>
          <w:color w:val="000000" w:themeColor="text1"/>
          <w:kern w:val="0"/>
          <w14:ligatures w14:val="none"/>
        </w:rPr>
        <w:footnoteReference w:id="82"/>
      </w:r>
      <w:r w:rsidRPr="00041AD5" w:rsidR="006A0099">
        <w:rPr>
          <w:rFonts w:ascii="Palatino Linotype" w:hAnsi="Palatino Linotype" w:eastAsia="Palatino Linotype" w:cs="Times New Roman"/>
          <w:color w:val="000000" w:themeColor="text1"/>
          <w:kern w:val="0"/>
          <w14:ligatures w14:val="none"/>
        </w:rPr>
        <w:t xml:space="preserve"> </w:t>
      </w:r>
      <w:r w:rsidRPr="00041AD5" w:rsidR="00E44BEE">
        <w:rPr>
          <w:rFonts w:ascii="Palatino Linotype" w:hAnsi="Palatino Linotype" w:eastAsia="Palatino Linotype" w:cs="Times New Roman"/>
          <w:color w:val="000000" w:themeColor="text1"/>
          <w:kern w:val="0"/>
          <w14:ligatures w14:val="none"/>
        </w:rPr>
        <w:t xml:space="preserve">The </w:t>
      </w:r>
      <w:r w:rsidRPr="00041AD5" w:rsidR="006A0099">
        <w:rPr>
          <w:rFonts w:ascii="Palatino Linotype" w:hAnsi="Palatino Linotype" w:eastAsia="Palatino Linotype" w:cs="Times New Roman"/>
          <w:color w:val="000000" w:themeColor="text1"/>
        </w:rPr>
        <w:t xml:space="preserve">CEC shall document this coordination in </w:t>
      </w:r>
      <w:r w:rsidRPr="00041AD5" w:rsidR="00B06744">
        <w:rPr>
          <w:rFonts w:ascii="Palatino Linotype" w:hAnsi="Palatino Linotype" w:eastAsia="Palatino Linotype" w:cs="Times New Roman"/>
          <w:color w:val="000000" w:themeColor="text1"/>
        </w:rPr>
        <w:t xml:space="preserve">its </w:t>
      </w:r>
      <w:r w:rsidRPr="00041AD5" w:rsidR="006A0099">
        <w:rPr>
          <w:rFonts w:ascii="Palatino Linotype" w:hAnsi="Palatino Linotype" w:eastAsia="Palatino Linotype" w:cs="Times New Roman"/>
          <w:color w:val="000000" w:themeColor="text1"/>
        </w:rPr>
        <w:t>Gas RD&amp;D Plans at the Initiative level</w:t>
      </w:r>
      <w:r w:rsidRPr="00041AD5" w:rsidR="006A0099">
        <w:rPr>
          <w:rFonts w:ascii="Palatino Linotype" w:hAnsi="Palatino Linotype" w:eastAsia="Palatino Linotype" w:cs="Times New Roman"/>
          <w:color w:val="000000" w:themeColor="text1"/>
          <w:kern w:val="0"/>
          <w14:ligatures w14:val="none"/>
        </w:rPr>
        <w:t>, including by differentiating proposed Initiatives from similar activities</w:t>
      </w:r>
      <w:r w:rsidRPr="00041AD5" w:rsidR="006A0099">
        <w:rPr>
          <w:rFonts w:ascii="Palatino Linotype" w:hAnsi="Palatino Linotype" w:eastAsia="Palatino Linotype" w:cs="Times New Roman"/>
          <w:color w:val="000000" w:themeColor="text1"/>
        </w:rPr>
        <w:t>, demonstrating how research outcomes inform future proposals,</w:t>
      </w:r>
      <w:r w:rsidRPr="00041AD5" w:rsidR="006A0099">
        <w:rPr>
          <w:rFonts w:ascii="Palatino Linotype" w:hAnsi="Palatino Linotype" w:eastAsia="Palatino Linotype" w:cs="Times New Roman"/>
          <w:color w:val="000000" w:themeColor="text1"/>
          <w:kern w:val="0"/>
          <w14:ligatures w14:val="none"/>
        </w:rPr>
        <w:t xml:space="preserve"> and defining </w:t>
      </w:r>
      <w:r w:rsidRPr="00041AD5" w:rsidR="00591322">
        <w:rPr>
          <w:rFonts w:ascii="Palatino Linotype" w:hAnsi="Palatino Linotype" w:eastAsia="Palatino Linotype" w:cs="Times New Roman"/>
          <w:color w:val="000000" w:themeColor="text1"/>
          <w:kern w:val="0"/>
          <w14:ligatures w14:val="none"/>
        </w:rPr>
        <w:t>each pa</w:t>
      </w:r>
      <w:r w:rsidRPr="00041AD5" w:rsidR="006C6CA8">
        <w:rPr>
          <w:rFonts w:ascii="Palatino Linotype" w:hAnsi="Palatino Linotype" w:eastAsia="Palatino Linotype" w:cs="Times New Roman"/>
          <w:color w:val="000000" w:themeColor="text1"/>
          <w:kern w:val="0"/>
          <w14:ligatures w14:val="none"/>
        </w:rPr>
        <w:t>rticipant’</w:t>
      </w:r>
      <w:r w:rsidRPr="00041AD5" w:rsidR="00591322">
        <w:rPr>
          <w:rFonts w:ascii="Palatino Linotype" w:hAnsi="Palatino Linotype" w:eastAsia="Palatino Linotype" w:cs="Times New Roman"/>
          <w:color w:val="000000" w:themeColor="text1"/>
          <w:kern w:val="0"/>
          <w14:ligatures w14:val="none"/>
        </w:rPr>
        <w:t>s</w:t>
      </w:r>
      <w:r w:rsidRPr="00041AD5" w:rsidR="006A0099">
        <w:rPr>
          <w:rFonts w:ascii="Palatino Linotype" w:hAnsi="Palatino Linotype" w:eastAsia="Palatino Linotype" w:cs="Times New Roman"/>
          <w:color w:val="000000" w:themeColor="text1"/>
          <w:kern w:val="0"/>
          <w14:ligatures w14:val="none"/>
        </w:rPr>
        <w:t xml:space="preserve"> specific intended role for each proposed Initiative.</w:t>
      </w:r>
      <w:r w:rsidRPr="00041AD5" w:rsidR="006A0099">
        <w:rPr>
          <w:rStyle w:val="FootnoteReference"/>
          <w:rFonts w:ascii="Palatino Linotype" w:hAnsi="Palatino Linotype" w:eastAsia="Palatino Linotype" w:cs="Times New Roman"/>
          <w:color w:val="000000" w:themeColor="text1"/>
          <w:kern w:val="0"/>
          <w14:ligatures w14:val="none"/>
        </w:rPr>
        <w:footnoteReference w:id="83"/>
      </w:r>
      <w:r w:rsidRPr="00041AD5" w:rsidR="006A0099">
        <w:rPr>
          <w:rFonts w:ascii="Palatino Linotype" w:hAnsi="Palatino Linotype" w:eastAsia="Palatino Linotype" w:cs="Times New Roman"/>
          <w:color w:val="000000" w:themeColor="text1"/>
        </w:rPr>
        <w:t xml:space="preserve"> </w:t>
      </w:r>
    </w:p>
    <w:p w:rsidRPr="00041AD5" w:rsidR="006A0099" w:rsidP="006A0099" w:rsidRDefault="006A0099" w14:paraId="6DF8116D" w14:textId="77777777">
      <w:pPr>
        <w:spacing w:after="0" w:line="276" w:lineRule="auto"/>
        <w:ind w:left="720"/>
        <w:rPr>
          <w:rFonts w:ascii="Palatino Linotype" w:hAnsi="Palatino Linotype" w:eastAsia="Palatino Linotype" w:cs="Times New Roman"/>
          <w:color w:val="000000" w:themeColor="text1"/>
        </w:rPr>
      </w:pPr>
    </w:p>
    <w:p w:rsidRPr="00041AD5" w:rsidR="006A0099" w:rsidP="00BB33C1" w:rsidRDefault="006A0099" w14:paraId="60C167C0" w14:textId="6FDF6C8B">
      <w:pPr>
        <w:pStyle w:val="ListParagraph"/>
        <w:numPr>
          <w:ilvl w:val="0"/>
          <w:numId w:val="43"/>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Pre-Submittal Consultation with CPUC Subject Matter Experts</w:t>
      </w:r>
      <w:r w:rsidRPr="00041AD5" w:rsidR="005E46E4">
        <w:rPr>
          <w:rFonts w:ascii="Palatino Linotype" w:hAnsi="Palatino Linotype" w:eastAsia="Palatino Linotype" w:cs="Times New Roman"/>
          <w:color w:val="000000" w:themeColor="text1"/>
          <w:kern w:val="0"/>
          <w14:ligatures w14:val="none"/>
        </w:rPr>
        <w:t xml:space="preserve"> (SMEs)</w:t>
      </w:r>
    </w:p>
    <w:p w:rsidRPr="00041AD5" w:rsidR="006A0099" w:rsidP="000C073D" w:rsidRDefault="00B06744" w14:paraId="4203060B" w14:textId="090FD35D">
      <w:pPr>
        <w:spacing w:line="276" w:lineRule="auto"/>
        <w:ind w:left="360"/>
        <w:rPr>
          <w:rFonts w:ascii="Palatino Linotype" w:hAnsi="Palatino Linotype" w:eastAsia="Palatino Linotype" w:cs="Times New Roman"/>
          <w:color w:val="000000" w:themeColor="text1"/>
        </w:rPr>
      </w:pPr>
      <w:r w:rsidRPr="00041AD5">
        <w:rPr>
          <w:rFonts w:ascii="Palatino Linotype" w:hAnsi="Palatino Linotype" w:eastAsiaTheme="minorEastAsia"/>
          <w:color w:val="000000" w:themeColor="text1"/>
        </w:rPr>
        <w:t xml:space="preserve">The </w:t>
      </w:r>
      <w:r w:rsidRPr="00041AD5" w:rsidR="006A0099">
        <w:rPr>
          <w:rFonts w:ascii="Palatino Linotype" w:hAnsi="Palatino Linotype" w:eastAsiaTheme="minorEastAsia"/>
          <w:color w:val="000000" w:themeColor="text1"/>
        </w:rPr>
        <w:t xml:space="preserve">CEC shall consult with </w:t>
      </w:r>
      <w:r w:rsidRPr="00041AD5" w:rsidR="00824251">
        <w:rPr>
          <w:rFonts w:ascii="Palatino Linotype" w:hAnsi="Palatino Linotype" w:eastAsiaTheme="minorEastAsia"/>
          <w:color w:val="000000" w:themeColor="text1"/>
        </w:rPr>
        <w:t>Energy Division</w:t>
      </w:r>
      <w:r w:rsidRPr="00041AD5" w:rsidR="006A0099">
        <w:rPr>
          <w:rFonts w:ascii="Palatino Linotype" w:hAnsi="Palatino Linotype" w:eastAsiaTheme="minorEastAsia"/>
          <w:color w:val="000000" w:themeColor="text1"/>
        </w:rPr>
        <w:t xml:space="preserve"> staff to seek and integrate feedback prior to Plan submittal, and this consultation shall be documented at the Initiative level in Plans. This consultation is intended to promote ratepayer benefit and create efficiencies in the Commission’s Plan review and approval by proactively aligning proposed investments </w:t>
      </w:r>
      <w:r w:rsidRPr="00041AD5" w:rsidR="00C76BEA">
        <w:rPr>
          <w:rFonts w:ascii="Palatino Linotype" w:hAnsi="Palatino Linotype" w:eastAsiaTheme="minorEastAsia"/>
          <w:color w:val="000000" w:themeColor="text1"/>
        </w:rPr>
        <w:t xml:space="preserve">at the start of the process </w:t>
      </w:r>
      <w:r w:rsidRPr="00041AD5" w:rsidR="006A0099">
        <w:rPr>
          <w:rFonts w:ascii="Palatino Linotype" w:hAnsi="Palatino Linotype" w:eastAsiaTheme="minorEastAsia"/>
          <w:color w:val="000000" w:themeColor="text1"/>
        </w:rPr>
        <w:t xml:space="preserve">with </w:t>
      </w:r>
      <w:r w:rsidRPr="00041AD5" w:rsidR="006A0099">
        <w:rPr>
          <w:rFonts w:ascii="Palatino Linotype" w:hAnsi="Palatino Linotype" w:eastAsia="Palatino Linotype" w:cs="Times New Roman"/>
          <w:color w:val="000000" w:themeColor="text1"/>
        </w:rPr>
        <w:t xml:space="preserve">priority Gas RD&amp;D-related </w:t>
      </w:r>
      <w:r w:rsidRPr="00041AD5" w:rsidR="006A0099">
        <w:rPr>
          <w:rFonts w:ascii="Palatino Linotype" w:hAnsi="Palatino Linotype" w:eastAsia="Palatino Linotype" w:cs="Times New Roman"/>
          <w:color w:val="000000" w:themeColor="text1"/>
        </w:rPr>
        <w:lastRenderedPageBreak/>
        <w:t>technolog</w:t>
      </w:r>
      <w:r w:rsidR="00AE15D3">
        <w:rPr>
          <w:rFonts w:ascii="Palatino Linotype" w:hAnsi="Palatino Linotype" w:eastAsia="Palatino Linotype" w:cs="Times New Roman"/>
          <w:color w:val="000000" w:themeColor="text1"/>
        </w:rPr>
        <w:t>ies</w:t>
      </w:r>
      <w:r w:rsidRPr="00041AD5" w:rsidR="006A0099">
        <w:rPr>
          <w:rFonts w:ascii="Palatino Linotype" w:hAnsi="Palatino Linotype" w:eastAsia="Palatino Linotype" w:cs="Times New Roman"/>
          <w:color w:val="000000" w:themeColor="text1"/>
        </w:rPr>
        <w:t xml:space="preserve">, market needs, and </w:t>
      </w:r>
      <w:r w:rsidRPr="00041AD5" w:rsidR="006A0099">
        <w:rPr>
          <w:rFonts w:ascii="Palatino Linotype" w:hAnsi="Palatino Linotype" w:eastAsiaTheme="minorEastAsia"/>
          <w:color w:val="000000" w:themeColor="text1"/>
        </w:rPr>
        <w:t>emerging</w:t>
      </w:r>
      <w:r w:rsidRPr="00041AD5" w:rsidR="006A0099">
        <w:rPr>
          <w:rFonts w:ascii="Palatino Linotype" w:hAnsi="Palatino Linotype" w:eastAsia="Palatino Linotype" w:cs="Times New Roman"/>
          <w:color w:val="000000" w:themeColor="text1"/>
        </w:rPr>
        <w:t xml:space="preserve"> opportunities as identified in CPUC proceedings and policies.</w:t>
      </w:r>
      <w:r w:rsidRPr="00041AD5" w:rsidR="006A0099">
        <w:rPr>
          <w:rStyle w:val="FootnoteReference"/>
          <w:rFonts w:ascii="Palatino Linotype" w:hAnsi="Palatino Linotype" w:eastAsia="Palatino Linotype" w:cs="Times New Roman"/>
          <w:color w:val="000000" w:themeColor="text1"/>
        </w:rPr>
        <w:footnoteReference w:id="84"/>
      </w:r>
      <w:r w:rsidRPr="00041AD5" w:rsidR="006A0099">
        <w:rPr>
          <w:rFonts w:ascii="Palatino Linotype" w:hAnsi="Palatino Linotype" w:eastAsia="Palatino Linotype" w:cs="Times New Roman"/>
          <w:color w:val="000000" w:themeColor="text1"/>
        </w:rPr>
        <w:t xml:space="preserve"> </w:t>
      </w:r>
    </w:p>
    <w:p w:rsidRPr="00041AD5" w:rsidR="006A0099" w:rsidP="003B475F" w:rsidRDefault="006A0099" w14:paraId="090BAC57" w14:textId="4FC3F710">
      <w:pPr>
        <w:spacing w:after="0" w:line="276" w:lineRule="auto"/>
        <w:ind w:left="360"/>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 xml:space="preserve">The </w:t>
      </w:r>
      <w:r w:rsidRPr="00041AD5" w:rsidR="00326F1D">
        <w:rPr>
          <w:rFonts w:ascii="Palatino Linotype" w:hAnsi="Palatino Linotype" w:eastAsia="Palatino Linotype" w:cs="Times New Roman"/>
          <w:color w:val="000000" w:themeColor="text1"/>
        </w:rPr>
        <w:t xml:space="preserve">CEC should also explain </w:t>
      </w:r>
      <w:r w:rsidRPr="00041AD5" w:rsidR="006A6951">
        <w:rPr>
          <w:rFonts w:ascii="Palatino Linotype" w:hAnsi="Palatino Linotype" w:eastAsia="Palatino Linotype" w:cs="Times New Roman"/>
          <w:color w:val="000000" w:themeColor="text1"/>
        </w:rPr>
        <w:t xml:space="preserve">consultation and coordination where relevant with the EPIC program. </w:t>
      </w:r>
      <w:r w:rsidRPr="00041AD5" w:rsidR="0081126F">
        <w:rPr>
          <w:rFonts w:ascii="Palatino Linotype" w:hAnsi="Palatino Linotype" w:eastAsia="Palatino Linotype" w:cs="Times New Roman"/>
          <w:color w:val="000000" w:themeColor="text1"/>
        </w:rPr>
        <w:t xml:space="preserve">The </w:t>
      </w:r>
      <w:r w:rsidRPr="00041AD5">
        <w:rPr>
          <w:rFonts w:ascii="Palatino Linotype" w:hAnsi="Palatino Linotype" w:eastAsiaTheme="minorEastAsia"/>
          <w:color w:val="000000" w:themeColor="text1"/>
        </w:rPr>
        <w:t xml:space="preserve">EPIC </w:t>
      </w:r>
      <w:r w:rsidRPr="00041AD5">
        <w:rPr>
          <w:rFonts w:ascii="Palatino Linotype" w:hAnsi="Palatino Linotype" w:eastAsia="Palatino Linotype" w:cs="Palatino Linotype"/>
          <w:color w:val="000000" w:themeColor="text1"/>
        </w:rPr>
        <w:t>Strategic Goal of “Achieving 100% Net-Zero Carbon and the Coordinated Role of Gas” highlights the intrinsic link between gas and electric investment policy and planning, particularly involving electrification and decarbonization efforts. Greater collaboration among California RD&amp;D programs is</w:t>
      </w:r>
      <w:r w:rsidRPr="00041AD5" w:rsidDel="00BA4BBA">
        <w:rPr>
          <w:rFonts w:ascii="Palatino Linotype" w:hAnsi="Palatino Linotype" w:eastAsia="Palatino Linotype" w:cs="Palatino Linotype"/>
          <w:color w:val="000000" w:themeColor="text1"/>
        </w:rPr>
        <w:t xml:space="preserve"> </w:t>
      </w:r>
      <w:r w:rsidRPr="00041AD5" w:rsidR="00BA4BBA">
        <w:rPr>
          <w:rFonts w:ascii="Palatino Linotype" w:hAnsi="Palatino Linotype" w:eastAsia="Palatino Linotype" w:cs="Palatino Linotype"/>
          <w:color w:val="000000" w:themeColor="text1"/>
        </w:rPr>
        <w:t xml:space="preserve">necessary </w:t>
      </w:r>
      <w:r w:rsidRPr="00041AD5">
        <w:rPr>
          <w:rFonts w:ascii="Palatino Linotype" w:hAnsi="Palatino Linotype" w:eastAsia="Palatino Linotype" w:cs="Palatino Linotype"/>
          <w:color w:val="000000" w:themeColor="text1"/>
        </w:rPr>
        <w:t>to identify and scale cost-effective strategies to provide ratepayer benefit and achieve “the last 10 percent of reaching the state’s goal to be carbon neutral by 2045 economy-wide."</w:t>
      </w:r>
      <w:r w:rsidRPr="00041AD5">
        <w:rPr>
          <w:rStyle w:val="FootnoteReference"/>
          <w:rFonts w:ascii="Palatino Linotype" w:hAnsi="Palatino Linotype" w:eastAsia="Palatino Linotype" w:cs="Palatino Linotype"/>
          <w:color w:val="000000" w:themeColor="text1"/>
        </w:rPr>
        <w:footnoteReference w:id="85"/>
      </w:r>
      <w:r w:rsidRPr="00041AD5">
        <w:rPr>
          <w:rFonts w:eastAsia="Palatino Linotype" w:cs="Palatino Linotype"/>
          <w:color w:val="000000" w:themeColor="text1"/>
        </w:rPr>
        <w:t xml:space="preserve"> </w:t>
      </w:r>
      <w:r w:rsidRPr="00041AD5">
        <w:rPr>
          <w:rFonts w:ascii="Palatino Linotype" w:hAnsi="Palatino Linotype" w:eastAsia="Palatino Linotype" w:cs="Palatino Linotype"/>
          <w:color w:val="000000" w:themeColor="text1"/>
        </w:rPr>
        <w:t>The</w:t>
      </w:r>
      <w:r w:rsidRPr="00041AD5">
        <w:rPr>
          <w:rFonts w:eastAsia="Palatino Linotype" w:cs="Palatino Linotype"/>
          <w:color w:val="000000" w:themeColor="text1"/>
        </w:rPr>
        <w:t xml:space="preserve"> </w:t>
      </w:r>
      <w:r w:rsidRPr="00041AD5">
        <w:rPr>
          <w:rFonts w:ascii="Palatino Linotype" w:hAnsi="Palatino Linotype" w:eastAsia="Palatino Linotype" w:cs="Palatino Linotype"/>
          <w:color w:val="000000" w:themeColor="text1"/>
        </w:rPr>
        <w:t xml:space="preserve">CPUC’s Long-Term Gas Proceeding also </w:t>
      </w:r>
      <w:r w:rsidRPr="00041AD5">
        <w:rPr>
          <w:rFonts w:ascii="Palatino Linotype" w:hAnsi="Palatino Linotype" w:eastAsia="Palatino Linotype" w:cs="Times New Roman"/>
          <w:color w:val="000000" w:themeColor="text1"/>
        </w:rPr>
        <w:t>concludes</w:t>
      </w:r>
      <w:r w:rsidRPr="00041AD5">
        <w:rPr>
          <w:rFonts w:ascii="Palatino Linotype" w:hAnsi="Palatino Linotype" w:eastAsia="Palatino Linotype" w:cs="Palatino Linotype"/>
          <w:color w:val="000000" w:themeColor="text1"/>
        </w:rPr>
        <w:t xml:space="preserve"> that, “[t]o achieve California’s decarbonization goals and effectuate an equitable gas transition, a coordinated, iterative, and long-term planning process will help the State agencies and utilities align initiatives related to gas system planning efforts and analytics.”</w:t>
      </w:r>
      <w:r w:rsidRPr="00041AD5">
        <w:rPr>
          <w:rStyle w:val="FootnoteReference"/>
          <w:rFonts w:ascii="Palatino Linotype" w:hAnsi="Palatino Linotype" w:eastAsia="Palatino Linotype" w:cs="Palatino Linotype"/>
          <w:color w:val="000000" w:themeColor="text1"/>
        </w:rPr>
        <w:footnoteReference w:id="86"/>
      </w:r>
      <w:r w:rsidRPr="00041AD5">
        <w:rPr>
          <w:rFonts w:ascii="Palatino Linotype" w:hAnsi="Palatino Linotype" w:eastAsia="Palatino Linotype" w:cs="Palatino Linotype"/>
          <w:color w:val="000000" w:themeColor="text1"/>
        </w:rPr>
        <w:t xml:space="preserve"> Thus pre-submittal consultation with CPUC staff </w:t>
      </w:r>
      <w:r w:rsidRPr="00041AD5">
        <w:rPr>
          <w:rFonts w:ascii="Palatino Linotype" w:hAnsi="Palatino Linotype" w:eastAsiaTheme="minorEastAsia"/>
          <w:color w:val="000000" w:themeColor="text1"/>
        </w:rPr>
        <w:t xml:space="preserve">may be coordinated with other Gas RD&amp;D and EPIC administrators to promote efficiencies and strategic, holistic investment planning across programs, thereby maximizing the impacts of investments. </w:t>
      </w:r>
    </w:p>
    <w:p w:rsidRPr="00041AD5" w:rsidR="006A0099" w:rsidP="006A0099" w:rsidRDefault="006A0099" w14:paraId="1FDF3F01" w14:textId="77777777">
      <w:pPr>
        <w:spacing w:after="0" w:line="276" w:lineRule="auto"/>
        <w:ind w:left="720"/>
        <w:rPr>
          <w:rFonts w:ascii="Palatino Linotype" w:hAnsi="Palatino Linotype" w:eastAsia="Palatino Linotype" w:cs="Times New Roman"/>
          <w:color w:val="000000" w:themeColor="text1"/>
          <w:kern w:val="0"/>
          <w14:ligatures w14:val="none"/>
        </w:rPr>
      </w:pPr>
    </w:p>
    <w:p w:rsidRPr="00041AD5" w:rsidR="006A0099" w:rsidP="00BB33C1" w:rsidRDefault="006A0099" w14:paraId="5280C215" w14:textId="0190830B">
      <w:pPr>
        <w:pStyle w:val="ListParagraph"/>
        <w:keepNext/>
        <w:numPr>
          <w:ilvl w:val="0"/>
          <w:numId w:val="43"/>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Public Workshop</w:t>
      </w:r>
      <w:r w:rsidRPr="00041AD5" w:rsidR="00D114CF">
        <w:rPr>
          <w:rFonts w:ascii="Palatino Linotype" w:hAnsi="Palatino Linotype" w:eastAsia="Palatino Linotype" w:cs="Times New Roman"/>
          <w:color w:val="000000" w:themeColor="text1"/>
          <w:kern w:val="0"/>
          <w14:ligatures w14:val="none"/>
        </w:rPr>
        <w:t xml:space="preserve"> &amp; ESJ </w:t>
      </w:r>
      <w:r w:rsidRPr="00041AD5" w:rsidR="00121763">
        <w:rPr>
          <w:rFonts w:ascii="Palatino Linotype" w:hAnsi="Palatino Linotype" w:eastAsia="Palatino Linotype" w:cs="Times New Roman"/>
          <w:color w:val="000000" w:themeColor="text1"/>
          <w:kern w:val="0"/>
          <w14:ligatures w14:val="none"/>
        </w:rPr>
        <w:t>Consultation</w:t>
      </w:r>
    </w:p>
    <w:p w:rsidRPr="00041AD5" w:rsidR="004E310A" w:rsidP="00A47C5B" w:rsidRDefault="00D90EE3" w14:paraId="113E9E6A" w14:textId="7EA51FFA">
      <w:pPr>
        <w:keepNext/>
        <w:spacing w:after="0" w:line="276" w:lineRule="auto"/>
        <w:ind w:left="360"/>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After </w:t>
      </w:r>
      <w:r w:rsidRPr="00041AD5" w:rsidR="005E46E4">
        <w:rPr>
          <w:rFonts w:ascii="Palatino Linotype" w:hAnsi="Palatino Linotype" w:eastAsia="Palatino Linotype" w:cs="Times New Roman"/>
          <w:color w:val="000000" w:themeColor="text1"/>
          <w:kern w:val="0"/>
          <w14:ligatures w14:val="none"/>
        </w:rPr>
        <w:t xml:space="preserve">receiving and integrating CPUC </w:t>
      </w:r>
      <w:r w:rsidRPr="00041AD5">
        <w:rPr>
          <w:rFonts w:ascii="Palatino Linotype" w:hAnsi="Palatino Linotype" w:eastAsia="Palatino Linotype" w:cs="Times New Roman"/>
          <w:color w:val="000000" w:themeColor="text1"/>
          <w:kern w:val="0"/>
          <w14:ligatures w14:val="none"/>
        </w:rPr>
        <w:t xml:space="preserve">SME input </w:t>
      </w:r>
      <w:r w:rsidRPr="00041AD5" w:rsidR="005E46E4">
        <w:rPr>
          <w:rFonts w:ascii="Palatino Linotype" w:hAnsi="Palatino Linotype" w:eastAsia="Palatino Linotype" w:cs="Times New Roman"/>
          <w:color w:val="000000" w:themeColor="text1"/>
          <w:kern w:val="0"/>
          <w14:ligatures w14:val="none"/>
        </w:rPr>
        <w:t>to align</w:t>
      </w:r>
      <w:r w:rsidRPr="00041AD5" w:rsidR="00FE0758">
        <w:rPr>
          <w:rFonts w:ascii="Palatino Linotype" w:hAnsi="Palatino Linotype" w:eastAsia="Palatino Linotype" w:cs="Times New Roman"/>
          <w:color w:val="000000" w:themeColor="text1"/>
          <w:kern w:val="0"/>
          <w14:ligatures w14:val="none"/>
        </w:rPr>
        <w:t xml:space="preserve"> with </w:t>
      </w:r>
      <w:r w:rsidRPr="00041AD5" w:rsidR="005E46E4">
        <w:rPr>
          <w:rFonts w:ascii="Palatino Linotype" w:hAnsi="Palatino Linotype" w:eastAsia="Palatino Linotype" w:cs="Times New Roman"/>
          <w:color w:val="000000" w:themeColor="text1"/>
          <w:kern w:val="0"/>
          <w14:ligatures w14:val="none"/>
        </w:rPr>
        <w:t>CPUC proceedings,</w:t>
      </w:r>
      <w:r w:rsidRPr="00041AD5" w:rsidR="00D51EBD">
        <w:rPr>
          <w:rFonts w:ascii="Palatino Linotype" w:hAnsi="Palatino Linotype" w:eastAsia="Palatino Linotype" w:cs="Times New Roman"/>
          <w:color w:val="000000" w:themeColor="text1"/>
          <w:kern w:val="0"/>
          <w14:ligatures w14:val="none"/>
        </w:rPr>
        <w:t xml:space="preserve"> </w:t>
      </w:r>
      <w:r w:rsidRPr="00041AD5" w:rsidR="00FE0758">
        <w:rPr>
          <w:rFonts w:ascii="Palatino Linotype" w:hAnsi="Palatino Linotype" w:eastAsia="Palatino Linotype" w:cs="Times New Roman"/>
          <w:color w:val="000000" w:themeColor="text1"/>
          <w:kern w:val="0"/>
          <w14:ligatures w14:val="none"/>
        </w:rPr>
        <w:t xml:space="preserve"> t</w:t>
      </w:r>
      <w:r w:rsidRPr="00041AD5" w:rsidR="00BA4D05">
        <w:rPr>
          <w:rFonts w:ascii="Palatino Linotype" w:hAnsi="Palatino Linotype" w:eastAsia="Palatino Linotype" w:cs="Times New Roman"/>
          <w:color w:val="000000" w:themeColor="text1"/>
          <w:kern w:val="0"/>
          <w14:ligatures w14:val="none"/>
        </w:rPr>
        <w:t xml:space="preserve">he </w:t>
      </w:r>
      <w:r w:rsidRPr="00041AD5" w:rsidR="006535B4">
        <w:rPr>
          <w:rFonts w:ascii="Palatino Linotype" w:hAnsi="Palatino Linotype" w:eastAsia="Palatino Linotype" w:cs="Times New Roman"/>
          <w:color w:val="000000" w:themeColor="text1"/>
          <w:kern w:val="0"/>
          <w14:ligatures w14:val="none"/>
        </w:rPr>
        <w:t>CEC</w:t>
      </w:r>
      <w:r w:rsidRPr="00041AD5" w:rsidR="006A0099">
        <w:rPr>
          <w:rFonts w:ascii="Palatino Linotype" w:hAnsi="Palatino Linotype" w:eastAsia="Palatino Linotype" w:cs="Times New Roman"/>
          <w:color w:val="000000" w:themeColor="text1"/>
          <w:kern w:val="0"/>
          <w14:ligatures w14:val="none"/>
        </w:rPr>
        <w:t xml:space="preserve"> shall </w:t>
      </w:r>
      <w:r w:rsidRPr="00041AD5" w:rsidR="006A0099">
        <w:rPr>
          <w:rFonts w:ascii="Palatino Linotype" w:hAnsi="Palatino Linotype" w:eastAsia="Palatino Linotype" w:cs="Times New Roman"/>
          <w:color w:val="000000" w:themeColor="text1"/>
        </w:rPr>
        <w:t>co</w:t>
      </w:r>
      <w:r w:rsidRPr="00041AD5" w:rsidR="003540D0">
        <w:rPr>
          <w:rFonts w:ascii="Palatino Linotype" w:hAnsi="Palatino Linotype" w:eastAsia="Palatino Linotype" w:cs="Times New Roman"/>
          <w:color w:val="000000" w:themeColor="text1"/>
        </w:rPr>
        <w:t>llaborate</w:t>
      </w:r>
      <w:r w:rsidRPr="00041AD5" w:rsidR="006A0099">
        <w:rPr>
          <w:rFonts w:ascii="Palatino Linotype" w:hAnsi="Palatino Linotype" w:eastAsia="Palatino Linotype" w:cs="Times New Roman"/>
          <w:color w:val="000000" w:themeColor="text1"/>
        </w:rPr>
        <w:t xml:space="preserve"> with </w:t>
      </w:r>
      <w:r w:rsidRPr="00041AD5" w:rsidR="00CD6242">
        <w:rPr>
          <w:rFonts w:ascii="Palatino Linotype" w:hAnsi="Palatino Linotype" w:eastAsia="Palatino Linotype" w:cs="Times New Roman"/>
          <w:color w:val="000000" w:themeColor="text1"/>
        </w:rPr>
        <w:t>the IOUs</w:t>
      </w:r>
      <w:r w:rsidRPr="00041AD5" w:rsidR="006A0099">
        <w:rPr>
          <w:rFonts w:ascii="Palatino Linotype" w:hAnsi="Palatino Linotype" w:eastAsia="Palatino Linotype" w:cs="Times New Roman"/>
          <w:color w:val="000000" w:themeColor="text1"/>
        </w:rPr>
        <w:t xml:space="preserve"> to </w:t>
      </w:r>
      <w:r w:rsidRPr="00041AD5" w:rsidR="006A0099">
        <w:rPr>
          <w:rFonts w:ascii="Palatino Linotype" w:hAnsi="Palatino Linotype" w:eastAsia="Palatino Linotype" w:cs="Times New Roman"/>
          <w:color w:val="000000" w:themeColor="text1"/>
          <w:kern w:val="0"/>
          <w14:ligatures w14:val="none"/>
        </w:rPr>
        <w:t>hold a</w:t>
      </w:r>
      <w:r w:rsidRPr="00041AD5" w:rsidR="00BB5030">
        <w:rPr>
          <w:rFonts w:ascii="Palatino Linotype" w:hAnsi="Palatino Linotype" w:eastAsia="Palatino Linotype" w:cs="Times New Roman"/>
          <w:color w:val="000000" w:themeColor="text1"/>
          <w:kern w:val="0"/>
          <w14:ligatures w14:val="none"/>
        </w:rPr>
        <w:t xml:space="preserve"> Joint</w:t>
      </w:r>
      <w:r w:rsidRPr="00041AD5" w:rsidR="006A0099">
        <w:rPr>
          <w:rFonts w:ascii="Palatino Linotype" w:hAnsi="Palatino Linotype" w:eastAsia="Palatino Linotype" w:cs="Times New Roman"/>
          <w:color w:val="000000" w:themeColor="text1"/>
          <w:kern w:val="0"/>
          <w14:ligatures w14:val="none"/>
        </w:rPr>
        <w:t xml:space="preserve"> </w:t>
      </w:r>
      <w:r w:rsidRPr="00041AD5" w:rsidR="006A0099">
        <w:rPr>
          <w:rFonts w:ascii="Palatino Linotype" w:hAnsi="Palatino Linotype" w:eastAsia="Palatino Linotype" w:cs="Times New Roman"/>
          <w:color w:val="000000" w:themeColor="text1"/>
        </w:rPr>
        <w:t xml:space="preserve">Annual </w:t>
      </w:r>
      <w:r w:rsidRPr="00041AD5" w:rsidR="006A0099">
        <w:rPr>
          <w:rFonts w:ascii="Palatino Linotype" w:hAnsi="Palatino Linotype" w:eastAsia="Palatino Linotype" w:cs="Times New Roman"/>
          <w:color w:val="000000" w:themeColor="text1"/>
          <w:kern w:val="0"/>
          <w14:ligatures w14:val="none"/>
        </w:rPr>
        <w:t xml:space="preserve">Public Workshop to </w:t>
      </w:r>
      <w:r w:rsidRPr="00041AD5" w:rsidR="0009435D">
        <w:rPr>
          <w:rFonts w:ascii="Palatino Linotype" w:hAnsi="Palatino Linotype" w:eastAsia="Palatino Linotype" w:cs="Times New Roman"/>
          <w:color w:val="000000" w:themeColor="text1"/>
          <w:kern w:val="0"/>
          <w14:ligatures w14:val="none"/>
        </w:rPr>
        <w:t xml:space="preserve">present </w:t>
      </w:r>
      <w:r w:rsidRPr="00041AD5" w:rsidDel="0009435D" w:rsidR="002A2C12">
        <w:rPr>
          <w:rFonts w:ascii="Palatino Linotype" w:hAnsi="Palatino Linotype" w:eastAsia="Palatino Linotype" w:cs="Times New Roman"/>
          <w:color w:val="000000" w:themeColor="text1"/>
          <w:kern w:val="0"/>
          <w14:ligatures w14:val="none"/>
        </w:rPr>
        <w:t>coordinate</w:t>
      </w:r>
      <w:r w:rsidRPr="00041AD5" w:rsidDel="0088668B" w:rsidR="002A2C12">
        <w:rPr>
          <w:rFonts w:ascii="Palatino Linotype" w:hAnsi="Palatino Linotype" w:eastAsia="Palatino Linotype" w:cs="Times New Roman"/>
          <w:color w:val="000000" w:themeColor="text1"/>
          <w:kern w:val="0"/>
          <w14:ligatures w14:val="none"/>
        </w:rPr>
        <w:t>d</w:t>
      </w:r>
      <w:r w:rsidRPr="00041AD5" w:rsidDel="0088668B" w:rsidR="006A0099">
        <w:rPr>
          <w:rFonts w:ascii="Palatino Linotype" w:hAnsi="Palatino Linotype" w:eastAsia="Palatino Linotype" w:cs="Times New Roman"/>
          <w:color w:val="000000" w:themeColor="text1"/>
          <w:kern w:val="0"/>
          <w14:ligatures w14:val="none"/>
        </w:rPr>
        <w:t xml:space="preserve"> </w:t>
      </w:r>
      <w:r w:rsidRPr="00041AD5" w:rsidR="006A0099">
        <w:rPr>
          <w:rFonts w:ascii="Palatino Linotype" w:hAnsi="Palatino Linotype" w:eastAsia="Palatino Linotype" w:cs="Times New Roman"/>
          <w:color w:val="000000" w:themeColor="text1"/>
          <w:kern w:val="0"/>
          <w14:ligatures w14:val="none"/>
        </w:rPr>
        <w:t>investment</w:t>
      </w:r>
      <w:r w:rsidRPr="00041AD5" w:rsidR="005472B1">
        <w:rPr>
          <w:rFonts w:ascii="Palatino Linotype" w:hAnsi="Palatino Linotype" w:eastAsia="Palatino Linotype" w:cs="Times New Roman"/>
          <w:color w:val="000000" w:themeColor="text1"/>
          <w:kern w:val="0"/>
          <w14:ligatures w14:val="none"/>
        </w:rPr>
        <w:t xml:space="preserve"> proposal</w:t>
      </w:r>
      <w:r w:rsidRPr="00041AD5" w:rsidR="006A0099">
        <w:rPr>
          <w:rFonts w:ascii="Palatino Linotype" w:hAnsi="Palatino Linotype" w:eastAsia="Palatino Linotype" w:cs="Times New Roman"/>
          <w:color w:val="000000" w:themeColor="text1"/>
          <w:kern w:val="0"/>
          <w14:ligatures w14:val="none"/>
        </w:rPr>
        <w:t xml:space="preserve">s for the upcoming year </w:t>
      </w:r>
      <w:r w:rsidRPr="00041AD5" w:rsidR="003540D0">
        <w:rPr>
          <w:rFonts w:ascii="Palatino Linotype" w:hAnsi="Palatino Linotype" w:eastAsia="Palatino Linotype" w:cs="Times New Roman"/>
          <w:color w:val="000000" w:themeColor="text1"/>
          <w:kern w:val="0"/>
          <w14:ligatures w14:val="none"/>
        </w:rPr>
        <w:t xml:space="preserve">and obtain stakeholder input </w:t>
      </w:r>
      <w:r w:rsidRPr="00041AD5" w:rsidR="006A0099">
        <w:rPr>
          <w:rFonts w:ascii="Palatino Linotype" w:hAnsi="Palatino Linotype" w:eastAsia="Palatino Linotype" w:cs="Times New Roman"/>
          <w:color w:val="000000" w:themeColor="text1"/>
          <w:kern w:val="0"/>
          <w14:ligatures w14:val="none"/>
        </w:rPr>
        <w:t>prior to Plan submittal</w:t>
      </w:r>
      <w:r w:rsidRPr="00041AD5" w:rsidR="00901A63">
        <w:rPr>
          <w:rFonts w:ascii="Palatino Linotype" w:hAnsi="Palatino Linotype" w:eastAsia="Palatino Linotype" w:cs="Times New Roman"/>
          <w:color w:val="000000" w:themeColor="text1"/>
          <w:kern w:val="0"/>
          <w14:ligatures w14:val="none"/>
        </w:rPr>
        <w:t>.</w:t>
      </w:r>
      <w:r w:rsidRPr="00041AD5" w:rsidR="006A0099">
        <w:rPr>
          <w:rStyle w:val="FootnoteReference"/>
          <w:rFonts w:ascii="Palatino Linotype" w:hAnsi="Palatino Linotype" w:eastAsia="Palatino Linotype" w:cs="Times New Roman"/>
          <w:color w:val="000000" w:themeColor="text1"/>
          <w:kern w:val="0"/>
          <w14:ligatures w14:val="none"/>
        </w:rPr>
        <w:footnoteReference w:id="87"/>
      </w:r>
      <w:r w:rsidRPr="00041AD5" w:rsidR="006A0099">
        <w:rPr>
          <w:rFonts w:ascii="Palatino Linotype" w:hAnsi="Palatino Linotype" w:eastAsia="Palatino Linotype" w:cs="Times New Roman"/>
          <w:color w:val="000000" w:themeColor="text1"/>
          <w:kern w:val="0"/>
          <w14:ligatures w14:val="none"/>
        </w:rPr>
        <w:t xml:space="preserve"> </w:t>
      </w:r>
      <w:r w:rsidRPr="00041AD5" w:rsidR="00155080">
        <w:rPr>
          <w:rFonts w:ascii="Palatino Linotype" w:hAnsi="Palatino Linotype" w:eastAsia="Palatino Linotype" w:cs="Times New Roman"/>
          <w:color w:val="000000" w:themeColor="text1"/>
          <w:kern w:val="0"/>
          <w14:ligatures w14:val="none"/>
        </w:rPr>
        <w:t xml:space="preserve">At the </w:t>
      </w:r>
      <w:r w:rsidRPr="00041AD5" w:rsidR="00901A63">
        <w:rPr>
          <w:rFonts w:ascii="Palatino Linotype" w:hAnsi="Palatino Linotype" w:eastAsia="Palatino Linotype" w:cs="Times New Roman"/>
          <w:color w:val="000000" w:themeColor="text1"/>
          <w:kern w:val="0"/>
          <w14:ligatures w14:val="none"/>
        </w:rPr>
        <w:t>workshop</w:t>
      </w:r>
      <w:r w:rsidRPr="00041AD5" w:rsidR="00155080">
        <w:rPr>
          <w:rFonts w:ascii="Palatino Linotype" w:hAnsi="Palatino Linotype" w:eastAsia="Palatino Linotype" w:cs="Times New Roman"/>
          <w:color w:val="000000" w:themeColor="text1"/>
          <w:kern w:val="0"/>
          <w14:ligatures w14:val="none"/>
        </w:rPr>
        <w:t xml:space="preserve">, </w:t>
      </w:r>
      <w:r w:rsidRPr="00041AD5" w:rsidR="00F05356">
        <w:rPr>
          <w:rFonts w:ascii="Palatino Linotype" w:hAnsi="Palatino Linotype" w:eastAsia="Palatino Linotype" w:cs="Times New Roman"/>
          <w:color w:val="000000" w:themeColor="text1"/>
          <w:kern w:val="0"/>
          <w14:ligatures w14:val="none"/>
        </w:rPr>
        <w:t xml:space="preserve">the </w:t>
      </w:r>
      <w:r w:rsidRPr="00041AD5" w:rsidR="00155080">
        <w:rPr>
          <w:rFonts w:ascii="Palatino Linotype" w:hAnsi="Palatino Linotype" w:eastAsia="Palatino Linotype" w:cs="Times New Roman"/>
          <w:color w:val="000000" w:themeColor="text1"/>
          <w:kern w:val="0"/>
          <w14:ligatures w14:val="none"/>
        </w:rPr>
        <w:t>CEC shall</w:t>
      </w:r>
      <w:r w:rsidRPr="00041AD5" w:rsidR="00901A63">
        <w:rPr>
          <w:rFonts w:ascii="Palatino Linotype" w:hAnsi="Palatino Linotype" w:eastAsia="Palatino Linotype" w:cs="Times New Roman"/>
          <w:color w:val="000000" w:themeColor="text1"/>
          <w:kern w:val="0"/>
          <w14:ligatures w14:val="none"/>
        </w:rPr>
        <w:t xml:space="preserve"> also present on outcomes </w:t>
      </w:r>
      <w:r w:rsidRPr="00041AD5" w:rsidR="00634B96">
        <w:rPr>
          <w:rFonts w:ascii="Palatino Linotype" w:hAnsi="Palatino Linotype" w:eastAsia="Palatino Linotype" w:cs="Times New Roman"/>
          <w:color w:val="000000" w:themeColor="text1"/>
          <w:kern w:val="0"/>
          <w14:ligatures w14:val="none"/>
        </w:rPr>
        <w:t xml:space="preserve">from the previous year as reported in its </w:t>
      </w:r>
      <w:r w:rsidRPr="00041AD5" w:rsidR="007E1646">
        <w:rPr>
          <w:rFonts w:ascii="Palatino Linotype" w:hAnsi="Palatino Linotype" w:eastAsia="Palatino Linotype" w:cs="Times New Roman"/>
          <w:color w:val="000000" w:themeColor="text1"/>
          <w:kern w:val="0"/>
          <w14:ligatures w14:val="none"/>
        </w:rPr>
        <w:t>A</w:t>
      </w:r>
      <w:r w:rsidRPr="00041AD5" w:rsidR="00634B96">
        <w:rPr>
          <w:rFonts w:ascii="Palatino Linotype" w:hAnsi="Palatino Linotype" w:eastAsia="Palatino Linotype" w:cs="Times New Roman"/>
          <w:color w:val="000000" w:themeColor="text1"/>
          <w:kern w:val="0"/>
          <w14:ligatures w14:val="none"/>
        </w:rPr>
        <w:t xml:space="preserve">nnual </w:t>
      </w:r>
      <w:r w:rsidRPr="00041AD5" w:rsidR="007E1646">
        <w:rPr>
          <w:rFonts w:ascii="Palatino Linotype" w:hAnsi="Palatino Linotype" w:eastAsia="Palatino Linotype" w:cs="Times New Roman"/>
          <w:color w:val="000000" w:themeColor="text1"/>
          <w:kern w:val="0"/>
          <w14:ligatures w14:val="none"/>
        </w:rPr>
        <w:t>R</w:t>
      </w:r>
      <w:r w:rsidRPr="00041AD5" w:rsidR="00634B96">
        <w:rPr>
          <w:rFonts w:ascii="Palatino Linotype" w:hAnsi="Palatino Linotype" w:eastAsia="Palatino Linotype" w:cs="Times New Roman"/>
          <w:color w:val="000000" w:themeColor="text1"/>
          <w:kern w:val="0"/>
          <w14:ligatures w14:val="none"/>
        </w:rPr>
        <w:t>eport</w:t>
      </w:r>
      <w:r w:rsidRPr="00041AD5" w:rsidR="00E10E9E">
        <w:rPr>
          <w:rFonts w:ascii="Palatino Linotype" w:hAnsi="Palatino Linotype" w:eastAsia="Palatino Linotype" w:cs="Times New Roman"/>
          <w:color w:val="000000" w:themeColor="text1"/>
          <w:kern w:val="0"/>
          <w14:ligatures w14:val="none"/>
        </w:rPr>
        <w:t xml:space="preserve"> to </w:t>
      </w:r>
      <w:r w:rsidRPr="00041AD5" w:rsidR="00345086">
        <w:rPr>
          <w:rFonts w:ascii="Palatino Linotype" w:hAnsi="Palatino Linotype" w:eastAsia="Palatino Linotype" w:cs="Times New Roman"/>
          <w:color w:val="000000" w:themeColor="text1"/>
          <w:kern w:val="0"/>
          <w14:ligatures w14:val="none"/>
        </w:rPr>
        <w:t xml:space="preserve">promote transparency and accountability in </w:t>
      </w:r>
      <w:r w:rsidRPr="00041AD5" w:rsidR="00946BC0">
        <w:rPr>
          <w:rFonts w:ascii="Palatino Linotype" w:hAnsi="Palatino Linotype" w:eastAsia="Palatino Linotype" w:cs="Times New Roman"/>
          <w:color w:val="000000" w:themeColor="text1"/>
          <w:kern w:val="0"/>
          <w14:ligatures w14:val="none"/>
        </w:rPr>
        <w:t xml:space="preserve">demonstrating </w:t>
      </w:r>
      <w:r w:rsidRPr="00041AD5" w:rsidR="00345086">
        <w:rPr>
          <w:rFonts w:ascii="Palatino Linotype" w:hAnsi="Palatino Linotype" w:eastAsia="Palatino Linotype" w:cs="Times New Roman"/>
          <w:color w:val="000000" w:themeColor="text1"/>
          <w:kern w:val="0"/>
          <w14:ligatures w14:val="none"/>
        </w:rPr>
        <w:t>ratepayer benefit</w:t>
      </w:r>
      <w:r w:rsidRPr="00041AD5" w:rsidR="00CA5F9D">
        <w:rPr>
          <w:rFonts w:ascii="Palatino Linotype" w:hAnsi="Palatino Linotype" w:eastAsia="Palatino Linotype" w:cs="Times New Roman"/>
          <w:color w:val="000000" w:themeColor="text1"/>
          <w:kern w:val="0"/>
          <w14:ligatures w14:val="none"/>
        </w:rPr>
        <w:t xml:space="preserve"> in addition</w:t>
      </w:r>
      <w:r w:rsidRPr="00041AD5" w:rsidR="00E10E9E">
        <w:rPr>
          <w:rFonts w:ascii="Palatino Linotype" w:hAnsi="Palatino Linotype" w:eastAsia="Palatino Linotype" w:cs="Times New Roman"/>
          <w:color w:val="000000" w:themeColor="text1"/>
          <w:kern w:val="0"/>
          <w14:ligatures w14:val="none"/>
        </w:rPr>
        <w:t xml:space="preserve"> to </w:t>
      </w:r>
      <w:r w:rsidRPr="00041AD5" w:rsidR="004E434B">
        <w:rPr>
          <w:rFonts w:ascii="Palatino Linotype" w:hAnsi="Palatino Linotype" w:eastAsia="Palatino Linotype" w:cs="Times New Roman"/>
          <w:color w:val="000000" w:themeColor="text1"/>
          <w:kern w:val="0"/>
          <w14:ligatures w14:val="none"/>
        </w:rPr>
        <w:t xml:space="preserve">informing </w:t>
      </w:r>
      <w:r w:rsidRPr="00041AD5" w:rsidR="00E53E25">
        <w:rPr>
          <w:rFonts w:ascii="Palatino Linotype" w:hAnsi="Palatino Linotype" w:eastAsia="Palatino Linotype" w:cs="Times New Roman"/>
          <w:color w:val="000000" w:themeColor="text1"/>
          <w:kern w:val="0"/>
          <w14:ligatures w14:val="none"/>
        </w:rPr>
        <w:t xml:space="preserve">subsequent </w:t>
      </w:r>
      <w:r w:rsidRPr="00041AD5" w:rsidR="00285067">
        <w:rPr>
          <w:rFonts w:ascii="Palatino Linotype" w:hAnsi="Palatino Linotype" w:eastAsia="Palatino Linotype" w:cs="Times New Roman"/>
          <w:color w:val="000000" w:themeColor="text1"/>
          <w:kern w:val="0"/>
          <w14:ligatures w14:val="none"/>
        </w:rPr>
        <w:t>strategic</w:t>
      </w:r>
      <w:r w:rsidRPr="00041AD5" w:rsidR="00DB1434">
        <w:rPr>
          <w:rFonts w:ascii="Palatino Linotype" w:hAnsi="Palatino Linotype" w:eastAsia="Palatino Linotype" w:cs="Times New Roman"/>
          <w:color w:val="000000" w:themeColor="text1"/>
          <w:kern w:val="0"/>
          <w14:ligatures w14:val="none"/>
        </w:rPr>
        <w:t xml:space="preserve"> investment </w:t>
      </w:r>
      <w:r w:rsidRPr="00041AD5" w:rsidR="00285067">
        <w:rPr>
          <w:rFonts w:ascii="Palatino Linotype" w:hAnsi="Palatino Linotype" w:eastAsia="Palatino Linotype" w:cs="Times New Roman"/>
          <w:color w:val="000000" w:themeColor="text1"/>
          <w:kern w:val="0"/>
          <w14:ligatures w14:val="none"/>
        </w:rPr>
        <w:t>planning.</w:t>
      </w:r>
      <w:r w:rsidRPr="00041AD5" w:rsidR="00DB1434">
        <w:rPr>
          <w:rFonts w:ascii="Palatino Linotype" w:hAnsi="Palatino Linotype" w:eastAsia="Palatino Linotype" w:cs="Times New Roman"/>
          <w:color w:val="000000" w:themeColor="text1"/>
          <w:kern w:val="0"/>
          <w14:ligatures w14:val="none"/>
        </w:rPr>
        <w:t xml:space="preserve"> The </w:t>
      </w:r>
      <w:r w:rsidRPr="00041AD5" w:rsidR="006535B4">
        <w:rPr>
          <w:rFonts w:ascii="Palatino Linotype" w:hAnsi="Palatino Linotype" w:eastAsia="Palatino Linotype" w:cs="Times New Roman"/>
          <w:color w:val="000000" w:themeColor="text1"/>
          <w:kern w:val="0"/>
          <w14:ligatures w14:val="none"/>
        </w:rPr>
        <w:t>CEC</w:t>
      </w:r>
      <w:r w:rsidRPr="00041AD5" w:rsidR="006A0099">
        <w:rPr>
          <w:rFonts w:ascii="Palatino Linotype" w:hAnsi="Palatino Linotype" w:eastAsia="Palatino Linotype" w:cs="Times New Roman"/>
          <w:color w:val="000000" w:themeColor="text1"/>
          <w:kern w:val="0"/>
          <w14:ligatures w14:val="none"/>
        </w:rPr>
        <w:t xml:space="preserve"> shall </w:t>
      </w:r>
      <w:r w:rsidRPr="00041AD5" w:rsidR="006A0099">
        <w:rPr>
          <w:rFonts w:ascii="Palatino Linotype" w:hAnsi="Palatino Linotype" w:eastAsia="Palatino Linotype" w:cs="Times New Roman"/>
          <w:color w:val="000000" w:themeColor="text1"/>
          <w:kern w:val="0"/>
          <w14:ligatures w14:val="none"/>
        </w:rPr>
        <w:lastRenderedPageBreak/>
        <w:t>consult E</w:t>
      </w:r>
      <w:r w:rsidRPr="00041AD5" w:rsidR="00BB4C4A">
        <w:rPr>
          <w:rFonts w:ascii="Palatino Linotype" w:hAnsi="Palatino Linotype" w:eastAsia="Palatino Linotype" w:cs="Times New Roman"/>
          <w:color w:val="000000" w:themeColor="text1"/>
          <w:kern w:val="0"/>
          <w14:ligatures w14:val="none"/>
        </w:rPr>
        <w:t>nergy Division</w:t>
      </w:r>
      <w:r w:rsidRPr="00041AD5" w:rsidR="006A0099">
        <w:rPr>
          <w:rFonts w:ascii="Palatino Linotype" w:hAnsi="Palatino Linotype" w:eastAsia="Palatino Linotype" w:cs="Times New Roman"/>
          <w:color w:val="000000" w:themeColor="text1"/>
          <w:kern w:val="0"/>
          <w14:ligatures w14:val="none"/>
        </w:rPr>
        <w:t xml:space="preserve"> staff </w:t>
      </w:r>
      <w:r w:rsidRPr="00041AD5" w:rsidR="006A0099">
        <w:rPr>
          <w:rFonts w:ascii="Palatino Linotype" w:hAnsi="Palatino Linotype" w:eastAsia="Palatino Linotype" w:cs="Times New Roman"/>
          <w:color w:val="000000" w:themeColor="text1"/>
        </w:rPr>
        <w:t xml:space="preserve">on its </w:t>
      </w:r>
      <w:r w:rsidRPr="00041AD5" w:rsidR="006A0099">
        <w:rPr>
          <w:rFonts w:ascii="Palatino Linotype" w:hAnsi="Palatino Linotype" w:eastAsia="Palatino Linotype" w:cs="Times New Roman"/>
          <w:color w:val="000000" w:themeColor="text1"/>
          <w:kern w:val="0"/>
          <w14:ligatures w14:val="none"/>
        </w:rPr>
        <w:t>engage</w:t>
      </w:r>
      <w:r w:rsidRPr="00041AD5" w:rsidR="006A0099">
        <w:rPr>
          <w:rFonts w:ascii="Palatino Linotype" w:hAnsi="Palatino Linotype" w:eastAsia="Palatino Linotype" w:cs="Times New Roman"/>
          <w:color w:val="000000" w:themeColor="text1"/>
        </w:rPr>
        <w:t>ment of</w:t>
      </w:r>
      <w:r w:rsidRPr="00041AD5" w:rsidR="006A0099">
        <w:rPr>
          <w:rFonts w:ascii="Palatino Linotype" w:hAnsi="Palatino Linotype" w:eastAsia="Palatino Linotype" w:cs="Times New Roman"/>
          <w:color w:val="000000" w:themeColor="text1"/>
          <w:kern w:val="0"/>
          <w14:ligatures w14:val="none"/>
        </w:rPr>
        <w:t xml:space="preserve"> diverse relevant stakeholders,</w:t>
      </w:r>
      <w:r w:rsidRPr="00041AD5" w:rsidR="006A0099">
        <w:rPr>
          <w:rFonts w:ascii="Palatino Linotype" w:hAnsi="Palatino Linotype" w:eastAsiaTheme="minorEastAsia"/>
          <w:color w:val="000000" w:themeColor="text1"/>
        </w:rPr>
        <w:t xml:space="preserve"> document </w:t>
      </w:r>
      <w:r w:rsidRPr="00041AD5" w:rsidR="00FD3FFF">
        <w:rPr>
          <w:rFonts w:ascii="Palatino Linotype" w:hAnsi="Palatino Linotype" w:eastAsiaTheme="minorEastAsia"/>
          <w:color w:val="000000" w:themeColor="text1"/>
        </w:rPr>
        <w:t xml:space="preserve">specific </w:t>
      </w:r>
      <w:r w:rsidRPr="00041AD5" w:rsidR="006A0099">
        <w:rPr>
          <w:rFonts w:ascii="Palatino Linotype" w:hAnsi="Palatino Linotype" w:eastAsiaTheme="minorEastAsia"/>
          <w:color w:val="000000" w:themeColor="text1"/>
        </w:rPr>
        <w:t xml:space="preserve">feedback, </w:t>
      </w:r>
      <w:r w:rsidRPr="00041AD5" w:rsidR="00727C7A">
        <w:rPr>
          <w:rFonts w:ascii="Palatino Linotype" w:hAnsi="Palatino Linotype" w:eastAsiaTheme="minorEastAsia"/>
          <w:color w:val="000000" w:themeColor="text1"/>
        </w:rPr>
        <w:t>detail the</w:t>
      </w:r>
      <w:r w:rsidRPr="00041AD5" w:rsidR="00BE4D3B">
        <w:rPr>
          <w:rFonts w:ascii="Palatino Linotype" w:hAnsi="Palatino Linotype" w:eastAsiaTheme="minorEastAsia"/>
          <w:color w:val="000000" w:themeColor="text1"/>
        </w:rPr>
        <w:t xml:space="preserve"> clear progression</w:t>
      </w:r>
      <w:r w:rsidRPr="00041AD5" w:rsidR="00727C7A">
        <w:rPr>
          <w:rFonts w:ascii="Palatino Linotype" w:hAnsi="Palatino Linotype" w:eastAsiaTheme="minorEastAsia"/>
          <w:color w:val="000000" w:themeColor="text1"/>
        </w:rPr>
        <w:t xml:space="preserve"> of proposal development and refinement </w:t>
      </w:r>
      <w:r w:rsidRPr="00041AD5" w:rsidR="00FD3FFF">
        <w:rPr>
          <w:rFonts w:ascii="Palatino Linotype" w:hAnsi="Palatino Linotype" w:eastAsiaTheme="minorEastAsia"/>
          <w:color w:val="000000" w:themeColor="text1"/>
        </w:rPr>
        <w:t>through</w:t>
      </w:r>
      <w:r w:rsidRPr="00041AD5" w:rsidR="00B6796A">
        <w:rPr>
          <w:rFonts w:ascii="Palatino Linotype" w:hAnsi="Palatino Linotype" w:eastAsiaTheme="minorEastAsia"/>
          <w:color w:val="000000" w:themeColor="text1"/>
        </w:rPr>
        <w:t xml:space="preserve"> each stage </w:t>
      </w:r>
      <w:r w:rsidRPr="00041AD5" w:rsidR="00FD3FFF">
        <w:rPr>
          <w:rFonts w:ascii="Palatino Linotype" w:hAnsi="Palatino Linotype" w:eastAsiaTheme="minorEastAsia"/>
          <w:color w:val="000000" w:themeColor="text1"/>
        </w:rPr>
        <w:t>of consultation</w:t>
      </w:r>
      <w:r w:rsidRPr="00041AD5" w:rsidR="006A0099">
        <w:rPr>
          <w:rFonts w:ascii="Palatino Linotype" w:hAnsi="Palatino Linotype" w:eastAsiaTheme="minorEastAsia"/>
          <w:color w:val="000000" w:themeColor="text1"/>
        </w:rPr>
        <w:t xml:space="preserve">, and demonstrate how </w:t>
      </w:r>
      <w:r w:rsidRPr="00041AD5" w:rsidR="00B54A46">
        <w:rPr>
          <w:rFonts w:ascii="Palatino Linotype" w:hAnsi="Palatino Linotype" w:eastAsiaTheme="minorEastAsia"/>
          <w:color w:val="000000" w:themeColor="text1"/>
        </w:rPr>
        <w:t>input</w:t>
      </w:r>
      <w:r w:rsidRPr="00041AD5" w:rsidR="006A0099">
        <w:rPr>
          <w:rFonts w:ascii="Palatino Linotype" w:hAnsi="Palatino Linotype" w:eastAsiaTheme="minorEastAsia"/>
          <w:color w:val="000000" w:themeColor="text1"/>
        </w:rPr>
        <w:t xml:space="preserve"> has been incorporated at the Initiative level in Plans</w:t>
      </w:r>
      <w:r w:rsidRPr="00041AD5" w:rsidR="00FD3FFF">
        <w:rPr>
          <w:rFonts w:ascii="Palatino Linotype" w:hAnsi="Palatino Linotype" w:eastAsiaTheme="minorEastAsia"/>
          <w:color w:val="000000" w:themeColor="text1"/>
        </w:rPr>
        <w:t xml:space="preserve">. </w:t>
      </w:r>
      <w:r w:rsidRPr="00041AD5" w:rsidR="00DB1434">
        <w:rPr>
          <w:rFonts w:ascii="Palatino Linotype" w:hAnsi="Palatino Linotype" w:eastAsiaTheme="minorEastAsia"/>
          <w:color w:val="000000" w:themeColor="text1"/>
        </w:rPr>
        <w:t xml:space="preserve">The </w:t>
      </w:r>
      <w:r w:rsidRPr="00041AD5" w:rsidR="00727C7A">
        <w:rPr>
          <w:rFonts w:ascii="Palatino Linotype" w:hAnsi="Palatino Linotype" w:eastAsiaTheme="minorEastAsia"/>
          <w:color w:val="000000" w:themeColor="text1"/>
        </w:rPr>
        <w:t xml:space="preserve">CEC shall </w:t>
      </w:r>
      <w:r w:rsidRPr="00041AD5" w:rsidR="00D82617">
        <w:rPr>
          <w:rFonts w:ascii="Palatino Linotype" w:hAnsi="Palatino Linotype" w:eastAsiaTheme="minorEastAsia"/>
          <w:color w:val="000000" w:themeColor="text1"/>
        </w:rPr>
        <w:t xml:space="preserve">provide </w:t>
      </w:r>
      <w:r w:rsidRPr="00041AD5" w:rsidR="00561F68">
        <w:rPr>
          <w:rFonts w:ascii="Palatino Linotype" w:hAnsi="Palatino Linotype" w:eastAsiaTheme="minorEastAsia"/>
          <w:color w:val="000000" w:themeColor="text1"/>
        </w:rPr>
        <w:t xml:space="preserve">sufficient time for </w:t>
      </w:r>
      <w:r w:rsidRPr="00041AD5" w:rsidR="00E74A2D">
        <w:rPr>
          <w:rFonts w:ascii="Palatino Linotype" w:hAnsi="Palatino Linotype" w:eastAsiaTheme="minorEastAsia"/>
          <w:color w:val="000000" w:themeColor="text1"/>
        </w:rPr>
        <w:t xml:space="preserve">stakeholder questions and discussion, </w:t>
      </w:r>
      <w:r w:rsidRPr="00041AD5" w:rsidR="00905A4D">
        <w:rPr>
          <w:rFonts w:ascii="Palatino Linotype" w:hAnsi="Palatino Linotype" w:eastAsiaTheme="minorEastAsia"/>
          <w:color w:val="000000" w:themeColor="text1"/>
        </w:rPr>
        <w:t xml:space="preserve">specifically </w:t>
      </w:r>
      <w:r w:rsidRPr="00041AD5" w:rsidR="00666361">
        <w:rPr>
          <w:rFonts w:ascii="Palatino Linotype" w:hAnsi="Palatino Linotype" w:eastAsiaTheme="minorEastAsia"/>
          <w:color w:val="000000" w:themeColor="text1"/>
        </w:rPr>
        <w:t>via</w:t>
      </w:r>
      <w:r w:rsidRPr="00041AD5" w:rsidDel="00916A55" w:rsidR="005016AF">
        <w:rPr>
          <w:rFonts w:ascii="Palatino Linotype" w:hAnsi="Palatino Linotype" w:eastAsiaTheme="minorEastAsia"/>
          <w:color w:val="000000" w:themeColor="text1"/>
        </w:rPr>
        <w:t xml:space="preserve"> </w:t>
      </w:r>
      <w:r w:rsidRPr="00041AD5" w:rsidR="005016AF">
        <w:rPr>
          <w:rFonts w:ascii="Palatino Linotype" w:hAnsi="Palatino Linotype" w:eastAsiaTheme="minorEastAsia"/>
          <w:color w:val="000000" w:themeColor="text1"/>
        </w:rPr>
        <w:t>a robust</w:t>
      </w:r>
      <w:r w:rsidRPr="00041AD5" w:rsidR="00666361">
        <w:rPr>
          <w:rFonts w:ascii="Palatino Linotype" w:hAnsi="Palatino Linotype" w:eastAsiaTheme="minorEastAsia"/>
          <w:color w:val="000000" w:themeColor="text1"/>
        </w:rPr>
        <w:t>, dedicated</w:t>
      </w:r>
      <w:r w:rsidRPr="00041AD5" w:rsidR="005016AF">
        <w:rPr>
          <w:rFonts w:ascii="Palatino Linotype" w:hAnsi="Palatino Linotype" w:eastAsiaTheme="minorEastAsia"/>
          <w:color w:val="000000" w:themeColor="text1"/>
        </w:rPr>
        <w:t xml:space="preserve"> engagement component</w:t>
      </w:r>
      <w:r w:rsidRPr="00041AD5" w:rsidR="001774CF">
        <w:rPr>
          <w:rFonts w:ascii="Palatino Linotype" w:hAnsi="Palatino Linotype" w:eastAsiaTheme="minorEastAsia"/>
          <w:color w:val="000000" w:themeColor="text1"/>
        </w:rPr>
        <w:t xml:space="preserve"> </w:t>
      </w:r>
      <w:r w:rsidRPr="00041AD5" w:rsidR="0003423D">
        <w:rPr>
          <w:rFonts w:ascii="Palatino Linotype" w:hAnsi="Palatino Linotype" w:eastAsiaTheme="minorEastAsia"/>
          <w:color w:val="000000" w:themeColor="text1"/>
        </w:rPr>
        <w:t>of</w:t>
      </w:r>
      <w:r w:rsidRPr="00041AD5" w:rsidR="001774CF">
        <w:rPr>
          <w:rFonts w:ascii="Palatino Linotype" w:hAnsi="Palatino Linotype" w:eastAsiaTheme="minorEastAsia"/>
          <w:color w:val="000000" w:themeColor="text1"/>
        </w:rPr>
        <w:t xml:space="preserve"> the workshop</w:t>
      </w:r>
      <w:r w:rsidRPr="00041AD5" w:rsidR="005016AF">
        <w:rPr>
          <w:rFonts w:ascii="Palatino Linotype" w:hAnsi="Palatino Linotype" w:eastAsiaTheme="minorEastAsia"/>
          <w:color w:val="000000" w:themeColor="text1"/>
        </w:rPr>
        <w:t xml:space="preserve"> </w:t>
      </w:r>
      <w:r w:rsidRPr="00041AD5" w:rsidR="002A2C12">
        <w:rPr>
          <w:rFonts w:ascii="Palatino Linotype" w:hAnsi="Palatino Linotype" w:eastAsiaTheme="minorEastAsia"/>
          <w:color w:val="000000" w:themeColor="text1"/>
        </w:rPr>
        <w:t>with</w:t>
      </w:r>
      <w:r w:rsidRPr="00041AD5" w:rsidR="006A0099">
        <w:rPr>
          <w:rFonts w:ascii="Palatino Linotype" w:hAnsi="Palatino Linotype" w:eastAsiaTheme="minorEastAsia"/>
          <w:color w:val="000000" w:themeColor="text1"/>
        </w:rPr>
        <w:t xml:space="preserve"> Environmental and Social Justice (ESJ) and Tribal communities</w:t>
      </w:r>
      <w:r w:rsidRPr="00041AD5" w:rsidR="00DE6AFB">
        <w:rPr>
          <w:rFonts w:ascii="Palatino Linotype" w:hAnsi="Palatino Linotype" w:eastAsiaTheme="minorEastAsia"/>
          <w:color w:val="000000" w:themeColor="text1"/>
        </w:rPr>
        <w:t xml:space="preserve">. </w:t>
      </w:r>
      <w:r w:rsidRPr="00041AD5" w:rsidR="005B6739">
        <w:rPr>
          <w:rFonts w:ascii="Palatino Linotype" w:hAnsi="Palatino Linotype" w:eastAsiaTheme="minorEastAsia"/>
          <w:color w:val="000000" w:themeColor="text1"/>
        </w:rPr>
        <w:t xml:space="preserve">The CEC shall offer </w:t>
      </w:r>
      <w:r w:rsidRPr="00041AD5" w:rsidR="008F56A5">
        <w:rPr>
          <w:rFonts w:ascii="Palatino Linotype" w:hAnsi="Palatino Linotype" w:eastAsiaTheme="minorEastAsia"/>
          <w:color w:val="000000" w:themeColor="text1"/>
        </w:rPr>
        <w:t>members of the</w:t>
      </w:r>
      <w:r w:rsidRPr="00041AD5" w:rsidR="00121763">
        <w:rPr>
          <w:rFonts w:ascii="Palatino Linotype" w:hAnsi="Palatino Linotype" w:eastAsiaTheme="minorEastAsia"/>
          <w:color w:val="000000" w:themeColor="text1"/>
        </w:rPr>
        <w:t xml:space="preserve"> Disadvantaged Communities Advisory Group (DACAG) </w:t>
      </w:r>
      <w:r w:rsidRPr="00041AD5" w:rsidR="00B2207C">
        <w:rPr>
          <w:rFonts w:ascii="Palatino Linotype" w:hAnsi="Palatino Linotype" w:eastAsiaTheme="minorEastAsia"/>
          <w:color w:val="000000" w:themeColor="text1"/>
        </w:rPr>
        <w:t xml:space="preserve">the opportunity </w:t>
      </w:r>
      <w:r w:rsidRPr="00041AD5" w:rsidR="00121763">
        <w:rPr>
          <w:rFonts w:ascii="Palatino Linotype" w:hAnsi="Palatino Linotype" w:eastAsiaTheme="minorEastAsia"/>
          <w:color w:val="000000" w:themeColor="text1"/>
        </w:rPr>
        <w:t xml:space="preserve">to provide </w:t>
      </w:r>
      <w:r w:rsidRPr="00041AD5" w:rsidR="00C83006">
        <w:rPr>
          <w:rFonts w:ascii="Palatino Linotype" w:hAnsi="Palatino Linotype" w:eastAsiaTheme="minorEastAsia"/>
          <w:color w:val="000000" w:themeColor="text1"/>
        </w:rPr>
        <w:t xml:space="preserve">input </w:t>
      </w:r>
      <w:r w:rsidRPr="00041AD5" w:rsidR="0070467D">
        <w:rPr>
          <w:rFonts w:ascii="Palatino Linotype" w:hAnsi="Palatino Linotype" w:eastAsiaTheme="minorEastAsia"/>
          <w:color w:val="000000" w:themeColor="text1"/>
        </w:rPr>
        <w:t>on its</w:t>
      </w:r>
      <w:r w:rsidRPr="00041AD5" w:rsidDel="000F7FF7" w:rsidR="00121763">
        <w:rPr>
          <w:rFonts w:ascii="Palatino Linotype" w:hAnsi="Palatino Linotype" w:eastAsiaTheme="minorEastAsia"/>
          <w:color w:val="000000" w:themeColor="text1"/>
        </w:rPr>
        <w:t xml:space="preserve"> </w:t>
      </w:r>
      <w:r w:rsidRPr="00041AD5" w:rsidR="00121763">
        <w:rPr>
          <w:rFonts w:ascii="Palatino Linotype" w:hAnsi="Palatino Linotype" w:eastAsiaTheme="minorEastAsia"/>
          <w:color w:val="000000" w:themeColor="text1"/>
        </w:rPr>
        <w:t xml:space="preserve">proposed Plan </w:t>
      </w:r>
      <w:r w:rsidRPr="00041AD5" w:rsidR="002367C5">
        <w:rPr>
          <w:rFonts w:ascii="Palatino Linotype" w:hAnsi="Palatino Linotype" w:eastAsiaTheme="minorEastAsia"/>
          <w:color w:val="000000" w:themeColor="text1"/>
        </w:rPr>
        <w:t xml:space="preserve">with sufficient lead-time </w:t>
      </w:r>
      <w:r w:rsidRPr="00041AD5" w:rsidR="00121763">
        <w:rPr>
          <w:rFonts w:ascii="Palatino Linotype" w:hAnsi="Palatino Linotype" w:eastAsiaTheme="minorEastAsia"/>
          <w:color w:val="000000" w:themeColor="text1"/>
        </w:rPr>
        <w:t>prior to Plan submittal</w:t>
      </w:r>
      <w:r w:rsidRPr="00041AD5" w:rsidR="004E310A">
        <w:rPr>
          <w:rFonts w:ascii="Palatino Linotype" w:hAnsi="Palatino Linotype" w:eastAsiaTheme="minorEastAsia"/>
          <w:color w:val="000000" w:themeColor="text1"/>
        </w:rPr>
        <w:t>.</w:t>
      </w:r>
      <w:r w:rsidRPr="00041AD5" w:rsidR="00121763">
        <w:rPr>
          <w:rStyle w:val="FootnoteReference"/>
          <w:rFonts w:ascii="Palatino Linotype" w:hAnsi="Palatino Linotype" w:eastAsiaTheme="minorEastAsia"/>
          <w:color w:val="000000" w:themeColor="text1"/>
        </w:rPr>
        <w:footnoteReference w:id="88"/>
      </w:r>
      <w:r w:rsidRPr="00041AD5" w:rsidR="00231BEB">
        <w:rPr>
          <w:rFonts w:ascii="Palatino Linotype" w:hAnsi="Palatino Linotype" w:eastAsiaTheme="minorEastAsia"/>
          <w:color w:val="000000" w:themeColor="text1"/>
        </w:rPr>
        <w:t xml:space="preserve"> </w:t>
      </w:r>
    </w:p>
    <w:p w:rsidRPr="00041AD5" w:rsidR="3F8DE55E" w:rsidP="00B8435B" w:rsidRDefault="3F8DE55E" w14:paraId="6E7A1991" w14:textId="6E0BA102">
      <w:pPr>
        <w:spacing w:after="0" w:line="276" w:lineRule="auto"/>
        <w:rPr>
          <w:rFonts w:ascii="Palatino Linotype" w:hAnsi="Palatino Linotype" w:eastAsiaTheme="minorEastAsia"/>
          <w:color w:val="000000" w:themeColor="text1"/>
        </w:rPr>
      </w:pPr>
    </w:p>
    <w:p w:rsidRPr="00041AD5" w:rsidR="006A0099" w:rsidP="3F8DE55E" w:rsidRDefault="006A0099" w14:paraId="4B7EA3AC" w14:textId="0B218630">
      <w:pPr>
        <w:keepNext/>
        <w:spacing w:after="240" w:line="276" w:lineRule="auto"/>
        <w:rPr>
          <w:rFonts w:ascii="Palatino Linotype" w:hAnsi="Palatino Linotype" w:eastAsia="Palatino Linotype" w:cs="Times New Roman"/>
          <w:i/>
          <w:iCs/>
          <w:color w:val="000000" w:themeColor="text1"/>
          <w:kern w:val="0"/>
          <w14:ligatures w14:val="none"/>
        </w:rPr>
      </w:pPr>
      <w:r w:rsidRPr="00041AD5">
        <w:rPr>
          <w:rFonts w:ascii="Palatino Linotype" w:hAnsi="Palatino Linotype" w:eastAsia="Palatino Linotype" w:cs="Times New Roman"/>
          <w:i/>
          <w:iCs/>
          <w:color w:val="000000" w:themeColor="text1"/>
          <w:kern w:val="0"/>
          <w14:ligatures w14:val="none"/>
        </w:rPr>
        <w:t>Annual Plan Submittal &amp; Approval</w:t>
      </w:r>
    </w:p>
    <w:p w:rsidRPr="00041AD5" w:rsidR="00796B73" w:rsidP="0030086C" w:rsidRDefault="007B0F68" w14:paraId="15EC44D6" w14:textId="77777777">
      <w:pPr>
        <w:keepNext/>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The </w:t>
      </w:r>
      <w:r w:rsidRPr="00041AD5" w:rsidR="006535B4">
        <w:rPr>
          <w:rFonts w:ascii="Palatino Linotype" w:hAnsi="Palatino Linotype" w:eastAsia="Palatino Linotype" w:cs="Times New Roman"/>
          <w:color w:val="000000" w:themeColor="text1"/>
        </w:rPr>
        <w:t>CEC</w:t>
      </w:r>
      <w:r w:rsidRPr="00041AD5" w:rsidR="006A0099">
        <w:rPr>
          <w:rFonts w:ascii="Palatino Linotype" w:hAnsi="Palatino Linotype" w:eastAsia="Palatino Linotype" w:cs="Times New Roman"/>
          <w:color w:val="000000" w:themeColor="text1"/>
        </w:rPr>
        <w:t xml:space="preserve"> </w:t>
      </w:r>
      <w:r w:rsidRPr="00041AD5" w:rsidR="008F4063">
        <w:rPr>
          <w:rFonts w:ascii="Palatino Linotype" w:hAnsi="Palatino Linotype" w:eastAsia="Palatino Linotype" w:cs="Times New Roman"/>
          <w:color w:val="000000" w:themeColor="text1"/>
        </w:rPr>
        <w:t>must</w:t>
      </w:r>
      <w:r w:rsidRPr="00041AD5" w:rsidR="006535B4">
        <w:rPr>
          <w:rFonts w:ascii="Palatino Linotype" w:hAnsi="Palatino Linotype" w:eastAsia="Palatino Linotype" w:cs="Times New Roman"/>
          <w:color w:val="000000" w:themeColor="text1"/>
        </w:rPr>
        <w:t xml:space="preserve"> </w:t>
      </w:r>
      <w:r w:rsidRPr="00041AD5" w:rsidR="006A0099">
        <w:rPr>
          <w:rFonts w:ascii="Palatino Linotype" w:hAnsi="Palatino Linotype" w:eastAsia="Palatino Linotype" w:cs="Times New Roman"/>
          <w:color w:val="000000" w:themeColor="text1"/>
        </w:rPr>
        <w:t>submit proposed Gas RD&amp;D Plans to the Commission via Tier 3 Advice Letter (AL)</w:t>
      </w:r>
      <w:r w:rsidRPr="00041AD5" w:rsidR="00BE5A4C">
        <w:rPr>
          <w:rFonts w:ascii="Palatino Linotype" w:hAnsi="Palatino Linotype" w:eastAsia="Palatino Linotype" w:cs="Times New Roman"/>
          <w:color w:val="000000" w:themeColor="text1"/>
        </w:rPr>
        <w:t xml:space="preserve"> annually</w:t>
      </w:r>
      <w:r w:rsidRPr="00041AD5" w:rsidR="008F4063">
        <w:rPr>
          <w:rFonts w:ascii="Palatino Linotype" w:hAnsi="Palatino Linotype" w:eastAsia="Palatino Linotype" w:cs="Times New Roman"/>
          <w:color w:val="000000" w:themeColor="text1"/>
        </w:rPr>
        <w:t>.</w:t>
      </w:r>
      <w:r w:rsidRPr="00041AD5" w:rsidR="00D9082C">
        <w:rPr>
          <w:rStyle w:val="FootnoteReference"/>
          <w:rFonts w:ascii="Palatino Linotype" w:hAnsi="Palatino Linotype"/>
          <w:color w:val="000000" w:themeColor="text1"/>
        </w:rPr>
        <w:footnoteReference w:id="89"/>
      </w:r>
      <w:r w:rsidRPr="00041AD5" w:rsidR="00D9082C">
        <w:rPr>
          <w:rFonts w:ascii="Palatino Linotype" w:hAnsi="Palatino Linotype"/>
          <w:color w:val="000000" w:themeColor="text1"/>
        </w:rPr>
        <w:t xml:space="preserve"> </w:t>
      </w:r>
      <w:r w:rsidRPr="00041AD5">
        <w:rPr>
          <w:rFonts w:ascii="Palatino Linotype" w:hAnsi="Palatino Linotype"/>
          <w:color w:val="000000" w:themeColor="text1"/>
        </w:rPr>
        <w:t xml:space="preserve">The </w:t>
      </w:r>
      <w:r w:rsidRPr="00041AD5" w:rsidR="006535B4">
        <w:rPr>
          <w:rFonts w:ascii="Palatino Linotype" w:hAnsi="Palatino Linotype" w:eastAsia="Palatino Linotype" w:cs="Times New Roman"/>
          <w:color w:val="000000" w:themeColor="text1"/>
        </w:rPr>
        <w:t>CEC</w:t>
      </w:r>
      <w:r w:rsidRPr="00041AD5" w:rsidR="006A0099">
        <w:rPr>
          <w:rFonts w:ascii="Palatino Linotype" w:hAnsi="Palatino Linotype" w:eastAsia="Palatino Linotype" w:cs="Times New Roman"/>
          <w:color w:val="000000" w:themeColor="text1"/>
        </w:rPr>
        <w:t xml:space="preserve"> shall post proposed and approved Investment Plans publicly </w:t>
      </w:r>
      <w:r w:rsidRPr="00041AD5">
        <w:rPr>
          <w:rFonts w:ascii="Palatino Linotype" w:hAnsi="Palatino Linotype" w:eastAsia="Palatino Linotype" w:cs="Times New Roman"/>
          <w:color w:val="000000" w:themeColor="text1"/>
        </w:rPr>
        <w:t xml:space="preserve">so that they are </w:t>
      </w:r>
      <w:r w:rsidRPr="00041AD5" w:rsidR="006A0099">
        <w:rPr>
          <w:rFonts w:ascii="Palatino Linotype" w:hAnsi="Palatino Linotype" w:eastAsia="Palatino Linotype" w:cs="Times New Roman"/>
          <w:color w:val="000000" w:themeColor="text1"/>
        </w:rPr>
        <w:t>easily accessible on its website and notify the CPUC of the web address</w:t>
      </w:r>
      <w:r w:rsidRPr="00041AD5" w:rsidR="00162947">
        <w:rPr>
          <w:rFonts w:ascii="Palatino Linotype" w:hAnsi="Palatino Linotype" w:eastAsia="Palatino Linotype" w:cs="Times New Roman"/>
          <w:color w:val="000000" w:themeColor="text1"/>
        </w:rPr>
        <w:t>.</w:t>
      </w:r>
      <w:r w:rsidRPr="00041AD5" w:rsidR="00A27292">
        <w:rPr>
          <w:rFonts w:ascii="Palatino Linotype" w:hAnsi="Palatino Linotype" w:eastAsia="Palatino Linotype" w:cs="Times New Roman"/>
          <w:color w:val="000000" w:themeColor="text1"/>
        </w:rPr>
        <w:t xml:space="preserve"> </w:t>
      </w:r>
      <w:r w:rsidRPr="00041AD5" w:rsidR="00162947">
        <w:rPr>
          <w:rFonts w:ascii="Palatino Linotype" w:hAnsi="Palatino Linotype" w:eastAsia="Palatino Linotype" w:cs="Times New Roman"/>
          <w:color w:val="000000" w:themeColor="text1"/>
        </w:rPr>
        <w:t xml:space="preserve">The </w:t>
      </w:r>
      <w:r w:rsidRPr="00041AD5" w:rsidR="006535B4">
        <w:rPr>
          <w:rFonts w:ascii="Palatino Linotype" w:hAnsi="Palatino Linotype" w:eastAsia="Palatino Linotype" w:cs="Times New Roman"/>
          <w:color w:val="000000" w:themeColor="text1"/>
        </w:rPr>
        <w:t>CEC</w:t>
      </w:r>
      <w:r w:rsidRPr="00041AD5" w:rsidR="006A0099">
        <w:rPr>
          <w:rFonts w:ascii="Palatino Linotype" w:hAnsi="Palatino Linotype" w:eastAsia="Palatino Linotype" w:cs="Times New Roman"/>
          <w:color w:val="000000" w:themeColor="text1"/>
        </w:rPr>
        <w:t xml:space="preserve"> shall also coordinate with other </w:t>
      </w:r>
      <w:r w:rsidRPr="00041AD5" w:rsidR="00A27292">
        <w:rPr>
          <w:rFonts w:ascii="Palatino Linotype" w:hAnsi="Palatino Linotype" w:eastAsia="Palatino Linotype" w:cs="Times New Roman"/>
          <w:color w:val="000000" w:themeColor="text1"/>
        </w:rPr>
        <w:t xml:space="preserve">Gas </w:t>
      </w:r>
      <w:r w:rsidRPr="00041AD5" w:rsidR="00162947">
        <w:rPr>
          <w:rFonts w:ascii="Palatino Linotype" w:hAnsi="Palatino Linotype" w:eastAsia="Palatino Linotype" w:cs="Times New Roman"/>
          <w:color w:val="000000" w:themeColor="text1"/>
        </w:rPr>
        <w:t xml:space="preserve">RD&amp;D </w:t>
      </w:r>
      <w:r w:rsidRPr="00041AD5" w:rsidR="006A0099">
        <w:rPr>
          <w:rFonts w:ascii="Palatino Linotype" w:hAnsi="Palatino Linotype" w:eastAsia="Palatino Linotype" w:cs="Times New Roman"/>
          <w:color w:val="000000" w:themeColor="text1"/>
        </w:rPr>
        <w:t>administrators to develop service lists of relevant ongoing CPUC Proceedings on which to serve Plans and consult with E</w:t>
      </w:r>
      <w:r w:rsidRPr="00041AD5" w:rsidR="00416BCC">
        <w:rPr>
          <w:rFonts w:ascii="Palatino Linotype" w:hAnsi="Palatino Linotype" w:eastAsia="Palatino Linotype" w:cs="Times New Roman"/>
          <w:color w:val="000000" w:themeColor="text1"/>
        </w:rPr>
        <w:t>nergy Division</w:t>
      </w:r>
      <w:r w:rsidRPr="00041AD5" w:rsidR="006A0099">
        <w:rPr>
          <w:rFonts w:ascii="Palatino Linotype" w:hAnsi="Palatino Linotype" w:eastAsia="Palatino Linotype" w:cs="Times New Roman"/>
          <w:color w:val="000000" w:themeColor="text1"/>
        </w:rPr>
        <w:t xml:space="preserve"> staff to ensure these lists are sufficient.</w:t>
      </w:r>
      <w:r w:rsidRPr="00041AD5" w:rsidR="006A0099">
        <w:rPr>
          <w:rStyle w:val="FootnoteReference"/>
          <w:rFonts w:ascii="Palatino Linotype" w:hAnsi="Palatino Linotype" w:eastAsia="Palatino Linotype" w:cs="Times New Roman"/>
          <w:color w:val="000000" w:themeColor="text1"/>
        </w:rPr>
        <w:footnoteReference w:id="90"/>
      </w:r>
      <w:r w:rsidRPr="00041AD5" w:rsidR="00B65AD9">
        <w:rPr>
          <w:rFonts w:ascii="Palatino Linotype" w:hAnsi="Palatino Linotype" w:eastAsia="Palatino Linotype" w:cs="Times New Roman"/>
          <w:color w:val="000000" w:themeColor="text1"/>
        </w:rPr>
        <w:t xml:space="preserve"> </w:t>
      </w:r>
    </w:p>
    <w:p w:rsidRPr="00041AD5" w:rsidR="007B560E" w:rsidP="0030086C" w:rsidRDefault="00891935" w14:paraId="7F3FB43A" w14:textId="3A32F50E">
      <w:pPr>
        <w:keepNext/>
        <w:spacing w:line="276" w:lineRule="auto"/>
        <w:rPr>
          <w:rFonts w:ascii="Palatino Linotype" w:hAnsi="Palatino Linotype"/>
          <w:color w:val="000000" w:themeColor="text1"/>
        </w:rPr>
      </w:pPr>
      <w:r w:rsidRPr="00041AD5">
        <w:rPr>
          <w:rFonts w:ascii="Palatino Linotype" w:hAnsi="Palatino Linotype" w:eastAsia="Palatino Linotype" w:cs="Times New Roman"/>
          <w:color w:val="000000" w:themeColor="text1"/>
        </w:rPr>
        <w:t xml:space="preserve">The </w:t>
      </w:r>
      <w:r w:rsidRPr="00041AD5" w:rsidR="00162947">
        <w:rPr>
          <w:rFonts w:ascii="Palatino Linotype" w:hAnsi="Palatino Linotype" w:eastAsia="Palatino Linotype" w:cs="Times New Roman"/>
          <w:color w:val="000000" w:themeColor="text1"/>
        </w:rPr>
        <w:t xml:space="preserve">CEC’s Gas RD&amp;D </w:t>
      </w:r>
      <w:r w:rsidRPr="00041AD5" w:rsidR="00A27292">
        <w:rPr>
          <w:rFonts w:ascii="Palatino Linotype" w:hAnsi="Palatino Linotype" w:eastAsia="Palatino Linotype" w:cs="Times New Roman"/>
          <w:color w:val="000000" w:themeColor="text1"/>
        </w:rPr>
        <w:t xml:space="preserve">Annual </w:t>
      </w:r>
      <w:r w:rsidRPr="00041AD5">
        <w:rPr>
          <w:rFonts w:ascii="Palatino Linotype" w:hAnsi="Palatino Linotype" w:eastAsia="Palatino Linotype" w:cs="Times New Roman"/>
          <w:color w:val="000000" w:themeColor="text1"/>
        </w:rPr>
        <w:t xml:space="preserve">Plan shall only become effective when the Commission adopts a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esolution approving the Plan and associated zero-based budget.</w:t>
      </w:r>
      <w:r w:rsidRPr="00041AD5">
        <w:rPr>
          <w:rStyle w:val="FootnoteReference"/>
          <w:rFonts w:ascii="Palatino Linotype" w:hAnsi="Palatino Linotype" w:eastAsia="Palatino Linotype" w:cs="Times New Roman"/>
          <w:color w:val="000000" w:themeColor="text1"/>
        </w:rPr>
        <w:footnoteReference w:id="91"/>
      </w:r>
      <w:r w:rsidRPr="00041AD5">
        <w:rPr>
          <w:rFonts w:ascii="Palatino Linotype" w:hAnsi="Palatino Linotype" w:eastAsia="Palatino Linotype" w:cs="Times New Roman"/>
          <w:color w:val="000000" w:themeColor="text1"/>
        </w:rPr>
        <w:t xml:space="preserve"> </w:t>
      </w:r>
      <w:r w:rsidRPr="00041AD5" w:rsidR="00001865">
        <w:rPr>
          <w:rFonts w:ascii="Palatino Linotype" w:hAnsi="Palatino Linotype"/>
          <w:color w:val="000000" w:themeColor="text1"/>
        </w:rPr>
        <w:t xml:space="preserve">The </w:t>
      </w:r>
      <w:r w:rsidR="000B324C">
        <w:rPr>
          <w:rFonts w:ascii="Palatino Linotype" w:hAnsi="Palatino Linotype"/>
          <w:color w:val="000000" w:themeColor="text1"/>
        </w:rPr>
        <w:br/>
      </w:r>
      <w:r w:rsidRPr="00041AD5" w:rsidR="00001865">
        <w:rPr>
          <w:rFonts w:ascii="Palatino Linotype" w:hAnsi="Palatino Linotype"/>
          <w:color w:val="000000" w:themeColor="text1"/>
        </w:rPr>
        <w:t>CEC’s annual budget cap for Gas RD&amp;D Plans is $24 million</w:t>
      </w:r>
      <w:r w:rsidRPr="00041AD5" w:rsidR="008364E1">
        <w:rPr>
          <w:rFonts w:ascii="Palatino Linotype" w:hAnsi="Palatino Linotype"/>
          <w:color w:val="000000" w:themeColor="text1"/>
        </w:rPr>
        <w:t>,</w:t>
      </w:r>
      <w:r w:rsidRPr="00041AD5" w:rsidR="008364E1">
        <w:rPr>
          <w:rStyle w:val="FootnoteReference"/>
          <w:rFonts w:ascii="Palatino Linotype" w:hAnsi="Palatino Linotype"/>
          <w:color w:val="000000" w:themeColor="text1"/>
        </w:rPr>
        <w:footnoteReference w:id="92"/>
      </w:r>
      <w:r w:rsidRPr="00041AD5" w:rsidR="00001865">
        <w:rPr>
          <w:rFonts w:ascii="Palatino Linotype" w:hAnsi="Palatino Linotype"/>
          <w:color w:val="000000" w:themeColor="text1"/>
        </w:rPr>
        <w:t xml:space="preserve"> including up to </w:t>
      </w:r>
      <w:r w:rsidR="000B324C">
        <w:rPr>
          <w:rFonts w:ascii="Palatino Linotype" w:hAnsi="Palatino Linotype"/>
          <w:color w:val="000000" w:themeColor="text1"/>
        </w:rPr>
        <w:br/>
      </w:r>
      <w:r w:rsidRPr="00041AD5" w:rsidR="00001865">
        <w:rPr>
          <w:rFonts w:ascii="Palatino Linotype" w:hAnsi="Palatino Linotype"/>
          <w:color w:val="000000" w:themeColor="text1"/>
        </w:rPr>
        <w:t>$21.6 million for Initiatives and $2.4 million for Program Administration</w:t>
      </w:r>
      <w:r w:rsidRPr="00041AD5" w:rsidR="007E2F34">
        <w:rPr>
          <w:rFonts w:ascii="Palatino Linotype" w:hAnsi="Palatino Linotype"/>
          <w:color w:val="000000" w:themeColor="text1"/>
        </w:rPr>
        <w:t>.</w:t>
      </w:r>
      <w:r w:rsidRPr="00041AD5" w:rsidR="00EE53A3">
        <w:rPr>
          <w:rFonts w:ascii="Palatino Linotype" w:hAnsi="Palatino Linotype"/>
          <w:color w:val="000000" w:themeColor="text1"/>
        </w:rPr>
        <w:t xml:space="preserve"> </w:t>
      </w:r>
      <w:r w:rsidRPr="00041AD5" w:rsidR="007E2F34">
        <w:rPr>
          <w:rFonts w:ascii="Palatino Linotype" w:hAnsi="Palatino Linotype"/>
          <w:color w:val="000000" w:themeColor="text1"/>
        </w:rPr>
        <w:t xml:space="preserve">The </w:t>
      </w:r>
      <w:r w:rsidRPr="00041AD5" w:rsidR="009A7052">
        <w:rPr>
          <w:rFonts w:ascii="Palatino Linotype" w:hAnsi="Palatino Linotype"/>
          <w:color w:val="000000" w:themeColor="text1"/>
        </w:rPr>
        <w:t>Program Administrati</w:t>
      </w:r>
      <w:r w:rsidRPr="00041AD5" w:rsidR="007E2F34">
        <w:rPr>
          <w:rFonts w:ascii="Palatino Linotype" w:hAnsi="Palatino Linotype"/>
          <w:color w:val="000000" w:themeColor="text1"/>
        </w:rPr>
        <w:t>on</w:t>
      </w:r>
      <w:r w:rsidRPr="00041AD5" w:rsidR="009A7052">
        <w:rPr>
          <w:rFonts w:ascii="Palatino Linotype" w:hAnsi="Palatino Linotype"/>
          <w:color w:val="000000" w:themeColor="text1"/>
        </w:rPr>
        <w:t xml:space="preserve"> </w:t>
      </w:r>
      <w:r w:rsidRPr="00041AD5" w:rsidR="007E2F34">
        <w:rPr>
          <w:rFonts w:ascii="Palatino Linotype" w:hAnsi="Palatino Linotype"/>
          <w:color w:val="000000" w:themeColor="text1"/>
        </w:rPr>
        <w:t xml:space="preserve">budget is capped at 10% of the total adopted budget and must </w:t>
      </w:r>
      <w:r w:rsidRPr="00041AD5" w:rsidR="005A75F0">
        <w:rPr>
          <w:rFonts w:ascii="Palatino Linotype" w:hAnsi="Palatino Linotype"/>
          <w:color w:val="000000" w:themeColor="text1"/>
        </w:rPr>
        <w:t xml:space="preserve">be </w:t>
      </w:r>
      <w:r w:rsidRPr="00041AD5" w:rsidR="007E2F34">
        <w:rPr>
          <w:rFonts w:ascii="Palatino Linotype" w:hAnsi="Palatino Linotype"/>
          <w:color w:val="000000" w:themeColor="text1"/>
        </w:rPr>
        <w:t>delineated by</w:t>
      </w:r>
      <w:r w:rsidRPr="00041AD5" w:rsidR="001816FF">
        <w:rPr>
          <w:rFonts w:ascii="Palatino Linotype" w:hAnsi="Palatino Linotype"/>
          <w:color w:val="000000" w:themeColor="text1"/>
        </w:rPr>
        <w:t xml:space="preserve"> allowable cost categories </w:t>
      </w:r>
      <w:r w:rsidRPr="00041AD5" w:rsidR="00E37A94">
        <w:rPr>
          <w:rFonts w:ascii="Palatino Linotype" w:hAnsi="Palatino Linotype"/>
          <w:color w:val="000000" w:themeColor="text1"/>
        </w:rPr>
        <w:t xml:space="preserve">so the CPUC may understand </w:t>
      </w:r>
      <w:r w:rsidRPr="00041AD5" w:rsidR="00434434">
        <w:rPr>
          <w:rFonts w:ascii="Palatino Linotype" w:hAnsi="Palatino Linotype"/>
          <w:color w:val="000000" w:themeColor="text1"/>
        </w:rPr>
        <w:t xml:space="preserve">how these costs </w:t>
      </w:r>
      <w:r w:rsidRPr="00041AD5" w:rsidR="00434434">
        <w:rPr>
          <w:rFonts w:ascii="Palatino Linotype" w:hAnsi="Palatino Linotype"/>
          <w:color w:val="000000" w:themeColor="text1"/>
        </w:rPr>
        <w:lastRenderedPageBreak/>
        <w:t>are allocated and reasonable</w:t>
      </w:r>
      <w:r w:rsidRPr="00041AD5" w:rsidR="001843EB">
        <w:rPr>
          <w:rFonts w:ascii="Palatino Linotype" w:hAnsi="Palatino Linotype"/>
          <w:color w:val="000000" w:themeColor="text1"/>
        </w:rPr>
        <w:t>, consistent with Commission requirements for EPIC administrators.</w:t>
      </w:r>
      <w:r w:rsidRPr="00041AD5" w:rsidR="00745434">
        <w:rPr>
          <w:rStyle w:val="FootnoteReference"/>
          <w:rFonts w:ascii="Palatino Linotype" w:hAnsi="Palatino Linotype"/>
          <w:color w:val="000000" w:themeColor="text1"/>
        </w:rPr>
        <w:footnoteReference w:id="93"/>
      </w:r>
      <w:r w:rsidRPr="00041AD5" w:rsidR="009A7052">
        <w:rPr>
          <w:rFonts w:ascii="Palatino Linotype" w:hAnsi="Palatino Linotype"/>
          <w:color w:val="000000" w:themeColor="text1"/>
        </w:rPr>
        <w:t xml:space="preserve"> </w:t>
      </w:r>
    </w:p>
    <w:p w:rsidRPr="00041AD5" w:rsidR="009E7A1D" w:rsidP="0030086C" w:rsidRDefault="00BB4C4A" w14:paraId="0B60B11E" w14:textId="0CE318EB">
      <w:pPr>
        <w:keepNext/>
        <w:spacing w:line="276" w:lineRule="auto"/>
        <w:rPr>
          <w:rFonts w:ascii="Palatino Linotype" w:hAnsi="Palatino Linotype"/>
          <w:color w:val="000000" w:themeColor="text1"/>
        </w:rPr>
      </w:pPr>
      <w:r w:rsidRPr="00041AD5">
        <w:rPr>
          <w:rFonts w:ascii="Palatino Linotype" w:hAnsi="Palatino Linotype" w:eastAsia="Palatino Linotype" w:cs="Times New Roman"/>
          <w:color w:val="000000" w:themeColor="text1"/>
        </w:rPr>
        <w:t>S</w:t>
      </w:r>
      <w:r w:rsidRPr="00041AD5" w:rsidR="00891935">
        <w:rPr>
          <w:rFonts w:ascii="Palatino Linotype" w:hAnsi="Palatino Linotype" w:eastAsia="Palatino Linotype" w:cs="Times New Roman"/>
          <w:color w:val="000000" w:themeColor="text1"/>
        </w:rPr>
        <w:t xml:space="preserve">taff must ensure that utility </w:t>
      </w:r>
      <w:r w:rsidRPr="00041AD5" w:rsidR="00D10CDC">
        <w:rPr>
          <w:rFonts w:ascii="Palatino Linotype" w:hAnsi="Palatino Linotype" w:eastAsia="Palatino Linotype" w:cs="Times New Roman"/>
          <w:color w:val="000000" w:themeColor="text1"/>
        </w:rPr>
        <w:t xml:space="preserve">PPP </w:t>
      </w:r>
      <w:r w:rsidRPr="00041AD5" w:rsidR="00891935">
        <w:rPr>
          <w:rFonts w:ascii="Palatino Linotype" w:hAnsi="Palatino Linotype" w:eastAsia="Palatino Linotype" w:cs="Times New Roman"/>
          <w:color w:val="000000" w:themeColor="text1"/>
        </w:rPr>
        <w:t xml:space="preserve">surcharge rates for the following year are consistent with the </w:t>
      </w:r>
      <w:r w:rsidRPr="00041AD5" w:rsidR="00C0374F">
        <w:rPr>
          <w:rFonts w:ascii="Palatino Linotype" w:hAnsi="Palatino Linotype" w:eastAsia="Palatino Linotype" w:cs="Times New Roman"/>
          <w:color w:val="000000" w:themeColor="text1"/>
        </w:rPr>
        <w:t xml:space="preserve">Commission’s </w:t>
      </w:r>
      <w:r w:rsidRPr="00041AD5" w:rsidR="00891935">
        <w:rPr>
          <w:rFonts w:ascii="Palatino Linotype" w:hAnsi="Palatino Linotype" w:eastAsia="Palatino Linotype" w:cs="Times New Roman"/>
          <w:color w:val="000000" w:themeColor="text1"/>
        </w:rPr>
        <w:t>adopted zero-based budget.</w:t>
      </w:r>
      <w:r w:rsidRPr="00041AD5" w:rsidR="00891935">
        <w:rPr>
          <w:rStyle w:val="FootnoteReference"/>
          <w:rFonts w:ascii="Palatino Linotype" w:hAnsi="Palatino Linotype" w:eastAsia="Palatino Linotype" w:cs="Times New Roman"/>
          <w:color w:val="000000" w:themeColor="text1"/>
        </w:rPr>
        <w:footnoteReference w:id="94"/>
      </w:r>
      <w:r w:rsidRPr="00041AD5" w:rsidR="00891935">
        <w:rPr>
          <w:rFonts w:ascii="Palatino Linotype" w:hAnsi="Palatino Linotype" w:eastAsia="Palatino Linotype" w:cs="Times New Roman"/>
          <w:color w:val="000000" w:themeColor="text1"/>
        </w:rPr>
        <w:t xml:space="preserve"> </w:t>
      </w:r>
      <w:r w:rsidRPr="00041AD5" w:rsidR="00634031">
        <w:rPr>
          <w:rFonts w:ascii="Palatino Linotype" w:hAnsi="Palatino Linotype" w:eastAsia="Palatino Linotype" w:cs="Times New Roman"/>
          <w:color w:val="000000" w:themeColor="text1"/>
        </w:rPr>
        <w:t>A</w:t>
      </w:r>
      <w:r w:rsidRPr="00041AD5" w:rsidR="00705405">
        <w:rPr>
          <w:rFonts w:ascii="Palatino Linotype" w:hAnsi="Palatino Linotype" w:eastAsia="Palatino Linotype" w:cs="Times New Roman"/>
          <w:color w:val="000000" w:themeColor="text1"/>
        </w:rPr>
        <w:t xml:space="preserve">fter Commission approval of </w:t>
      </w:r>
      <w:r w:rsidRPr="00041AD5" w:rsidR="00640D6E">
        <w:rPr>
          <w:rFonts w:ascii="Palatino Linotype" w:hAnsi="Palatino Linotype" w:eastAsia="Palatino Linotype" w:cs="Times New Roman"/>
          <w:color w:val="000000" w:themeColor="text1"/>
        </w:rPr>
        <w:t>the CEC’s</w:t>
      </w:r>
      <w:r w:rsidRPr="00041AD5" w:rsidR="00705405">
        <w:rPr>
          <w:rFonts w:ascii="Palatino Linotype" w:hAnsi="Palatino Linotype" w:eastAsia="Palatino Linotype" w:cs="Times New Roman"/>
          <w:color w:val="000000" w:themeColor="text1"/>
        </w:rPr>
        <w:t xml:space="preserve"> </w:t>
      </w:r>
      <w:r w:rsidRPr="00041AD5" w:rsidR="00BF722B">
        <w:rPr>
          <w:rFonts w:ascii="Palatino Linotype" w:hAnsi="Palatino Linotype" w:eastAsia="Palatino Linotype" w:cs="Times New Roman"/>
          <w:color w:val="000000" w:themeColor="text1"/>
        </w:rPr>
        <w:t>A</w:t>
      </w:r>
      <w:r w:rsidRPr="00041AD5" w:rsidR="00705405">
        <w:rPr>
          <w:rFonts w:ascii="Palatino Linotype" w:hAnsi="Palatino Linotype" w:eastAsia="Palatino Linotype" w:cs="Times New Roman"/>
          <w:color w:val="000000" w:themeColor="text1"/>
        </w:rPr>
        <w:t xml:space="preserve">nnual </w:t>
      </w:r>
      <w:r w:rsidRPr="00041AD5" w:rsidR="008A1434">
        <w:rPr>
          <w:rFonts w:ascii="Palatino Linotype" w:hAnsi="Palatino Linotype" w:eastAsia="Palatino Linotype" w:cs="Times New Roman"/>
          <w:color w:val="000000" w:themeColor="text1"/>
        </w:rPr>
        <w:t>Plan</w:t>
      </w:r>
      <w:r w:rsidRPr="00041AD5" w:rsidR="00634031">
        <w:rPr>
          <w:rFonts w:ascii="Palatino Linotype" w:hAnsi="Palatino Linotype" w:eastAsia="Palatino Linotype" w:cs="Times New Roman"/>
          <w:color w:val="000000" w:themeColor="text1"/>
        </w:rPr>
        <w:t>,</w:t>
      </w:r>
      <w:r w:rsidRPr="00041AD5" w:rsidR="008A1434">
        <w:rPr>
          <w:rFonts w:ascii="Palatino Linotype" w:hAnsi="Palatino Linotype" w:eastAsia="Palatino Linotype" w:cs="Times New Roman"/>
          <w:color w:val="000000" w:themeColor="text1"/>
        </w:rPr>
        <w:t xml:space="preserve"> the </w:t>
      </w:r>
      <w:r w:rsidRPr="00041AD5" w:rsidR="00790746">
        <w:rPr>
          <w:rFonts w:ascii="Palatino Linotype" w:hAnsi="Palatino Linotype" w:eastAsia="Palatino Linotype" w:cs="Times New Roman"/>
          <w:color w:val="000000" w:themeColor="text1"/>
        </w:rPr>
        <w:t xml:space="preserve">CEC </w:t>
      </w:r>
      <w:r w:rsidRPr="00041AD5" w:rsidR="008A1434">
        <w:rPr>
          <w:rFonts w:ascii="Palatino Linotype" w:hAnsi="Palatino Linotype" w:eastAsia="Palatino Linotype" w:cs="Times New Roman"/>
          <w:color w:val="000000" w:themeColor="text1"/>
        </w:rPr>
        <w:t xml:space="preserve">may </w:t>
      </w:r>
      <w:r w:rsidRPr="00041AD5" w:rsidR="00784771">
        <w:rPr>
          <w:rFonts w:ascii="Palatino Linotype" w:hAnsi="Palatino Linotype" w:eastAsia="Palatino Linotype" w:cs="Times New Roman"/>
          <w:color w:val="000000" w:themeColor="text1"/>
        </w:rPr>
        <w:t xml:space="preserve">request a schedule of quarterly transfers from CPUC’s Gas Consumption Surcharge Fund </w:t>
      </w:r>
      <w:r w:rsidRPr="00041AD5" w:rsidR="00640D6E">
        <w:rPr>
          <w:rFonts w:ascii="Palatino Linotype" w:hAnsi="Palatino Linotype" w:eastAsia="Palatino Linotype" w:cs="Times New Roman"/>
          <w:color w:val="000000" w:themeColor="text1"/>
        </w:rPr>
        <w:t xml:space="preserve">via </w:t>
      </w:r>
      <w:r w:rsidRPr="00041AD5" w:rsidR="00C0374F">
        <w:rPr>
          <w:rFonts w:ascii="Palatino Linotype" w:hAnsi="Palatino Linotype" w:eastAsia="Palatino Linotype" w:cs="Times New Roman"/>
          <w:color w:val="000000" w:themeColor="text1"/>
        </w:rPr>
        <w:t xml:space="preserve">a </w:t>
      </w:r>
      <w:r w:rsidRPr="00041AD5" w:rsidR="00640D6E">
        <w:rPr>
          <w:rFonts w:ascii="Palatino Linotype" w:hAnsi="Palatino Linotype" w:eastAsia="Palatino Linotype" w:cs="Times New Roman"/>
          <w:color w:val="000000" w:themeColor="text1"/>
        </w:rPr>
        <w:t>letter to the State Controller’s Office (SCO)</w:t>
      </w:r>
      <w:r w:rsidRPr="00041AD5" w:rsidR="002F460A">
        <w:rPr>
          <w:rFonts w:ascii="Palatino Linotype" w:hAnsi="Palatino Linotype" w:eastAsia="Palatino Linotype" w:cs="Times New Roman"/>
          <w:color w:val="000000" w:themeColor="text1"/>
        </w:rPr>
        <w:t xml:space="preserve"> </w:t>
      </w:r>
      <w:r w:rsidRPr="00041AD5" w:rsidR="00640D6E">
        <w:rPr>
          <w:rFonts w:ascii="Palatino Linotype" w:hAnsi="Palatino Linotype" w:eastAsia="Palatino Linotype" w:cs="Times New Roman"/>
          <w:color w:val="000000" w:themeColor="text1"/>
        </w:rPr>
        <w:t xml:space="preserve">which </w:t>
      </w:r>
      <w:r w:rsidRPr="00041AD5" w:rsidR="003C4104">
        <w:rPr>
          <w:rFonts w:ascii="Palatino Linotype" w:hAnsi="Palatino Linotype" w:eastAsia="Palatino Linotype" w:cs="Times New Roman"/>
          <w:color w:val="000000" w:themeColor="text1"/>
        </w:rPr>
        <w:t>permits</w:t>
      </w:r>
      <w:r w:rsidRPr="00041AD5" w:rsidR="00421DE1">
        <w:rPr>
          <w:rFonts w:ascii="Palatino Linotype" w:hAnsi="Palatino Linotype" w:eastAsia="Palatino Linotype" w:cs="Times New Roman"/>
          <w:color w:val="000000" w:themeColor="text1"/>
        </w:rPr>
        <w:t xml:space="preserve"> PPP funds to be</w:t>
      </w:r>
      <w:r w:rsidRPr="00041AD5" w:rsidR="008A1434">
        <w:rPr>
          <w:rFonts w:ascii="Palatino Linotype" w:hAnsi="Palatino Linotype" w:eastAsia="Palatino Linotype" w:cs="Times New Roman"/>
          <w:color w:val="000000" w:themeColor="text1"/>
        </w:rPr>
        <w:t xml:space="preserve"> transferred to</w:t>
      </w:r>
      <w:r w:rsidRPr="00041AD5" w:rsidR="00784771">
        <w:rPr>
          <w:rFonts w:ascii="Palatino Linotype" w:hAnsi="Palatino Linotype" w:eastAsia="Palatino Linotype" w:cs="Times New Roman"/>
          <w:color w:val="000000" w:themeColor="text1"/>
        </w:rPr>
        <w:t xml:space="preserve"> the CEC’s Public Interest RD&amp;D Fund</w:t>
      </w:r>
      <w:r w:rsidRPr="00041AD5" w:rsidR="004A7026">
        <w:rPr>
          <w:rFonts w:ascii="Palatino Linotype" w:hAnsi="Palatino Linotype" w:eastAsia="Palatino Linotype" w:cs="Times New Roman"/>
          <w:color w:val="000000" w:themeColor="text1"/>
        </w:rPr>
        <w:t xml:space="preserve">. </w:t>
      </w:r>
      <w:r w:rsidRPr="00041AD5" w:rsidR="00421DE1">
        <w:rPr>
          <w:rFonts w:ascii="Palatino Linotype" w:hAnsi="Palatino Linotype" w:eastAsia="Palatino Linotype" w:cs="Times New Roman"/>
          <w:color w:val="000000" w:themeColor="text1"/>
        </w:rPr>
        <w:t>T</w:t>
      </w:r>
      <w:r w:rsidRPr="00041AD5" w:rsidR="006169DD">
        <w:rPr>
          <w:rFonts w:ascii="Palatino Linotype" w:hAnsi="Palatino Linotype" w:eastAsia="Palatino Linotype" w:cs="Times New Roman"/>
          <w:color w:val="000000" w:themeColor="text1"/>
        </w:rPr>
        <w:t xml:space="preserve">he CEC </w:t>
      </w:r>
      <w:r w:rsidRPr="00041AD5" w:rsidR="00D10CDC">
        <w:rPr>
          <w:rFonts w:ascii="Palatino Linotype" w:hAnsi="Palatino Linotype" w:eastAsia="Palatino Linotype" w:cs="Times New Roman"/>
          <w:color w:val="000000" w:themeColor="text1"/>
        </w:rPr>
        <w:t xml:space="preserve">shall </w:t>
      </w:r>
      <w:r w:rsidRPr="00041AD5" w:rsidR="006169DD">
        <w:rPr>
          <w:rFonts w:ascii="Palatino Linotype" w:hAnsi="Palatino Linotype" w:eastAsia="Palatino Linotype" w:cs="Times New Roman"/>
          <w:color w:val="000000" w:themeColor="text1"/>
        </w:rPr>
        <w:t xml:space="preserve">provide Energy Division with </w:t>
      </w:r>
      <w:r w:rsidRPr="00041AD5" w:rsidR="00ED70ED">
        <w:rPr>
          <w:rFonts w:ascii="Palatino Linotype" w:hAnsi="Palatino Linotype" w:eastAsia="Palatino Linotype" w:cs="Times New Roman"/>
          <w:color w:val="000000" w:themeColor="text1"/>
        </w:rPr>
        <w:t xml:space="preserve">an </w:t>
      </w:r>
      <w:r w:rsidRPr="00041AD5" w:rsidR="00B91E38">
        <w:rPr>
          <w:rFonts w:ascii="Palatino Linotype" w:hAnsi="Palatino Linotype" w:eastAsia="Palatino Linotype" w:cs="Times New Roman"/>
          <w:color w:val="000000" w:themeColor="text1"/>
        </w:rPr>
        <w:t>annual</w:t>
      </w:r>
      <w:r w:rsidRPr="00041AD5" w:rsidR="006169DD">
        <w:rPr>
          <w:rFonts w:ascii="Palatino Linotype" w:hAnsi="Palatino Linotype" w:eastAsia="Palatino Linotype" w:cs="Times New Roman"/>
          <w:color w:val="000000" w:themeColor="text1"/>
        </w:rPr>
        <w:t xml:space="preserve"> Tier 1 AL </w:t>
      </w:r>
      <w:r w:rsidRPr="00041AD5" w:rsidR="00B26CC6">
        <w:rPr>
          <w:rFonts w:ascii="Palatino Linotype" w:hAnsi="Palatino Linotype" w:eastAsia="Palatino Linotype" w:cs="Times New Roman"/>
          <w:color w:val="000000" w:themeColor="text1"/>
        </w:rPr>
        <w:t xml:space="preserve">to demonstrate </w:t>
      </w:r>
      <w:r w:rsidRPr="00041AD5" w:rsidR="00064D08">
        <w:rPr>
          <w:rFonts w:ascii="Palatino Linotype" w:hAnsi="Palatino Linotype" w:eastAsia="Palatino Linotype" w:cs="Times New Roman"/>
          <w:color w:val="000000" w:themeColor="text1"/>
        </w:rPr>
        <w:t>its request</w:t>
      </w:r>
      <w:r w:rsidRPr="00041AD5" w:rsidR="00ED70ED">
        <w:rPr>
          <w:rFonts w:ascii="Palatino Linotype" w:hAnsi="Palatino Linotype" w:eastAsia="Palatino Linotype" w:cs="Times New Roman"/>
          <w:color w:val="000000" w:themeColor="text1"/>
        </w:rPr>
        <w:t xml:space="preserve"> to access</w:t>
      </w:r>
      <w:r w:rsidRPr="00041AD5" w:rsidR="001448F3">
        <w:rPr>
          <w:rFonts w:ascii="Palatino Linotype" w:hAnsi="Palatino Linotype" w:eastAsia="Palatino Linotype" w:cs="Times New Roman"/>
          <w:color w:val="000000" w:themeColor="text1"/>
        </w:rPr>
        <w:t xml:space="preserve"> the </w:t>
      </w:r>
      <w:r w:rsidRPr="00041AD5" w:rsidR="00482690">
        <w:rPr>
          <w:rFonts w:ascii="Palatino Linotype" w:hAnsi="Palatino Linotype" w:eastAsia="Palatino Linotype" w:cs="Times New Roman"/>
          <w:color w:val="000000" w:themeColor="text1"/>
        </w:rPr>
        <w:t>PPP funds</w:t>
      </w:r>
      <w:r w:rsidRPr="00041AD5" w:rsidR="00064D08">
        <w:rPr>
          <w:rFonts w:ascii="Palatino Linotype" w:hAnsi="Palatino Linotype" w:eastAsia="Palatino Linotype" w:cs="Times New Roman"/>
          <w:color w:val="000000" w:themeColor="text1"/>
        </w:rPr>
        <w:t xml:space="preserve"> is</w:t>
      </w:r>
      <w:r w:rsidRPr="00041AD5" w:rsidR="00B26CC6">
        <w:rPr>
          <w:rFonts w:ascii="Palatino Linotype" w:hAnsi="Palatino Linotype" w:eastAsia="Palatino Linotype" w:cs="Times New Roman"/>
          <w:color w:val="000000" w:themeColor="text1"/>
        </w:rPr>
        <w:t xml:space="preserve"> consistent with the </w:t>
      </w:r>
      <w:r w:rsidRPr="00041AD5" w:rsidR="001448F3">
        <w:rPr>
          <w:rFonts w:ascii="Palatino Linotype" w:hAnsi="Palatino Linotype" w:eastAsia="Palatino Linotype" w:cs="Times New Roman"/>
          <w:color w:val="000000" w:themeColor="text1"/>
        </w:rPr>
        <w:t xml:space="preserve">Gas RD&amp;D </w:t>
      </w:r>
      <w:r w:rsidRPr="00041AD5" w:rsidR="00B26CC6">
        <w:rPr>
          <w:rFonts w:ascii="Palatino Linotype" w:hAnsi="Palatino Linotype" w:eastAsia="Palatino Linotype" w:cs="Times New Roman"/>
          <w:color w:val="000000" w:themeColor="text1"/>
        </w:rPr>
        <w:t xml:space="preserve">zero-based budget adopted by the Commission. </w:t>
      </w:r>
      <w:r w:rsidRPr="00041AD5" w:rsidR="00C05CCC">
        <w:rPr>
          <w:rFonts w:ascii="Palatino Linotype" w:hAnsi="Palatino Linotype" w:eastAsia="Palatino Linotype" w:cs="Times New Roman"/>
          <w:color w:val="000000" w:themeColor="text1"/>
        </w:rPr>
        <w:t xml:space="preserve">Pursuant to </w:t>
      </w:r>
      <w:r w:rsidRPr="00041AD5" w:rsidR="001D30AA">
        <w:rPr>
          <w:rFonts w:ascii="Palatino Linotype" w:hAnsi="Palatino Linotype" w:eastAsia="Palatino Linotype" w:cs="Times New Roman"/>
          <w:color w:val="000000" w:themeColor="text1"/>
        </w:rPr>
        <w:t xml:space="preserve">D.04-08-010, </w:t>
      </w:r>
      <w:r w:rsidRPr="00041AD5" w:rsidR="009E7A1D">
        <w:rPr>
          <w:rFonts w:ascii="Palatino Linotype" w:hAnsi="Palatino Linotype" w:eastAsia="Palatino Linotype" w:cs="Times New Roman"/>
          <w:color w:val="000000" w:themeColor="text1"/>
        </w:rPr>
        <w:t>disbursements</w:t>
      </w:r>
      <w:r w:rsidRPr="00041AD5" w:rsidR="00634031">
        <w:rPr>
          <w:rFonts w:ascii="Palatino Linotype" w:hAnsi="Palatino Linotype" w:eastAsia="Palatino Linotype" w:cs="Times New Roman"/>
          <w:color w:val="000000" w:themeColor="text1"/>
        </w:rPr>
        <w:t xml:space="preserve"> from </w:t>
      </w:r>
      <w:r w:rsidRPr="00041AD5" w:rsidR="009E7A1D">
        <w:rPr>
          <w:rFonts w:ascii="Palatino Linotype" w:hAnsi="Palatino Linotype" w:eastAsia="Palatino Linotype" w:cs="Times New Roman"/>
          <w:color w:val="000000" w:themeColor="text1"/>
        </w:rPr>
        <w:t>CPUC’s Gas Consumption Surcharge Fund to CEC’s Public Interest RD&amp;D Fund</w:t>
      </w:r>
      <w:r w:rsidRPr="00041AD5" w:rsidR="00193532">
        <w:rPr>
          <w:rFonts w:ascii="Palatino Linotype" w:hAnsi="Palatino Linotype" w:eastAsia="Palatino Linotype" w:cs="Times New Roman"/>
          <w:color w:val="000000" w:themeColor="text1"/>
        </w:rPr>
        <w:t xml:space="preserve"> </w:t>
      </w:r>
      <w:r w:rsidRPr="00041AD5" w:rsidR="00940160">
        <w:rPr>
          <w:rFonts w:ascii="Palatino Linotype" w:hAnsi="Palatino Linotype" w:eastAsia="Palatino Linotype" w:cs="Times New Roman"/>
          <w:color w:val="000000" w:themeColor="text1"/>
        </w:rPr>
        <w:t>must</w:t>
      </w:r>
      <w:r w:rsidRPr="00041AD5" w:rsidR="00193532">
        <w:rPr>
          <w:rFonts w:ascii="Palatino Linotype" w:hAnsi="Palatino Linotype" w:eastAsia="Palatino Linotype" w:cs="Times New Roman"/>
          <w:color w:val="000000" w:themeColor="text1"/>
        </w:rPr>
        <w:t xml:space="preserve"> be consistent with </w:t>
      </w:r>
      <w:r w:rsidRPr="00041AD5" w:rsidR="00940160">
        <w:rPr>
          <w:rFonts w:ascii="Palatino Linotype" w:hAnsi="Palatino Linotype" w:eastAsia="Palatino Linotype" w:cs="Times New Roman"/>
          <w:color w:val="000000" w:themeColor="text1"/>
        </w:rPr>
        <w:t>the Gas RD&amp;D zero-based budget adopted by the Commission</w:t>
      </w:r>
      <w:r w:rsidRPr="00041AD5" w:rsidR="00790ED6">
        <w:rPr>
          <w:rStyle w:val="FootnoteReference"/>
          <w:rFonts w:ascii="Palatino Linotype" w:hAnsi="Palatino Linotype" w:eastAsia="Palatino Linotype" w:cs="Times New Roman"/>
          <w:color w:val="000000" w:themeColor="text1"/>
        </w:rPr>
        <w:footnoteReference w:id="95"/>
      </w:r>
      <w:r w:rsidRPr="00041AD5" w:rsidR="00940160">
        <w:rPr>
          <w:rFonts w:ascii="Palatino Linotype" w:hAnsi="Palatino Linotype" w:eastAsia="Palatino Linotype" w:cs="Times New Roman"/>
          <w:color w:val="000000" w:themeColor="text1"/>
        </w:rPr>
        <w:t xml:space="preserve"> and the </w:t>
      </w:r>
      <w:r w:rsidRPr="00041AD5" w:rsidR="00AC1892">
        <w:rPr>
          <w:rFonts w:ascii="Palatino Linotype" w:hAnsi="Palatino Linotype" w:eastAsia="Palatino Linotype" w:cs="Times New Roman"/>
          <w:color w:val="000000" w:themeColor="text1"/>
        </w:rPr>
        <w:t xml:space="preserve">established </w:t>
      </w:r>
      <w:r w:rsidRPr="00041AD5" w:rsidR="00940160">
        <w:rPr>
          <w:rFonts w:ascii="Palatino Linotype" w:hAnsi="Palatino Linotype" w:eastAsia="Palatino Linotype" w:cs="Times New Roman"/>
          <w:color w:val="000000" w:themeColor="text1"/>
        </w:rPr>
        <w:t>schedule of quarterly transfers.</w:t>
      </w:r>
    </w:p>
    <w:p w:rsidRPr="00041AD5" w:rsidR="00701EBC" w:rsidP="00B11018" w:rsidRDefault="0010283A" w14:paraId="2AA2C236" w14:textId="7D369CB5">
      <w:pPr>
        <w:keepNext/>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Prior to the CPUC issuing a draft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 xml:space="preserve">esolution addressing Gas RD&amp;D Plans, Energy Division must identify whether the CEC </w:t>
      </w:r>
      <w:r w:rsidRPr="00041AD5" w:rsidR="00E32451">
        <w:rPr>
          <w:rFonts w:ascii="Palatino Linotype" w:hAnsi="Palatino Linotype" w:eastAsia="Palatino Linotype" w:cs="Times New Roman"/>
          <w:color w:val="000000" w:themeColor="text1"/>
        </w:rPr>
        <w:t xml:space="preserve">retains </w:t>
      </w:r>
      <w:r w:rsidRPr="00041AD5">
        <w:rPr>
          <w:rFonts w:ascii="Palatino Linotype" w:hAnsi="Palatino Linotype" w:eastAsia="Palatino Linotype" w:cs="Times New Roman"/>
          <w:color w:val="000000" w:themeColor="text1"/>
        </w:rPr>
        <w:t>a balance of applicable unspent funds</w:t>
      </w:r>
      <w:r w:rsidRPr="00041AD5" w:rsidR="00703AA3">
        <w:rPr>
          <w:rFonts w:ascii="Palatino Linotype" w:hAnsi="Palatino Linotype" w:eastAsia="Palatino Linotype" w:cs="Times New Roman"/>
          <w:color w:val="000000" w:themeColor="text1"/>
        </w:rPr>
        <w:t xml:space="preserve"> and</w:t>
      </w:r>
      <w:r w:rsidRPr="00041AD5" w:rsidR="00521D5E">
        <w:rPr>
          <w:rFonts w:ascii="Palatino Linotype" w:hAnsi="Palatino Linotype" w:eastAsia="Palatino Linotype" w:cs="Times New Roman"/>
          <w:color w:val="000000" w:themeColor="text1"/>
        </w:rPr>
        <w:t xml:space="preserve"> whether</w:t>
      </w:r>
      <w:r w:rsidRPr="00041AD5" w:rsidR="000271DB">
        <w:rPr>
          <w:rFonts w:ascii="Palatino Linotype" w:hAnsi="Palatino Linotype" w:eastAsia="Palatino Linotype" w:cs="Times New Roman"/>
          <w:color w:val="000000" w:themeColor="text1"/>
        </w:rPr>
        <w:t xml:space="preserve"> </w:t>
      </w:r>
      <w:r w:rsidRPr="00041AD5" w:rsidR="00703AA3">
        <w:rPr>
          <w:rFonts w:ascii="Palatino Linotype" w:hAnsi="Palatino Linotype" w:eastAsia="Palatino Linotype" w:cs="Times New Roman"/>
          <w:color w:val="000000" w:themeColor="text1"/>
        </w:rPr>
        <w:t>commercial benefits</w:t>
      </w:r>
      <w:r w:rsidRPr="00041AD5">
        <w:rPr>
          <w:rFonts w:ascii="Palatino Linotype" w:hAnsi="Palatino Linotype" w:eastAsia="Palatino Linotype" w:cs="Times New Roman"/>
          <w:color w:val="000000" w:themeColor="text1"/>
        </w:rPr>
        <w:t xml:space="preserve"> </w:t>
      </w:r>
      <w:r w:rsidRPr="00041AD5" w:rsidR="00521D5E">
        <w:rPr>
          <w:rFonts w:ascii="Palatino Linotype" w:hAnsi="Palatino Linotype" w:eastAsia="Palatino Linotype" w:cs="Times New Roman"/>
          <w:color w:val="000000" w:themeColor="text1"/>
        </w:rPr>
        <w:t xml:space="preserve">or interest have accrued, each of </w:t>
      </w:r>
      <w:r w:rsidRPr="00041AD5">
        <w:rPr>
          <w:rFonts w:ascii="Palatino Linotype" w:hAnsi="Palatino Linotype" w:eastAsia="Palatino Linotype" w:cs="Times New Roman"/>
          <w:color w:val="000000" w:themeColor="text1"/>
        </w:rPr>
        <w:t xml:space="preserve">which must be </w:t>
      </w:r>
      <w:r w:rsidRPr="00041AD5">
        <w:rPr>
          <w:rFonts w:ascii="Palatino Linotype" w:hAnsi="Palatino Linotype" w:eastAsia="Palatino Linotype" w:cs="Times New Roman"/>
          <w:color w:val="000000" w:themeColor="text1"/>
        </w:rPr>
        <w:lastRenderedPageBreak/>
        <w:t>utilized first to offset new and/or additional ratepayer costs.</w:t>
      </w:r>
      <w:r w:rsidRPr="00041AD5" w:rsidR="00034178">
        <w:rPr>
          <w:rFonts w:ascii="Palatino Linotype" w:hAnsi="Palatino Linotype" w:eastAsia="Palatino Linotype" w:cs="Times New Roman"/>
          <w:color w:val="000000" w:themeColor="text1"/>
        </w:rPr>
        <w:t xml:space="preserve"> To support </w:t>
      </w:r>
      <w:r w:rsidRPr="00041AD5" w:rsidR="00BB4C4A">
        <w:rPr>
          <w:rFonts w:ascii="Palatino Linotype" w:hAnsi="Palatino Linotype" w:eastAsia="Palatino Linotype" w:cs="Times New Roman"/>
          <w:color w:val="000000" w:themeColor="text1"/>
        </w:rPr>
        <w:t>S</w:t>
      </w:r>
      <w:r w:rsidRPr="00041AD5" w:rsidR="00034178">
        <w:rPr>
          <w:rFonts w:ascii="Palatino Linotype" w:hAnsi="Palatino Linotype" w:eastAsia="Palatino Linotype" w:cs="Times New Roman"/>
          <w:color w:val="000000" w:themeColor="text1"/>
        </w:rPr>
        <w:t>taff’s oversight</w:t>
      </w:r>
      <w:r w:rsidRPr="00041AD5" w:rsidR="005356CE">
        <w:rPr>
          <w:rFonts w:ascii="Palatino Linotype" w:hAnsi="Palatino Linotype" w:eastAsia="Palatino Linotype" w:cs="Times New Roman"/>
          <w:color w:val="000000" w:themeColor="text1"/>
        </w:rPr>
        <w:t xml:space="preserve"> requirements, the CEC shall report </w:t>
      </w:r>
      <w:r w:rsidRPr="00041AD5" w:rsidR="00701EBC">
        <w:rPr>
          <w:rFonts w:ascii="Palatino Linotype" w:hAnsi="Palatino Linotype" w:eastAsia="Palatino Linotype" w:cs="Times New Roman"/>
          <w:color w:val="000000" w:themeColor="text1"/>
        </w:rPr>
        <w:t>the following i</w:t>
      </w:r>
      <w:r w:rsidRPr="00041AD5" w:rsidR="00813FC9">
        <w:rPr>
          <w:rFonts w:ascii="Palatino Linotype" w:hAnsi="Palatino Linotype" w:eastAsia="Palatino Linotype" w:cs="Times New Roman"/>
          <w:color w:val="000000" w:themeColor="text1"/>
        </w:rPr>
        <w:t>n Annual Plans</w:t>
      </w:r>
      <w:r w:rsidRPr="00041AD5" w:rsidR="00701EBC">
        <w:rPr>
          <w:rFonts w:ascii="Palatino Linotype" w:hAnsi="Palatino Linotype" w:eastAsia="Palatino Linotype" w:cs="Times New Roman"/>
          <w:color w:val="000000" w:themeColor="text1"/>
        </w:rPr>
        <w:t>:</w:t>
      </w:r>
      <w:r w:rsidRPr="00041AD5" w:rsidR="00813FC9">
        <w:rPr>
          <w:rFonts w:ascii="Palatino Linotype" w:hAnsi="Palatino Linotype" w:eastAsia="Palatino Linotype" w:cs="Times New Roman"/>
          <w:color w:val="000000" w:themeColor="text1"/>
        </w:rPr>
        <w:t xml:space="preserve"> </w:t>
      </w:r>
    </w:p>
    <w:p w:rsidRPr="00041AD5" w:rsidR="00E974D5" w:rsidP="00BB33C1" w:rsidRDefault="00E974D5" w14:paraId="1A06928F" w14:textId="783805B9">
      <w:pPr>
        <w:pStyle w:val="ListParagraph"/>
        <w:keepNext/>
        <w:numPr>
          <w:ilvl w:val="0"/>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Pertaining to previously approved Gas RD&amp;D Plans:</w:t>
      </w:r>
    </w:p>
    <w:p w:rsidRPr="00041AD5" w:rsidR="00701EBC" w:rsidP="00BB33C1" w:rsidRDefault="00701EBC" w14:paraId="6DA3B133" w14:textId="7B895F45">
      <w:pPr>
        <w:pStyle w:val="ListParagraph"/>
        <w:keepNext/>
        <w:numPr>
          <w:ilvl w:val="1"/>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T</w:t>
      </w:r>
      <w:r w:rsidRPr="00041AD5" w:rsidR="00790735">
        <w:rPr>
          <w:rFonts w:ascii="Palatino Linotype" w:hAnsi="Palatino Linotype" w:eastAsia="Palatino Linotype" w:cs="Times New Roman"/>
          <w:color w:val="000000" w:themeColor="text1"/>
        </w:rPr>
        <w:t xml:space="preserve">he balances of spent, unspent, encumbered, and unencumbered Gas RD&amp;D funds </w:t>
      </w:r>
      <w:r w:rsidRPr="00041AD5" w:rsidR="00A07DF1">
        <w:rPr>
          <w:rFonts w:ascii="Palatino Linotype" w:hAnsi="Palatino Linotype" w:eastAsia="Palatino Linotype" w:cs="Times New Roman"/>
          <w:color w:val="000000" w:themeColor="text1"/>
        </w:rPr>
        <w:t>for each specific Initiative and</w:t>
      </w:r>
      <w:r w:rsidRPr="00041AD5" w:rsidR="00B90FDF">
        <w:rPr>
          <w:rFonts w:ascii="Palatino Linotype" w:hAnsi="Palatino Linotype" w:eastAsia="Palatino Linotype" w:cs="Times New Roman"/>
          <w:color w:val="000000" w:themeColor="text1"/>
        </w:rPr>
        <w:t xml:space="preserve"> for</w:t>
      </w:r>
      <w:r w:rsidRPr="00041AD5" w:rsidR="00A07DF1">
        <w:rPr>
          <w:rFonts w:ascii="Palatino Linotype" w:hAnsi="Palatino Linotype" w:eastAsia="Palatino Linotype" w:cs="Times New Roman"/>
          <w:color w:val="000000" w:themeColor="text1"/>
        </w:rPr>
        <w:t xml:space="preserve"> Program Administration</w:t>
      </w:r>
      <w:r w:rsidRPr="00041AD5" w:rsidR="00FB71D7">
        <w:rPr>
          <w:rFonts w:ascii="Palatino Linotype" w:hAnsi="Palatino Linotype" w:eastAsia="Palatino Linotype" w:cs="Times New Roman"/>
          <w:color w:val="000000" w:themeColor="text1"/>
        </w:rPr>
        <w:t>.</w:t>
      </w:r>
      <w:r w:rsidRPr="00041AD5" w:rsidR="005A7C04">
        <w:rPr>
          <w:rStyle w:val="FootnoteReference"/>
          <w:rFonts w:ascii="Palatino Linotype" w:hAnsi="Palatino Linotype" w:eastAsia="Palatino Linotype" w:cs="Times New Roman"/>
          <w:color w:val="000000" w:themeColor="text1"/>
        </w:rPr>
        <w:footnoteReference w:id="96"/>
      </w:r>
    </w:p>
    <w:p w:rsidRPr="00041AD5" w:rsidR="00701EBC" w:rsidP="00BB33C1" w:rsidRDefault="005330B7" w14:paraId="78CB08D5" w14:textId="77777777">
      <w:pPr>
        <w:pStyle w:val="ListParagraph"/>
        <w:keepNext/>
        <w:numPr>
          <w:ilvl w:val="1"/>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Commission</w:t>
      </w:r>
      <w:r w:rsidRPr="00041AD5" w:rsidR="005D21D2">
        <w:rPr>
          <w:rFonts w:ascii="Palatino Linotype" w:hAnsi="Palatino Linotype" w:eastAsia="Palatino Linotype" w:cs="Times New Roman"/>
          <w:color w:val="000000" w:themeColor="text1"/>
        </w:rPr>
        <w:t>-approved budget</w:t>
      </w:r>
      <w:r w:rsidRPr="00041AD5" w:rsidR="00077879">
        <w:rPr>
          <w:rFonts w:ascii="Palatino Linotype" w:hAnsi="Palatino Linotype" w:eastAsia="Palatino Linotype" w:cs="Times New Roman"/>
          <w:color w:val="000000" w:themeColor="text1"/>
        </w:rPr>
        <w:t xml:space="preserve"> allocations</w:t>
      </w:r>
      <w:r w:rsidRPr="00041AD5" w:rsidR="00425332">
        <w:rPr>
          <w:rFonts w:ascii="Palatino Linotype" w:hAnsi="Palatino Linotype" w:eastAsia="Palatino Linotype" w:cs="Times New Roman"/>
          <w:color w:val="000000" w:themeColor="text1"/>
        </w:rPr>
        <w:t>, Commission approval dates,</w:t>
      </w:r>
      <w:r w:rsidRPr="00041AD5" w:rsidR="00CC3783">
        <w:rPr>
          <w:rStyle w:val="FootnoteReference"/>
          <w:rFonts w:ascii="Palatino Linotype" w:hAnsi="Palatino Linotype" w:eastAsia="Palatino Linotype" w:cs="Times New Roman"/>
          <w:color w:val="000000" w:themeColor="text1"/>
        </w:rPr>
        <w:footnoteReference w:id="97"/>
      </w:r>
      <w:r w:rsidRPr="00041AD5" w:rsidR="00425332">
        <w:rPr>
          <w:rFonts w:ascii="Palatino Linotype" w:hAnsi="Palatino Linotype" w:eastAsia="Palatino Linotype" w:cs="Times New Roman"/>
          <w:color w:val="000000" w:themeColor="text1"/>
        </w:rPr>
        <w:t xml:space="preserve"> </w:t>
      </w:r>
      <w:r w:rsidRPr="00041AD5" w:rsidR="00FA7531">
        <w:rPr>
          <w:rFonts w:ascii="Palatino Linotype" w:hAnsi="Palatino Linotype" w:eastAsia="Palatino Linotype" w:cs="Times New Roman"/>
          <w:color w:val="000000" w:themeColor="text1"/>
        </w:rPr>
        <w:t>and encumbrance and spending deadlines</w:t>
      </w:r>
      <w:r w:rsidRPr="00041AD5" w:rsidR="00095C32">
        <w:rPr>
          <w:rFonts w:ascii="Palatino Linotype" w:hAnsi="Palatino Linotype" w:eastAsia="Palatino Linotype" w:cs="Times New Roman"/>
          <w:color w:val="000000" w:themeColor="text1"/>
        </w:rPr>
        <w:t>.</w:t>
      </w:r>
      <w:r w:rsidRPr="00041AD5" w:rsidR="00FA7531">
        <w:rPr>
          <w:rStyle w:val="FootnoteReference"/>
          <w:rFonts w:ascii="Palatino Linotype" w:hAnsi="Palatino Linotype" w:eastAsia="Palatino Linotype" w:cs="Times New Roman"/>
          <w:color w:val="000000" w:themeColor="text1"/>
        </w:rPr>
        <w:footnoteReference w:id="98"/>
      </w:r>
      <w:r w:rsidRPr="00041AD5" w:rsidR="00813FC9">
        <w:rPr>
          <w:rFonts w:ascii="Palatino Linotype" w:hAnsi="Palatino Linotype" w:eastAsia="Palatino Linotype" w:cs="Times New Roman"/>
          <w:color w:val="000000" w:themeColor="text1"/>
        </w:rPr>
        <w:t xml:space="preserve"> </w:t>
      </w:r>
    </w:p>
    <w:p w:rsidRPr="00041AD5" w:rsidR="00701EBC" w:rsidP="00BB33C1" w:rsidRDefault="00701EBC" w14:paraId="4B817705" w14:textId="1FEBF1D5">
      <w:pPr>
        <w:pStyle w:val="ListParagraph"/>
        <w:keepNext/>
        <w:numPr>
          <w:ilvl w:val="1"/>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For </w:t>
      </w:r>
      <w:r w:rsidRPr="00041AD5" w:rsidR="00B11018">
        <w:rPr>
          <w:rFonts w:ascii="Palatino Linotype" w:hAnsi="Palatino Linotype" w:eastAsia="Palatino Linotype" w:cs="Times New Roman"/>
          <w:color w:val="000000" w:themeColor="text1"/>
        </w:rPr>
        <w:t xml:space="preserve">funding reallocated from approved Initiatives, </w:t>
      </w:r>
      <w:r w:rsidRPr="00041AD5" w:rsidR="007C3B3F">
        <w:rPr>
          <w:rFonts w:ascii="Palatino Linotype" w:hAnsi="Palatino Linotype" w:eastAsia="Palatino Linotype" w:cs="Times New Roman"/>
          <w:color w:val="000000" w:themeColor="text1"/>
        </w:rPr>
        <w:t xml:space="preserve">the </w:t>
      </w:r>
      <w:r w:rsidRPr="00041AD5" w:rsidR="00B11018">
        <w:rPr>
          <w:rFonts w:ascii="Palatino Linotype" w:hAnsi="Palatino Linotype" w:eastAsia="Palatino Linotype" w:cs="Times New Roman"/>
          <w:color w:val="000000" w:themeColor="text1"/>
        </w:rPr>
        <w:t xml:space="preserve">Plan and specific Initiative </w:t>
      </w:r>
      <w:r w:rsidRPr="00041AD5" w:rsidR="002E44A2">
        <w:rPr>
          <w:rFonts w:ascii="Palatino Linotype" w:hAnsi="Palatino Linotype" w:eastAsia="Palatino Linotype" w:cs="Times New Roman"/>
          <w:color w:val="000000" w:themeColor="text1"/>
        </w:rPr>
        <w:t xml:space="preserve">the </w:t>
      </w:r>
      <w:r w:rsidRPr="00041AD5" w:rsidR="00B11018">
        <w:rPr>
          <w:rFonts w:ascii="Palatino Linotype" w:hAnsi="Palatino Linotype" w:eastAsia="Palatino Linotype" w:cs="Times New Roman"/>
          <w:color w:val="000000" w:themeColor="text1"/>
        </w:rPr>
        <w:t xml:space="preserve">funding has been reallocated to; relatedly, for funding reallocated to new Initiatives, </w:t>
      </w:r>
      <w:r w:rsidRPr="00041AD5" w:rsidR="00AC4883">
        <w:rPr>
          <w:rFonts w:ascii="Palatino Linotype" w:hAnsi="Palatino Linotype" w:eastAsia="Palatino Linotype" w:cs="Times New Roman"/>
          <w:color w:val="000000" w:themeColor="text1"/>
        </w:rPr>
        <w:t>the</w:t>
      </w:r>
      <w:r w:rsidRPr="00041AD5" w:rsidR="00B11018">
        <w:rPr>
          <w:rFonts w:ascii="Palatino Linotype" w:hAnsi="Palatino Linotype" w:eastAsia="Palatino Linotype" w:cs="Times New Roman"/>
          <w:color w:val="000000" w:themeColor="text1"/>
        </w:rPr>
        <w:t xml:space="preserve"> Plan and specific Initiative funding has been reallocated from.</w:t>
      </w:r>
      <w:r w:rsidRPr="00041AD5" w:rsidR="00B11018">
        <w:rPr>
          <w:rStyle w:val="FootnoteReference"/>
          <w:rFonts w:ascii="Palatino Linotype" w:hAnsi="Palatino Linotype" w:eastAsia="Palatino Linotype" w:cs="Times New Roman"/>
          <w:color w:val="000000" w:themeColor="text1"/>
        </w:rPr>
        <w:footnoteReference w:id="99"/>
      </w:r>
      <w:r w:rsidRPr="00041AD5" w:rsidR="00B11018">
        <w:rPr>
          <w:rFonts w:ascii="Palatino Linotype" w:hAnsi="Palatino Linotype" w:eastAsia="Palatino Linotype" w:cs="Times New Roman"/>
          <w:color w:val="000000" w:themeColor="text1"/>
        </w:rPr>
        <w:t xml:space="preserve"> </w:t>
      </w:r>
    </w:p>
    <w:p w:rsidRPr="00041AD5" w:rsidR="00D73497" w:rsidP="00BB33C1" w:rsidRDefault="00D73497" w14:paraId="01828A74" w14:textId="77777777">
      <w:pPr>
        <w:pStyle w:val="ListParagraph"/>
        <w:numPr>
          <w:ilvl w:val="0"/>
          <w:numId w:val="43"/>
        </w:numPr>
        <w:spacing w:line="276" w:lineRule="auto"/>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Commercial benefits which may result from Gas RD&amp;D investments.</w:t>
      </w:r>
      <w:r w:rsidRPr="00041AD5">
        <w:rPr>
          <w:rStyle w:val="FootnoteReference"/>
          <w:rFonts w:ascii="Palatino Linotype" w:hAnsi="Palatino Linotype" w:eastAsia="Palatino Linotype" w:cs="Times New Roman"/>
          <w:color w:val="000000" w:themeColor="text1"/>
        </w:rPr>
        <w:footnoteReference w:id="100"/>
      </w:r>
      <w:r w:rsidRPr="00041AD5">
        <w:rPr>
          <w:rFonts w:ascii="Palatino Linotype" w:hAnsi="Palatino Linotype" w:eastAsia="Palatino Linotype" w:cs="Times New Roman"/>
          <w:color w:val="000000" w:themeColor="text1"/>
        </w:rPr>
        <w:t xml:space="preserve"> </w:t>
      </w:r>
    </w:p>
    <w:p w:rsidRPr="00041AD5" w:rsidR="00D73497" w:rsidP="00BB33C1" w:rsidRDefault="00D73497" w14:paraId="0FF6936E" w14:textId="561A9C16">
      <w:pPr>
        <w:pStyle w:val="ListParagraph"/>
        <w:numPr>
          <w:ilvl w:val="0"/>
          <w:numId w:val="43"/>
        </w:numPr>
        <w:spacing w:line="276" w:lineRule="auto"/>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Interest on deposited amounts in balancing accounts held by utilities.</w:t>
      </w:r>
      <w:r w:rsidRPr="00041AD5">
        <w:rPr>
          <w:rStyle w:val="FootnoteReference"/>
          <w:rFonts w:ascii="Palatino Linotype" w:hAnsi="Palatino Linotype" w:eastAsia="Palatino Linotype" w:cs="Times New Roman"/>
          <w:color w:val="000000" w:themeColor="text1"/>
        </w:rPr>
        <w:footnoteReference w:id="101"/>
      </w:r>
    </w:p>
    <w:p w:rsidRPr="00041AD5" w:rsidR="00155E0F" w:rsidP="00B56B33" w:rsidRDefault="00795E6C" w14:paraId="27BED3C6" w14:textId="2F304624">
      <w:p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Palatino Linotype"/>
          <w:color w:val="000000" w:themeColor="text1"/>
        </w:rPr>
        <w:t xml:space="preserve">The CEC shall </w:t>
      </w:r>
      <w:r w:rsidRPr="00041AD5" w:rsidR="00422BB3">
        <w:rPr>
          <w:rFonts w:ascii="Palatino Linotype" w:hAnsi="Palatino Linotype" w:eastAsia="Palatino Linotype" w:cs="Palatino Linotype"/>
          <w:color w:val="000000" w:themeColor="text1"/>
        </w:rPr>
        <w:t xml:space="preserve">submit </w:t>
      </w:r>
      <w:r w:rsidRPr="00041AD5" w:rsidR="00422BB3">
        <w:rPr>
          <w:rFonts w:ascii="Palatino Linotype" w:hAnsi="Palatino Linotype" w:eastAsia="Palatino Linotype" w:cs="Times New Roman"/>
          <w:color w:val="000000" w:themeColor="text1"/>
        </w:rPr>
        <w:t>Tier 1 AL</w:t>
      </w:r>
      <w:r w:rsidRPr="00041AD5" w:rsidR="003B5AE3">
        <w:rPr>
          <w:rFonts w:ascii="Palatino Linotype" w:hAnsi="Palatino Linotype" w:eastAsia="Palatino Linotype" w:cs="Times New Roman"/>
          <w:color w:val="000000" w:themeColor="text1"/>
        </w:rPr>
        <w:t>s</w:t>
      </w:r>
      <w:r w:rsidRPr="00041AD5" w:rsidR="00422BB3">
        <w:rPr>
          <w:rFonts w:ascii="Palatino Linotype" w:hAnsi="Palatino Linotype" w:eastAsia="Palatino Linotype" w:cs="Times New Roman"/>
          <w:color w:val="000000" w:themeColor="text1"/>
        </w:rPr>
        <w:t xml:space="preserve"> by the start of each quarter</w:t>
      </w:r>
      <w:r w:rsidRPr="00041AD5" w:rsidR="00422BB3">
        <w:rPr>
          <w:rStyle w:val="FootnoteReference"/>
          <w:rFonts w:ascii="Palatino Linotype" w:hAnsi="Palatino Linotype" w:eastAsia="Palatino Linotype" w:cs="Times New Roman"/>
          <w:color w:val="000000" w:themeColor="text1"/>
        </w:rPr>
        <w:footnoteReference w:id="102"/>
      </w:r>
      <w:r w:rsidRPr="00041AD5" w:rsidR="00422BB3">
        <w:rPr>
          <w:rFonts w:ascii="Palatino Linotype" w:hAnsi="Palatino Linotype" w:eastAsia="Palatino Linotype" w:cs="Times New Roman"/>
          <w:color w:val="000000" w:themeColor="text1"/>
        </w:rPr>
        <w:t xml:space="preserve"> to </w:t>
      </w:r>
      <w:r w:rsidRPr="00041AD5" w:rsidR="004B49A7">
        <w:rPr>
          <w:rFonts w:ascii="Palatino Linotype" w:hAnsi="Palatino Linotype" w:eastAsia="Palatino Linotype" w:cs="Times New Roman"/>
          <w:color w:val="000000" w:themeColor="text1"/>
        </w:rPr>
        <w:t xml:space="preserve">Energy Division </w:t>
      </w:r>
      <w:r w:rsidRPr="00041AD5" w:rsidR="003B5AE3">
        <w:rPr>
          <w:rFonts w:ascii="Palatino Linotype" w:hAnsi="Palatino Linotype" w:eastAsia="Palatino Linotype" w:cs="Times New Roman"/>
          <w:color w:val="000000" w:themeColor="text1"/>
        </w:rPr>
        <w:t xml:space="preserve">that provide updated statuses on the above data as part of CEC’s </w:t>
      </w:r>
      <w:r w:rsidRPr="00041AD5" w:rsidR="004B6C13">
        <w:rPr>
          <w:rFonts w:ascii="Palatino Linotype" w:hAnsi="Palatino Linotype" w:eastAsia="Palatino Linotype" w:cs="Palatino Linotype"/>
          <w:color w:val="000000" w:themeColor="text1"/>
        </w:rPr>
        <w:t xml:space="preserve">ongoing accounting </w:t>
      </w:r>
      <w:r w:rsidRPr="00041AD5" w:rsidR="003B5AE3">
        <w:rPr>
          <w:rFonts w:ascii="Palatino Linotype" w:hAnsi="Palatino Linotype" w:eastAsia="Palatino Linotype" w:cs="Palatino Linotype"/>
          <w:color w:val="000000" w:themeColor="text1"/>
        </w:rPr>
        <w:t>practices.</w:t>
      </w:r>
    </w:p>
    <w:p w:rsidRPr="00041AD5" w:rsidR="00B56B33" w:rsidP="00B56B33" w:rsidRDefault="00B56B33" w14:paraId="082001F2" w14:textId="77777777">
      <w:pPr>
        <w:spacing w:after="0" w:line="276" w:lineRule="auto"/>
        <w:rPr>
          <w:rFonts w:ascii="Palatino Linotype" w:hAnsi="Palatino Linotype" w:eastAsia="Palatino Linotype" w:cs="Times New Roman"/>
          <w:color w:val="000000" w:themeColor="text1"/>
        </w:rPr>
      </w:pPr>
    </w:p>
    <w:p w:rsidRPr="00041AD5" w:rsidR="00122B8B" w:rsidP="00D86B74" w:rsidRDefault="00122B8B" w14:paraId="298447CE" w14:textId="2794A66A">
      <w:pPr>
        <w:keepNext/>
        <w:spacing w:after="240" w:line="276" w:lineRule="auto"/>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lastRenderedPageBreak/>
        <w:t>Annual Plan Implementation</w:t>
      </w:r>
      <w:r w:rsidRPr="00041AD5" w:rsidR="00155E0F">
        <w:rPr>
          <w:rFonts w:ascii="Palatino Linotype" w:hAnsi="Palatino Linotype" w:eastAsia="Palatino Linotype" w:cs="Times New Roman"/>
          <w:color w:val="000000" w:themeColor="text1"/>
          <w:u w:val="single"/>
        </w:rPr>
        <w:t xml:space="preserve"> &amp; Reporting</w:t>
      </w:r>
    </w:p>
    <w:p w:rsidRPr="00041AD5" w:rsidR="0067482A" w:rsidP="001A4CA6" w:rsidRDefault="004F0FAF" w14:paraId="76F4099E" w14:textId="1451A05C">
      <w:pPr>
        <w:keepNext/>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To</w:t>
      </w:r>
      <w:r w:rsidRPr="00041AD5" w:rsidR="003920C8">
        <w:rPr>
          <w:rFonts w:ascii="Palatino Linotype" w:hAnsi="Palatino Linotype" w:eastAsia="Palatino Linotype" w:cs="Times New Roman"/>
          <w:color w:val="000000" w:themeColor="text1"/>
        </w:rPr>
        <w:t xml:space="preserve"> support the Commission’s oversight requirements </w:t>
      </w:r>
      <w:r w:rsidRPr="00041AD5" w:rsidR="00FF011F">
        <w:rPr>
          <w:rFonts w:ascii="Palatino Linotype" w:hAnsi="Palatino Linotype" w:eastAsia="Palatino Linotype" w:cs="Times New Roman"/>
          <w:color w:val="000000" w:themeColor="text1"/>
        </w:rPr>
        <w:t xml:space="preserve">for the </w:t>
      </w:r>
      <w:r w:rsidRPr="00041AD5" w:rsidR="00101977">
        <w:rPr>
          <w:rFonts w:ascii="Palatino Linotype" w:hAnsi="Palatino Linotype" w:eastAsia="Palatino Linotype" w:cs="Times New Roman"/>
          <w:color w:val="000000" w:themeColor="text1"/>
        </w:rPr>
        <w:t xml:space="preserve">accountability </w:t>
      </w:r>
      <w:r w:rsidRPr="00041AD5" w:rsidR="003920C8">
        <w:rPr>
          <w:rFonts w:ascii="Palatino Linotype" w:hAnsi="Palatino Linotype" w:eastAsia="Palatino Linotype" w:cs="Times New Roman"/>
          <w:color w:val="000000" w:themeColor="text1"/>
        </w:rPr>
        <w:t>of ratepayer dollars</w:t>
      </w:r>
      <w:r w:rsidRPr="00041AD5" w:rsidR="00083E4D">
        <w:rPr>
          <w:rFonts w:ascii="Palatino Linotype" w:hAnsi="Palatino Linotype" w:eastAsia="Palatino Linotype" w:cs="Times New Roman"/>
          <w:color w:val="000000" w:themeColor="text1"/>
        </w:rPr>
        <w:t xml:space="preserve">, </w:t>
      </w:r>
      <w:r w:rsidRPr="00041AD5" w:rsidR="000416AC">
        <w:rPr>
          <w:rFonts w:ascii="Palatino Linotype" w:hAnsi="Palatino Linotype" w:eastAsia="Palatino Linotype" w:cs="Times New Roman"/>
          <w:color w:val="000000" w:themeColor="text1"/>
        </w:rPr>
        <w:t xml:space="preserve">the CEC shall </w:t>
      </w:r>
      <w:r w:rsidRPr="00041AD5" w:rsidR="007B71FD">
        <w:rPr>
          <w:rFonts w:ascii="Palatino Linotype" w:hAnsi="Palatino Linotype" w:eastAsia="Palatino Linotype" w:cs="Times New Roman"/>
          <w:color w:val="000000" w:themeColor="text1"/>
        </w:rPr>
        <w:t xml:space="preserve">provide </w:t>
      </w:r>
      <w:r w:rsidRPr="00041AD5" w:rsidR="00CC7E04">
        <w:rPr>
          <w:rFonts w:ascii="Palatino Linotype" w:hAnsi="Palatino Linotype" w:eastAsia="Palatino Linotype" w:cs="Times New Roman"/>
          <w:color w:val="000000" w:themeColor="text1"/>
        </w:rPr>
        <w:t>advance</w:t>
      </w:r>
      <w:r w:rsidRPr="00041AD5" w:rsidR="007B71FD">
        <w:rPr>
          <w:rFonts w:ascii="Palatino Linotype" w:hAnsi="Palatino Linotype" w:eastAsia="Palatino Linotype" w:cs="Times New Roman"/>
          <w:color w:val="000000" w:themeColor="text1"/>
        </w:rPr>
        <w:t xml:space="preserve"> </w:t>
      </w:r>
      <w:r w:rsidRPr="00041AD5" w:rsidR="003920C8">
        <w:rPr>
          <w:rFonts w:ascii="Palatino Linotype" w:hAnsi="Palatino Linotype" w:eastAsia="Palatino Linotype" w:cs="Times New Roman"/>
          <w:color w:val="000000" w:themeColor="text1"/>
        </w:rPr>
        <w:t xml:space="preserve">notice </w:t>
      </w:r>
      <w:r w:rsidRPr="00041AD5" w:rsidR="007B71FD">
        <w:rPr>
          <w:rFonts w:ascii="Palatino Linotype" w:hAnsi="Palatino Linotype" w:eastAsia="Palatino Linotype" w:cs="Times New Roman"/>
          <w:color w:val="000000" w:themeColor="text1"/>
        </w:rPr>
        <w:t>to</w:t>
      </w:r>
      <w:r w:rsidRPr="00041AD5" w:rsidR="003A466D">
        <w:rPr>
          <w:rFonts w:ascii="Palatino Linotype" w:hAnsi="Palatino Linotype" w:eastAsia="Palatino Linotype" w:cs="Times New Roman"/>
          <w:color w:val="000000" w:themeColor="text1"/>
        </w:rPr>
        <w:t xml:space="preserve"> the Commission </w:t>
      </w:r>
      <w:r w:rsidRPr="00041AD5" w:rsidR="007546AA">
        <w:rPr>
          <w:rFonts w:ascii="Palatino Linotype" w:hAnsi="Palatino Linotype" w:eastAsia="Palatino Linotype" w:cs="Times New Roman"/>
          <w:color w:val="000000" w:themeColor="text1"/>
        </w:rPr>
        <w:t xml:space="preserve">when seeking to </w:t>
      </w:r>
      <w:r w:rsidRPr="00041AD5" w:rsidR="000B6FC6">
        <w:rPr>
          <w:rFonts w:ascii="Palatino Linotype" w:hAnsi="Palatino Linotype" w:eastAsia="Palatino Linotype" w:cs="Times New Roman"/>
          <w:color w:val="000000" w:themeColor="text1"/>
        </w:rPr>
        <w:t>implement projects</w:t>
      </w:r>
      <w:r w:rsidRPr="00041AD5" w:rsidR="00795E6C">
        <w:rPr>
          <w:rFonts w:ascii="Palatino Linotype" w:hAnsi="Palatino Linotype" w:eastAsia="Palatino Linotype" w:cs="Times New Roman"/>
          <w:color w:val="000000" w:themeColor="text1"/>
        </w:rPr>
        <w:t xml:space="preserve"> </w:t>
      </w:r>
      <w:r w:rsidRPr="00041AD5" w:rsidR="00A36266">
        <w:rPr>
          <w:rFonts w:ascii="Palatino Linotype" w:hAnsi="Palatino Linotype" w:eastAsia="Palatino Linotype" w:cs="Times New Roman"/>
          <w:color w:val="000000" w:themeColor="text1"/>
        </w:rPr>
        <w:t xml:space="preserve">or </w:t>
      </w:r>
      <w:r w:rsidRPr="00041AD5" w:rsidR="002F7528">
        <w:rPr>
          <w:rFonts w:ascii="Palatino Linotype" w:hAnsi="Palatino Linotype" w:eastAsia="Palatino Linotype" w:cs="Times New Roman"/>
          <w:color w:val="000000" w:themeColor="text1"/>
        </w:rPr>
        <w:t xml:space="preserve">make any </w:t>
      </w:r>
      <w:r w:rsidRPr="00041AD5" w:rsidR="00A36266">
        <w:rPr>
          <w:rFonts w:ascii="Palatino Linotype" w:hAnsi="Palatino Linotype" w:eastAsia="Palatino Linotype" w:cs="Times New Roman"/>
          <w:color w:val="000000" w:themeColor="text1"/>
        </w:rPr>
        <w:t>modifications to Commission</w:t>
      </w:r>
      <w:r w:rsidRPr="00041AD5" w:rsidR="00C530A7">
        <w:rPr>
          <w:rFonts w:ascii="Palatino Linotype" w:hAnsi="Palatino Linotype" w:eastAsia="Palatino Linotype" w:cs="Times New Roman"/>
          <w:color w:val="000000" w:themeColor="text1"/>
        </w:rPr>
        <w:t>-</w:t>
      </w:r>
      <w:r w:rsidRPr="00041AD5" w:rsidR="00A36266">
        <w:rPr>
          <w:rFonts w:ascii="Palatino Linotype" w:hAnsi="Palatino Linotype" w:eastAsia="Palatino Linotype" w:cs="Times New Roman"/>
          <w:color w:val="000000" w:themeColor="text1"/>
        </w:rPr>
        <w:t>approv</w:t>
      </w:r>
      <w:r w:rsidRPr="00041AD5" w:rsidR="00CC7E04">
        <w:rPr>
          <w:rFonts w:ascii="Palatino Linotype" w:hAnsi="Palatino Linotype" w:eastAsia="Palatino Linotype" w:cs="Times New Roman"/>
          <w:color w:val="000000" w:themeColor="text1"/>
        </w:rPr>
        <w:t>ed Gas RD&amp;D Plans</w:t>
      </w:r>
      <w:r w:rsidRPr="00041AD5" w:rsidR="00A36266">
        <w:rPr>
          <w:rFonts w:ascii="Palatino Linotype" w:hAnsi="Palatino Linotype" w:eastAsia="Palatino Linotype" w:cs="Times New Roman"/>
          <w:color w:val="000000" w:themeColor="text1"/>
        </w:rPr>
        <w:t xml:space="preserve">. </w:t>
      </w:r>
      <w:r w:rsidRPr="00041AD5" w:rsidR="00800D34">
        <w:rPr>
          <w:rFonts w:ascii="Palatino Linotype" w:hAnsi="Palatino Linotype" w:eastAsia="Palatino Linotype" w:cs="Times New Roman"/>
          <w:color w:val="000000" w:themeColor="text1"/>
        </w:rPr>
        <w:t>This practice will promote accountability, transparency, coordination, and communication</w:t>
      </w:r>
      <w:r w:rsidRPr="00041AD5" w:rsidDel="00CC7E04" w:rsidR="005A4176">
        <w:rPr>
          <w:rFonts w:ascii="Palatino Linotype" w:hAnsi="Palatino Linotype" w:eastAsia="Palatino Linotype" w:cs="Times New Roman"/>
          <w:color w:val="000000" w:themeColor="text1"/>
        </w:rPr>
        <w:t xml:space="preserve"> </w:t>
      </w:r>
      <w:r w:rsidRPr="00041AD5" w:rsidR="00B9356C">
        <w:rPr>
          <w:rFonts w:ascii="Palatino Linotype" w:hAnsi="Palatino Linotype" w:eastAsia="Palatino Linotype" w:cs="Times New Roman"/>
          <w:color w:val="000000" w:themeColor="text1"/>
        </w:rPr>
        <w:t>in making investments on behalf of</w:t>
      </w:r>
      <w:r w:rsidRPr="00041AD5" w:rsidR="00827A46">
        <w:rPr>
          <w:rFonts w:ascii="Palatino Linotype" w:hAnsi="Palatino Linotype" w:eastAsia="Palatino Linotype" w:cs="Times New Roman"/>
          <w:color w:val="000000" w:themeColor="text1"/>
        </w:rPr>
        <w:t xml:space="preserve"> </w:t>
      </w:r>
      <w:r w:rsidRPr="00041AD5" w:rsidR="000B50D4">
        <w:rPr>
          <w:rFonts w:ascii="Palatino Linotype" w:hAnsi="Palatino Linotype" w:eastAsia="Palatino Linotype" w:cs="Times New Roman"/>
          <w:color w:val="000000" w:themeColor="text1"/>
        </w:rPr>
        <w:t>r</w:t>
      </w:r>
      <w:r w:rsidRPr="00041AD5" w:rsidR="008A1AD6">
        <w:rPr>
          <w:rFonts w:ascii="Palatino Linotype" w:hAnsi="Palatino Linotype" w:eastAsia="Palatino Linotype" w:cs="Times New Roman"/>
          <w:color w:val="000000" w:themeColor="text1"/>
        </w:rPr>
        <w:t>atepayer</w:t>
      </w:r>
      <w:r w:rsidRPr="00041AD5" w:rsidR="00B9356C">
        <w:rPr>
          <w:rFonts w:ascii="Palatino Linotype" w:hAnsi="Palatino Linotype" w:eastAsia="Palatino Linotype" w:cs="Times New Roman"/>
          <w:color w:val="000000" w:themeColor="text1"/>
        </w:rPr>
        <w:t>s.</w:t>
      </w:r>
      <w:r w:rsidRPr="00041AD5" w:rsidDel="00B9356C" w:rsidR="00BE76A6">
        <w:rPr>
          <w:rFonts w:ascii="Palatino Linotype" w:hAnsi="Palatino Linotype" w:eastAsia="Palatino Linotype" w:cs="Times New Roman"/>
          <w:color w:val="000000" w:themeColor="text1"/>
        </w:rPr>
        <w:t xml:space="preserve"> </w:t>
      </w:r>
      <w:r w:rsidRPr="00041AD5" w:rsidR="008A1172">
        <w:rPr>
          <w:rFonts w:ascii="Palatino Linotype" w:hAnsi="Palatino Linotype" w:eastAsia="Palatino Linotype" w:cs="Times New Roman"/>
          <w:color w:val="000000" w:themeColor="text1"/>
        </w:rPr>
        <w:t xml:space="preserve">At least 60 days in advance of </w:t>
      </w:r>
      <w:r w:rsidRPr="00041AD5" w:rsidR="00B9356C">
        <w:rPr>
          <w:rFonts w:ascii="Palatino Linotype" w:hAnsi="Palatino Linotype" w:eastAsia="Palatino Linotype" w:cs="Times New Roman"/>
          <w:color w:val="000000" w:themeColor="text1"/>
        </w:rPr>
        <w:t xml:space="preserve">undertaking any of the </w:t>
      </w:r>
      <w:r w:rsidRPr="00041AD5" w:rsidR="008A1172">
        <w:rPr>
          <w:rFonts w:ascii="Palatino Linotype" w:hAnsi="Palatino Linotype" w:eastAsia="Palatino Linotype" w:cs="Times New Roman"/>
          <w:color w:val="000000" w:themeColor="text1"/>
        </w:rPr>
        <w:t xml:space="preserve">following activities, </w:t>
      </w:r>
      <w:r w:rsidRPr="00041AD5" w:rsidR="00BE76A6">
        <w:rPr>
          <w:rFonts w:ascii="Palatino Linotype" w:hAnsi="Palatino Linotype" w:eastAsia="Palatino Linotype" w:cs="Times New Roman"/>
          <w:color w:val="000000" w:themeColor="text1"/>
        </w:rPr>
        <w:t xml:space="preserve">the CEC shall </w:t>
      </w:r>
      <w:r w:rsidRPr="00041AD5" w:rsidR="24A18207">
        <w:rPr>
          <w:rFonts w:ascii="Palatino Linotype" w:hAnsi="Palatino Linotype" w:eastAsia="Palatino Linotype" w:cs="Times New Roman"/>
          <w:color w:val="000000" w:themeColor="text1"/>
        </w:rPr>
        <w:t xml:space="preserve">consult </w:t>
      </w:r>
      <w:r w:rsidRPr="00041AD5" w:rsidR="00323F58">
        <w:rPr>
          <w:rFonts w:ascii="Palatino Linotype" w:hAnsi="Palatino Linotype" w:eastAsia="Palatino Linotype" w:cs="Times New Roman"/>
          <w:color w:val="000000" w:themeColor="text1"/>
        </w:rPr>
        <w:t>Energy Division</w:t>
      </w:r>
      <w:r w:rsidRPr="00041AD5" w:rsidR="0071742C">
        <w:rPr>
          <w:rFonts w:ascii="Palatino Linotype" w:hAnsi="Palatino Linotype" w:eastAsia="Palatino Linotype" w:cs="Times New Roman"/>
          <w:color w:val="000000" w:themeColor="text1"/>
        </w:rPr>
        <w:t xml:space="preserve"> </w:t>
      </w:r>
      <w:r w:rsidRPr="00041AD5" w:rsidR="00323F58">
        <w:rPr>
          <w:rFonts w:ascii="Palatino Linotype" w:hAnsi="Palatino Linotype" w:eastAsia="Palatino Linotype" w:cs="Times New Roman"/>
          <w:color w:val="000000" w:themeColor="text1"/>
        </w:rPr>
        <w:t xml:space="preserve">via </w:t>
      </w:r>
      <w:r w:rsidRPr="00041AD5" w:rsidR="00CC7E04">
        <w:rPr>
          <w:rFonts w:ascii="Palatino Linotype" w:hAnsi="Palatino Linotype" w:eastAsia="Palatino Linotype" w:cs="Times New Roman"/>
          <w:color w:val="000000" w:themeColor="text1"/>
        </w:rPr>
        <w:t xml:space="preserve">a </w:t>
      </w:r>
      <w:r w:rsidRPr="00041AD5" w:rsidR="00071963">
        <w:rPr>
          <w:rFonts w:ascii="Palatino Linotype" w:hAnsi="Palatino Linotype" w:eastAsia="Palatino Linotype" w:cs="Times New Roman"/>
          <w:color w:val="000000" w:themeColor="text1"/>
        </w:rPr>
        <w:t>Tier 1 AL</w:t>
      </w:r>
      <w:r w:rsidRPr="00041AD5" w:rsidR="00B9356C">
        <w:rPr>
          <w:rFonts w:ascii="Palatino Linotype" w:hAnsi="Palatino Linotype" w:eastAsia="Palatino Linotype" w:cs="Times New Roman"/>
          <w:color w:val="000000" w:themeColor="text1"/>
        </w:rPr>
        <w:t xml:space="preserve"> regarding</w:t>
      </w:r>
      <w:r w:rsidRPr="00041AD5" w:rsidR="0043164E">
        <w:rPr>
          <w:rFonts w:ascii="Palatino Linotype" w:hAnsi="Palatino Linotype" w:eastAsia="Palatino Linotype" w:cs="Times New Roman"/>
          <w:color w:val="000000" w:themeColor="text1"/>
        </w:rPr>
        <w:t xml:space="preserve">: </w:t>
      </w:r>
      <w:r w:rsidRPr="00041AD5" w:rsidR="00071963">
        <w:rPr>
          <w:rFonts w:ascii="Palatino Linotype" w:hAnsi="Palatino Linotype" w:eastAsia="Palatino Linotype" w:cs="Times New Roman"/>
          <w:color w:val="000000" w:themeColor="text1"/>
        </w:rPr>
        <w:t xml:space="preserve"> </w:t>
      </w:r>
    </w:p>
    <w:p w:rsidRPr="00041AD5" w:rsidR="00680248" w:rsidP="00BB33C1" w:rsidRDefault="00680248" w14:paraId="7B3782A0" w14:textId="11888374">
      <w:pPr>
        <w:pStyle w:val="ListParagraph"/>
        <w:keepNext/>
        <w:numPr>
          <w:ilvl w:val="0"/>
          <w:numId w:val="43"/>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S</w:t>
      </w:r>
      <w:r w:rsidRPr="00041AD5" w:rsidR="00757738">
        <w:rPr>
          <w:rFonts w:ascii="Palatino Linotype" w:hAnsi="Palatino Linotype" w:eastAsia="Palatino Linotype" w:cs="Times New Roman"/>
          <w:color w:val="000000" w:themeColor="text1"/>
        </w:rPr>
        <w:t>hift</w:t>
      </w:r>
      <w:r w:rsidRPr="00041AD5">
        <w:rPr>
          <w:rFonts w:ascii="Palatino Linotype" w:hAnsi="Palatino Linotype" w:eastAsia="Palatino Linotype" w:cs="Times New Roman"/>
          <w:color w:val="000000" w:themeColor="text1"/>
        </w:rPr>
        <w:t>ing</w:t>
      </w:r>
      <w:r w:rsidRPr="00041AD5" w:rsidR="00757738">
        <w:rPr>
          <w:rFonts w:ascii="Palatino Linotype" w:hAnsi="Palatino Linotype" w:eastAsia="Palatino Linotype" w:cs="Times New Roman"/>
          <w:color w:val="000000" w:themeColor="text1"/>
        </w:rPr>
        <w:t xml:space="preserve"> funds between Initiatives </w:t>
      </w:r>
      <w:r w:rsidRPr="00041AD5" w:rsidR="00071963">
        <w:rPr>
          <w:rFonts w:ascii="Palatino Linotype" w:hAnsi="Palatino Linotype" w:eastAsia="Palatino Linotype" w:cs="Times New Roman"/>
          <w:color w:val="000000" w:themeColor="text1"/>
        </w:rPr>
        <w:t>or</w:t>
      </w:r>
      <w:r w:rsidRPr="00041AD5" w:rsidR="00757738">
        <w:rPr>
          <w:rFonts w:ascii="Palatino Linotype" w:hAnsi="Palatino Linotype" w:eastAsia="Palatino Linotype" w:cs="Times New Roman"/>
          <w:color w:val="000000" w:themeColor="text1"/>
        </w:rPr>
        <w:t xml:space="preserve"> Plans</w:t>
      </w:r>
      <w:r w:rsidRPr="00041AD5" w:rsidR="00024CAC">
        <w:rPr>
          <w:rFonts w:ascii="Palatino Linotype" w:hAnsi="Palatino Linotype" w:eastAsia="Palatino Linotype" w:cs="Times New Roman"/>
          <w:color w:val="000000" w:themeColor="text1"/>
        </w:rPr>
        <w:t>.</w:t>
      </w:r>
      <w:r w:rsidRPr="00041AD5" w:rsidR="00537712">
        <w:rPr>
          <w:rStyle w:val="FootnoteReference"/>
          <w:rFonts w:ascii="Palatino Linotype" w:hAnsi="Palatino Linotype" w:eastAsia="Palatino Linotype" w:cs="Times New Roman"/>
          <w:color w:val="000000" w:themeColor="text1"/>
        </w:rPr>
        <w:footnoteReference w:id="103"/>
      </w:r>
      <w:r w:rsidRPr="00041AD5" w:rsidR="00537712">
        <w:rPr>
          <w:rFonts w:ascii="Palatino Linotype" w:hAnsi="Palatino Linotype" w:eastAsia="Palatino Linotype" w:cs="Times New Roman"/>
          <w:color w:val="000000" w:themeColor="text1"/>
        </w:rPr>
        <w:t xml:space="preserve"> </w:t>
      </w:r>
    </w:p>
    <w:p w:rsidRPr="00041AD5" w:rsidR="00071963" w:rsidP="00BB33C1" w:rsidRDefault="00680248" w14:paraId="47CC9492" w14:textId="28CCF7F9">
      <w:pPr>
        <w:pStyle w:val="ListParagraph"/>
        <w:keepNext/>
        <w:numPr>
          <w:ilvl w:val="0"/>
          <w:numId w:val="43"/>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M</w:t>
      </w:r>
      <w:r w:rsidRPr="00041AD5" w:rsidR="00071963">
        <w:rPr>
          <w:rFonts w:ascii="Palatino Linotype" w:hAnsi="Palatino Linotype" w:eastAsia="Palatino Linotype" w:cs="Times New Roman"/>
          <w:color w:val="000000" w:themeColor="text1"/>
        </w:rPr>
        <w:t>odify</w:t>
      </w:r>
      <w:r w:rsidRPr="00041AD5">
        <w:rPr>
          <w:rFonts w:ascii="Palatino Linotype" w:hAnsi="Palatino Linotype" w:eastAsia="Palatino Linotype" w:cs="Times New Roman"/>
          <w:color w:val="000000" w:themeColor="text1"/>
        </w:rPr>
        <w:t>ing</w:t>
      </w:r>
      <w:r w:rsidRPr="00041AD5" w:rsidR="00071963">
        <w:rPr>
          <w:rFonts w:ascii="Palatino Linotype" w:hAnsi="Palatino Linotype" w:eastAsia="Palatino Linotype" w:cs="Times New Roman"/>
          <w:color w:val="000000" w:themeColor="text1"/>
        </w:rPr>
        <w:t xml:space="preserve"> </w:t>
      </w:r>
      <w:r w:rsidRPr="00041AD5" w:rsidR="45516DE9">
        <w:rPr>
          <w:rFonts w:ascii="Palatino Linotype" w:hAnsi="Palatino Linotype" w:eastAsia="Palatino Linotype" w:cs="Times New Roman"/>
          <w:color w:val="000000" w:themeColor="text1"/>
        </w:rPr>
        <w:t>r</w:t>
      </w:r>
      <w:r w:rsidRPr="00041AD5" w:rsidR="00D037D4">
        <w:rPr>
          <w:rFonts w:ascii="Palatino Linotype" w:hAnsi="Palatino Linotype" w:eastAsia="Palatino Linotype" w:cs="Times New Roman"/>
          <w:color w:val="000000" w:themeColor="text1"/>
        </w:rPr>
        <w:t xml:space="preserve">esearch </w:t>
      </w:r>
      <w:r w:rsidRPr="00041AD5" w:rsidR="5C36CED1">
        <w:rPr>
          <w:rFonts w:ascii="Palatino Linotype" w:hAnsi="Palatino Linotype" w:eastAsia="Palatino Linotype" w:cs="Times New Roman"/>
          <w:color w:val="000000" w:themeColor="text1"/>
        </w:rPr>
        <w:t>t</w:t>
      </w:r>
      <w:r w:rsidRPr="00041AD5" w:rsidR="00D037D4">
        <w:rPr>
          <w:rFonts w:ascii="Palatino Linotype" w:hAnsi="Palatino Linotype" w:eastAsia="Palatino Linotype" w:cs="Times New Roman"/>
          <w:color w:val="000000" w:themeColor="text1"/>
        </w:rPr>
        <w:t>opics</w:t>
      </w:r>
      <w:r w:rsidRPr="00041AD5" w:rsidR="0071578B">
        <w:rPr>
          <w:rFonts w:ascii="Palatino Linotype" w:hAnsi="Palatino Linotype" w:eastAsia="Palatino Linotype" w:cs="Times New Roman"/>
          <w:color w:val="000000" w:themeColor="text1"/>
        </w:rPr>
        <w:t xml:space="preserve"> </w:t>
      </w:r>
      <w:r w:rsidRPr="00041AD5" w:rsidR="00024CAC">
        <w:rPr>
          <w:rFonts w:ascii="Palatino Linotype" w:hAnsi="Palatino Linotype" w:eastAsia="Palatino Linotype" w:cs="Times New Roman"/>
          <w:color w:val="000000" w:themeColor="text1"/>
        </w:rPr>
        <w:t>for Initiatives</w:t>
      </w:r>
      <w:r w:rsidRPr="00041AD5" w:rsidR="00780D7B">
        <w:rPr>
          <w:rFonts w:ascii="Palatino Linotype" w:hAnsi="Palatino Linotype" w:eastAsia="Palatino Linotype" w:cs="Times New Roman"/>
          <w:color w:val="000000" w:themeColor="text1"/>
        </w:rPr>
        <w:t xml:space="preserve">, </w:t>
      </w:r>
      <w:r w:rsidRPr="00041AD5" w:rsidR="00024CAC">
        <w:rPr>
          <w:rFonts w:ascii="Palatino Linotype" w:hAnsi="Palatino Linotype" w:eastAsia="Palatino Linotype" w:cs="Times New Roman"/>
          <w:color w:val="000000" w:themeColor="text1"/>
        </w:rPr>
        <w:t>requiring</w:t>
      </w:r>
      <w:r w:rsidRPr="00041AD5" w:rsidR="00780D7B">
        <w:rPr>
          <w:rFonts w:ascii="Palatino Linotype" w:hAnsi="Palatino Linotype" w:eastAsia="Palatino Linotype" w:cs="Times New Roman"/>
          <w:color w:val="000000" w:themeColor="text1"/>
        </w:rPr>
        <w:t xml:space="preserve"> justification for doing so.</w:t>
      </w:r>
    </w:p>
    <w:p w:rsidRPr="00041AD5" w:rsidR="006A0099" w:rsidP="00BB33C1" w:rsidRDefault="00CB42CF" w14:paraId="4D4CD638" w14:textId="31997D7D">
      <w:pPr>
        <w:pStyle w:val="ListParagraph"/>
        <w:keepNext/>
        <w:numPr>
          <w:ilvl w:val="0"/>
          <w:numId w:val="43"/>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Issuing </w:t>
      </w:r>
      <w:r w:rsidRPr="00041AD5" w:rsidR="005C5D65">
        <w:rPr>
          <w:rFonts w:ascii="Palatino Linotype" w:hAnsi="Palatino Linotype" w:eastAsia="Palatino Linotype" w:cs="Times New Roman"/>
          <w:color w:val="000000" w:themeColor="text1"/>
        </w:rPr>
        <w:t>Requests for Proposals (RFPs)</w:t>
      </w:r>
      <w:r w:rsidRPr="00041AD5" w:rsidR="000277E2">
        <w:rPr>
          <w:rFonts w:ascii="Palatino Linotype" w:hAnsi="Palatino Linotype" w:eastAsia="Palatino Linotype" w:cs="Times New Roman"/>
          <w:color w:val="000000" w:themeColor="text1"/>
        </w:rPr>
        <w:t>.</w:t>
      </w:r>
    </w:p>
    <w:p w:rsidRPr="00041AD5" w:rsidR="00FE701B" w:rsidP="1B3767A6" w:rsidRDefault="00FE701B" w14:paraId="2D5ABA29" w14:textId="120ACB6D">
      <w:pPr>
        <w:keepNext/>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This type of reporting </w:t>
      </w:r>
      <w:r w:rsidRPr="00041AD5" w:rsidR="000A5DDA">
        <w:rPr>
          <w:rFonts w:ascii="Palatino Linotype" w:hAnsi="Palatino Linotype" w:eastAsia="Palatino Linotype" w:cs="Times New Roman"/>
          <w:color w:val="000000" w:themeColor="text1"/>
        </w:rPr>
        <w:t xml:space="preserve">establishes </w:t>
      </w:r>
      <w:r w:rsidRPr="00041AD5" w:rsidR="009E643D">
        <w:rPr>
          <w:rFonts w:ascii="Palatino Linotype" w:hAnsi="Palatino Linotype" w:eastAsia="Palatino Linotype" w:cs="Times New Roman"/>
          <w:color w:val="000000" w:themeColor="text1"/>
        </w:rPr>
        <w:t xml:space="preserve">structure and </w:t>
      </w:r>
      <w:r w:rsidRPr="00041AD5" w:rsidR="003E36D0">
        <w:rPr>
          <w:rFonts w:ascii="Palatino Linotype" w:hAnsi="Palatino Linotype" w:eastAsia="Palatino Linotype" w:cs="Times New Roman"/>
          <w:color w:val="000000" w:themeColor="text1"/>
        </w:rPr>
        <w:t xml:space="preserve">common </w:t>
      </w:r>
      <w:r w:rsidRPr="00041AD5" w:rsidR="009E643D">
        <w:rPr>
          <w:rFonts w:ascii="Palatino Linotype" w:hAnsi="Palatino Linotype" w:eastAsia="Palatino Linotype" w:cs="Times New Roman"/>
          <w:color w:val="000000" w:themeColor="text1"/>
        </w:rPr>
        <w:t>expectation</w:t>
      </w:r>
      <w:r w:rsidRPr="00041AD5" w:rsidR="0030582A">
        <w:rPr>
          <w:rFonts w:ascii="Palatino Linotype" w:hAnsi="Palatino Linotype" w:eastAsia="Palatino Linotype" w:cs="Times New Roman"/>
          <w:color w:val="000000" w:themeColor="text1"/>
        </w:rPr>
        <w:t xml:space="preserve">s </w:t>
      </w:r>
      <w:r w:rsidRPr="00041AD5" w:rsidR="00A23144">
        <w:rPr>
          <w:rFonts w:ascii="Palatino Linotype" w:hAnsi="Palatino Linotype" w:eastAsia="Palatino Linotype" w:cs="Times New Roman"/>
          <w:color w:val="000000" w:themeColor="text1"/>
        </w:rPr>
        <w:t xml:space="preserve">as well as </w:t>
      </w:r>
      <w:r w:rsidRPr="00041AD5">
        <w:rPr>
          <w:rFonts w:ascii="Palatino Linotype" w:hAnsi="Palatino Linotype" w:eastAsia="Palatino Linotype" w:cs="Times New Roman"/>
          <w:color w:val="000000" w:themeColor="text1"/>
        </w:rPr>
        <w:t>help</w:t>
      </w:r>
      <w:r w:rsidRPr="00041AD5" w:rsidR="00A23144">
        <w:rPr>
          <w:rFonts w:ascii="Palatino Linotype" w:hAnsi="Palatino Linotype" w:eastAsia="Palatino Linotype" w:cs="Times New Roman"/>
          <w:color w:val="000000" w:themeColor="text1"/>
        </w:rPr>
        <w:t>s</w:t>
      </w:r>
      <w:r w:rsidRPr="00041AD5">
        <w:rPr>
          <w:rFonts w:ascii="Palatino Linotype" w:hAnsi="Palatino Linotype" w:eastAsia="Palatino Linotype" w:cs="Times New Roman"/>
          <w:color w:val="000000" w:themeColor="text1"/>
        </w:rPr>
        <w:t xml:space="preserve"> to ensure continued alignment with CPUC policies and proceedings</w:t>
      </w:r>
      <w:r w:rsidRPr="00041AD5" w:rsidR="004A1066">
        <w:rPr>
          <w:rFonts w:ascii="Palatino Linotype" w:hAnsi="Palatino Linotype" w:eastAsia="Palatino Linotype" w:cs="Times New Roman"/>
          <w:color w:val="000000" w:themeColor="text1"/>
        </w:rPr>
        <w:t>, where ratepayer impacts are specifically considered.</w:t>
      </w:r>
    </w:p>
    <w:p w:rsidRPr="00041AD5" w:rsidR="00FE701B" w:rsidP="1B3767A6" w:rsidRDefault="00FE701B" w14:paraId="7FE2EAF1" w14:textId="77777777">
      <w:pPr>
        <w:keepNext/>
        <w:spacing w:after="0" w:line="276" w:lineRule="auto"/>
        <w:rPr>
          <w:rFonts w:ascii="Palatino Linotype" w:hAnsi="Palatino Linotype" w:eastAsia="Palatino Linotype" w:cs="Times New Roman"/>
          <w:color w:val="000000" w:themeColor="text1"/>
        </w:rPr>
      </w:pPr>
    </w:p>
    <w:p w:rsidRPr="00041AD5" w:rsidR="006A0099" w:rsidP="3F8DE55E" w:rsidRDefault="7F7824EB" w14:paraId="581590B5" w14:textId="77777777">
      <w:pPr>
        <w:spacing w:after="240" w:line="276" w:lineRule="auto"/>
        <w:rPr>
          <w:rFonts w:ascii="Palatino Linotype" w:hAnsi="Palatino Linotype" w:eastAsia="Palatino Linotype" w:cs="Times New Roman"/>
          <w:i/>
          <w:iCs/>
          <w:color w:val="000000" w:themeColor="text1"/>
        </w:rPr>
      </w:pPr>
      <w:r w:rsidRPr="00041AD5">
        <w:rPr>
          <w:rFonts w:ascii="Palatino Linotype" w:hAnsi="Palatino Linotype" w:eastAsia="Palatino Linotype" w:cs="Times New Roman"/>
          <w:i/>
          <w:iCs/>
          <w:color w:val="000000" w:themeColor="text1"/>
        </w:rPr>
        <w:t>Annual Report</w:t>
      </w:r>
    </w:p>
    <w:p w:rsidRPr="00041AD5" w:rsidR="005259AF" w:rsidP="00970D2E" w:rsidRDefault="00DB285D" w14:paraId="0B8DEE00" w14:textId="234D4D81">
      <w:p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kern w:val="0"/>
          <w14:ligatures w14:val="none"/>
        </w:rPr>
        <w:t xml:space="preserve">This Resolution modifies the Annual Report deadline set in </w:t>
      </w:r>
      <w:r w:rsidRPr="00041AD5">
        <w:rPr>
          <w:rFonts w:ascii="Palatino Linotype" w:hAnsi="Palatino Linotype"/>
          <w:color w:val="000000" w:themeColor="text1"/>
        </w:rPr>
        <w:t xml:space="preserve">Resolution G-3394 (2006) </w:t>
      </w:r>
      <w:r w:rsidRPr="00041AD5">
        <w:rPr>
          <w:rFonts w:ascii="Palatino Linotype" w:hAnsi="Palatino Linotype" w:eastAsia="Palatino Linotype" w:cs="Times New Roman"/>
          <w:color w:val="000000" w:themeColor="text1"/>
          <w:kern w:val="0"/>
          <w14:ligatures w14:val="none"/>
        </w:rPr>
        <w:t xml:space="preserve">to promote </w:t>
      </w:r>
      <w:r w:rsidRPr="00041AD5" w:rsidR="00D86067">
        <w:rPr>
          <w:rFonts w:ascii="Palatino Linotype" w:hAnsi="Palatino Linotype" w:eastAsia="Palatino Linotype" w:cs="Times New Roman"/>
          <w:color w:val="000000" w:themeColor="text1"/>
          <w:kern w:val="0"/>
          <w14:ligatures w14:val="none"/>
        </w:rPr>
        <w:t>coordination</w:t>
      </w:r>
      <w:r w:rsidRPr="00041AD5" w:rsidR="00BB483B">
        <w:rPr>
          <w:rFonts w:ascii="Palatino Linotype" w:hAnsi="Palatino Linotype" w:eastAsia="Palatino Linotype" w:cs="Times New Roman"/>
          <w:color w:val="000000" w:themeColor="text1"/>
          <w:kern w:val="0"/>
          <w14:ligatures w14:val="none"/>
        </w:rPr>
        <w:t xml:space="preserve"> and</w:t>
      </w:r>
      <w:r w:rsidRPr="00041AD5" w:rsidR="00D86067">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transparency across </w:t>
      </w:r>
      <w:r w:rsidRPr="00041AD5" w:rsidR="00D86067">
        <w:rPr>
          <w:rFonts w:ascii="Palatino Linotype" w:hAnsi="Palatino Linotype" w:eastAsia="Palatino Linotype" w:cs="Times New Roman"/>
          <w:color w:val="000000" w:themeColor="text1"/>
          <w:kern w:val="0"/>
          <w14:ligatures w14:val="none"/>
        </w:rPr>
        <w:t xml:space="preserve">administrators </w:t>
      </w:r>
      <w:r w:rsidRPr="00041AD5" w:rsidR="00C94785">
        <w:rPr>
          <w:rFonts w:ascii="Palatino Linotype" w:hAnsi="Palatino Linotype" w:eastAsia="Palatino Linotype" w:cs="Times New Roman"/>
          <w:color w:val="000000" w:themeColor="text1"/>
          <w:kern w:val="0"/>
          <w14:ligatures w14:val="none"/>
        </w:rPr>
        <w:t>of</w:t>
      </w:r>
      <w:r w:rsidRPr="00041AD5" w:rsidR="009E641D">
        <w:rPr>
          <w:rFonts w:ascii="Palatino Linotype" w:hAnsi="Palatino Linotype" w:eastAsia="Palatino Linotype"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CPUC ratepayer-funded RD&amp;D programs</w:t>
      </w:r>
      <w:r w:rsidRPr="00041AD5" w:rsidR="00FF5193">
        <w:rPr>
          <w:rFonts w:ascii="Palatino Linotype" w:hAnsi="Palatino Linotype" w:eastAsia="Palatino Linotype" w:cs="Times New Roman"/>
          <w:color w:val="000000" w:themeColor="text1"/>
          <w:kern w:val="0"/>
          <w14:ligatures w14:val="none"/>
        </w:rPr>
        <w:t xml:space="preserve">. </w:t>
      </w:r>
      <w:r w:rsidRPr="00041AD5" w:rsidR="00104673">
        <w:rPr>
          <w:rFonts w:ascii="Palatino Linotype" w:hAnsi="Palatino Linotype" w:eastAsia="Palatino Linotype" w:cs="Times New Roman"/>
          <w:color w:val="000000" w:themeColor="text1"/>
          <w:kern w:val="0"/>
          <w14:ligatures w14:val="none"/>
        </w:rPr>
        <w:t xml:space="preserve">The </w:t>
      </w:r>
      <w:r w:rsidR="00282A35">
        <w:rPr>
          <w:rFonts w:ascii="Palatino Linotype" w:hAnsi="Palatino Linotype" w:eastAsia="Palatino Linotype" w:cs="Times New Roman"/>
          <w:color w:val="000000" w:themeColor="text1"/>
          <w:kern w:val="0"/>
          <w14:ligatures w14:val="none"/>
        </w:rPr>
        <w:t>IOUs’</w:t>
      </w:r>
      <w:r w:rsidRPr="00041AD5" w:rsidR="00104673">
        <w:rPr>
          <w:rFonts w:ascii="Palatino Linotype" w:hAnsi="Palatino Linotype" w:eastAsia="Palatino Linotype" w:cs="Times New Roman"/>
          <w:color w:val="000000" w:themeColor="text1"/>
          <w:kern w:val="0"/>
          <w14:ligatures w14:val="none"/>
        </w:rPr>
        <w:t xml:space="preserve"> Gas RD&amp;D programs and CPUC’s electric RD&amp;D program,</w:t>
      </w:r>
      <w:r w:rsidRPr="00041AD5" w:rsidR="00DB2535">
        <w:rPr>
          <w:rFonts w:ascii="Palatino Linotype" w:hAnsi="Palatino Linotype" w:eastAsia="Palatino Linotype" w:cs="Times New Roman"/>
          <w:color w:val="000000" w:themeColor="text1"/>
          <w:kern w:val="0"/>
          <w14:ligatures w14:val="none"/>
        </w:rPr>
        <w:t xml:space="preserve"> EPIC</w:t>
      </w:r>
      <w:r w:rsidRPr="00041AD5" w:rsidR="00104673">
        <w:rPr>
          <w:rFonts w:ascii="Palatino Linotype" w:hAnsi="Palatino Linotype" w:eastAsia="Palatino Linotype" w:cs="Times New Roman"/>
          <w:color w:val="000000" w:themeColor="text1"/>
          <w:kern w:val="0"/>
          <w14:ligatures w14:val="none"/>
        </w:rPr>
        <w:t xml:space="preserve">, summarize cohesive calendar year (CY) outcomes rather than fiscal year outcomes. </w:t>
      </w:r>
      <w:r w:rsidRPr="00041AD5">
        <w:rPr>
          <w:rFonts w:ascii="Palatino Linotype" w:hAnsi="Palatino Linotype" w:eastAsia="Palatino Linotype" w:cs="Times New Roman"/>
          <w:color w:val="000000" w:themeColor="text1"/>
          <w:kern w:val="0"/>
          <w14:ligatures w14:val="none"/>
        </w:rPr>
        <w:t>Annual Reports shall be due June 1 of each year</w:t>
      </w:r>
      <w:r w:rsidRPr="00041AD5">
        <w:rPr>
          <w:rFonts w:ascii="Palatino Linotype" w:hAnsi="Palatino Linotype" w:eastAsia="Palatino Linotype" w:cs="Times New Roman"/>
          <w:b/>
          <w:bCs/>
          <w:color w:val="000000" w:themeColor="text1"/>
          <w:kern w:val="0"/>
          <w14:ligatures w14:val="none"/>
        </w:rPr>
        <w:t>,</w:t>
      </w:r>
      <w:r w:rsidRPr="00041AD5">
        <w:rPr>
          <w:rStyle w:val="FootnoteReference"/>
          <w:rFonts w:ascii="Palatino Linotype" w:hAnsi="Palatino Linotype" w:eastAsia="Palatino Linotype" w:cs="Times New Roman"/>
          <w:b/>
          <w:bCs/>
          <w:color w:val="000000" w:themeColor="text1"/>
          <w:kern w:val="0"/>
          <w14:ligatures w14:val="none"/>
        </w:rPr>
        <w:footnoteReference w:id="104"/>
      </w:r>
      <w:r w:rsidRPr="00041AD5">
        <w:rPr>
          <w:rFonts w:ascii="Palatino Linotype" w:hAnsi="Palatino Linotype" w:eastAsia="Palatino Linotype" w:cs="Times New Roman"/>
          <w:color w:val="000000" w:themeColor="text1"/>
          <w:kern w:val="0"/>
          <w14:ligatures w14:val="none"/>
        </w:rPr>
        <w:t xml:space="preserve"> </w:t>
      </w:r>
      <w:r w:rsidRPr="00041AD5" w:rsidR="0097285A">
        <w:rPr>
          <w:rFonts w:ascii="Palatino Linotype" w:hAnsi="Palatino Linotype" w:eastAsia="Palatino Linotype" w:cs="Times New Roman"/>
          <w:color w:val="000000" w:themeColor="text1"/>
          <w:kern w:val="0"/>
          <w14:ligatures w14:val="none"/>
        </w:rPr>
        <w:t>covering</w:t>
      </w:r>
      <w:r w:rsidRPr="00041AD5">
        <w:rPr>
          <w:rFonts w:ascii="Palatino Linotype" w:hAnsi="Palatino Linotype" w:eastAsia="Palatino Linotype" w:cs="Times New Roman"/>
          <w:color w:val="000000" w:themeColor="text1"/>
          <w:kern w:val="0"/>
          <w14:ligatures w14:val="none"/>
        </w:rPr>
        <w:t xml:space="preserve"> the previous CY. To accommodate the transition from fiscal year (FY) to CY reporting, CEC’s </w:t>
      </w:r>
      <w:r w:rsidRPr="00041AD5" w:rsidR="00491E96">
        <w:rPr>
          <w:rFonts w:ascii="Palatino Linotype" w:hAnsi="Palatino Linotype" w:eastAsia="Palatino Linotype" w:cs="Times New Roman"/>
          <w:color w:val="000000" w:themeColor="text1"/>
          <w:kern w:val="0"/>
          <w14:ligatures w14:val="none"/>
        </w:rPr>
        <w:t>next</w:t>
      </w:r>
      <w:r w:rsidRPr="00041AD5">
        <w:rPr>
          <w:rFonts w:ascii="Palatino Linotype" w:hAnsi="Palatino Linotype" w:eastAsia="Palatino Linotype" w:cs="Times New Roman"/>
          <w:color w:val="000000" w:themeColor="text1"/>
          <w:kern w:val="0"/>
          <w14:ligatures w14:val="none"/>
        </w:rPr>
        <w:t xml:space="preserve"> Gas RD&amp;D Annual Report, currently due October 31, 2026, shall be due June 1, 2027, and </w:t>
      </w:r>
      <w:r w:rsidRPr="00041AD5" w:rsidR="00491E96">
        <w:rPr>
          <w:rFonts w:ascii="Palatino Linotype" w:hAnsi="Palatino Linotype" w:eastAsia="Palatino Linotype" w:cs="Times New Roman"/>
          <w:color w:val="000000" w:themeColor="text1"/>
          <w:kern w:val="0"/>
          <w14:ligatures w14:val="none"/>
        </w:rPr>
        <w:t>cover</w:t>
      </w:r>
      <w:r w:rsidRPr="00041AD5">
        <w:rPr>
          <w:rFonts w:ascii="Palatino Linotype" w:hAnsi="Palatino Linotype" w:eastAsia="Palatino Linotype" w:cs="Times New Roman"/>
          <w:color w:val="000000" w:themeColor="text1"/>
          <w:kern w:val="0"/>
          <w14:ligatures w14:val="none"/>
        </w:rPr>
        <w:t xml:space="preserve"> a one-and-a-half-year period: July 2025 through December 2026. </w:t>
      </w:r>
      <w:r w:rsidRPr="00041AD5" w:rsidR="7F7824EB">
        <w:rPr>
          <w:rFonts w:ascii="Palatino Linotype" w:hAnsi="Palatino Linotype" w:eastAsia="Palatino Linotype" w:cs="Times New Roman"/>
          <w:color w:val="000000" w:themeColor="text1"/>
        </w:rPr>
        <w:t xml:space="preserve">To ensure public transparency and </w:t>
      </w:r>
      <w:r w:rsidRPr="00041AD5" w:rsidR="00297368">
        <w:rPr>
          <w:rFonts w:ascii="Palatino Linotype" w:hAnsi="Palatino Linotype" w:eastAsia="Palatino Linotype" w:cs="Times New Roman"/>
          <w:color w:val="000000" w:themeColor="text1"/>
        </w:rPr>
        <w:t>inform</w:t>
      </w:r>
      <w:r w:rsidRPr="00041AD5" w:rsidR="00D206FB">
        <w:rPr>
          <w:rFonts w:ascii="Palatino Linotype" w:hAnsi="Palatino Linotype" w:eastAsia="Palatino Linotype" w:cs="Times New Roman"/>
          <w:color w:val="000000" w:themeColor="text1"/>
        </w:rPr>
        <w:t xml:space="preserve"> </w:t>
      </w:r>
      <w:r w:rsidRPr="00041AD5" w:rsidR="7F7824EB">
        <w:rPr>
          <w:rFonts w:ascii="Palatino Linotype" w:hAnsi="Palatino Linotype" w:eastAsia="Palatino Linotype" w:cs="Times New Roman"/>
          <w:color w:val="000000" w:themeColor="text1"/>
        </w:rPr>
        <w:t>CPUC oversight, the CEC shall</w:t>
      </w:r>
      <w:r w:rsidRPr="00041AD5" w:rsidR="00977374">
        <w:rPr>
          <w:rFonts w:ascii="Palatino Linotype" w:hAnsi="Palatino Linotype" w:eastAsia="Palatino Linotype" w:cs="Times New Roman"/>
          <w:color w:val="000000" w:themeColor="text1"/>
        </w:rPr>
        <w:t xml:space="preserve"> utiliz</w:t>
      </w:r>
      <w:r w:rsidRPr="00041AD5" w:rsidR="002A2FA3">
        <w:rPr>
          <w:rFonts w:ascii="Palatino Linotype" w:hAnsi="Palatino Linotype" w:eastAsia="Palatino Linotype" w:cs="Times New Roman"/>
          <w:color w:val="000000" w:themeColor="text1"/>
        </w:rPr>
        <w:t>e</w:t>
      </w:r>
      <w:r w:rsidRPr="00041AD5" w:rsidR="00977374">
        <w:rPr>
          <w:rFonts w:ascii="Palatino Linotype" w:hAnsi="Palatino Linotype" w:eastAsia="Palatino Linotype" w:cs="Times New Roman"/>
          <w:color w:val="000000" w:themeColor="text1"/>
        </w:rPr>
        <w:t xml:space="preserve"> </w:t>
      </w:r>
      <w:r w:rsidRPr="00041AD5" w:rsidR="00F81165">
        <w:rPr>
          <w:rFonts w:ascii="Palatino Linotype" w:hAnsi="Palatino Linotype" w:eastAsia="Palatino Linotype" w:cs="Times New Roman"/>
          <w:color w:val="000000" w:themeColor="text1"/>
        </w:rPr>
        <w:t>a standardized template</w:t>
      </w:r>
      <w:r w:rsidRPr="00041AD5" w:rsidR="003F2779">
        <w:rPr>
          <w:rFonts w:ascii="Palatino Linotype" w:hAnsi="Palatino Linotype" w:eastAsia="Palatino Linotype" w:cs="Times New Roman"/>
          <w:color w:val="000000" w:themeColor="text1"/>
        </w:rPr>
        <w:t xml:space="preserve"> provided by E</w:t>
      </w:r>
      <w:r w:rsidRPr="00041AD5" w:rsidR="00D4500E">
        <w:rPr>
          <w:rFonts w:ascii="Palatino Linotype" w:hAnsi="Palatino Linotype" w:eastAsia="Palatino Linotype" w:cs="Times New Roman"/>
          <w:color w:val="000000" w:themeColor="text1"/>
        </w:rPr>
        <w:t>nergy Division s</w:t>
      </w:r>
      <w:r w:rsidRPr="00041AD5" w:rsidR="003F2779">
        <w:rPr>
          <w:rFonts w:ascii="Palatino Linotype" w:hAnsi="Palatino Linotype" w:eastAsia="Palatino Linotype" w:cs="Times New Roman"/>
          <w:color w:val="000000" w:themeColor="text1"/>
        </w:rPr>
        <w:t>taff</w:t>
      </w:r>
      <w:r w:rsidRPr="00041AD5" w:rsidR="00C33482">
        <w:rPr>
          <w:rFonts w:ascii="Palatino Linotype" w:hAnsi="Palatino Linotype" w:eastAsia="Palatino Linotype" w:cs="Times New Roman"/>
          <w:color w:val="000000" w:themeColor="text1"/>
        </w:rPr>
        <w:t xml:space="preserve"> to</w:t>
      </w:r>
      <w:r w:rsidRPr="00041AD5" w:rsidR="00DF1559">
        <w:rPr>
          <w:rFonts w:ascii="Palatino Linotype" w:hAnsi="Palatino Linotype" w:eastAsia="Palatino Linotype" w:cs="Times New Roman"/>
          <w:color w:val="000000" w:themeColor="text1"/>
        </w:rPr>
        <w:t xml:space="preserve"> </w:t>
      </w:r>
      <w:r w:rsidRPr="00041AD5" w:rsidR="006750DA">
        <w:rPr>
          <w:rFonts w:ascii="Palatino Linotype" w:hAnsi="Palatino Linotype" w:eastAsia="Palatino Linotype" w:cs="Times New Roman"/>
          <w:color w:val="000000" w:themeColor="text1"/>
        </w:rPr>
        <w:t>include</w:t>
      </w:r>
      <w:r w:rsidRPr="00041AD5" w:rsidR="00B26539">
        <w:rPr>
          <w:rFonts w:ascii="Palatino Linotype" w:hAnsi="Palatino Linotype" w:eastAsia="Palatino Linotype" w:cs="Times New Roman"/>
          <w:color w:val="000000" w:themeColor="text1"/>
        </w:rPr>
        <w:t>:</w:t>
      </w:r>
      <w:r w:rsidRPr="00041AD5" w:rsidR="7F7824EB">
        <w:rPr>
          <w:rFonts w:ascii="Palatino Linotype" w:hAnsi="Palatino Linotype" w:eastAsia="Palatino Linotype" w:cs="Times New Roman"/>
          <w:color w:val="000000" w:themeColor="text1"/>
        </w:rPr>
        <w:t xml:space="preserve"> </w:t>
      </w:r>
    </w:p>
    <w:p w:rsidRPr="00041AD5" w:rsidR="00B26539" w:rsidP="00BB33C1" w:rsidRDefault="00DF1559" w14:paraId="7F8EC248" w14:textId="00335E9F">
      <w:pPr>
        <w:pStyle w:val="ListParagraph"/>
        <w:numPr>
          <w:ilvl w:val="0"/>
          <w:numId w:val="41"/>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lastRenderedPageBreak/>
        <w:t>C</w:t>
      </w:r>
      <w:r w:rsidRPr="00041AD5" w:rsidR="002060F4">
        <w:rPr>
          <w:rFonts w:ascii="Palatino Linotype" w:hAnsi="Palatino Linotype" w:eastAsia="Palatino Linotype" w:cs="Times New Roman"/>
          <w:color w:val="000000" w:themeColor="text1"/>
        </w:rPr>
        <w:t>onsolidated, comprehensive reporting by i</w:t>
      </w:r>
      <w:r w:rsidRPr="00041AD5" w:rsidR="15036C89">
        <w:rPr>
          <w:rFonts w:ascii="Palatino Linotype" w:hAnsi="Palatino Linotype" w:eastAsia="Palatino Linotype" w:cs="Times New Roman"/>
          <w:color w:val="000000" w:themeColor="text1"/>
        </w:rPr>
        <w:t>ncorporat</w:t>
      </w:r>
      <w:r w:rsidRPr="00041AD5" w:rsidR="002060F4">
        <w:rPr>
          <w:rFonts w:ascii="Palatino Linotype" w:hAnsi="Palatino Linotype" w:eastAsia="Palatino Linotype" w:cs="Times New Roman"/>
          <w:color w:val="000000" w:themeColor="text1"/>
        </w:rPr>
        <w:t>ing</w:t>
      </w:r>
      <w:r w:rsidRPr="00041AD5" w:rsidR="15036C89">
        <w:rPr>
          <w:rFonts w:ascii="Palatino Linotype" w:hAnsi="Palatino Linotype" w:eastAsia="Palatino Linotype" w:cs="Times New Roman"/>
          <w:color w:val="000000" w:themeColor="text1"/>
        </w:rPr>
        <w:t xml:space="preserve"> </w:t>
      </w:r>
      <w:r w:rsidRPr="00041AD5" w:rsidR="004715F5">
        <w:rPr>
          <w:rFonts w:ascii="Palatino Linotype" w:hAnsi="Palatino Linotype" w:eastAsia="Palatino Linotype" w:cs="Times New Roman"/>
          <w:color w:val="000000" w:themeColor="text1"/>
        </w:rPr>
        <w:t>the</w:t>
      </w:r>
      <w:r w:rsidRPr="00041AD5" w:rsidR="15036C89">
        <w:rPr>
          <w:rFonts w:ascii="Palatino Linotype" w:hAnsi="Palatino Linotype" w:eastAsia="Palatino Linotype" w:cs="Times New Roman"/>
          <w:color w:val="000000" w:themeColor="text1"/>
        </w:rPr>
        <w:t xml:space="preserve"> </w:t>
      </w:r>
      <w:r w:rsidRPr="00041AD5" w:rsidR="004715F5">
        <w:rPr>
          <w:rFonts w:ascii="Palatino Linotype" w:hAnsi="Palatino Linotype" w:eastAsia="Palatino Linotype" w:cs="Times New Roman"/>
          <w:color w:val="000000" w:themeColor="text1"/>
        </w:rPr>
        <w:t xml:space="preserve">approved </w:t>
      </w:r>
      <w:r w:rsidRPr="00041AD5" w:rsidR="00E4518E">
        <w:rPr>
          <w:rFonts w:ascii="Palatino Linotype" w:hAnsi="Palatino Linotype" w:eastAsia="Palatino Linotype" w:cs="Times New Roman"/>
          <w:color w:val="000000" w:themeColor="text1"/>
        </w:rPr>
        <w:t>fund</w:t>
      </w:r>
      <w:r w:rsidRPr="00041AD5" w:rsidR="004715F5">
        <w:rPr>
          <w:rFonts w:ascii="Palatino Linotype" w:hAnsi="Palatino Linotype" w:eastAsia="Palatino Linotype" w:cs="Times New Roman"/>
          <w:color w:val="000000" w:themeColor="text1"/>
        </w:rPr>
        <w:t>ing</w:t>
      </w:r>
      <w:r w:rsidRPr="00041AD5" w:rsidR="00E4518E">
        <w:rPr>
          <w:rFonts w:ascii="Palatino Linotype" w:hAnsi="Palatino Linotype" w:eastAsia="Palatino Linotype" w:cs="Times New Roman"/>
          <w:color w:val="000000" w:themeColor="text1"/>
        </w:rPr>
        <w:t xml:space="preserve"> balance</w:t>
      </w:r>
      <w:r w:rsidRPr="00041AD5" w:rsidR="15036C89">
        <w:rPr>
          <w:rFonts w:ascii="Palatino Linotype" w:hAnsi="Palatino Linotype" w:eastAsia="Palatino Linotype" w:cs="Times New Roman"/>
          <w:color w:val="000000" w:themeColor="text1"/>
        </w:rPr>
        <w:t xml:space="preserve"> reporting required in Annual Plans</w:t>
      </w:r>
      <w:r w:rsidRPr="00041AD5" w:rsidR="00DC0CF2">
        <w:rPr>
          <w:rFonts w:ascii="Palatino Linotype" w:hAnsi="Palatino Linotype" w:eastAsia="Palatino Linotype" w:cs="Times New Roman"/>
          <w:color w:val="000000" w:themeColor="text1"/>
        </w:rPr>
        <w:t xml:space="preserve"> as described above</w:t>
      </w:r>
      <w:r w:rsidRPr="00041AD5" w:rsidR="7F7824EB">
        <w:rPr>
          <w:rFonts w:ascii="Palatino Linotype" w:hAnsi="Palatino Linotype" w:eastAsia="Palatino Linotype" w:cs="Times New Roman"/>
          <w:color w:val="000000" w:themeColor="text1"/>
        </w:rPr>
        <w:t>.</w:t>
      </w:r>
    </w:p>
    <w:p w:rsidRPr="00041AD5" w:rsidR="0077506D" w:rsidP="00BB33C1" w:rsidRDefault="0077506D" w14:paraId="6F512F99" w14:textId="77777777">
      <w:pPr>
        <w:pStyle w:val="ListParagraph"/>
        <w:numPr>
          <w:ilvl w:val="0"/>
          <w:numId w:val="41"/>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Synthesized major accomplishments and contributions to Gas RD&amp;D. </w:t>
      </w:r>
    </w:p>
    <w:p w:rsidRPr="00041AD5" w:rsidR="004717CF" w:rsidP="00BB33C1" w:rsidRDefault="00DF1559" w14:paraId="2B45696F" w14:textId="7C97F3AF">
      <w:pPr>
        <w:pStyle w:val="ListParagraph"/>
        <w:numPr>
          <w:ilvl w:val="0"/>
          <w:numId w:val="41"/>
        </w:num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Palatino Linotype"/>
          <w:color w:val="000000" w:themeColor="text1"/>
        </w:rPr>
        <w:t>D</w:t>
      </w:r>
      <w:r w:rsidRPr="00041AD5" w:rsidR="004717CF">
        <w:rPr>
          <w:rFonts w:ascii="Palatino Linotype" w:hAnsi="Palatino Linotype" w:eastAsia="Palatino Linotype" w:cs="Palatino Linotype"/>
          <w:color w:val="000000" w:themeColor="text1"/>
        </w:rPr>
        <w:t>etailed</w:t>
      </w:r>
      <w:r w:rsidRPr="00041AD5">
        <w:rPr>
          <w:rFonts w:ascii="Palatino Linotype" w:hAnsi="Palatino Linotype" w:eastAsia="Palatino Linotype" w:cs="Palatino Linotype"/>
          <w:color w:val="000000" w:themeColor="text1"/>
        </w:rPr>
        <w:t xml:space="preserve"> information</w:t>
      </w:r>
      <w:r w:rsidRPr="00041AD5" w:rsidR="004717CF">
        <w:rPr>
          <w:rFonts w:ascii="Palatino Linotype" w:hAnsi="Palatino Linotype" w:eastAsia="Palatino Linotype" w:cs="Palatino Linotype"/>
          <w:color w:val="000000" w:themeColor="text1"/>
        </w:rPr>
        <w:t xml:space="preserve"> on </w:t>
      </w:r>
      <w:r w:rsidRPr="00041AD5" w:rsidR="004717CF">
        <w:rPr>
          <w:rFonts w:ascii="Palatino Linotype" w:hAnsi="Palatino Linotype" w:eastAsia="Palatino Linotype" w:cs="Times New Roman"/>
          <w:color w:val="000000" w:themeColor="text1"/>
        </w:rPr>
        <w:t>all active and recently completed projects</w:t>
      </w:r>
      <w:r w:rsidRPr="00041AD5" w:rsidR="0077506D">
        <w:rPr>
          <w:rFonts w:ascii="Palatino Linotype" w:hAnsi="Palatino Linotype" w:eastAsia="Palatino Linotype" w:cs="Times New Roman"/>
          <w:color w:val="000000" w:themeColor="text1"/>
        </w:rPr>
        <w:t xml:space="preserve"> and realized ratepayer benefits</w:t>
      </w:r>
      <w:r w:rsidRPr="00041AD5" w:rsidR="004717CF">
        <w:rPr>
          <w:rFonts w:ascii="Palatino Linotype" w:hAnsi="Palatino Linotype" w:eastAsia="Palatino Linotype" w:cs="Times New Roman"/>
          <w:color w:val="000000" w:themeColor="text1"/>
        </w:rPr>
        <w:t>,</w:t>
      </w:r>
      <w:r w:rsidRPr="00041AD5" w:rsidR="004717CF">
        <w:rPr>
          <w:rStyle w:val="FootnoteReference"/>
          <w:rFonts w:ascii="Palatino Linotype" w:hAnsi="Palatino Linotype" w:eastAsia="Palatino Linotype" w:cs="Times New Roman"/>
          <w:color w:val="000000" w:themeColor="text1"/>
        </w:rPr>
        <w:footnoteReference w:id="105"/>
      </w:r>
      <w:r w:rsidRPr="00041AD5" w:rsidR="004717CF">
        <w:rPr>
          <w:rFonts w:ascii="Palatino Linotype" w:hAnsi="Palatino Linotype" w:eastAsia="Palatino Linotype" w:cs="Times New Roman"/>
          <w:color w:val="000000" w:themeColor="text1"/>
        </w:rPr>
        <w:t xml:space="preserve"> clearly identifying the associated approved Plans and specific Initiatives.</w:t>
      </w:r>
    </w:p>
    <w:p w:rsidRPr="00041AD5" w:rsidR="006A0099" w:rsidP="1B3767A6" w:rsidRDefault="006A0099" w14:paraId="0650F781" w14:textId="6EA088F3">
      <w:pPr>
        <w:spacing w:after="0" w:line="276" w:lineRule="auto"/>
        <w:rPr>
          <w:rFonts w:ascii="Palatino Linotype" w:hAnsi="Palatino Linotype" w:eastAsia="Century Gothic" w:cs="Century Gothic"/>
          <w:color w:val="000000" w:themeColor="text1"/>
        </w:rPr>
      </w:pPr>
    </w:p>
    <w:p w:rsidRPr="00041AD5" w:rsidR="00AC4E41" w:rsidP="005D772D" w:rsidRDefault="00F6105E" w14:paraId="42B533A0" w14:textId="5A28C31F">
      <w:pPr>
        <w:spacing w:line="276" w:lineRule="auto"/>
        <w:rPr>
          <w:rFonts w:ascii="Palatino Linotype" w:hAnsi="Palatino Linotype" w:eastAsia="Century Gothic" w:cs="Century Gothic"/>
          <w:i/>
          <w:iCs/>
          <w:color w:val="000000" w:themeColor="text1"/>
        </w:rPr>
      </w:pPr>
      <w:r w:rsidRPr="00041AD5">
        <w:rPr>
          <w:rFonts w:ascii="Palatino Linotype" w:hAnsi="Palatino Linotype" w:eastAsia="Century Gothic" w:cs="Century Gothic"/>
          <w:i/>
          <w:iCs/>
          <w:color w:val="000000" w:themeColor="text1"/>
        </w:rPr>
        <w:t>Funding</w:t>
      </w:r>
      <w:r w:rsidRPr="00041AD5" w:rsidR="005D772D">
        <w:rPr>
          <w:rFonts w:ascii="Palatino Linotype" w:hAnsi="Palatino Linotype" w:eastAsia="Century Gothic" w:cs="Century Gothic"/>
          <w:i/>
          <w:iCs/>
          <w:color w:val="000000" w:themeColor="text1"/>
        </w:rPr>
        <w:t xml:space="preserve"> Requirements</w:t>
      </w:r>
    </w:p>
    <w:p w:rsidRPr="00041AD5" w:rsidR="00350FC6" w:rsidP="00ED1362" w:rsidRDefault="00CB5637" w14:paraId="255DC01E" w14:textId="313DCA1D">
      <w:pPr>
        <w:spacing w:after="0" w:line="276" w:lineRule="auto"/>
        <w:rPr>
          <w:rFonts w:ascii="Palatino Linotype" w:hAnsi="Palatino Linotype" w:eastAsia="Palatino Linotype" w:cs="Palatino Linotype"/>
          <w:color w:val="000000" w:themeColor="text1"/>
        </w:rPr>
      </w:pPr>
      <w:r w:rsidRPr="00041AD5">
        <w:rPr>
          <w:rFonts w:ascii="Palatino Linotype" w:hAnsi="Palatino Linotype" w:eastAsia="Palatino Linotype" w:cs="Times New Roman"/>
          <w:color w:val="000000" w:themeColor="text1"/>
        </w:rPr>
        <w:t>The CEC has two years to encumber</w:t>
      </w:r>
      <w:r w:rsidRPr="00041AD5" w:rsidR="006D1B98">
        <w:rPr>
          <w:rStyle w:val="FootnoteReference"/>
          <w:rFonts w:ascii="Palatino Linotype" w:hAnsi="Palatino Linotype" w:eastAsia="Palatino Linotype" w:cs="Palatino Linotype"/>
          <w:color w:val="000000" w:themeColor="text1"/>
        </w:rPr>
        <w:footnoteReference w:id="106"/>
      </w:r>
      <w:r w:rsidRPr="00041AD5" w:rsidR="006D1B98">
        <w:rPr>
          <w:rFonts w:ascii="Palatino Linotype" w:hAnsi="Palatino Linotype" w:eastAsia="Palatino Linotype" w:cs="Palatino Linotype"/>
          <w:color w:val="000000" w:themeColor="text1"/>
        </w:rPr>
        <w:t xml:space="preserve"> </w:t>
      </w:r>
      <w:r w:rsidRPr="00041AD5" w:rsidR="001961B3">
        <w:rPr>
          <w:rFonts w:ascii="Palatino Linotype" w:hAnsi="Palatino Linotype" w:eastAsia="Palatino Linotype" w:cs="Palatino Linotype"/>
          <w:color w:val="000000" w:themeColor="text1"/>
        </w:rPr>
        <w:t xml:space="preserve">project </w:t>
      </w:r>
      <w:r w:rsidRPr="00041AD5">
        <w:rPr>
          <w:rFonts w:ascii="Palatino Linotype" w:hAnsi="Palatino Linotype" w:eastAsia="Palatino Linotype" w:cs="Times New Roman"/>
          <w:color w:val="000000" w:themeColor="text1"/>
        </w:rPr>
        <w:t xml:space="preserve">funds from </w:t>
      </w:r>
      <w:r w:rsidRPr="00041AD5" w:rsidR="00E53268">
        <w:rPr>
          <w:rFonts w:ascii="Palatino Linotype" w:hAnsi="Palatino Linotype" w:eastAsia="Palatino Linotype" w:cs="Times New Roman"/>
          <w:color w:val="000000" w:themeColor="text1"/>
        </w:rPr>
        <w:t xml:space="preserve">Commission </w:t>
      </w:r>
      <w:r w:rsidRPr="00041AD5">
        <w:rPr>
          <w:rFonts w:ascii="Palatino Linotype" w:hAnsi="Palatino Linotype" w:eastAsia="Palatino Linotype" w:cs="Times New Roman"/>
          <w:color w:val="000000" w:themeColor="text1"/>
        </w:rPr>
        <w:t>authorization and up to an additional four years to spen</w:t>
      </w:r>
      <w:r w:rsidRPr="00041AD5" w:rsidR="006D1B98">
        <w:rPr>
          <w:rFonts w:ascii="Palatino Linotype" w:hAnsi="Palatino Linotype" w:eastAsia="Palatino Linotype" w:cs="Times New Roman"/>
          <w:color w:val="000000" w:themeColor="text1"/>
        </w:rPr>
        <w:t>d</w:t>
      </w:r>
      <w:r w:rsidRPr="00041AD5" w:rsidR="006D1B98">
        <w:rPr>
          <w:rStyle w:val="FootnoteReference"/>
          <w:rFonts w:ascii="Palatino Linotype" w:hAnsi="Palatino Linotype" w:eastAsia="Palatino Linotype" w:cs="Palatino Linotype"/>
          <w:color w:val="000000" w:themeColor="text1"/>
        </w:rPr>
        <w:footnoteReference w:id="107"/>
      </w:r>
      <w:r w:rsidRPr="00041AD5" w:rsidR="006D1B98">
        <w:rPr>
          <w:rFonts w:ascii="Palatino Linotype" w:hAnsi="Palatino Linotype" w:eastAsia="Palatino Linotype" w:cs="Palatino Linotype"/>
          <w:color w:val="000000" w:themeColor="text1"/>
        </w:rPr>
        <w:t xml:space="preserve"> </w:t>
      </w:r>
      <w:r w:rsidRPr="00041AD5" w:rsidR="00E53268">
        <w:rPr>
          <w:rFonts w:ascii="Palatino Linotype" w:hAnsi="Palatino Linotype" w:eastAsia="Palatino Linotype" w:cs="Palatino Linotype"/>
          <w:color w:val="000000" w:themeColor="text1"/>
        </w:rPr>
        <w:t xml:space="preserve">the </w:t>
      </w:r>
      <w:r w:rsidRPr="00041AD5">
        <w:rPr>
          <w:rFonts w:ascii="Palatino Linotype" w:hAnsi="Palatino Linotype" w:eastAsia="Palatino Linotype" w:cs="Times New Roman"/>
          <w:color w:val="000000" w:themeColor="text1"/>
        </w:rPr>
        <w:t xml:space="preserve">encumbered </w:t>
      </w:r>
      <w:r w:rsidRPr="00041AD5" w:rsidR="001961B3">
        <w:rPr>
          <w:rFonts w:ascii="Palatino Linotype" w:hAnsi="Palatino Linotype" w:eastAsia="Palatino Linotype" w:cs="Times New Roman"/>
          <w:color w:val="000000" w:themeColor="text1"/>
        </w:rPr>
        <w:t xml:space="preserve">project </w:t>
      </w:r>
      <w:r w:rsidRPr="00041AD5">
        <w:rPr>
          <w:rFonts w:ascii="Palatino Linotype" w:hAnsi="Palatino Linotype" w:eastAsia="Palatino Linotype" w:cs="Times New Roman"/>
          <w:color w:val="000000" w:themeColor="text1"/>
        </w:rPr>
        <w:t xml:space="preserve">funds. </w:t>
      </w:r>
      <w:r w:rsidRPr="00041AD5" w:rsidR="00435C78">
        <w:rPr>
          <w:rFonts w:ascii="Palatino Linotype" w:hAnsi="Palatino Linotype" w:eastAsia="Palatino Linotype" w:cs="Times New Roman"/>
          <w:color w:val="000000" w:themeColor="text1"/>
        </w:rPr>
        <w:t>Remaining</w:t>
      </w:r>
      <w:r w:rsidRPr="00041AD5" w:rsidR="00045CC9">
        <w:rPr>
          <w:rFonts w:ascii="Palatino Linotype" w:hAnsi="Palatino Linotype" w:eastAsia="Palatino Linotype" w:cs="Times New Roman"/>
          <w:color w:val="000000" w:themeColor="text1"/>
        </w:rPr>
        <w:t xml:space="preserve"> project</w:t>
      </w:r>
      <w:r w:rsidRPr="00041AD5" w:rsidR="00435C78">
        <w:rPr>
          <w:rFonts w:ascii="Palatino Linotype" w:hAnsi="Palatino Linotype" w:eastAsia="Palatino Linotype" w:cs="Times New Roman"/>
          <w:color w:val="000000" w:themeColor="text1"/>
        </w:rPr>
        <w:t xml:space="preserve"> f</w:t>
      </w:r>
      <w:r w:rsidRPr="00041AD5" w:rsidR="00C218C7">
        <w:rPr>
          <w:rFonts w:ascii="Palatino Linotype" w:hAnsi="Palatino Linotype" w:eastAsia="Palatino Linotype" w:cs="Times New Roman"/>
          <w:color w:val="000000" w:themeColor="text1"/>
        </w:rPr>
        <w:t>unds not encumbered or spent within these timeframes</w:t>
      </w:r>
      <w:r w:rsidRPr="00041AD5" w:rsidR="00045CC9">
        <w:rPr>
          <w:rFonts w:ascii="Palatino Linotype" w:hAnsi="Palatino Linotype" w:eastAsia="Palatino Linotype" w:cs="Times New Roman"/>
          <w:color w:val="000000" w:themeColor="text1"/>
        </w:rPr>
        <w:t>,</w:t>
      </w:r>
      <w:r w:rsidRPr="00041AD5" w:rsidR="006D1B98">
        <w:rPr>
          <w:rFonts w:ascii="Palatino Linotype" w:hAnsi="Palatino Linotype" w:eastAsia="Palatino Linotype" w:cs="Times New Roman"/>
          <w:color w:val="000000" w:themeColor="text1"/>
        </w:rPr>
        <w:t xml:space="preserve"> </w:t>
      </w:r>
      <w:r w:rsidRPr="00041AD5" w:rsidR="00C218C7">
        <w:rPr>
          <w:rFonts w:ascii="Palatino Linotype" w:hAnsi="Palatino Linotype" w:eastAsia="Palatino Linotype" w:cs="Times New Roman"/>
          <w:color w:val="000000" w:themeColor="text1"/>
        </w:rPr>
        <w:t>disencumbered</w:t>
      </w:r>
      <w:r w:rsidRPr="00041AD5" w:rsidR="00045CC9">
        <w:rPr>
          <w:rFonts w:ascii="Palatino Linotype" w:hAnsi="Palatino Linotype" w:eastAsia="Palatino Linotype" w:cs="Times New Roman"/>
          <w:color w:val="000000" w:themeColor="text1"/>
        </w:rPr>
        <w:t>,</w:t>
      </w:r>
      <w:r w:rsidRPr="00041AD5" w:rsidR="006D1B98">
        <w:rPr>
          <w:rStyle w:val="FootnoteReference"/>
          <w:rFonts w:ascii="Palatino Linotype" w:hAnsi="Palatino Linotype" w:eastAsia="Palatino Linotype" w:cs="Times New Roman"/>
          <w:color w:val="000000" w:themeColor="text1"/>
        </w:rPr>
        <w:footnoteReference w:id="108"/>
      </w:r>
      <w:r w:rsidRPr="00041AD5" w:rsidR="009A2B80">
        <w:rPr>
          <w:rFonts w:ascii="Palatino Linotype" w:hAnsi="Palatino Linotype" w:eastAsia="Palatino Linotype" w:cs="Times New Roman"/>
          <w:color w:val="000000" w:themeColor="text1"/>
        </w:rPr>
        <w:t xml:space="preserve"> </w:t>
      </w:r>
      <w:r w:rsidRPr="00041AD5" w:rsidR="00435C78">
        <w:rPr>
          <w:rFonts w:ascii="Palatino Linotype" w:hAnsi="Palatino Linotype" w:eastAsia="Palatino Linotype" w:cs="Times New Roman"/>
          <w:color w:val="000000" w:themeColor="text1"/>
        </w:rPr>
        <w:t xml:space="preserve">or </w:t>
      </w:r>
      <w:r w:rsidRPr="00041AD5" w:rsidR="009A2B80">
        <w:rPr>
          <w:rFonts w:ascii="Palatino Linotype" w:hAnsi="Palatino Linotype" w:eastAsia="Palatino Linotype" w:cs="Times New Roman"/>
          <w:color w:val="000000" w:themeColor="text1"/>
        </w:rPr>
        <w:t>otherwise unspent</w:t>
      </w:r>
      <w:r w:rsidRPr="00041AD5" w:rsidR="009A2B80">
        <w:rPr>
          <w:rStyle w:val="FootnoteReference"/>
          <w:rFonts w:ascii="Palatino Linotype" w:hAnsi="Palatino Linotype" w:eastAsia="Palatino Linotype" w:cs="Times New Roman"/>
          <w:color w:val="000000" w:themeColor="text1"/>
        </w:rPr>
        <w:footnoteReference w:id="109"/>
      </w:r>
      <w:r w:rsidRPr="00041AD5" w:rsidR="009A2B80">
        <w:rPr>
          <w:rFonts w:ascii="Palatino Linotype" w:hAnsi="Palatino Linotype" w:eastAsia="Palatino Linotype" w:cs="Times New Roman"/>
          <w:color w:val="000000" w:themeColor="text1"/>
        </w:rPr>
        <w:t xml:space="preserve"> six years after authorization </w:t>
      </w:r>
      <w:r w:rsidRPr="00041AD5" w:rsidR="006D1B98">
        <w:rPr>
          <w:rFonts w:ascii="Palatino Linotype" w:hAnsi="Palatino Linotype" w:eastAsia="Palatino Linotype" w:cs="Palatino Linotype"/>
          <w:color w:val="000000" w:themeColor="text1"/>
        </w:rPr>
        <w:t>may no longer be utilized for previously approved purposes</w:t>
      </w:r>
      <w:r w:rsidRPr="00041AD5" w:rsidR="00391661">
        <w:rPr>
          <w:rFonts w:ascii="Palatino Linotype" w:hAnsi="Palatino Linotype" w:eastAsia="Palatino Linotype" w:cs="Palatino Linotype"/>
          <w:color w:val="000000" w:themeColor="text1"/>
        </w:rPr>
        <w:t>.</w:t>
      </w:r>
      <w:r w:rsidRPr="00041AD5" w:rsidR="00297590">
        <w:rPr>
          <w:rStyle w:val="FootnoteReference"/>
          <w:rFonts w:ascii="Palatino Linotype" w:hAnsi="Palatino Linotype" w:eastAsia="Palatino Linotype" w:cs="Times New Roman"/>
          <w:color w:val="000000" w:themeColor="text1"/>
        </w:rPr>
        <w:footnoteReference w:id="110"/>
      </w:r>
      <w:r w:rsidRPr="00041AD5" w:rsidR="00AE4F13">
        <w:rPr>
          <w:rFonts w:ascii="Palatino Linotype" w:hAnsi="Palatino Linotype" w:eastAsia="Palatino Linotype" w:cs="Palatino Linotype"/>
          <w:color w:val="000000" w:themeColor="text1"/>
        </w:rPr>
        <w:t xml:space="preserve"> </w:t>
      </w:r>
      <w:r w:rsidRPr="00041AD5" w:rsidR="00171607">
        <w:rPr>
          <w:rFonts w:ascii="Palatino Linotype" w:hAnsi="Palatino Linotype" w:eastAsia="Palatino Linotype" w:cs="Palatino Linotype"/>
          <w:color w:val="000000" w:themeColor="text1"/>
        </w:rPr>
        <w:t xml:space="preserve">If </w:t>
      </w:r>
      <w:r w:rsidRPr="00041AD5" w:rsidR="00E965CA">
        <w:rPr>
          <w:rFonts w:ascii="Palatino Linotype" w:hAnsi="Palatino Linotype" w:eastAsia="Palatino Linotype" w:cs="Palatino Linotype"/>
          <w:color w:val="000000" w:themeColor="text1"/>
        </w:rPr>
        <w:t xml:space="preserve">funds </w:t>
      </w:r>
      <w:r w:rsidRPr="00041AD5" w:rsidR="00066395">
        <w:rPr>
          <w:rFonts w:ascii="Palatino Linotype" w:hAnsi="Palatino Linotype" w:eastAsia="Palatino Linotype" w:cs="Palatino Linotype"/>
          <w:color w:val="000000" w:themeColor="text1"/>
        </w:rPr>
        <w:t xml:space="preserve">for Initiatives </w:t>
      </w:r>
      <w:r w:rsidRPr="00041AD5" w:rsidR="00E965CA">
        <w:rPr>
          <w:rFonts w:ascii="Palatino Linotype" w:hAnsi="Palatino Linotype" w:eastAsia="Palatino Linotype" w:cs="Palatino Linotype"/>
          <w:color w:val="000000" w:themeColor="text1"/>
        </w:rPr>
        <w:t xml:space="preserve">from an approved Gas RD&amp;D Plan </w:t>
      </w:r>
      <w:r w:rsidRPr="00041AD5" w:rsidR="0006021D">
        <w:rPr>
          <w:rFonts w:ascii="Palatino Linotype" w:hAnsi="Palatino Linotype" w:eastAsia="Palatino Linotype" w:cs="Palatino Linotype"/>
          <w:color w:val="000000" w:themeColor="text1"/>
        </w:rPr>
        <w:t>remain unspent after the encumbrance and spending windows close</w:t>
      </w:r>
      <w:r w:rsidRPr="00041AD5" w:rsidR="00E965CA">
        <w:rPr>
          <w:rFonts w:ascii="Palatino Linotype" w:hAnsi="Palatino Linotype" w:eastAsia="Palatino Linotype" w:cs="Palatino Linotype"/>
          <w:color w:val="000000" w:themeColor="text1"/>
        </w:rPr>
        <w:t xml:space="preserve">, the CEC </w:t>
      </w:r>
      <w:r w:rsidRPr="00041AD5" w:rsidR="00C57A38">
        <w:rPr>
          <w:rFonts w:ascii="Palatino Linotype" w:hAnsi="Palatino Linotype" w:eastAsia="Palatino Linotype" w:cs="Palatino Linotype"/>
          <w:color w:val="000000" w:themeColor="text1"/>
        </w:rPr>
        <w:t xml:space="preserve">shall retain </w:t>
      </w:r>
      <w:r w:rsidRPr="00041AD5" w:rsidR="00B002A7">
        <w:rPr>
          <w:rFonts w:ascii="Palatino Linotype" w:hAnsi="Palatino Linotype" w:eastAsia="Palatino Linotype" w:cs="Palatino Linotype"/>
          <w:color w:val="000000" w:themeColor="text1"/>
        </w:rPr>
        <w:t xml:space="preserve">and utilize </w:t>
      </w:r>
      <w:r w:rsidRPr="00041AD5" w:rsidR="00E965CA">
        <w:rPr>
          <w:rFonts w:ascii="Palatino Linotype" w:hAnsi="Palatino Linotype" w:eastAsia="Palatino Linotype" w:cs="Palatino Linotype"/>
          <w:color w:val="000000" w:themeColor="text1"/>
        </w:rPr>
        <w:t xml:space="preserve">a commensurate portion of </w:t>
      </w:r>
      <w:r w:rsidRPr="00041AD5" w:rsidR="00C57A38">
        <w:rPr>
          <w:rFonts w:ascii="Palatino Linotype" w:hAnsi="Palatino Linotype" w:eastAsia="Palatino Linotype" w:cs="Palatino Linotype"/>
          <w:color w:val="000000" w:themeColor="text1"/>
        </w:rPr>
        <w:t>Program Administrative fund</w:t>
      </w:r>
      <w:r w:rsidRPr="00041AD5" w:rsidR="00DB1B11">
        <w:rPr>
          <w:rFonts w:ascii="Palatino Linotype" w:hAnsi="Palatino Linotype" w:eastAsia="Palatino Linotype" w:cs="Palatino Linotype"/>
          <w:color w:val="000000" w:themeColor="text1"/>
        </w:rPr>
        <w:t>s</w:t>
      </w:r>
      <w:r w:rsidRPr="00041AD5" w:rsidR="00E965CA">
        <w:rPr>
          <w:rFonts w:ascii="Palatino Linotype" w:hAnsi="Palatino Linotype" w:eastAsia="Palatino Linotype" w:cs="Palatino Linotype"/>
          <w:color w:val="000000" w:themeColor="text1"/>
        </w:rPr>
        <w:t xml:space="preserve"> </w:t>
      </w:r>
      <w:r w:rsidRPr="00041AD5" w:rsidR="00460415">
        <w:rPr>
          <w:rFonts w:ascii="Palatino Linotype" w:hAnsi="Palatino Linotype" w:eastAsia="Palatino Linotype" w:cs="Palatino Linotype"/>
          <w:color w:val="000000" w:themeColor="text1"/>
        </w:rPr>
        <w:t xml:space="preserve">to </w:t>
      </w:r>
      <w:r w:rsidRPr="00041AD5" w:rsidR="00D354B9">
        <w:rPr>
          <w:rFonts w:ascii="Palatino Linotype" w:hAnsi="Palatino Linotype" w:eastAsia="Palatino Linotype" w:cs="Palatino Linotype"/>
          <w:color w:val="000000" w:themeColor="text1"/>
        </w:rPr>
        <w:t xml:space="preserve">administer these funds </w:t>
      </w:r>
      <w:r w:rsidRPr="00041AD5" w:rsidR="003B491A">
        <w:rPr>
          <w:rFonts w:ascii="Palatino Linotype" w:hAnsi="Palatino Linotype" w:eastAsia="Palatino Linotype" w:cs="Palatino Linotype"/>
          <w:color w:val="000000" w:themeColor="text1"/>
        </w:rPr>
        <w:t>upon Commission re-authorization in a subsequent Gas RD&amp;D Plan</w:t>
      </w:r>
      <w:r w:rsidRPr="00041AD5" w:rsidR="003723D4">
        <w:rPr>
          <w:rFonts w:ascii="Palatino Linotype" w:hAnsi="Palatino Linotype" w:eastAsia="Palatino Linotype" w:cs="Palatino Linotype"/>
          <w:color w:val="000000" w:themeColor="text1"/>
        </w:rPr>
        <w:t xml:space="preserve">. </w:t>
      </w:r>
      <w:r w:rsidRPr="00041AD5" w:rsidR="002B1EDE">
        <w:rPr>
          <w:rFonts w:ascii="Palatino Linotype" w:hAnsi="Palatino Linotype" w:eastAsia="Palatino Linotype" w:cs="Palatino Linotype"/>
          <w:color w:val="000000" w:themeColor="text1"/>
        </w:rPr>
        <w:t>Energy Division staff must assess</w:t>
      </w:r>
      <w:r w:rsidRPr="00041AD5" w:rsidR="00CB0AA6">
        <w:rPr>
          <w:rFonts w:ascii="Palatino Linotype" w:hAnsi="Palatino Linotype" w:eastAsia="Palatino Linotype" w:cs="Palatino Linotype"/>
          <w:color w:val="000000" w:themeColor="text1"/>
        </w:rPr>
        <w:t xml:space="preserve"> </w:t>
      </w:r>
      <w:r w:rsidRPr="00041AD5" w:rsidR="00BC0E2F">
        <w:rPr>
          <w:rFonts w:ascii="Palatino Linotype" w:hAnsi="Palatino Linotype" w:eastAsia="Palatino Linotype" w:cs="Palatino Linotype"/>
          <w:color w:val="000000" w:themeColor="text1"/>
        </w:rPr>
        <w:t xml:space="preserve">the </w:t>
      </w:r>
      <w:r w:rsidRPr="00041AD5" w:rsidR="00A47FB1">
        <w:rPr>
          <w:rFonts w:ascii="Palatino Linotype" w:hAnsi="Palatino Linotype" w:eastAsia="Palatino Linotype" w:cs="Palatino Linotype"/>
          <w:color w:val="000000" w:themeColor="text1"/>
        </w:rPr>
        <w:t xml:space="preserve">balances of </w:t>
      </w:r>
      <w:r w:rsidRPr="00041AD5" w:rsidR="00180B5F">
        <w:rPr>
          <w:rFonts w:ascii="Palatino Linotype" w:hAnsi="Palatino Linotype" w:eastAsia="Palatino Linotype" w:cs="Palatino Linotype"/>
          <w:color w:val="000000" w:themeColor="text1"/>
        </w:rPr>
        <w:t xml:space="preserve">these </w:t>
      </w:r>
      <w:r w:rsidRPr="00041AD5" w:rsidR="00A47FB1">
        <w:rPr>
          <w:rFonts w:ascii="Palatino Linotype" w:hAnsi="Palatino Linotype" w:eastAsia="Palatino Linotype" w:cs="Palatino Linotype"/>
          <w:color w:val="000000" w:themeColor="text1"/>
        </w:rPr>
        <w:t>appl</w:t>
      </w:r>
      <w:r w:rsidRPr="00041AD5" w:rsidR="006D702E">
        <w:rPr>
          <w:rFonts w:ascii="Palatino Linotype" w:hAnsi="Palatino Linotype" w:eastAsia="Palatino Linotype" w:cs="Palatino Linotype"/>
          <w:color w:val="000000" w:themeColor="text1"/>
        </w:rPr>
        <w:t>i</w:t>
      </w:r>
      <w:r w:rsidRPr="00041AD5" w:rsidR="00A47FB1">
        <w:rPr>
          <w:rFonts w:ascii="Palatino Linotype" w:hAnsi="Palatino Linotype" w:eastAsia="Palatino Linotype" w:cs="Palatino Linotype"/>
          <w:color w:val="000000" w:themeColor="text1"/>
        </w:rPr>
        <w:t>cable</w:t>
      </w:r>
      <w:r w:rsidRPr="00041AD5" w:rsidR="00572E1B">
        <w:rPr>
          <w:rFonts w:ascii="Palatino Linotype" w:hAnsi="Palatino Linotype" w:eastAsia="Palatino Linotype" w:cs="Palatino Linotype"/>
          <w:color w:val="000000" w:themeColor="text1"/>
        </w:rPr>
        <w:t xml:space="preserve"> unspent funds</w:t>
      </w:r>
      <w:r w:rsidRPr="00041AD5" w:rsidR="00D948EC">
        <w:rPr>
          <w:rFonts w:ascii="Palatino Linotype" w:hAnsi="Palatino Linotype" w:eastAsia="Palatino Linotype" w:cs="Palatino Linotype"/>
          <w:color w:val="000000" w:themeColor="text1"/>
        </w:rPr>
        <w:t>,</w:t>
      </w:r>
      <w:r w:rsidRPr="00041AD5" w:rsidR="00572E1B">
        <w:rPr>
          <w:rFonts w:ascii="Palatino Linotype" w:hAnsi="Palatino Linotype" w:eastAsia="Palatino Linotype" w:cs="Palatino Linotype"/>
          <w:color w:val="000000" w:themeColor="text1"/>
        </w:rPr>
        <w:t xml:space="preserve"> as defined </w:t>
      </w:r>
      <w:r w:rsidRPr="00041AD5" w:rsidR="001C5433">
        <w:rPr>
          <w:rFonts w:ascii="Palatino Linotype" w:hAnsi="Palatino Linotype" w:eastAsia="Palatino Linotype" w:cs="Palatino Linotype"/>
          <w:color w:val="000000" w:themeColor="text1"/>
        </w:rPr>
        <w:t>by the encumbrance and spending windows</w:t>
      </w:r>
      <w:r w:rsidRPr="00041AD5" w:rsidR="00D948EC">
        <w:rPr>
          <w:rFonts w:ascii="Palatino Linotype" w:hAnsi="Palatino Linotype" w:eastAsia="Palatino Linotype" w:cs="Palatino Linotype"/>
          <w:color w:val="000000" w:themeColor="text1"/>
        </w:rPr>
        <w:t>,</w:t>
      </w:r>
      <w:r w:rsidRPr="00041AD5" w:rsidR="007C1ADB">
        <w:rPr>
          <w:rFonts w:ascii="Palatino Linotype" w:hAnsi="Palatino Linotype" w:eastAsia="Palatino Linotype" w:cs="Palatino Linotype"/>
          <w:color w:val="000000" w:themeColor="text1"/>
        </w:rPr>
        <w:t xml:space="preserve"> </w:t>
      </w:r>
      <w:r w:rsidRPr="00041AD5" w:rsidR="00D948EC">
        <w:rPr>
          <w:rFonts w:ascii="Palatino Linotype" w:hAnsi="Palatino Linotype" w:eastAsia="Palatino Linotype" w:cs="Palatino Linotype"/>
          <w:color w:val="000000" w:themeColor="text1"/>
        </w:rPr>
        <w:t>including associated funds for Program Administration,</w:t>
      </w:r>
      <w:r w:rsidRPr="00041AD5" w:rsidR="007C1ADB">
        <w:rPr>
          <w:rFonts w:ascii="Palatino Linotype" w:hAnsi="Palatino Linotype" w:eastAsia="Palatino Linotype" w:cs="Palatino Linotype"/>
          <w:color w:val="000000" w:themeColor="text1"/>
        </w:rPr>
        <w:t xml:space="preserve"> to be utilized </w:t>
      </w:r>
      <w:r w:rsidRPr="00041AD5" w:rsidR="00830F11">
        <w:rPr>
          <w:rFonts w:ascii="Palatino Linotype" w:hAnsi="Palatino Linotype" w:eastAsia="Palatino Linotype" w:cs="Palatino Linotype"/>
          <w:color w:val="000000" w:themeColor="text1"/>
        </w:rPr>
        <w:t>first in funding new Gas RD&amp;D Plans, prior to new and/or additional ratepayer funds.</w:t>
      </w:r>
      <w:r w:rsidRPr="00041AD5" w:rsidR="002C31A7">
        <w:rPr>
          <w:rStyle w:val="FootnoteReference"/>
          <w:rFonts w:ascii="Palatino Linotype" w:hAnsi="Palatino Linotype"/>
          <w:bCs/>
          <w:color w:val="000000" w:themeColor="text1"/>
        </w:rPr>
        <w:footnoteReference w:id="111"/>
      </w:r>
      <w:r w:rsidRPr="00041AD5" w:rsidR="00966BF2">
        <w:rPr>
          <w:rFonts w:ascii="Palatino Linotype" w:hAnsi="Palatino Linotype" w:eastAsia="Palatino Linotype" w:cs="Palatino Linotype"/>
          <w:color w:val="000000" w:themeColor="text1"/>
        </w:rPr>
        <w:t xml:space="preserve"> </w:t>
      </w:r>
      <w:r w:rsidRPr="00041AD5" w:rsidR="006B73D8">
        <w:rPr>
          <w:rFonts w:ascii="Palatino Linotype" w:hAnsi="Palatino Linotype" w:eastAsia="Palatino Linotype" w:cs="Palatino Linotype"/>
          <w:color w:val="000000" w:themeColor="text1"/>
        </w:rPr>
        <w:t xml:space="preserve">This includes </w:t>
      </w:r>
      <w:r w:rsidRPr="00041AD5" w:rsidR="000B7E4C">
        <w:rPr>
          <w:rFonts w:ascii="Palatino Linotype" w:hAnsi="Palatino Linotype" w:eastAsia="Palatino Linotype" w:cs="Palatino Linotype"/>
          <w:color w:val="000000" w:themeColor="text1"/>
        </w:rPr>
        <w:t xml:space="preserve">demonstrating </w:t>
      </w:r>
      <w:r w:rsidRPr="00041AD5" w:rsidR="00D0593B">
        <w:rPr>
          <w:rFonts w:ascii="Palatino Linotype" w:hAnsi="Palatino Linotype" w:eastAsia="Palatino Linotype" w:cs="Palatino Linotype"/>
          <w:color w:val="000000" w:themeColor="text1"/>
        </w:rPr>
        <w:t xml:space="preserve">Program </w:t>
      </w:r>
      <w:r w:rsidRPr="00041AD5" w:rsidR="00D0593B">
        <w:rPr>
          <w:rFonts w:ascii="Palatino Linotype" w:hAnsi="Palatino Linotype" w:eastAsia="Palatino Linotype" w:cs="Palatino Linotype"/>
          <w:color w:val="000000" w:themeColor="text1"/>
        </w:rPr>
        <w:lastRenderedPageBreak/>
        <w:t>Administration funds remain within the 10% budget cap</w:t>
      </w:r>
      <w:r w:rsidRPr="00041AD5" w:rsidR="00AC728D">
        <w:rPr>
          <w:rStyle w:val="FootnoteReference"/>
          <w:rFonts w:ascii="Palatino Linotype" w:hAnsi="Palatino Linotype" w:eastAsia="Palatino Linotype" w:cs="Palatino Linotype"/>
          <w:color w:val="000000" w:themeColor="text1"/>
        </w:rPr>
        <w:footnoteReference w:id="112"/>
      </w:r>
      <w:r w:rsidRPr="00041AD5" w:rsidR="00D0593B">
        <w:rPr>
          <w:rFonts w:ascii="Palatino Linotype" w:hAnsi="Palatino Linotype" w:eastAsia="Palatino Linotype" w:cs="Palatino Linotype"/>
          <w:color w:val="000000" w:themeColor="text1"/>
        </w:rPr>
        <w:t xml:space="preserve"> for all approved Gas RD&amp;D funding. </w:t>
      </w:r>
      <w:r w:rsidRPr="00041AD5" w:rsidR="00052934">
        <w:rPr>
          <w:rFonts w:ascii="Palatino Linotype" w:hAnsi="Palatino Linotype" w:eastAsia="Palatino Linotype" w:cs="Palatino Linotype"/>
          <w:color w:val="000000" w:themeColor="text1"/>
        </w:rPr>
        <w:t xml:space="preserve">As described above, the CEC shall </w:t>
      </w:r>
      <w:r w:rsidRPr="00041AD5" w:rsidR="00CC0B15">
        <w:rPr>
          <w:rFonts w:ascii="Palatino Linotype" w:hAnsi="Palatino Linotype" w:eastAsia="Palatino Linotype" w:cs="Times New Roman"/>
          <w:color w:val="000000" w:themeColor="text1"/>
        </w:rPr>
        <w:t xml:space="preserve">support </w:t>
      </w:r>
      <w:r w:rsidRPr="00041AD5" w:rsidR="00BB4C4A">
        <w:rPr>
          <w:rFonts w:ascii="Palatino Linotype" w:hAnsi="Palatino Linotype" w:eastAsia="Palatino Linotype" w:cs="Times New Roman"/>
          <w:color w:val="000000" w:themeColor="text1"/>
        </w:rPr>
        <w:t>S</w:t>
      </w:r>
      <w:r w:rsidRPr="00041AD5" w:rsidR="00350FC6">
        <w:rPr>
          <w:rFonts w:ascii="Palatino Linotype" w:hAnsi="Palatino Linotype" w:eastAsia="Palatino Linotype" w:cs="Times New Roman"/>
          <w:color w:val="000000" w:themeColor="text1"/>
        </w:rPr>
        <w:t>taff’s</w:t>
      </w:r>
      <w:r w:rsidRPr="00041AD5" w:rsidR="00CC0B15">
        <w:rPr>
          <w:rFonts w:ascii="Palatino Linotype" w:hAnsi="Palatino Linotype" w:eastAsia="Palatino Linotype" w:cs="Times New Roman"/>
          <w:color w:val="000000" w:themeColor="text1"/>
        </w:rPr>
        <w:t xml:space="preserve"> </w:t>
      </w:r>
      <w:r w:rsidRPr="00041AD5" w:rsidR="00350FC6">
        <w:rPr>
          <w:rFonts w:ascii="Palatino Linotype" w:hAnsi="Palatino Linotype" w:eastAsia="Palatino Linotype" w:cs="Times New Roman"/>
          <w:color w:val="000000" w:themeColor="text1"/>
        </w:rPr>
        <w:t>oversight requirements by</w:t>
      </w:r>
      <w:r w:rsidRPr="00041AD5" w:rsidR="00CC0B15">
        <w:rPr>
          <w:rFonts w:ascii="Palatino Linotype" w:hAnsi="Palatino Linotype" w:eastAsia="Palatino Linotype" w:cs="Times New Roman"/>
          <w:color w:val="000000" w:themeColor="text1"/>
        </w:rPr>
        <w:t xml:space="preserve"> </w:t>
      </w:r>
      <w:r w:rsidRPr="00041AD5" w:rsidR="00C275E5">
        <w:rPr>
          <w:rFonts w:ascii="Palatino Linotype" w:hAnsi="Palatino Linotype" w:eastAsia="Palatino Linotype" w:cs="Times New Roman"/>
          <w:color w:val="000000" w:themeColor="text1"/>
        </w:rPr>
        <w:t>ensur</w:t>
      </w:r>
      <w:r w:rsidRPr="00041AD5" w:rsidR="00CC0B15">
        <w:rPr>
          <w:rFonts w:ascii="Palatino Linotype" w:hAnsi="Palatino Linotype" w:eastAsia="Palatino Linotype" w:cs="Times New Roman"/>
          <w:color w:val="000000" w:themeColor="text1"/>
        </w:rPr>
        <w:t>ing</w:t>
      </w:r>
      <w:r w:rsidRPr="00041AD5" w:rsidR="00C275E5">
        <w:rPr>
          <w:rFonts w:ascii="Palatino Linotype" w:hAnsi="Palatino Linotype" w:eastAsia="Palatino Linotype" w:cs="Times New Roman"/>
          <w:color w:val="000000" w:themeColor="text1"/>
        </w:rPr>
        <w:t xml:space="preserve"> </w:t>
      </w:r>
      <w:r w:rsidRPr="00041AD5" w:rsidR="007D6D1F">
        <w:rPr>
          <w:rFonts w:ascii="Palatino Linotype" w:hAnsi="Palatino Linotype" w:eastAsia="Palatino Linotype" w:cs="Times New Roman"/>
          <w:color w:val="000000" w:themeColor="text1"/>
        </w:rPr>
        <w:t>timely and transparent reporting in</w:t>
      </w:r>
      <w:r w:rsidRPr="00041AD5" w:rsidR="005529C9">
        <w:rPr>
          <w:rFonts w:ascii="Palatino Linotype" w:hAnsi="Palatino Linotype" w:eastAsia="Palatino Linotype" w:cs="Times New Roman"/>
          <w:color w:val="000000" w:themeColor="text1"/>
        </w:rPr>
        <w:t xml:space="preserve"> </w:t>
      </w:r>
      <w:r w:rsidRPr="00041AD5" w:rsidR="00C275E5">
        <w:rPr>
          <w:rFonts w:ascii="Palatino Linotype" w:hAnsi="Palatino Linotype" w:eastAsia="Palatino Linotype" w:cs="Times New Roman"/>
          <w:color w:val="000000" w:themeColor="text1"/>
        </w:rPr>
        <w:t xml:space="preserve">Annual </w:t>
      </w:r>
      <w:r w:rsidRPr="00041AD5" w:rsidR="00C26FC7">
        <w:rPr>
          <w:rFonts w:ascii="Palatino Linotype" w:hAnsi="Palatino Linotype" w:eastAsia="Palatino Linotype" w:cs="Times New Roman"/>
          <w:color w:val="000000" w:themeColor="text1"/>
        </w:rPr>
        <w:t>Reports</w:t>
      </w:r>
      <w:r w:rsidRPr="00041AD5" w:rsidR="006235B9">
        <w:rPr>
          <w:rFonts w:ascii="Palatino Linotype" w:hAnsi="Palatino Linotype" w:eastAsia="Palatino Linotype" w:cs="Times New Roman"/>
          <w:color w:val="000000" w:themeColor="text1"/>
        </w:rPr>
        <w:t>,</w:t>
      </w:r>
      <w:r w:rsidRPr="00041AD5" w:rsidR="00C275E5">
        <w:rPr>
          <w:rFonts w:ascii="Palatino Linotype" w:hAnsi="Palatino Linotype" w:eastAsia="Palatino Linotype" w:cs="Times New Roman"/>
          <w:color w:val="000000" w:themeColor="text1"/>
        </w:rPr>
        <w:t xml:space="preserve"> Annual </w:t>
      </w:r>
      <w:r w:rsidRPr="00041AD5" w:rsidR="00C26FC7">
        <w:rPr>
          <w:rFonts w:ascii="Palatino Linotype" w:hAnsi="Palatino Linotype" w:eastAsia="Palatino Linotype" w:cs="Times New Roman"/>
          <w:color w:val="000000" w:themeColor="text1"/>
        </w:rPr>
        <w:t>Plans</w:t>
      </w:r>
      <w:r w:rsidRPr="00041AD5" w:rsidR="008D35E5">
        <w:rPr>
          <w:rFonts w:ascii="Palatino Linotype" w:hAnsi="Palatino Linotype" w:eastAsia="Palatino Linotype" w:cs="Times New Roman"/>
          <w:color w:val="000000" w:themeColor="text1"/>
        </w:rPr>
        <w:t xml:space="preserve">, </w:t>
      </w:r>
      <w:r w:rsidRPr="00041AD5" w:rsidR="006235B9">
        <w:rPr>
          <w:rFonts w:ascii="Palatino Linotype" w:hAnsi="Palatino Linotype" w:eastAsia="Palatino Linotype" w:cs="Times New Roman"/>
          <w:color w:val="000000" w:themeColor="text1"/>
        </w:rPr>
        <w:t xml:space="preserve">and </w:t>
      </w:r>
      <w:r w:rsidRPr="00041AD5" w:rsidR="00ED1362">
        <w:rPr>
          <w:rFonts w:ascii="Palatino Linotype" w:hAnsi="Palatino Linotype" w:eastAsia="Palatino Linotype" w:cs="Times New Roman"/>
          <w:color w:val="000000" w:themeColor="text1"/>
        </w:rPr>
        <w:t xml:space="preserve">Tier 1 ALs with </w:t>
      </w:r>
      <w:r w:rsidRPr="00041AD5" w:rsidR="00350FC6">
        <w:rPr>
          <w:rFonts w:ascii="Palatino Linotype" w:hAnsi="Palatino Linotype" w:eastAsia="Palatino Linotype" w:cs="Times New Roman"/>
          <w:color w:val="000000" w:themeColor="text1"/>
        </w:rPr>
        <w:t xml:space="preserve">updated data </w:t>
      </w:r>
      <w:r w:rsidRPr="00041AD5" w:rsidR="00F821FD">
        <w:rPr>
          <w:rFonts w:ascii="Palatino Linotype" w:hAnsi="Palatino Linotype" w:eastAsia="Palatino Linotype" w:cs="Times New Roman"/>
          <w:color w:val="000000" w:themeColor="text1"/>
        </w:rPr>
        <w:t>by</w:t>
      </w:r>
      <w:r w:rsidRPr="00041AD5" w:rsidR="00350FC6">
        <w:rPr>
          <w:rFonts w:ascii="Palatino Linotype" w:hAnsi="Palatino Linotype" w:eastAsia="Palatino Linotype" w:cs="Times New Roman"/>
          <w:color w:val="000000" w:themeColor="text1"/>
        </w:rPr>
        <w:t xml:space="preserve"> the start of each quarter</w:t>
      </w:r>
      <w:r w:rsidRPr="00041AD5" w:rsidR="00F4787A">
        <w:rPr>
          <w:rFonts w:ascii="Palatino Linotype" w:hAnsi="Palatino Linotype" w:eastAsia="Palatino Linotype" w:cs="Times New Roman"/>
          <w:color w:val="000000" w:themeColor="text1"/>
        </w:rPr>
        <w:t>.</w:t>
      </w:r>
      <w:r w:rsidRPr="00041AD5" w:rsidR="006235B9">
        <w:rPr>
          <w:rStyle w:val="FootnoteReference"/>
          <w:rFonts w:ascii="Palatino Linotype" w:hAnsi="Palatino Linotype" w:eastAsia="Palatino Linotype" w:cs="Times New Roman"/>
          <w:color w:val="000000" w:themeColor="text1"/>
        </w:rPr>
        <w:footnoteReference w:id="113"/>
      </w:r>
    </w:p>
    <w:p w:rsidRPr="00041AD5" w:rsidR="006A0099" w:rsidP="008251CF" w:rsidRDefault="006A0099" w14:paraId="52B6DAAD" w14:textId="5B18089D">
      <w:pPr>
        <w:spacing w:before="24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Proactive </w:t>
      </w:r>
      <w:r w:rsidRPr="00041AD5" w:rsidR="00A610D5">
        <w:rPr>
          <w:rFonts w:ascii="Palatino Linotype" w:hAnsi="Palatino Linotype" w:eastAsia="Palatino Linotype" w:cs="Times New Roman"/>
          <w:color w:val="000000" w:themeColor="text1"/>
        </w:rPr>
        <w:t>interagency</w:t>
      </w:r>
      <w:r w:rsidRPr="00041AD5">
        <w:rPr>
          <w:rFonts w:ascii="Palatino Linotype" w:hAnsi="Palatino Linotype" w:eastAsia="Palatino Linotype" w:cs="Times New Roman"/>
          <w:color w:val="000000" w:themeColor="text1"/>
        </w:rPr>
        <w:t xml:space="preserve"> coordination </w:t>
      </w:r>
      <w:r w:rsidRPr="00041AD5" w:rsidR="00A610D5">
        <w:rPr>
          <w:rFonts w:ascii="Palatino Linotype" w:hAnsi="Palatino Linotype" w:eastAsia="Palatino Linotype" w:cs="Times New Roman"/>
          <w:color w:val="000000" w:themeColor="text1"/>
        </w:rPr>
        <w:t xml:space="preserve">and information sharing </w:t>
      </w:r>
      <w:r w:rsidRPr="00041AD5">
        <w:rPr>
          <w:rFonts w:ascii="Palatino Linotype" w:hAnsi="Palatino Linotype" w:eastAsia="Palatino Linotype" w:cs="Times New Roman"/>
          <w:color w:val="000000" w:themeColor="text1"/>
        </w:rPr>
        <w:t xml:space="preserve">on proposed Plans </w:t>
      </w:r>
      <w:r w:rsidRPr="00041AD5" w:rsidR="00FD019A">
        <w:rPr>
          <w:rFonts w:ascii="Palatino Linotype" w:hAnsi="Palatino Linotype" w:eastAsia="Palatino Linotype" w:cs="Times New Roman"/>
          <w:color w:val="000000" w:themeColor="text1"/>
        </w:rPr>
        <w:t xml:space="preserve">and implementation </w:t>
      </w:r>
      <w:r w:rsidRPr="00041AD5" w:rsidR="00C31F42">
        <w:rPr>
          <w:rFonts w:ascii="Palatino Linotype" w:hAnsi="Palatino Linotype" w:eastAsia="Palatino Linotype" w:cs="Times New Roman"/>
          <w:color w:val="000000" w:themeColor="text1"/>
        </w:rPr>
        <w:t xml:space="preserve">promotes </w:t>
      </w:r>
      <w:r w:rsidRPr="00041AD5" w:rsidR="006350E4">
        <w:rPr>
          <w:rFonts w:ascii="Palatino Linotype" w:hAnsi="Palatino Linotype" w:eastAsia="Palatino Linotype" w:cs="Times New Roman"/>
          <w:color w:val="000000" w:themeColor="text1"/>
        </w:rPr>
        <w:t xml:space="preserve">the </w:t>
      </w:r>
      <w:r w:rsidRPr="00041AD5" w:rsidR="008860CC">
        <w:rPr>
          <w:rFonts w:ascii="Palatino Linotype" w:hAnsi="Palatino Linotype" w:eastAsia="Palatino Linotype" w:cs="Times New Roman"/>
          <w:color w:val="000000" w:themeColor="text1"/>
        </w:rPr>
        <w:t xml:space="preserve">optimal and prudent use of ratepayer funds. </w:t>
      </w:r>
      <w:r w:rsidRPr="00041AD5" w:rsidR="00992807">
        <w:rPr>
          <w:rFonts w:ascii="Palatino Linotype" w:hAnsi="Palatino Linotype" w:eastAsia="Palatino Linotype" w:cs="Times New Roman"/>
          <w:color w:val="000000" w:themeColor="text1"/>
        </w:rPr>
        <w:t xml:space="preserve">For example, </w:t>
      </w:r>
      <w:r w:rsidRPr="00041AD5">
        <w:rPr>
          <w:rFonts w:ascii="Palatino Linotype" w:hAnsi="Palatino Linotype" w:eastAsia="Palatino Linotype" w:cs="Times New Roman"/>
          <w:color w:val="000000" w:themeColor="text1"/>
        </w:rPr>
        <w:t xml:space="preserve">pre-submittal </w:t>
      </w:r>
      <w:r w:rsidRPr="00041AD5" w:rsidR="00F33758">
        <w:rPr>
          <w:rFonts w:ascii="Palatino Linotype" w:hAnsi="Palatino Linotype" w:eastAsia="Palatino Linotype" w:cs="Times New Roman"/>
          <w:color w:val="000000" w:themeColor="text1"/>
        </w:rPr>
        <w:t>c</w:t>
      </w:r>
      <w:r w:rsidRPr="00041AD5">
        <w:rPr>
          <w:rFonts w:ascii="Palatino Linotype" w:hAnsi="Palatino Linotype" w:eastAsia="Palatino Linotype" w:cs="Times New Roman"/>
          <w:color w:val="000000" w:themeColor="text1"/>
        </w:rPr>
        <w:t xml:space="preserve">onsultation with CPUC staff </w:t>
      </w:r>
      <w:r w:rsidRPr="00041AD5" w:rsidR="00992807">
        <w:rPr>
          <w:rFonts w:ascii="Palatino Linotype" w:hAnsi="Palatino Linotype" w:eastAsia="Palatino Linotype" w:cs="Times New Roman"/>
          <w:color w:val="000000" w:themeColor="text1"/>
        </w:rPr>
        <w:t xml:space="preserve">is the first essential step </w:t>
      </w:r>
      <w:r w:rsidRPr="00041AD5" w:rsidR="00541A14">
        <w:rPr>
          <w:rFonts w:ascii="Palatino Linotype" w:hAnsi="Palatino Linotype" w:eastAsia="Palatino Linotype" w:cs="Times New Roman"/>
          <w:color w:val="000000" w:themeColor="text1"/>
        </w:rPr>
        <w:t>in</w:t>
      </w:r>
      <w:r w:rsidRPr="00041AD5" w:rsidR="00992807">
        <w:rPr>
          <w:rFonts w:ascii="Palatino Linotype" w:hAnsi="Palatino Linotype" w:eastAsia="Palatino Linotype" w:cs="Times New Roman"/>
          <w:color w:val="000000" w:themeColor="text1"/>
        </w:rPr>
        <w:t xml:space="preserve"> </w:t>
      </w:r>
      <w:r w:rsidRPr="00041AD5">
        <w:rPr>
          <w:rFonts w:ascii="Palatino Linotype" w:hAnsi="Palatino Linotype" w:eastAsia="Palatino Linotype" w:cs="Times New Roman"/>
          <w:color w:val="000000" w:themeColor="text1"/>
        </w:rPr>
        <w:t>promot</w:t>
      </w:r>
      <w:r w:rsidRPr="00041AD5" w:rsidR="00541A14">
        <w:rPr>
          <w:rFonts w:ascii="Palatino Linotype" w:hAnsi="Palatino Linotype" w:eastAsia="Palatino Linotype" w:cs="Times New Roman"/>
          <w:color w:val="000000" w:themeColor="text1"/>
        </w:rPr>
        <w:t>ing</w:t>
      </w:r>
      <w:r w:rsidRPr="00041AD5">
        <w:rPr>
          <w:rFonts w:ascii="Palatino Linotype" w:hAnsi="Palatino Linotype" w:eastAsia="Palatino Linotype" w:cs="Times New Roman"/>
          <w:color w:val="000000" w:themeColor="text1"/>
        </w:rPr>
        <w:t xml:space="preserve"> alignment </w:t>
      </w:r>
      <w:r w:rsidRPr="00041AD5" w:rsidR="00725335">
        <w:rPr>
          <w:rFonts w:ascii="Palatino Linotype" w:hAnsi="Palatino Linotype" w:eastAsia="Palatino Linotype" w:cs="Times New Roman"/>
          <w:color w:val="000000" w:themeColor="text1"/>
        </w:rPr>
        <w:t>with ratepayer benefits</w:t>
      </w:r>
      <w:r w:rsidRPr="00041AD5" w:rsidR="00617FD0">
        <w:rPr>
          <w:rFonts w:ascii="Palatino Linotype" w:hAnsi="Palatino Linotype" w:eastAsia="Palatino Linotype" w:cs="Times New Roman"/>
          <w:color w:val="000000" w:themeColor="text1"/>
        </w:rPr>
        <w:t xml:space="preserve"> including</w:t>
      </w:r>
      <w:r w:rsidRPr="00041AD5" w:rsidR="00393A3D">
        <w:rPr>
          <w:rFonts w:ascii="Palatino Linotype" w:hAnsi="Palatino Linotype" w:eastAsia="Palatino Linotype" w:cs="Times New Roman"/>
          <w:color w:val="000000" w:themeColor="text1"/>
        </w:rPr>
        <w:t xml:space="preserve"> equity and</w:t>
      </w:r>
      <w:r w:rsidRPr="00041AD5" w:rsidR="00617FD0">
        <w:rPr>
          <w:rFonts w:ascii="Palatino Linotype" w:hAnsi="Palatino Linotype" w:eastAsia="Palatino Linotype" w:cs="Times New Roman"/>
          <w:color w:val="000000" w:themeColor="text1"/>
        </w:rPr>
        <w:t xml:space="preserve"> affordability</w:t>
      </w:r>
      <w:r w:rsidRPr="00041AD5">
        <w:rPr>
          <w:rFonts w:ascii="Palatino Linotype" w:hAnsi="Palatino Linotype"/>
          <w:color w:val="000000" w:themeColor="text1"/>
        </w:rPr>
        <w:t xml:space="preserve"> </w:t>
      </w:r>
      <w:r w:rsidRPr="00041AD5" w:rsidR="00452D39">
        <w:rPr>
          <w:rFonts w:ascii="Palatino Linotype" w:hAnsi="Palatino Linotype"/>
          <w:color w:val="000000" w:themeColor="text1"/>
        </w:rPr>
        <w:t xml:space="preserve">as well as creating </w:t>
      </w:r>
      <w:r w:rsidRPr="00041AD5">
        <w:rPr>
          <w:rFonts w:ascii="Palatino Linotype" w:hAnsi="Palatino Linotype"/>
          <w:color w:val="000000" w:themeColor="text1"/>
        </w:rPr>
        <w:t xml:space="preserve">efficiencies in </w:t>
      </w:r>
      <w:r w:rsidRPr="00041AD5" w:rsidR="006A2115">
        <w:rPr>
          <w:rFonts w:ascii="Palatino Linotype" w:hAnsi="Palatino Linotype"/>
          <w:color w:val="000000" w:themeColor="text1"/>
        </w:rPr>
        <w:t xml:space="preserve">CPUC </w:t>
      </w:r>
      <w:r w:rsidRPr="00041AD5">
        <w:rPr>
          <w:rFonts w:ascii="Palatino Linotype" w:hAnsi="Palatino Linotype"/>
          <w:color w:val="000000" w:themeColor="text1"/>
        </w:rPr>
        <w:t>Plan review</w:t>
      </w:r>
      <w:r w:rsidRPr="00041AD5" w:rsidR="00452D39">
        <w:rPr>
          <w:rFonts w:ascii="Palatino Linotype" w:hAnsi="Palatino Linotype"/>
          <w:color w:val="000000" w:themeColor="text1"/>
        </w:rPr>
        <w:t xml:space="preserve"> to</w:t>
      </w:r>
      <w:r w:rsidRPr="00041AD5" w:rsidR="006A2115">
        <w:rPr>
          <w:rFonts w:ascii="Palatino Linotype" w:hAnsi="Palatino Linotype"/>
          <w:color w:val="000000" w:themeColor="text1"/>
        </w:rPr>
        <w:t xml:space="preserve"> </w:t>
      </w:r>
      <w:r w:rsidRPr="00041AD5" w:rsidR="00AD1063">
        <w:rPr>
          <w:rFonts w:ascii="Palatino Linotype" w:hAnsi="Palatino Linotype"/>
          <w:color w:val="000000" w:themeColor="text1"/>
        </w:rPr>
        <w:t>implement RD&amp;D investments in a timely manner.</w:t>
      </w:r>
      <w:r w:rsidRPr="00041AD5" w:rsidR="00452D39">
        <w:rPr>
          <w:rFonts w:ascii="Palatino Linotype" w:hAnsi="Palatino Linotype"/>
          <w:color w:val="000000" w:themeColor="text1"/>
        </w:rPr>
        <w:t xml:space="preserve"> </w:t>
      </w:r>
      <w:r w:rsidRPr="00041AD5" w:rsidR="00676921">
        <w:rPr>
          <w:rFonts w:ascii="Palatino Linotype" w:hAnsi="Palatino Linotype"/>
          <w:color w:val="000000" w:themeColor="text1"/>
        </w:rPr>
        <w:t xml:space="preserve">Further, </w:t>
      </w:r>
      <w:r w:rsidRPr="00041AD5" w:rsidR="00676921">
        <w:rPr>
          <w:rFonts w:ascii="Palatino Linotype" w:hAnsi="Palatino Linotype" w:eastAsia="Palatino Linotype" w:cs="Times New Roman"/>
          <w:color w:val="000000" w:themeColor="text1"/>
        </w:rPr>
        <w:t>t</w:t>
      </w:r>
      <w:r w:rsidRPr="00041AD5" w:rsidR="0035072E">
        <w:rPr>
          <w:rFonts w:ascii="Palatino Linotype" w:hAnsi="Palatino Linotype" w:eastAsia="Palatino Linotype" w:cs="Times New Roman"/>
          <w:color w:val="000000" w:themeColor="text1"/>
        </w:rPr>
        <w:t>hese parameters</w:t>
      </w:r>
      <w:r w:rsidRPr="00041AD5">
        <w:rPr>
          <w:rFonts w:ascii="Palatino Linotype" w:hAnsi="Palatino Linotype" w:eastAsia="Palatino Linotype" w:cs="Times New Roman"/>
          <w:color w:val="000000" w:themeColor="text1"/>
        </w:rPr>
        <w:t xml:space="preserve"> allow Gas RD&amp;D investments to be responsive to evolving </w:t>
      </w:r>
      <w:r w:rsidRPr="00041AD5" w:rsidR="007813BA">
        <w:rPr>
          <w:rFonts w:ascii="Palatino Linotype" w:hAnsi="Palatino Linotype" w:eastAsia="Palatino Linotype" w:cs="Times New Roman"/>
          <w:color w:val="000000" w:themeColor="text1"/>
        </w:rPr>
        <w:t>po</w:t>
      </w:r>
      <w:r w:rsidRPr="00041AD5" w:rsidR="004D5D04">
        <w:rPr>
          <w:rFonts w:ascii="Palatino Linotype" w:hAnsi="Palatino Linotype" w:eastAsia="Palatino Linotype" w:cs="Times New Roman"/>
          <w:color w:val="000000" w:themeColor="text1"/>
        </w:rPr>
        <w:t>lic</w:t>
      </w:r>
      <w:r w:rsidRPr="00041AD5" w:rsidR="00D10B06">
        <w:rPr>
          <w:rFonts w:ascii="Palatino Linotype" w:hAnsi="Palatino Linotype" w:eastAsia="Palatino Linotype" w:cs="Times New Roman"/>
          <w:color w:val="000000" w:themeColor="text1"/>
        </w:rPr>
        <w:t>i</w:t>
      </w:r>
      <w:r w:rsidRPr="00041AD5" w:rsidR="004D5D04">
        <w:rPr>
          <w:rFonts w:ascii="Palatino Linotype" w:hAnsi="Palatino Linotype" w:eastAsia="Palatino Linotype" w:cs="Times New Roman"/>
          <w:color w:val="000000" w:themeColor="text1"/>
        </w:rPr>
        <w:t xml:space="preserve">es, </w:t>
      </w:r>
      <w:r w:rsidRPr="00041AD5">
        <w:rPr>
          <w:rFonts w:ascii="Palatino Linotype" w:hAnsi="Palatino Linotype" w:eastAsia="Palatino Linotype" w:cs="Times New Roman"/>
          <w:color w:val="000000" w:themeColor="text1"/>
        </w:rPr>
        <w:t>research</w:t>
      </w:r>
      <w:r w:rsidRPr="00041AD5" w:rsidR="004D5D04">
        <w:rPr>
          <w:rFonts w:ascii="Palatino Linotype" w:hAnsi="Palatino Linotype" w:eastAsia="Palatino Linotype" w:cs="Times New Roman"/>
          <w:color w:val="000000" w:themeColor="text1"/>
        </w:rPr>
        <w:t xml:space="preserve"> gaps</w:t>
      </w:r>
      <w:r w:rsidRPr="00041AD5">
        <w:rPr>
          <w:rFonts w:ascii="Palatino Linotype" w:hAnsi="Palatino Linotype" w:eastAsia="Palatino Linotype" w:cs="Times New Roman"/>
          <w:color w:val="000000" w:themeColor="text1"/>
        </w:rPr>
        <w:t>, technolog</w:t>
      </w:r>
      <w:r w:rsidRPr="00041AD5" w:rsidR="004D5D04">
        <w:rPr>
          <w:rFonts w:ascii="Palatino Linotype" w:hAnsi="Palatino Linotype" w:eastAsia="Palatino Linotype" w:cs="Times New Roman"/>
          <w:color w:val="000000" w:themeColor="text1"/>
        </w:rPr>
        <w:t>ies</w:t>
      </w:r>
      <w:r w:rsidRPr="00041AD5">
        <w:rPr>
          <w:rFonts w:ascii="Palatino Linotype" w:hAnsi="Palatino Linotype" w:eastAsia="Palatino Linotype" w:cs="Times New Roman"/>
          <w:color w:val="000000" w:themeColor="text1"/>
        </w:rPr>
        <w:t xml:space="preserve">, and market conditions </w:t>
      </w:r>
      <w:r w:rsidRPr="00041AD5" w:rsidR="004D5D04">
        <w:rPr>
          <w:rFonts w:ascii="Palatino Linotype" w:hAnsi="Palatino Linotype" w:eastAsia="Palatino Linotype" w:cs="Times New Roman"/>
          <w:color w:val="000000" w:themeColor="text1"/>
        </w:rPr>
        <w:t>to address</w:t>
      </w:r>
      <w:r w:rsidRPr="00041AD5">
        <w:rPr>
          <w:rFonts w:ascii="Palatino Linotype" w:hAnsi="Palatino Linotype" w:eastAsia="Palatino Linotype" w:cs="Times New Roman"/>
          <w:color w:val="000000" w:themeColor="text1"/>
        </w:rPr>
        <w:t xml:space="preserve"> timely innovation</w:t>
      </w:r>
      <w:r w:rsidRPr="00041AD5" w:rsidR="007A11D2">
        <w:rPr>
          <w:rFonts w:ascii="Palatino Linotype" w:hAnsi="Palatino Linotype" w:eastAsia="Palatino Linotype" w:cs="Times New Roman"/>
          <w:color w:val="000000" w:themeColor="text1"/>
        </w:rPr>
        <w:t>s that can promote</w:t>
      </w:r>
      <w:r w:rsidRPr="00041AD5" w:rsidR="00FF3058">
        <w:rPr>
          <w:rFonts w:ascii="Palatino Linotype" w:hAnsi="Palatino Linotype" w:eastAsia="Palatino Linotype" w:cs="Times New Roman"/>
          <w:color w:val="000000" w:themeColor="text1"/>
        </w:rPr>
        <w:t xml:space="preserve"> </w:t>
      </w:r>
      <w:r w:rsidRPr="00041AD5">
        <w:rPr>
          <w:rFonts w:ascii="Palatino Linotype" w:hAnsi="Palatino Linotype" w:eastAsia="Palatino Linotype" w:cs="Times New Roman"/>
          <w:color w:val="000000" w:themeColor="text1"/>
        </w:rPr>
        <w:t>ratepayer benefit</w:t>
      </w:r>
      <w:r w:rsidRPr="00041AD5" w:rsidR="007A11D2">
        <w:rPr>
          <w:rFonts w:ascii="Palatino Linotype" w:hAnsi="Palatino Linotype" w:eastAsia="Palatino Linotype" w:cs="Times New Roman"/>
          <w:color w:val="000000" w:themeColor="text1"/>
        </w:rPr>
        <w:t xml:space="preserve">s and </w:t>
      </w:r>
      <w:r w:rsidRPr="00041AD5" w:rsidR="002E7814">
        <w:rPr>
          <w:rFonts w:ascii="Palatino Linotype" w:hAnsi="Palatino Linotype" w:eastAsia="Palatino Linotype" w:cs="Times New Roman"/>
          <w:color w:val="000000" w:themeColor="text1"/>
        </w:rPr>
        <w:t xml:space="preserve">support the </w:t>
      </w:r>
      <w:r w:rsidR="000B324C">
        <w:rPr>
          <w:rFonts w:ascii="Palatino Linotype" w:hAnsi="Palatino Linotype" w:eastAsia="Palatino Linotype" w:cs="Times New Roman"/>
          <w:color w:val="000000" w:themeColor="text1"/>
        </w:rPr>
        <w:br/>
      </w:r>
      <w:r w:rsidRPr="00041AD5" w:rsidR="002E7814">
        <w:rPr>
          <w:rFonts w:ascii="Palatino Linotype" w:hAnsi="Palatino Linotype" w:eastAsia="Palatino Linotype" w:cs="Times New Roman"/>
          <w:color w:val="000000" w:themeColor="text1"/>
        </w:rPr>
        <w:t xml:space="preserve">State’s </w:t>
      </w:r>
      <w:r w:rsidRPr="00041AD5" w:rsidR="006A077A">
        <w:rPr>
          <w:rFonts w:ascii="Palatino Linotype" w:hAnsi="Palatino Linotype" w:eastAsia="Palatino Linotype" w:cs="Times New Roman"/>
          <w:color w:val="000000" w:themeColor="text1"/>
        </w:rPr>
        <w:t xml:space="preserve">broader </w:t>
      </w:r>
      <w:r w:rsidRPr="00041AD5" w:rsidR="002E7814">
        <w:rPr>
          <w:rFonts w:ascii="Palatino Linotype" w:hAnsi="Palatino Linotype" w:eastAsia="Palatino Linotype" w:cs="Times New Roman"/>
          <w:color w:val="000000" w:themeColor="text1"/>
        </w:rPr>
        <w:t>climate and safety goals.</w:t>
      </w:r>
    </w:p>
    <w:p w:rsidRPr="00041AD5" w:rsidR="0088709C" w:rsidP="00C37C68" w:rsidRDefault="002E7814" w14:paraId="24818AA0" w14:textId="452F6A16">
      <w:p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The </w:t>
      </w:r>
      <w:r w:rsidRPr="00041AD5" w:rsidR="00FE6768">
        <w:rPr>
          <w:rFonts w:ascii="Palatino Linotype" w:hAnsi="Palatino Linotype" w:eastAsia="Palatino Linotype" w:cs="Times New Roman"/>
          <w:color w:val="000000" w:themeColor="text1"/>
        </w:rPr>
        <w:t>CPUC’s Utility Audits Branch (UAB) conducted an audit of CEC’s Gas RD&amp;D Program spending</w:t>
      </w:r>
      <w:r w:rsidRPr="00041AD5" w:rsidR="00B56484">
        <w:rPr>
          <w:rFonts w:ascii="Palatino Linotype" w:hAnsi="Palatino Linotype" w:eastAsia="Palatino Linotype" w:cs="Times New Roman"/>
          <w:color w:val="000000" w:themeColor="text1"/>
        </w:rPr>
        <w:t xml:space="preserve"> between July 1, 2022</w:t>
      </w:r>
      <w:r w:rsidRPr="00041AD5" w:rsidR="0044387A">
        <w:rPr>
          <w:rFonts w:ascii="Palatino Linotype" w:hAnsi="Palatino Linotype" w:eastAsia="Palatino Linotype" w:cs="Times New Roman"/>
          <w:color w:val="000000" w:themeColor="text1"/>
        </w:rPr>
        <w:t>,</w:t>
      </w:r>
      <w:r w:rsidRPr="00041AD5" w:rsidR="00F60F6C">
        <w:rPr>
          <w:rFonts w:ascii="Palatino Linotype" w:hAnsi="Palatino Linotype" w:eastAsia="Palatino Linotype" w:cs="Times New Roman"/>
          <w:color w:val="000000" w:themeColor="text1"/>
        </w:rPr>
        <w:t xml:space="preserve"> and </w:t>
      </w:r>
      <w:r w:rsidRPr="00041AD5" w:rsidR="00B56484">
        <w:rPr>
          <w:rFonts w:ascii="Palatino Linotype" w:hAnsi="Palatino Linotype" w:eastAsia="Palatino Linotype" w:cs="Times New Roman"/>
          <w:color w:val="000000" w:themeColor="text1"/>
        </w:rPr>
        <w:t>June 30, 2023</w:t>
      </w:r>
      <w:r w:rsidRPr="00041AD5" w:rsidR="0044387A">
        <w:rPr>
          <w:rFonts w:ascii="Palatino Linotype" w:hAnsi="Palatino Linotype" w:eastAsia="Palatino Linotype" w:cs="Times New Roman"/>
          <w:color w:val="000000" w:themeColor="text1"/>
        </w:rPr>
        <w:t>,</w:t>
      </w:r>
      <w:r w:rsidRPr="00041AD5" w:rsidR="00B56484">
        <w:rPr>
          <w:rFonts w:ascii="Palatino Linotype" w:hAnsi="Palatino Linotype" w:eastAsia="Palatino Linotype" w:cs="Times New Roman"/>
          <w:color w:val="000000" w:themeColor="text1"/>
        </w:rPr>
        <w:t xml:space="preserve"> finding that </w:t>
      </w:r>
      <w:r w:rsidRPr="00041AD5" w:rsidR="0051467B">
        <w:rPr>
          <w:rFonts w:ascii="Palatino Linotype" w:hAnsi="Palatino Linotype" w:eastAsia="Palatino Linotype" w:cs="Times New Roman"/>
          <w:color w:val="000000" w:themeColor="text1"/>
        </w:rPr>
        <w:t xml:space="preserve">program </w:t>
      </w:r>
      <w:r w:rsidRPr="00041AD5" w:rsidR="00273BFB">
        <w:rPr>
          <w:rFonts w:ascii="Palatino Linotype" w:hAnsi="Palatino Linotype" w:eastAsia="Palatino Linotype" w:cs="Times New Roman"/>
          <w:color w:val="000000" w:themeColor="text1"/>
        </w:rPr>
        <w:t xml:space="preserve">expenditures </w:t>
      </w:r>
      <w:r w:rsidRPr="00041AD5" w:rsidR="006835E9">
        <w:rPr>
          <w:rFonts w:ascii="Palatino Linotype" w:hAnsi="Palatino Linotype" w:eastAsia="Palatino Linotype" w:cs="Times New Roman"/>
          <w:color w:val="000000" w:themeColor="text1"/>
        </w:rPr>
        <w:t xml:space="preserve">were generally </w:t>
      </w:r>
      <w:r w:rsidRPr="00041AD5">
        <w:rPr>
          <w:rFonts w:ascii="Palatino Linotype" w:hAnsi="Palatino Linotype" w:eastAsia="Palatino Linotype" w:cs="Times New Roman"/>
          <w:color w:val="000000" w:themeColor="text1"/>
        </w:rPr>
        <w:t xml:space="preserve">used </w:t>
      </w:r>
      <w:r w:rsidRPr="00041AD5" w:rsidR="006835E9">
        <w:rPr>
          <w:rFonts w:ascii="Palatino Linotype" w:hAnsi="Palatino Linotype" w:eastAsia="Palatino Linotype" w:cs="Times New Roman"/>
          <w:color w:val="000000" w:themeColor="text1"/>
        </w:rPr>
        <w:t>for allowable purposes.</w:t>
      </w:r>
      <w:r w:rsidRPr="00041AD5" w:rsidR="00273BFB">
        <w:rPr>
          <w:rStyle w:val="FootnoteReference"/>
          <w:rFonts w:ascii="Palatino Linotype" w:hAnsi="Palatino Linotype" w:eastAsia="Palatino Linotype" w:cs="Times New Roman"/>
          <w:color w:val="000000" w:themeColor="text1"/>
        </w:rPr>
        <w:footnoteReference w:id="114"/>
      </w:r>
      <w:r w:rsidRPr="00041AD5" w:rsidR="006835E9">
        <w:rPr>
          <w:rFonts w:ascii="Palatino Linotype" w:hAnsi="Palatino Linotype" w:eastAsia="Palatino Linotype" w:cs="Times New Roman"/>
          <w:color w:val="000000" w:themeColor="text1"/>
        </w:rPr>
        <w:t xml:space="preserve"> </w:t>
      </w:r>
      <w:r w:rsidRPr="00041AD5" w:rsidR="000E4BDA">
        <w:rPr>
          <w:rFonts w:ascii="Palatino Linotype" w:hAnsi="Palatino Linotype" w:eastAsia="Palatino Linotype" w:cs="Times New Roman"/>
          <w:color w:val="000000" w:themeColor="text1"/>
        </w:rPr>
        <w:t>However, t</w:t>
      </w:r>
      <w:r w:rsidRPr="00041AD5" w:rsidR="0044387A">
        <w:rPr>
          <w:rFonts w:ascii="Palatino Linotype" w:hAnsi="Palatino Linotype" w:eastAsia="Palatino Linotype" w:cs="Times New Roman"/>
          <w:color w:val="000000" w:themeColor="text1"/>
        </w:rPr>
        <w:t>he Audits process was</w:t>
      </w:r>
      <w:r w:rsidRPr="00041AD5" w:rsidR="004F7497">
        <w:rPr>
          <w:rFonts w:ascii="Palatino Linotype" w:hAnsi="Palatino Linotype" w:eastAsia="Palatino Linotype" w:cs="Times New Roman"/>
          <w:color w:val="000000" w:themeColor="text1"/>
        </w:rPr>
        <w:t xml:space="preserve"> </w:t>
      </w:r>
      <w:r w:rsidRPr="00041AD5" w:rsidR="006A6F96">
        <w:rPr>
          <w:rFonts w:ascii="Palatino Linotype" w:hAnsi="Palatino Linotype" w:eastAsia="Palatino Linotype" w:cs="Times New Roman"/>
          <w:color w:val="000000" w:themeColor="text1"/>
        </w:rPr>
        <w:t xml:space="preserve">prolonged due to </w:t>
      </w:r>
      <w:r w:rsidRPr="00041AD5" w:rsidR="005A1398">
        <w:rPr>
          <w:rFonts w:ascii="Palatino Linotype" w:hAnsi="Palatino Linotype" w:eastAsia="Palatino Linotype" w:cs="Times New Roman"/>
          <w:color w:val="000000" w:themeColor="text1"/>
        </w:rPr>
        <w:t>insufficien</w:t>
      </w:r>
      <w:r w:rsidRPr="00041AD5" w:rsidR="00B83B01">
        <w:rPr>
          <w:rFonts w:ascii="Palatino Linotype" w:hAnsi="Palatino Linotype" w:eastAsia="Palatino Linotype" w:cs="Times New Roman"/>
          <w:color w:val="000000" w:themeColor="text1"/>
        </w:rPr>
        <w:t>t</w:t>
      </w:r>
      <w:r w:rsidRPr="00041AD5" w:rsidR="005A1398">
        <w:rPr>
          <w:rFonts w:ascii="Palatino Linotype" w:hAnsi="Palatino Linotype" w:eastAsia="Palatino Linotype" w:cs="Times New Roman"/>
          <w:color w:val="000000" w:themeColor="text1"/>
        </w:rPr>
        <w:t xml:space="preserve"> initial available information</w:t>
      </w:r>
      <w:r w:rsidRPr="00041AD5" w:rsidR="00B83B01">
        <w:rPr>
          <w:rFonts w:ascii="Palatino Linotype" w:hAnsi="Palatino Linotype" w:eastAsia="Palatino Linotype" w:cs="Times New Roman"/>
          <w:color w:val="000000" w:themeColor="text1"/>
        </w:rPr>
        <w:t xml:space="preserve"> provided by the CEC, necessitating </w:t>
      </w:r>
      <w:r w:rsidRPr="00041AD5" w:rsidR="00053FD8">
        <w:rPr>
          <w:rFonts w:ascii="Palatino Linotype" w:hAnsi="Palatino Linotype" w:eastAsia="Palatino Linotype" w:cs="Times New Roman"/>
          <w:color w:val="000000" w:themeColor="text1"/>
        </w:rPr>
        <w:t xml:space="preserve">several </w:t>
      </w:r>
      <w:r w:rsidRPr="00041AD5" w:rsidR="0056763F">
        <w:rPr>
          <w:rFonts w:ascii="Palatino Linotype" w:hAnsi="Palatino Linotype" w:eastAsia="Palatino Linotype" w:cs="Times New Roman"/>
          <w:color w:val="000000" w:themeColor="text1"/>
        </w:rPr>
        <w:t>d</w:t>
      </w:r>
      <w:r w:rsidRPr="00041AD5" w:rsidR="00053FD8">
        <w:rPr>
          <w:rFonts w:ascii="Palatino Linotype" w:hAnsi="Palatino Linotype" w:eastAsia="Palatino Linotype" w:cs="Times New Roman"/>
          <w:color w:val="000000" w:themeColor="text1"/>
        </w:rPr>
        <w:t xml:space="preserve">ata </w:t>
      </w:r>
      <w:r w:rsidRPr="00041AD5" w:rsidR="0056763F">
        <w:rPr>
          <w:rFonts w:ascii="Palatino Linotype" w:hAnsi="Palatino Linotype" w:eastAsia="Palatino Linotype" w:cs="Times New Roman"/>
          <w:color w:val="000000" w:themeColor="text1"/>
        </w:rPr>
        <w:t>r</w:t>
      </w:r>
      <w:r w:rsidRPr="00041AD5" w:rsidR="00053FD8">
        <w:rPr>
          <w:rFonts w:ascii="Palatino Linotype" w:hAnsi="Palatino Linotype" w:eastAsia="Palatino Linotype" w:cs="Times New Roman"/>
          <w:color w:val="000000" w:themeColor="text1"/>
        </w:rPr>
        <w:t>equests</w:t>
      </w:r>
      <w:r w:rsidRPr="00041AD5" w:rsidR="005619D2">
        <w:rPr>
          <w:rFonts w:ascii="Palatino Linotype" w:hAnsi="Palatino Linotype" w:eastAsia="Palatino Linotype" w:cs="Times New Roman"/>
          <w:color w:val="000000" w:themeColor="text1"/>
        </w:rPr>
        <w:t xml:space="preserve"> </w:t>
      </w:r>
      <w:r w:rsidRPr="00041AD5" w:rsidR="00267B86">
        <w:rPr>
          <w:rFonts w:ascii="Palatino Linotype" w:hAnsi="Palatino Linotype" w:eastAsia="Palatino Linotype" w:cs="Times New Roman"/>
          <w:color w:val="000000" w:themeColor="text1"/>
        </w:rPr>
        <w:t xml:space="preserve">to </w:t>
      </w:r>
      <w:r w:rsidRPr="00041AD5" w:rsidR="00F653BD">
        <w:rPr>
          <w:rFonts w:ascii="Palatino Linotype" w:hAnsi="Palatino Linotype" w:eastAsia="Palatino Linotype" w:cs="Times New Roman"/>
          <w:color w:val="000000" w:themeColor="text1"/>
        </w:rPr>
        <w:t>verify</w:t>
      </w:r>
      <w:r w:rsidRPr="00041AD5" w:rsidR="00267B86">
        <w:rPr>
          <w:rFonts w:ascii="Palatino Linotype" w:hAnsi="Palatino Linotype" w:eastAsia="Palatino Linotype" w:cs="Times New Roman"/>
          <w:color w:val="000000" w:themeColor="text1"/>
        </w:rPr>
        <w:t xml:space="preserve"> compliance</w:t>
      </w:r>
      <w:r w:rsidRPr="00041AD5" w:rsidR="00B83B01">
        <w:rPr>
          <w:rFonts w:ascii="Palatino Linotype" w:hAnsi="Palatino Linotype" w:eastAsia="Palatino Linotype" w:cs="Times New Roman"/>
          <w:color w:val="000000" w:themeColor="text1"/>
        </w:rPr>
        <w:t>.</w:t>
      </w:r>
      <w:r w:rsidRPr="00041AD5" w:rsidR="009408A1">
        <w:rPr>
          <w:rFonts w:ascii="Palatino Linotype" w:hAnsi="Palatino Linotype" w:eastAsia="Palatino Linotype" w:cs="Times New Roman"/>
          <w:color w:val="000000" w:themeColor="text1"/>
        </w:rPr>
        <w:t xml:space="preserve"> To address this moving forward, </w:t>
      </w:r>
      <w:r w:rsidRPr="00041AD5">
        <w:rPr>
          <w:rFonts w:ascii="Palatino Linotype" w:hAnsi="Palatino Linotype" w:eastAsia="Palatino Linotype" w:cs="Times New Roman"/>
          <w:color w:val="000000" w:themeColor="text1"/>
        </w:rPr>
        <w:t xml:space="preserve">the </w:t>
      </w:r>
      <w:r w:rsidRPr="00041AD5" w:rsidR="00267B86">
        <w:rPr>
          <w:rFonts w:ascii="Palatino Linotype" w:hAnsi="Palatino Linotype" w:eastAsia="Palatino Linotype" w:cs="Times New Roman"/>
          <w:color w:val="000000" w:themeColor="text1"/>
        </w:rPr>
        <w:t xml:space="preserve">CEC </w:t>
      </w:r>
      <w:r w:rsidRPr="00041AD5" w:rsidR="00376F2C">
        <w:rPr>
          <w:rFonts w:ascii="Palatino Linotype" w:hAnsi="Palatino Linotype" w:eastAsia="Palatino Linotype" w:cs="Times New Roman"/>
          <w:color w:val="000000" w:themeColor="text1"/>
        </w:rPr>
        <w:t xml:space="preserve">shall </w:t>
      </w:r>
      <w:r w:rsidRPr="00041AD5" w:rsidR="00267B86">
        <w:rPr>
          <w:rFonts w:ascii="Palatino Linotype" w:hAnsi="Palatino Linotype" w:eastAsia="Palatino Linotype" w:cs="Times New Roman"/>
          <w:color w:val="000000" w:themeColor="text1"/>
        </w:rPr>
        <w:t>m</w:t>
      </w:r>
      <w:r w:rsidRPr="00041AD5" w:rsidR="00C43098">
        <w:rPr>
          <w:rFonts w:ascii="Palatino Linotype" w:hAnsi="Palatino Linotype" w:eastAsia="Palatino Linotype" w:cs="Times New Roman"/>
          <w:color w:val="000000" w:themeColor="text1"/>
        </w:rPr>
        <w:t xml:space="preserve">aintain </w:t>
      </w:r>
      <w:r w:rsidRPr="00041AD5" w:rsidR="003C071C">
        <w:rPr>
          <w:rFonts w:ascii="Palatino Linotype" w:hAnsi="Palatino Linotype" w:eastAsia="Palatino Linotype" w:cs="Times New Roman"/>
          <w:color w:val="000000" w:themeColor="text1"/>
        </w:rPr>
        <w:t xml:space="preserve">supporting documentation </w:t>
      </w:r>
      <w:r w:rsidRPr="00041AD5" w:rsidR="00673C98">
        <w:rPr>
          <w:rFonts w:ascii="Palatino Linotype" w:hAnsi="Palatino Linotype" w:eastAsia="Palatino Linotype" w:cs="Times New Roman"/>
          <w:color w:val="000000" w:themeColor="text1"/>
        </w:rPr>
        <w:t>for</w:t>
      </w:r>
      <w:r w:rsidRPr="00041AD5" w:rsidR="003C071C">
        <w:rPr>
          <w:rFonts w:ascii="Palatino Linotype" w:hAnsi="Palatino Linotype" w:eastAsia="Palatino Linotype" w:cs="Times New Roman"/>
          <w:color w:val="000000" w:themeColor="text1"/>
        </w:rPr>
        <w:t xml:space="preserve"> </w:t>
      </w:r>
      <w:r w:rsidRPr="00041AD5" w:rsidR="00376F2C">
        <w:rPr>
          <w:rFonts w:ascii="Palatino Linotype" w:hAnsi="Palatino Linotype" w:eastAsia="Palatino Linotype" w:cs="Times New Roman"/>
          <w:color w:val="000000" w:themeColor="text1"/>
        </w:rPr>
        <w:t xml:space="preserve">transparency </w:t>
      </w:r>
      <w:r w:rsidRPr="00041AD5" w:rsidR="003518E0">
        <w:rPr>
          <w:rFonts w:ascii="Palatino Linotype" w:hAnsi="Palatino Linotype" w:eastAsia="Palatino Linotype" w:cs="Times New Roman"/>
          <w:color w:val="000000" w:themeColor="text1"/>
        </w:rPr>
        <w:t>in</w:t>
      </w:r>
      <w:r w:rsidRPr="00041AD5" w:rsidR="00376F2C">
        <w:rPr>
          <w:rFonts w:ascii="Palatino Linotype" w:hAnsi="Palatino Linotype" w:eastAsia="Palatino Linotype" w:cs="Times New Roman"/>
          <w:color w:val="000000" w:themeColor="text1"/>
        </w:rPr>
        <w:t xml:space="preserve"> </w:t>
      </w:r>
      <w:r w:rsidRPr="00041AD5" w:rsidR="003C071C">
        <w:rPr>
          <w:rFonts w:ascii="Palatino Linotype" w:hAnsi="Palatino Linotype" w:eastAsia="Palatino Linotype" w:cs="Times New Roman"/>
          <w:color w:val="000000" w:themeColor="text1"/>
        </w:rPr>
        <w:t xml:space="preserve">spending </w:t>
      </w:r>
      <w:r w:rsidRPr="00041AD5" w:rsidR="003518E0">
        <w:rPr>
          <w:rFonts w:ascii="Palatino Linotype" w:hAnsi="Palatino Linotype" w:eastAsia="Palatino Linotype" w:cs="Times New Roman"/>
          <w:color w:val="000000" w:themeColor="text1"/>
        </w:rPr>
        <w:t>ratepayer funds</w:t>
      </w:r>
      <w:r w:rsidRPr="00041AD5" w:rsidDel="00376F2C" w:rsidR="003C071C">
        <w:rPr>
          <w:rFonts w:ascii="Palatino Linotype" w:hAnsi="Palatino Linotype" w:eastAsia="Palatino Linotype" w:cs="Times New Roman"/>
          <w:color w:val="000000" w:themeColor="text1"/>
        </w:rPr>
        <w:t xml:space="preserve"> </w:t>
      </w:r>
      <w:r w:rsidRPr="00041AD5" w:rsidR="00376F2C">
        <w:rPr>
          <w:rFonts w:ascii="Palatino Linotype" w:hAnsi="Palatino Linotype" w:eastAsia="Palatino Linotype" w:cs="Times New Roman"/>
          <w:color w:val="000000" w:themeColor="text1"/>
        </w:rPr>
        <w:t xml:space="preserve">that is easily </w:t>
      </w:r>
      <w:r w:rsidRPr="00041AD5" w:rsidR="003C071C">
        <w:rPr>
          <w:rFonts w:ascii="Palatino Linotype" w:hAnsi="Palatino Linotype" w:eastAsia="Palatino Linotype" w:cs="Times New Roman"/>
          <w:color w:val="000000" w:themeColor="text1"/>
        </w:rPr>
        <w:t>audit</w:t>
      </w:r>
      <w:r w:rsidRPr="00041AD5" w:rsidR="00376F2C">
        <w:rPr>
          <w:rFonts w:ascii="Palatino Linotype" w:hAnsi="Palatino Linotype" w:eastAsia="Palatino Linotype" w:cs="Times New Roman"/>
          <w:color w:val="000000" w:themeColor="text1"/>
        </w:rPr>
        <w:t>able</w:t>
      </w:r>
      <w:r w:rsidRPr="00041AD5" w:rsidR="00E654B4">
        <w:rPr>
          <w:rFonts w:ascii="Palatino Linotype" w:hAnsi="Palatino Linotype" w:eastAsia="Palatino Linotype" w:cs="Times New Roman"/>
          <w:color w:val="000000" w:themeColor="text1"/>
        </w:rPr>
        <w:t xml:space="preserve">, including </w:t>
      </w:r>
      <w:r w:rsidRPr="00041AD5" w:rsidR="00376F2C">
        <w:rPr>
          <w:rFonts w:ascii="Palatino Linotype" w:hAnsi="Palatino Linotype" w:eastAsia="Palatino Linotype" w:cs="Times New Roman"/>
          <w:color w:val="000000" w:themeColor="text1"/>
        </w:rPr>
        <w:t xml:space="preserve">for </w:t>
      </w:r>
      <w:r w:rsidRPr="00041AD5" w:rsidR="00E654B4">
        <w:rPr>
          <w:rFonts w:ascii="Palatino Linotype" w:hAnsi="Palatino Linotype" w:eastAsia="Palatino Linotype" w:cs="Times New Roman"/>
          <w:color w:val="000000" w:themeColor="text1"/>
        </w:rPr>
        <w:t>grant recipients</w:t>
      </w:r>
      <w:r w:rsidRPr="00041AD5" w:rsidR="00227467">
        <w:rPr>
          <w:rFonts w:ascii="Palatino Linotype" w:hAnsi="Palatino Linotype" w:eastAsia="Palatino Linotype" w:cs="Times New Roman"/>
          <w:color w:val="000000" w:themeColor="text1"/>
        </w:rPr>
        <w:t>.</w:t>
      </w:r>
      <w:r w:rsidRPr="00041AD5" w:rsidR="00C82141">
        <w:rPr>
          <w:rFonts w:ascii="Palatino Linotype" w:hAnsi="Palatino Linotype" w:eastAsia="Palatino Linotype" w:cs="Times New Roman"/>
          <w:color w:val="000000" w:themeColor="text1"/>
        </w:rPr>
        <w:t xml:space="preserve"> In the use of ratepayer funds, </w:t>
      </w:r>
      <w:r w:rsidRPr="00041AD5" w:rsidR="00376F2C">
        <w:rPr>
          <w:rFonts w:ascii="Palatino Linotype" w:hAnsi="Palatino Linotype" w:eastAsia="Palatino Linotype" w:cs="Times New Roman"/>
          <w:color w:val="000000" w:themeColor="text1"/>
        </w:rPr>
        <w:t xml:space="preserve">the </w:t>
      </w:r>
      <w:r w:rsidRPr="00041AD5" w:rsidR="00C82141">
        <w:rPr>
          <w:rFonts w:ascii="Palatino Linotype" w:hAnsi="Palatino Linotype" w:eastAsia="Palatino Linotype" w:cs="Times New Roman"/>
          <w:color w:val="000000" w:themeColor="text1"/>
        </w:rPr>
        <w:t xml:space="preserve">CEC shall </w:t>
      </w:r>
      <w:r w:rsidRPr="00041AD5" w:rsidR="00400D71">
        <w:rPr>
          <w:rFonts w:ascii="Palatino Linotype" w:hAnsi="Palatino Linotype" w:eastAsia="Palatino Linotype" w:cs="Times New Roman"/>
          <w:color w:val="000000" w:themeColor="text1"/>
        </w:rPr>
        <w:t>comply with</w:t>
      </w:r>
      <w:r w:rsidRPr="00041AD5" w:rsidR="0088709C">
        <w:rPr>
          <w:rFonts w:ascii="Palatino Linotype" w:hAnsi="Palatino Linotype" w:eastAsia="Palatino Linotype" w:cs="Times New Roman"/>
          <w:color w:val="000000" w:themeColor="text1"/>
        </w:rPr>
        <w:t xml:space="preserve"> state requirements and procedures, including California Travel Reimbursements guidelines on lodging.</w:t>
      </w:r>
      <w:r w:rsidRPr="00041AD5" w:rsidR="0088709C">
        <w:rPr>
          <w:rStyle w:val="FootnoteReference"/>
          <w:rFonts w:ascii="Palatino Linotype" w:hAnsi="Palatino Linotype" w:eastAsia="Palatino Linotype" w:cs="Times New Roman"/>
          <w:color w:val="000000" w:themeColor="text1"/>
        </w:rPr>
        <w:footnoteReference w:id="115"/>
      </w:r>
      <w:r w:rsidRPr="00041AD5" w:rsidR="0088709C">
        <w:rPr>
          <w:rFonts w:ascii="Palatino Linotype" w:hAnsi="Palatino Linotype" w:eastAsia="Palatino Linotype" w:cs="Times New Roman"/>
          <w:color w:val="000000" w:themeColor="text1"/>
        </w:rPr>
        <w:t xml:space="preserve"> </w:t>
      </w:r>
    </w:p>
    <w:p w:rsidRPr="00041AD5" w:rsidR="003C071C" w:rsidP="00B609BE" w:rsidRDefault="003C071C" w14:paraId="5C3C2CA9" w14:textId="77777777">
      <w:pPr>
        <w:spacing w:before="240" w:after="0" w:line="276" w:lineRule="auto"/>
        <w:rPr>
          <w:rFonts w:ascii="Palatino Linotype" w:hAnsi="Palatino Linotype" w:eastAsia="Palatino Linotype" w:cs="Times New Roman"/>
          <w:color w:val="000000" w:themeColor="text1"/>
        </w:rPr>
      </w:pPr>
    </w:p>
    <w:p w:rsidR="00B609BE" w:rsidP="00C37C68" w:rsidRDefault="00B609BE" w14:paraId="6B4234B9" w14:textId="77777777">
      <w:pPr>
        <w:spacing w:line="276" w:lineRule="auto"/>
        <w:rPr>
          <w:rFonts w:ascii="Palatino Linotype" w:hAnsi="Palatino Linotype" w:eastAsia="Palatino Linotype" w:cs="Times New Roman"/>
          <w:b/>
          <w:bCs/>
          <w:color w:val="000000" w:themeColor="text1"/>
        </w:rPr>
      </w:pPr>
    </w:p>
    <w:p w:rsidR="00B609BE" w:rsidP="00C37C68" w:rsidRDefault="00B609BE" w14:paraId="658EEFFB" w14:textId="77777777">
      <w:pPr>
        <w:spacing w:line="276" w:lineRule="auto"/>
        <w:rPr>
          <w:rFonts w:ascii="Palatino Linotype" w:hAnsi="Palatino Linotype" w:eastAsia="Palatino Linotype" w:cs="Times New Roman"/>
          <w:b/>
          <w:bCs/>
          <w:color w:val="000000" w:themeColor="text1"/>
        </w:rPr>
      </w:pPr>
    </w:p>
    <w:p w:rsidR="00B609BE" w:rsidP="00C37C68" w:rsidRDefault="00B609BE" w14:paraId="0EC7F935" w14:textId="77777777">
      <w:pPr>
        <w:spacing w:line="276" w:lineRule="auto"/>
        <w:rPr>
          <w:rFonts w:ascii="Palatino Linotype" w:hAnsi="Palatino Linotype" w:eastAsia="Palatino Linotype" w:cs="Times New Roman"/>
          <w:b/>
          <w:bCs/>
          <w:color w:val="000000" w:themeColor="text1"/>
        </w:rPr>
      </w:pPr>
    </w:p>
    <w:p w:rsidR="00B609BE" w:rsidP="00B609BE" w:rsidRDefault="006A0099" w14:paraId="6A273390" w14:textId="26265C71">
      <w:pPr>
        <w:spacing w:after="0" w:line="276" w:lineRule="auto"/>
        <w:rPr>
          <w:rFonts w:ascii="Palatino Linotype" w:hAnsi="Palatino Linotype" w:eastAsia="Palatino Linotype" w:cs="Times New Roman"/>
          <w:b/>
          <w:bCs/>
          <w:color w:val="000000" w:themeColor="text1"/>
        </w:rPr>
      </w:pPr>
      <w:r w:rsidRPr="00041AD5">
        <w:rPr>
          <w:rFonts w:ascii="Palatino Linotype" w:hAnsi="Palatino Linotype" w:eastAsia="Palatino Linotype" w:cs="Times New Roman"/>
          <w:b/>
          <w:bCs/>
          <w:color w:val="000000" w:themeColor="text1"/>
        </w:rPr>
        <w:lastRenderedPageBreak/>
        <w:t>Additional Program Modifications</w:t>
      </w:r>
    </w:p>
    <w:p w:rsidRPr="00B609BE" w:rsidR="00B609BE" w:rsidP="00B609BE" w:rsidRDefault="00B609BE" w14:paraId="4A75E39A" w14:textId="77777777">
      <w:pPr>
        <w:spacing w:after="0" w:line="276" w:lineRule="auto"/>
        <w:rPr>
          <w:rFonts w:ascii="Palatino Linotype" w:hAnsi="Palatino Linotype" w:eastAsia="Palatino Linotype" w:cs="Times New Roman"/>
          <w:b/>
          <w:bCs/>
          <w:color w:val="000000" w:themeColor="text1"/>
        </w:rPr>
      </w:pPr>
    </w:p>
    <w:p w:rsidRPr="00041AD5" w:rsidR="006A0099" w:rsidP="006A0099" w:rsidRDefault="006A0099" w14:paraId="7945C60A" w14:textId="4025186F">
      <w:pPr>
        <w:spacing w:line="276" w:lineRule="auto"/>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t>Oversight Funds</w:t>
      </w:r>
    </w:p>
    <w:p w:rsidRPr="00041AD5" w:rsidR="006A0099" w:rsidP="35F2EE98" w:rsidRDefault="006A0099" w14:paraId="74509083" w14:textId="77B1624B">
      <w:pPr>
        <w:spacing w:after="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The Commission has directed each Gas RD&amp;D administrator, including</w:t>
      </w:r>
      <w:r w:rsidRPr="00041AD5" w:rsidR="00376F2C">
        <w:rPr>
          <w:rFonts w:ascii="Palatino Linotype" w:hAnsi="Palatino Linotype" w:eastAsia="Palatino Linotype" w:cs="Times New Roman"/>
          <w:color w:val="000000" w:themeColor="text1"/>
        </w:rPr>
        <w:t xml:space="preserve"> the</w:t>
      </w:r>
      <w:r w:rsidRPr="00041AD5">
        <w:rPr>
          <w:rFonts w:ascii="Palatino Linotype" w:hAnsi="Palatino Linotype" w:eastAsia="Palatino Linotype" w:cs="Times New Roman"/>
          <w:color w:val="000000" w:themeColor="text1"/>
        </w:rPr>
        <w:t xml:space="preserve"> </w:t>
      </w:r>
      <w:r w:rsidRPr="00041AD5" w:rsidR="00566EAF">
        <w:rPr>
          <w:rFonts w:ascii="Palatino Linotype" w:hAnsi="Palatino Linotype" w:eastAsia="Palatino Linotype" w:cs="Times New Roman"/>
          <w:color w:val="000000" w:themeColor="text1"/>
        </w:rPr>
        <w:t>CEC</w:t>
      </w:r>
      <w:r w:rsidRPr="00041AD5">
        <w:rPr>
          <w:rFonts w:ascii="Palatino Linotype" w:hAnsi="Palatino Linotype" w:eastAsia="Palatino Linotype" w:cs="Times New Roman"/>
          <w:color w:val="000000" w:themeColor="text1"/>
        </w:rPr>
        <w:t>, to allocate funds towards its proportional share of a Gas RD&amp;D Program Evaluation</w:t>
      </w:r>
      <w:r w:rsidRPr="00041AD5">
        <w:rPr>
          <w:rStyle w:val="FootnoteReference"/>
          <w:rFonts w:ascii="Palatino Linotype" w:hAnsi="Palatino Linotype" w:eastAsia="Palatino Linotype" w:cs="Times New Roman"/>
          <w:color w:val="000000" w:themeColor="text1"/>
        </w:rPr>
        <w:footnoteReference w:id="116"/>
      </w:r>
      <w:r w:rsidRPr="00041AD5">
        <w:rPr>
          <w:rFonts w:ascii="Palatino Linotype" w:hAnsi="Palatino Linotype" w:eastAsia="Palatino Linotype" w:cs="Times New Roman"/>
          <w:color w:val="000000" w:themeColor="text1"/>
        </w:rPr>
        <w:t xml:space="preserve"> to be implemented by E</w:t>
      </w:r>
      <w:r w:rsidRPr="00041AD5" w:rsidR="00561EBA">
        <w:rPr>
          <w:rFonts w:ascii="Palatino Linotype" w:hAnsi="Palatino Linotype" w:eastAsia="Palatino Linotype" w:cs="Times New Roman"/>
          <w:color w:val="000000" w:themeColor="text1"/>
        </w:rPr>
        <w:t xml:space="preserve">nergy </w:t>
      </w:r>
      <w:r w:rsidRPr="00041AD5">
        <w:rPr>
          <w:rFonts w:ascii="Palatino Linotype" w:hAnsi="Palatino Linotype" w:eastAsia="Palatino Linotype" w:cs="Times New Roman"/>
          <w:color w:val="000000" w:themeColor="text1"/>
        </w:rPr>
        <w:t>D</w:t>
      </w:r>
      <w:r w:rsidRPr="00041AD5" w:rsidR="00561EBA">
        <w:rPr>
          <w:rFonts w:ascii="Palatino Linotype" w:hAnsi="Palatino Linotype" w:eastAsia="Palatino Linotype" w:cs="Times New Roman"/>
          <w:color w:val="000000" w:themeColor="text1"/>
        </w:rPr>
        <w:t>ivision</w:t>
      </w:r>
      <w:r w:rsidRPr="00041AD5">
        <w:rPr>
          <w:rFonts w:ascii="Palatino Linotype" w:hAnsi="Palatino Linotype" w:eastAsia="Palatino Linotype" w:cs="Times New Roman"/>
          <w:color w:val="000000" w:themeColor="text1"/>
        </w:rPr>
        <w:t>. E</w:t>
      </w:r>
      <w:r w:rsidRPr="00041AD5" w:rsidR="00561EBA">
        <w:rPr>
          <w:rFonts w:ascii="Palatino Linotype" w:hAnsi="Palatino Linotype" w:eastAsia="Palatino Linotype" w:cs="Times New Roman"/>
          <w:color w:val="000000" w:themeColor="text1"/>
        </w:rPr>
        <w:t xml:space="preserve">nergy </w:t>
      </w:r>
      <w:r w:rsidRPr="00041AD5">
        <w:rPr>
          <w:rFonts w:ascii="Palatino Linotype" w:hAnsi="Palatino Linotype" w:eastAsia="Palatino Linotype" w:cs="Times New Roman"/>
          <w:color w:val="000000" w:themeColor="text1"/>
        </w:rPr>
        <w:t>D</w:t>
      </w:r>
      <w:r w:rsidRPr="00041AD5" w:rsidR="00561EBA">
        <w:rPr>
          <w:rFonts w:ascii="Palatino Linotype" w:hAnsi="Palatino Linotype" w:eastAsia="Palatino Linotype" w:cs="Times New Roman"/>
          <w:color w:val="000000" w:themeColor="text1"/>
        </w:rPr>
        <w:t>ivision</w:t>
      </w:r>
      <w:r w:rsidRPr="00041AD5">
        <w:rPr>
          <w:rFonts w:ascii="Palatino Linotype" w:hAnsi="Palatino Linotype" w:eastAsia="Palatino Linotype" w:cs="Times New Roman"/>
          <w:color w:val="000000" w:themeColor="text1"/>
        </w:rPr>
        <w:t xml:space="preserve"> shall advise </w:t>
      </w:r>
      <w:r w:rsidRPr="00041AD5" w:rsidR="00376F2C">
        <w:rPr>
          <w:rFonts w:ascii="Palatino Linotype" w:hAnsi="Palatino Linotype" w:eastAsia="Palatino Linotype" w:cs="Times New Roman"/>
          <w:color w:val="000000" w:themeColor="text1"/>
        </w:rPr>
        <w:t xml:space="preserve">the </w:t>
      </w:r>
      <w:r w:rsidRPr="00041AD5" w:rsidR="001C1879">
        <w:rPr>
          <w:rFonts w:ascii="Palatino Linotype" w:hAnsi="Palatino Linotype" w:eastAsia="Palatino Linotype" w:cs="Times New Roman"/>
          <w:color w:val="000000" w:themeColor="text1"/>
        </w:rPr>
        <w:t>CEC</w:t>
      </w:r>
      <w:r w:rsidRPr="00041AD5">
        <w:rPr>
          <w:rFonts w:ascii="Palatino Linotype" w:hAnsi="Palatino Linotype" w:eastAsia="Palatino Linotype" w:cs="Times New Roman"/>
          <w:color w:val="000000" w:themeColor="text1"/>
        </w:rPr>
        <w:t xml:space="preserve"> on any reimbursement process to support a consolidated, comprehensive </w:t>
      </w:r>
      <w:r w:rsidR="00246A08">
        <w:rPr>
          <w:rFonts w:ascii="Palatino Linotype" w:hAnsi="Palatino Linotype" w:eastAsia="Palatino Linotype" w:cs="Times New Roman"/>
          <w:color w:val="000000" w:themeColor="text1"/>
        </w:rPr>
        <w:t>i</w:t>
      </w:r>
      <w:r w:rsidRPr="00041AD5">
        <w:rPr>
          <w:rFonts w:ascii="Palatino Linotype" w:hAnsi="Palatino Linotype" w:eastAsia="Palatino Linotype" w:cs="Times New Roman"/>
          <w:color w:val="000000" w:themeColor="text1"/>
        </w:rPr>
        <w:t xml:space="preserve">ndependent Program Evaluation across all Gas RD&amp;D administrators to </w:t>
      </w:r>
      <w:r w:rsidRPr="00041AD5" w:rsidR="00376F2C">
        <w:rPr>
          <w:rFonts w:ascii="Palatino Linotype" w:hAnsi="Palatino Linotype" w:eastAsia="Palatino Linotype" w:cs="Times New Roman"/>
          <w:color w:val="000000" w:themeColor="text1"/>
        </w:rPr>
        <w:t xml:space="preserve">promote </w:t>
      </w:r>
      <w:r w:rsidRPr="00041AD5">
        <w:rPr>
          <w:rFonts w:ascii="Palatino Linotype" w:hAnsi="Palatino Linotype" w:eastAsia="Palatino Linotype" w:cs="Times New Roman"/>
          <w:color w:val="000000" w:themeColor="text1"/>
        </w:rPr>
        <w:t>efficiencies</w:t>
      </w:r>
      <w:r w:rsidRPr="00041AD5" w:rsidR="009964BF">
        <w:rPr>
          <w:rFonts w:ascii="Palatino Linotype" w:hAnsi="Palatino Linotype" w:eastAsia="Palatino Linotype" w:cs="Times New Roman"/>
          <w:color w:val="000000" w:themeColor="text1"/>
        </w:rPr>
        <w:t xml:space="preserve">, assess </w:t>
      </w:r>
      <w:r w:rsidRPr="00041AD5" w:rsidR="006868E0">
        <w:rPr>
          <w:rFonts w:ascii="Palatino Linotype" w:hAnsi="Palatino Linotype" w:eastAsia="Palatino Linotype" w:cs="Times New Roman"/>
          <w:color w:val="000000" w:themeColor="text1"/>
        </w:rPr>
        <w:t xml:space="preserve">the </w:t>
      </w:r>
      <w:r w:rsidRPr="00041AD5" w:rsidR="009964BF">
        <w:rPr>
          <w:rFonts w:ascii="Palatino Linotype" w:hAnsi="Palatino Linotype" w:eastAsia="Palatino Linotype" w:cs="Times New Roman"/>
          <w:color w:val="000000" w:themeColor="text1"/>
        </w:rPr>
        <w:t xml:space="preserve">Gas RD&amp;D </w:t>
      </w:r>
      <w:r w:rsidRPr="00041AD5" w:rsidR="006868E0">
        <w:rPr>
          <w:rFonts w:ascii="Palatino Linotype" w:hAnsi="Palatino Linotype" w:eastAsia="Palatino Linotype" w:cs="Times New Roman"/>
          <w:color w:val="000000" w:themeColor="text1"/>
        </w:rPr>
        <w:t xml:space="preserve">program </w:t>
      </w:r>
      <w:r w:rsidRPr="00041AD5" w:rsidR="009964BF">
        <w:rPr>
          <w:rFonts w:ascii="Palatino Linotype" w:hAnsi="Palatino Linotype" w:eastAsia="Palatino Linotype" w:cs="Times New Roman"/>
          <w:color w:val="000000" w:themeColor="text1"/>
        </w:rPr>
        <w:t>at a holistic level,</w:t>
      </w:r>
      <w:r w:rsidRPr="00041AD5">
        <w:rPr>
          <w:rFonts w:ascii="Palatino Linotype" w:hAnsi="Palatino Linotype" w:eastAsia="Palatino Linotype" w:cs="Times New Roman"/>
          <w:color w:val="000000" w:themeColor="text1"/>
        </w:rPr>
        <w:t xml:space="preserve"> and improve transparency regarding the use of ratepayer funds.</w:t>
      </w:r>
      <w:r w:rsidRPr="00041AD5" w:rsidR="0032276D">
        <w:rPr>
          <w:rFonts w:ascii="Palatino Linotype" w:hAnsi="Palatino Linotype" w:eastAsia="Palatino Linotype" w:cs="Times New Roman"/>
          <w:color w:val="000000" w:themeColor="text1"/>
        </w:rPr>
        <w:t xml:space="preserve"> </w:t>
      </w:r>
      <w:r w:rsidRPr="00041AD5" w:rsidR="009964BF">
        <w:rPr>
          <w:rFonts w:ascii="Palatino Linotype" w:hAnsi="Palatino Linotype" w:eastAsia="Palatino Linotype" w:cs="Times New Roman"/>
          <w:color w:val="000000" w:themeColor="text1"/>
        </w:rPr>
        <w:t xml:space="preserve">The </w:t>
      </w:r>
      <w:r w:rsidRPr="00041AD5" w:rsidR="001C1879">
        <w:rPr>
          <w:rFonts w:ascii="Palatino Linotype" w:hAnsi="Palatino Linotype" w:eastAsia="Palatino Linotype" w:cs="Times New Roman"/>
          <w:color w:val="000000" w:themeColor="text1"/>
        </w:rPr>
        <w:t>CEC</w:t>
      </w:r>
      <w:r w:rsidRPr="00041AD5">
        <w:rPr>
          <w:rFonts w:ascii="Palatino Linotype" w:hAnsi="Palatino Linotype" w:eastAsia="Palatino Linotype" w:cs="Times New Roman"/>
          <w:color w:val="000000" w:themeColor="text1"/>
        </w:rPr>
        <w:t xml:space="preserve"> </w:t>
      </w:r>
      <w:r w:rsidRPr="00041AD5" w:rsidR="6A8C2350">
        <w:rPr>
          <w:rFonts w:ascii="Palatino Linotype" w:hAnsi="Palatino Linotype" w:eastAsia="Palatino Linotype" w:cs="Times New Roman"/>
          <w:color w:val="000000" w:themeColor="text1"/>
        </w:rPr>
        <w:t>shall</w:t>
      </w:r>
      <w:r w:rsidRPr="00041AD5">
        <w:rPr>
          <w:rFonts w:ascii="Palatino Linotype" w:hAnsi="Palatino Linotype" w:eastAsia="Palatino Linotype" w:cs="Times New Roman"/>
          <w:color w:val="000000" w:themeColor="text1"/>
        </w:rPr>
        <w:t xml:space="preserve"> allocate funds towards its proportional share</w:t>
      </w:r>
      <w:r w:rsidRPr="00041AD5" w:rsidR="4596ECDD">
        <w:rPr>
          <w:rFonts w:ascii="Palatino Linotype" w:hAnsi="Palatino Linotype" w:eastAsia="Palatino Linotype" w:cs="Times New Roman"/>
          <w:color w:val="000000" w:themeColor="text1"/>
        </w:rPr>
        <w:t xml:space="preserve">, </w:t>
      </w:r>
      <w:r w:rsidRPr="00041AD5" w:rsidR="4596ECDD">
        <w:rPr>
          <w:rFonts w:ascii="Palatino Linotype" w:hAnsi="Palatino Linotype"/>
          <w:color w:val="000000" w:themeColor="text1"/>
        </w:rPr>
        <w:t>$184,511,</w:t>
      </w:r>
      <w:r w:rsidRPr="00041AD5">
        <w:rPr>
          <w:rFonts w:ascii="Palatino Linotype" w:hAnsi="Palatino Linotype" w:eastAsia="Palatino Linotype" w:cs="Times New Roman"/>
          <w:color w:val="000000" w:themeColor="text1"/>
        </w:rPr>
        <w:t xml:space="preserve"> of developing a comprehensive Gas RD&amp;D Database of projects</w:t>
      </w:r>
      <w:r w:rsidRPr="00041AD5" w:rsidR="6571B491">
        <w:rPr>
          <w:rFonts w:ascii="Palatino Linotype" w:hAnsi="Palatino Linotype" w:eastAsia="Palatino Linotype" w:cs="Times New Roman"/>
          <w:color w:val="000000" w:themeColor="text1"/>
        </w:rPr>
        <w:t>.</w:t>
      </w:r>
      <w:r w:rsidRPr="00041AD5">
        <w:rPr>
          <w:rStyle w:val="FootnoteReference"/>
          <w:rFonts w:ascii="Palatino Linotype" w:hAnsi="Palatino Linotype" w:eastAsia="Palatino Linotype" w:cs="Times New Roman"/>
          <w:color w:val="000000" w:themeColor="text1"/>
        </w:rPr>
        <w:footnoteReference w:id="117"/>
      </w:r>
      <w:r w:rsidRPr="00041AD5">
        <w:rPr>
          <w:rFonts w:ascii="Palatino Linotype" w:hAnsi="Palatino Linotype"/>
          <w:color w:val="000000" w:themeColor="text1"/>
        </w:rPr>
        <w:t xml:space="preserve"> In consultation with </w:t>
      </w:r>
      <w:r w:rsidRPr="00041AD5" w:rsidR="00561EBA">
        <w:rPr>
          <w:rFonts w:ascii="Palatino Linotype" w:hAnsi="Palatino Linotype" w:eastAsia="Palatino Linotype" w:cs="Times New Roman"/>
          <w:color w:val="000000" w:themeColor="text1"/>
        </w:rPr>
        <w:t>Energy Division</w:t>
      </w:r>
      <w:r w:rsidRPr="00041AD5" w:rsidR="00561EBA">
        <w:rPr>
          <w:rFonts w:ascii="Palatino Linotype" w:hAnsi="Palatino Linotype"/>
          <w:color w:val="000000" w:themeColor="text1"/>
        </w:rPr>
        <w:t xml:space="preserve"> </w:t>
      </w:r>
      <w:r w:rsidRPr="00041AD5">
        <w:rPr>
          <w:rFonts w:ascii="Palatino Linotype" w:hAnsi="Palatino Linotype"/>
          <w:color w:val="000000" w:themeColor="text1"/>
        </w:rPr>
        <w:t xml:space="preserve">staff and the Database administrator, </w:t>
      </w:r>
      <w:r w:rsidRPr="00041AD5" w:rsidR="009964BF">
        <w:rPr>
          <w:rFonts w:ascii="Palatino Linotype" w:hAnsi="Palatino Linotype"/>
          <w:color w:val="000000" w:themeColor="text1"/>
        </w:rPr>
        <w:t xml:space="preserve">the </w:t>
      </w:r>
      <w:r w:rsidRPr="00041AD5" w:rsidR="001C1879">
        <w:rPr>
          <w:rFonts w:ascii="Palatino Linotype" w:hAnsi="Palatino Linotype"/>
          <w:color w:val="000000" w:themeColor="text1"/>
        </w:rPr>
        <w:t>CEC</w:t>
      </w:r>
      <w:r w:rsidRPr="00041AD5">
        <w:rPr>
          <w:rFonts w:ascii="Palatino Linotype" w:hAnsi="Palatino Linotype"/>
          <w:color w:val="000000" w:themeColor="text1"/>
        </w:rPr>
        <w:t xml:space="preserve"> shall allocate and reimburse additional funds in future Plans for its proportional share of the maintenance and operational needs of the Database once established.</w:t>
      </w:r>
      <w:r w:rsidRPr="00041AD5" w:rsidR="009964BF">
        <w:rPr>
          <w:rFonts w:ascii="Palatino Linotype" w:hAnsi="Palatino Linotype"/>
          <w:color w:val="000000" w:themeColor="text1"/>
        </w:rPr>
        <w:t xml:space="preserve"> </w:t>
      </w:r>
      <w:r w:rsidRPr="00041AD5" w:rsidR="009964BF">
        <w:rPr>
          <w:rFonts w:ascii="Palatino Linotype" w:hAnsi="Palatino Linotype" w:eastAsia="Palatino Linotype" w:cs="Times New Roman"/>
          <w:color w:val="000000" w:themeColor="text1"/>
        </w:rPr>
        <w:t>Energy Division shall advise the CEC on next steps.</w:t>
      </w:r>
    </w:p>
    <w:p w:rsidRPr="00041AD5" w:rsidR="006A0099" w:rsidP="006A0099" w:rsidRDefault="006A0099" w14:paraId="51C4EA73" w14:textId="77777777">
      <w:pPr>
        <w:spacing w:after="0" w:line="276" w:lineRule="auto"/>
        <w:rPr>
          <w:rFonts w:ascii="Palatino Linotype" w:hAnsi="Palatino Linotype" w:eastAsia="Palatino Linotype" w:cs="Times New Roman"/>
          <w:color w:val="000000" w:themeColor="text1"/>
          <w:u w:val="single"/>
        </w:rPr>
      </w:pPr>
    </w:p>
    <w:p w:rsidRPr="00041AD5" w:rsidR="006A0099" w:rsidP="006A0099" w:rsidRDefault="006A0099" w14:paraId="0A63172C" w14:textId="77777777">
      <w:pPr>
        <w:spacing w:line="276" w:lineRule="auto"/>
        <w:rPr>
          <w:rFonts w:ascii="Palatino Linotype" w:hAnsi="Palatino Linotype" w:eastAsia="Palatino Linotype" w:cs="Times New Roman"/>
          <w:color w:val="000000" w:themeColor="text1"/>
          <w:u w:val="single"/>
        </w:rPr>
      </w:pPr>
      <w:r w:rsidRPr="00041AD5">
        <w:rPr>
          <w:rFonts w:ascii="Palatino Linotype" w:hAnsi="Palatino Linotype" w:eastAsia="Palatino Linotype" w:cs="Times New Roman"/>
          <w:color w:val="000000" w:themeColor="text1"/>
          <w:u w:val="single"/>
        </w:rPr>
        <w:t>Modeling EPIC’s Strategic Goals &amp; Objectives</w:t>
      </w:r>
    </w:p>
    <w:p w:rsidRPr="00041AD5" w:rsidR="006A0099" w:rsidP="006A0099" w:rsidRDefault="00D26D88" w14:paraId="4D6B9194" w14:textId="7D2CC89A">
      <w:pPr>
        <w:spacing w:after="0" w:line="276" w:lineRule="auto"/>
        <w:rPr>
          <w:rFonts w:ascii="Palatino Linotype" w:hAnsi="Palatino Linotype"/>
          <w:color w:val="000000" w:themeColor="text1"/>
        </w:rPr>
      </w:pPr>
      <w:r w:rsidRPr="00041AD5">
        <w:rPr>
          <w:rFonts w:ascii="Palatino Linotype" w:hAnsi="Palatino Linotype"/>
          <w:color w:val="000000" w:themeColor="text1"/>
        </w:rPr>
        <w:t>In Resolution G-3618 (202</w:t>
      </w:r>
      <w:r w:rsidRPr="00041AD5" w:rsidR="002248AB">
        <w:rPr>
          <w:rFonts w:ascii="Palatino Linotype" w:hAnsi="Palatino Linotype"/>
          <w:color w:val="000000" w:themeColor="text1"/>
        </w:rPr>
        <w:t>6</w:t>
      </w:r>
      <w:r w:rsidRPr="00041AD5">
        <w:rPr>
          <w:rFonts w:ascii="Palatino Linotype" w:hAnsi="Palatino Linotype"/>
          <w:color w:val="000000" w:themeColor="text1"/>
        </w:rPr>
        <w:t>),</w:t>
      </w:r>
      <w:r w:rsidRPr="00041AD5">
        <w:rPr>
          <w:rStyle w:val="FootnoteReference"/>
          <w:rFonts w:ascii="Palatino Linotype" w:hAnsi="Palatino Linotype"/>
          <w:color w:val="000000" w:themeColor="text1"/>
        </w:rPr>
        <w:footnoteReference w:id="118"/>
      </w:r>
      <w:r w:rsidRPr="00041AD5">
        <w:rPr>
          <w:rFonts w:ascii="Palatino Linotype" w:hAnsi="Palatino Linotype"/>
          <w:color w:val="000000" w:themeColor="text1"/>
        </w:rPr>
        <w:t xml:space="preserve"> </w:t>
      </w:r>
      <w:r w:rsidRPr="00041AD5" w:rsidR="003B40B4">
        <w:rPr>
          <w:rFonts w:ascii="Palatino Linotype" w:hAnsi="Palatino Linotype"/>
          <w:color w:val="000000" w:themeColor="text1"/>
        </w:rPr>
        <w:t xml:space="preserve">the Commission </w:t>
      </w:r>
      <w:r w:rsidRPr="00041AD5" w:rsidR="009964BF">
        <w:rPr>
          <w:rFonts w:ascii="Palatino Linotype" w:hAnsi="Palatino Linotype"/>
          <w:color w:val="000000" w:themeColor="text1"/>
        </w:rPr>
        <w:t xml:space="preserve">finds </w:t>
      </w:r>
      <w:r w:rsidRPr="00041AD5" w:rsidR="003B40B4">
        <w:rPr>
          <w:rFonts w:ascii="Palatino Linotype" w:hAnsi="Palatino Linotype"/>
          <w:color w:val="000000" w:themeColor="text1"/>
        </w:rPr>
        <w:t xml:space="preserve">that </w:t>
      </w:r>
      <w:r w:rsidRPr="00041AD5" w:rsidR="00561EBA">
        <w:rPr>
          <w:rFonts w:ascii="Palatino Linotype" w:hAnsi="Palatino Linotype" w:eastAsia="Palatino Linotype" w:cs="Times New Roman"/>
          <w:color w:val="000000" w:themeColor="text1"/>
        </w:rPr>
        <w:t>Energy Division</w:t>
      </w:r>
      <w:r w:rsidRPr="00041AD5" w:rsidR="006A0099">
        <w:rPr>
          <w:rFonts w:ascii="Palatino Linotype" w:hAnsi="Palatino Linotype"/>
          <w:color w:val="000000" w:themeColor="text1"/>
        </w:rPr>
        <w:t xml:space="preserve"> staff may commence a stakeholder process and </w:t>
      </w:r>
      <w:r w:rsidRPr="00041AD5" w:rsidR="009B3679">
        <w:rPr>
          <w:rFonts w:ascii="Palatino Linotype" w:hAnsi="Palatino Linotype"/>
          <w:color w:val="000000" w:themeColor="text1"/>
        </w:rPr>
        <w:t xml:space="preserve">facilitate </w:t>
      </w:r>
      <w:r w:rsidRPr="00041AD5" w:rsidR="00F30EAF">
        <w:rPr>
          <w:rFonts w:ascii="Palatino Linotype" w:hAnsi="Palatino Linotype"/>
          <w:color w:val="000000" w:themeColor="text1"/>
        </w:rPr>
        <w:t xml:space="preserve">strategic planning to </w:t>
      </w:r>
      <w:r w:rsidRPr="00041AD5" w:rsidR="009B3679">
        <w:rPr>
          <w:rFonts w:ascii="Palatino Linotype" w:hAnsi="Palatino Linotype"/>
          <w:color w:val="000000" w:themeColor="text1"/>
        </w:rPr>
        <w:t xml:space="preserve">model the EPIC </w:t>
      </w:r>
      <w:r w:rsidRPr="00041AD5" w:rsidR="00F30EAF">
        <w:rPr>
          <w:rFonts w:ascii="Palatino Linotype" w:hAnsi="Palatino Linotype"/>
          <w:color w:val="000000" w:themeColor="text1"/>
        </w:rPr>
        <w:t xml:space="preserve">program </w:t>
      </w:r>
      <w:r w:rsidRPr="00041AD5" w:rsidR="007E6A18">
        <w:rPr>
          <w:rFonts w:ascii="Palatino Linotype" w:hAnsi="Palatino Linotype"/>
          <w:color w:val="000000" w:themeColor="text1"/>
        </w:rPr>
        <w:t>by identifying</w:t>
      </w:r>
      <w:r w:rsidRPr="00041AD5" w:rsidR="009B3679">
        <w:rPr>
          <w:rFonts w:ascii="Palatino Linotype" w:hAnsi="Palatino Linotype"/>
          <w:color w:val="000000" w:themeColor="text1"/>
        </w:rPr>
        <w:t xml:space="preserve"> Strategic Goals</w:t>
      </w:r>
      <w:r w:rsidRPr="00041AD5" w:rsidR="009B3679">
        <w:rPr>
          <w:rStyle w:val="FootnoteReference"/>
          <w:rFonts w:ascii="Palatino Linotype" w:hAnsi="Palatino Linotype" w:eastAsia="Palatino Linotype" w:cs="Palatino Linotype"/>
          <w:color w:val="000000" w:themeColor="text1"/>
        </w:rPr>
        <w:footnoteReference w:id="119"/>
      </w:r>
      <w:r w:rsidRPr="00041AD5" w:rsidR="009B3679">
        <w:rPr>
          <w:rFonts w:ascii="Palatino Linotype" w:hAnsi="Palatino Linotype"/>
          <w:color w:val="000000" w:themeColor="text1"/>
        </w:rPr>
        <w:t xml:space="preserve"> to promote coordination, consistency, and best practices across ratepayer-funded RD&amp;D investments.</w:t>
      </w:r>
    </w:p>
    <w:p w:rsidRPr="00041AD5" w:rsidR="00900A8E" w:rsidP="003147DD" w:rsidRDefault="00900A8E" w14:paraId="6C766CC9" w14:textId="77777777">
      <w:pPr>
        <w:spacing w:after="0" w:line="276" w:lineRule="auto"/>
        <w:rPr>
          <w:rFonts w:ascii="Palatino Linotype" w:hAnsi="Palatino Linotype" w:eastAsia="Palatino Linotype" w:cs="Times New Roman"/>
          <w:color w:val="000000" w:themeColor="text1"/>
          <w:kern w:val="0"/>
          <w14:ligatures w14:val="none"/>
        </w:rPr>
      </w:pPr>
    </w:p>
    <w:p w:rsidRPr="00041AD5" w:rsidR="00A76F4A" w:rsidP="003147DD" w:rsidRDefault="00A76F4A" w14:paraId="3D85FD64" w14:textId="63A5DED9">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Comments</w:t>
      </w:r>
    </w:p>
    <w:p w:rsidRPr="00041AD5" w:rsidR="00A76F4A" w:rsidP="005010B9" w:rsidRDefault="00A76F4A" w14:paraId="2ADB9E57" w14:textId="149D996D">
      <w:p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w:t>
      </w:r>
      <w:r w:rsidRPr="00041AD5">
        <w:rPr>
          <w:rFonts w:ascii="Palatino Linotype" w:hAnsi="Palatino Linotype" w:eastAsia="Palatino Linotype" w:cs="Times New Roman"/>
          <w:color w:val="000000" w:themeColor="text1"/>
          <w:kern w:val="0"/>
          <w14:ligatures w14:val="none"/>
        </w:rPr>
        <w:lastRenderedPageBreak/>
        <w:t xml:space="preserve">that this 30-day review period and 20-day comment period may be reduced or waived upon the stipulation of all parties in the proceeding. </w:t>
      </w:r>
      <w:r w:rsidRPr="00041AD5" w:rsidR="00FE7722">
        <w:rPr>
          <w:rFonts w:ascii="Palatino Linotype" w:hAnsi="Palatino Linotype" w:eastAsia="Palatino Linotype" w:cs="Times New Roman"/>
          <w:color w:val="000000" w:themeColor="text1"/>
          <w:kern w:val="0"/>
          <w14:ligatures w14:val="none"/>
        </w:rPr>
        <w:t>Comments must be limited to 10 pages or less.</w:t>
      </w:r>
    </w:p>
    <w:p w:rsidRPr="00041AD5" w:rsidR="005010B9" w:rsidP="005010B9" w:rsidRDefault="005010B9" w14:paraId="7675BB9F" w14:textId="77777777">
      <w:pPr>
        <w:spacing w:after="0" w:line="276" w:lineRule="auto"/>
        <w:rPr>
          <w:rFonts w:ascii="Palatino Linotype" w:hAnsi="Palatino Linotype" w:eastAsia="Palatino Linotype" w:cs="Times New Roman"/>
          <w:color w:val="000000" w:themeColor="text1"/>
          <w:kern w:val="0"/>
          <w14:ligatures w14:val="none"/>
        </w:rPr>
      </w:pPr>
    </w:p>
    <w:p w:rsidRPr="00A70537" w:rsidR="00561EBA" w:rsidP="00A70537" w:rsidRDefault="00A76F4A" w14:paraId="79D6F305" w14:textId="2D524746">
      <w:pPr>
        <w:keepNext/>
        <w:spacing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Findings AND CONCLUSIONS</w:t>
      </w:r>
    </w:p>
    <w:p w:rsidRPr="00041AD5" w:rsidR="008100B6" w:rsidP="001F187A" w:rsidRDefault="00E05F3E" w14:paraId="7CFEA18E" w14:textId="06E211F8">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ED2B79">
        <w:rPr>
          <w:rFonts w:ascii="Palatino Linotype" w:hAnsi="Palatino Linotype" w:eastAsia="Times New Roman" w:cs="Times New Roman"/>
          <w:color w:val="000000" w:themeColor="text1"/>
          <w:kern w:val="0"/>
          <w14:ligatures w14:val="none"/>
        </w:rPr>
        <w:t xml:space="preserve">California Energy Commission (CEC) </w:t>
      </w:r>
      <w:r w:rsidRPr="00041AD5">
        <w:rPr>
          <w:rFonts w:ascii="Palatino Linotype" w:hAnsi="Palatino Linotype" w:eastAsia="Palatino Linotype" w:cs="Times New Roman"/>
          <w:color w:val="000000" w:themeColor="text1"/>
          <w:kern w:val="0"/>
          <w14:ligatures w14:val="none"/>
        </w:rPr>
        <w:t xml:space="preserve">filed </w:t>
      </w:r>
      <w:r w:rsidRPr="00041AD5" w:rsidR="00BB648A">
        <w:rPr>
          <w:rFonts w:ascii="Palatino Linotype" w:hAnsi="Palatino Linotype" w:eastAsia="Palatino Linotype" w:cs="Times New Roman"/>
          <w:color w:val="000000" w:themeColor="text1"/>
          <w:kern w:val="0"/>
          <w14:ligatures w14:val="none"/>
        </w:rPr>
        <w:t>its</w:t>
      </w:r>
      <w:r w:rsidRPr="00041AD5" w:rsidR="003B5344">
        <w:rPr>
          <w:rFonts w:ascii="Palatino Linotype" w:hAnsi="Palatino Linotype" w:eastAsia="Palatino Linotype" w:cs="Times New Roman"/>
          <w:color w:val="000000" w:themeColor="text1"/>
          <w:kern w:val="0"/>
          <w14:ligatures w14:val="none"/>
        </w:rPr>
        <w:t xml:space="preserve"> </w:t>
      </w:r>
      <w:r w:rsidRPr="00041AD5" w:rsidR="00ED2B79">
        <w:rPr>
          <w:rFonts w:ascii="Palatino Linotype" w:hAnsi="Palatino Linotype" w:eastAsia="Times New Roman" w:cs="Times New Roman"/>
          <w:color w:val="000000" w:themeColor="text1"/>
          <w:kern w:val="0"/>
          <w14:ligatures w14:val="none"/>
        </w:rPr>
        <w:t xml:space="preserve">2024 (AL </w:t>
      </w:r>
      <w:r w:rsidRPr="00041AD5" w:rsidR="00AB59D9">
        <w:rPr>
          <w:rFonts w:ascii="Palatino Linotype" w:hAnsi="Palatino Linotype" w:eastAsia="Times New Roman" w:cs="Times New Roman"/>
          <w:color w:val="000000" w:themeColor="text1"/>
          <w:kern w:val="0"/>
          <w14:ligatures w14:val="none"/>
        </w:rPr>
        <w:t>12</w:t>
      </w:r>
      <w:r w:rsidRPr="00041AD5" w:rsidR="00ED2B79">
        <w:rPr>
          <w:rFonts w:ascii="Palatino Linotype" w:hAnsi="Palatino Linotype" w:eastAsia="Times New Roman" w:cs="Times New Roman"/>
          <w:color w:val="000000" w:themeColor="text1"/>
          <w:kern w:val="0"/>
          <w14:ligatures w14:val="none"/>
        </w:rPr>
        <w:t xml:space="preserve">-G) and 2025 (AL </w:t>
      </w:r>
      <w:r w:rsidRPr="00041AD5" w:rsidR="00AB59D9">
        <w:rPr>
          <w:rFonts w:ascii="Palatino Linotype" w:hAnsi="Palatino Linotype" w:eastAsia="Times New Roman" w:cs="Times New Roman"/>
          <w:color w:val="000000" w:themeColor="text1"/>
          <w:kern w:val="0"/>
          <w14:ligatures w14:val="none"/>
        </w:rPr>
        <w:t>10</w:t>
      </w:r>
      <w:r w:rsidRPr="00041AD5" w:rsidR="00ED2B79">
        <w:rPr>
          <w:rFonts w:ascii="Palatino Linotype" w:hAnsi="Palatino Linotype" w:eastAsia="Times New Roman" w:cs="Times New Roman"/>
          <w:color w:val="000000" w:themeColor="text1"/>
          <w:kern w:val="0"/>
          <w14:ligatures w14:val="none"/>
        </w:rPr>
        <w:t>-G</w:t>
      </w:r>
      <w:r w:rsidRPr="00041AD5" w:rsidR="00AB59D9">
        <w:rPr>
          <w:rFonts w:ascii="Palatino Linotype" w:hAnsi="Palatino Linotype" w:eastAsia="Times New Roman" w:cs="Times New Roman"/>
          <w:color w:val="000000" w:themeColor="text1"/>
          <w:kern w:val="0"/>
          <w14:ligatures w14:val="none"/>
        </w:rPr>
        <w:t>-A</w:t>
      </w:r>
      <w:r w:rsidRPr="00041AD5" w:rsidR="00ED2B79">
        <w:rPr>
          <w:rFonts w:ascii="Palatino Linotype" w:hAnsi="Palatino Linotype" w:eastAsia="Times New Roman" w:cs="Times New Roman"/>
          <w:color w:val="000000" w:themeColor="text1"/>
          <w:kern w:val="0"/>
          <w14:ligatures w14:val="none"/>
        </w:rPr>
        <w:t xml:space="preserve">) </w:t>
      </w:r>
      <w:r w:rsidRPr="00041AD5">
        <w:rPr>
          <w:rFonts w:ascii="Palatino Linotype" w:hAnsi="Palatino Linotype" w:eastAsia="Palatino Linotype" w:cs="Times New Roman"/>
          <w:color w:val="000000" w:themeColor="text1"/>
          <w:kern w:val="0"/>
          <w14:ligatures w14:val="none"/>
        </w:rPr>
        <w:t xml:space="preserve">Gas Research, Development, </w:t>
      </w:r>
      <w:r w:rsidRPr="00041AD5" w:rsidR="00645ABD">
        <w:rPr>
          <w:rFonts w:ascii="Palatino Linotype" w:hAnsi="Palatino Linotype" w:eastAsia="Palatino Linotype" w:cs="Times New Roman"/>
          <w:color w:val="000000" w:themeColor="text1"/>
          <w:kern w:val="0"/>
          <w14:ligatures w14:val="none"/>
        </w:rPr>
        <w:t>and Demonstration (RD&amp;D) Investment Plan</w:t>
      </w:r>
      <w:r w:rsidRPr="00041AD5" w:rsidR="00ED2B79">
        <w:rPr>
          <w:rFonts w:ascii="Palatino Linotype" w:hAnsi="Palatino Linotype" w:eastAsia="Palatino Linotype" w:cs="Times New Roman"/>
          <w:color w:val="000000" w:themeColor="text1"/>
          <w:kern w:val="0"/>
          <w14:ligatures w14:val="none"/>
        </w:rPr>
        <w:t>s</w:t>
      </w:r>
      <w:r w:rsidRPr="00041AD5" w:rsidR="00645ABD">
        <w:rPr>
          <w:rFonts w:ascii="Palatino Linotype" w:hAnsi="Palatino Linotype" w:eastAsia="Palatino Linotype" w:cs="Times New Roman"/>
          <w:color w:val="000000" w:themeColor="text1"/>
          <w:kern w:val="0"/>
          <w14:ligatures w14:val="none"/>
        </w:rPr>
        <w:t xml:space="preserve"> per </w:t>
      </w:r>
      <w:r w:rsidRPr="00041AD5" w:rsidR="0056763F">
        <w:rPr>
          <w:rFonts w:ascii="Palatino Linotype" w:hAnsi="Palatino Linotype" w:eastAsia="Palatino Linotype" w:cs="Times New Roman"/>
          <w:color w:val="000000" w:themeColor="text1"/>
          <w:kern w:val="0"/>
          <w14:ligatures w14:val="none"/>
        </w:rPr>
        <w:t>d</w:t>
      </w:r>
      <w:r w:rsidRPr="00041AD5" w:rsidR="00645ABD">
        <w:rPr>
          <w:rFonts w:ascii="Palatino Linotype" w:hAnsi="Palatino Linotype" w:eastAsia="Palatino Linotype" w:cs="Times New Roman"/>
          <w:color w:val="000000" w:themeColor="text1"/>
          <w:kern w:val="0"/>
          <w14:ligatures w14:val="none"/>
        </w:rPr>
        <w:t>ecision (D.)04-08-010</w:t>
      </w:r>
      <w:r w:rsidRPr="00041AD5" w:rsidR="001F187A">
        <w:rPr>
          <w:rFonts w:ascii="Palatino Linotype" w:hAnsi="Palatino Linotype" w:eastAsia="Palatino Linotype" w:cs="Times New Roman"/>
          <w:color w:val="000000" w:themeColor="text1"/>
          <w:kern w:val="0"/>
          <w14:ligatures w14:val="none"/>
        </w:rPr>
        <w:t>.</w:t>
      </w:r>
    </w:p>
    <w:p w:rsidRPr="00041AD5" w:rsidR="0078634C" w:rsidP="0078634C" w:rsidRDefault="00561EBA" w14:paraId="77CB54C1" w14:textId="72572894">
      <w:pPr>
        <w:pStyle w:val="ListParagraph"/>
        <w:keepNext/>
        <w:numPr>
          <w:ilvl w:val="0"/>
          <w:numId w:val="4"/>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kern w:val="0"/>
          <w14:ligatures w14:val="none"/>
        </w:rPr>
        <w:t>The CEC’s proposed Gas RD&amp;D Plan</w:t>
      </w:r>
      <w:r w:rsidRPr="00041AD5">
        <w:rPr>
          <w:rFonts w:ascii="Palatino Linotype" w:hAnsi="Palatino Linotype" w:eastAsia="Palatino Linotype" w:cs="Times New Roman"/>
          <w:color w:val="000000" w:themeColor="text1"/>
        </w:rPr>
        <w:t xml:space="preserve"> </w:t>
      </w:r>
      <w:r w:rsidRPr="00041AD5" w:rsidR="0078634C">
        <w:rPr>
          <w:rFonts w:ascii="Palatino Linotype" w:hAnsi="Palatino Linotype" w:eastAsia="Palatino Linotype" w:cs="Times New Roman"/>
          <w:color w:val="000000" w:themeColor="text1"/>
        </w:rPr>
        <w:t>and associated zero-based budget only become</w:t>
      </w:r>
      <w:r w:rsidRPr="00041AD5">
        <w:rPr>
          <w:rFonts w:ascii="Palatino Linotype" w:hAnsi="Palatino Linotype" w:eastAsia="Palatino Linotype" w:cs="Times New Roman"/>
          <w:color w:val="000000" w:themeColor="text1"/>
        </w:rPr>
        <w:t xml:space="preserve"> effective upon Commission </w:t>
      </w:r>
      <w:r w:rsidRPr="00041AD5" w:rsidR="0078634C">
        <w:rPr>
          <w:rFonts w:ascii="Palatino Linotype" w:hAnsi="Palatino Linotype" w:eastAsia="Palatino Linotype" w:cs="Times New Roman"/>
          <w:color w:val="000000" w:themeColor="text1"/>
        </w:rPr>
        <w:t>approval via</w:t>
      </w:r>
      <w:r w:rsidRPr="00041AD5">
        <w:rPr>
          <w:rFonts w:ascii="Palatino Linotype" w:hAnsi="Palatino Linotype" w:eastAsia="Palatino Linotype" w:cs="Times New Roman"/>
          <w:color w:val="000000" w:themeColor="text1"/>
        </w:rPr>
        <w:t xml:space="preserve">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esolution</w:t>
      </w:r>
      <w:r w:rsidRPr="00041AD5" w:rsidR="0078634C">
        <w:rPr>
          <w:rFonts w:ascii="Palatino Linotype" w:hAnsi="Palatino Linotype" w:eastAsia="Palatino Linotype" w:cs="Times New Roman"/>
          <w:color w:val="000000" w:themeColor="text1"/>
        </w:rPr>
        <w:t>.</w:t>
      </w:r>
    </w:p>
    <w:p w:rsidRPr="00041AD5" w:rsidR="00F35D38" w:rsidP="00A6502A" w:rsidRDefault="00A6502A" w14:paraId="1DA7538C" w14:textId="251F6E1E">
      <w:pPr>
        <w:pStyle w:val="ListParagraph"/>
        <w:keepNext/>
        <w:numPr>
          <w:ilvl w:val="0"/>
          <w:numId w:val="4"/>
        </w:numPr>
        <w:spacing w:after="240"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Prior to Gas RD&amp;D Plan approval via </w:t>
      </w:r>
      <w:r w:rsidRPr="00041AD5" w:rsidR="00BF2A11">
        <w:rPr>
          <w:rFonts w:ascii="Palatino Linotype" w:hAnsi="Palatino Linotype" w:eastAsia="Palatino Linotype" w:cs="Times New Roman"/>
          <w:color w:val="000000" w:themeColor="text1"/>
        </w:rPr>
        <w:t>r</w:t>
      </w:r>
      <w:r w:rsidRPr="00041AD5">
        <w:rPr>
          <w:rFonts w:ascii="Palatino Linotype" w:hAnsi="Palatino Linotype" w:eastAsia="Palatino Linotype" w:cs="Times New Roman"/>
          <w:color w:val="000000" w:themeColor="text1"/>
        </w:rPr>
        <w:t xml:space="preserve">esolution, Energy Division must verify </w:t>
      </w:r>
      <w:r w:rsidRPr="00041AD5" w:rsidR="00AC1C42">
        <w:rPr>
          <w:rFonts w:ascii="Palatino Linotype" w:hAnsi="Palatino Linotype" w:eastAsia="Palatino Linotype" w:cs="Times New Roman"/>
          <w:color w:val="000000" w:themeColor="text1"/>
        </w:rPr>
        <w:t xml:space="preserve">the </w:t>
      </w:r>
      <w:r w:rsidRPr="00041AD5">
        <w:rPr>
          <w:rFonts w:ascii="Palatino Linotype" w:hAnsi="Palatino Linotype" w:eastAsia="Palatino Linotype" w:cs="Times New Roman"/>
          <w:color w:val="000000" w:themeColor="text1"/>
        </w:rPr>
        <w:t xml:space="preserve">CEC’s balance of applicable unspent funds </w:t>
      </w:r>
      <w:r w:rsidRPr="00041AD5" w:rsidR="00D17233">
        <w:rPr>
          <w:rFonts w:ascii="Palatino Linotype" w:hAnsi="Palatino Linotype" w:eastAsia="Palatino Linotype" w:cs="Times New Roman"/>
          <w:color w:val="000000" w:themeColor="text1"/>
        </w:rPr>
        <w:t xml:space="preserve">in addition to </w:t>
      </w:r>
      <w:r w:rsidRPr="00041AD5" w:rsidR="00F73DA3">
        <w:rPr>
          <w:rFonts w:ascii="Palatino Linotype" w:hAnsi="Palatino Linotype" w:eastAsia="Palatino Linotype" w:cs="Times New Roman"/>
          <w:color w:val="000000" w:themeColor="text1"/>
        </w:rPr>
        <w:t xml:space="preserve">potential interest and </w:t>
      </w:r>
      <w:r w:rsidRPr="00041AD5" w:rsidR="00D17233">
        <w:rPr>
          <w:rFonts w:ascii="Palatino Linotype" w:hAnsi="Palatino Linotype" w:eastAsia="Palatino Linotype" w:cs="Times New Roman"/>
          <w:color w:val="000000" w:themeColor="text1"/>
        </w:rPr>
        <w:t xml:space="preserve">commercial benefits </w:t>
      </w:r>
      <w:r w:rsidRPr="00041AD5" w:rsidR="00CE48EC">
        <w:rPr>
          <w:rFonts w:ascii="Palatino Linotype" w:hAnsi="Palatino Linotype" w:eastAsia="Palatino Linotype" w:cs="Times New Roman"/>
          <w:color w:val="000000" w:themeColor="text1"/>
        </w:rPr>
        <w:t>from Gas RD&amp;D funds and investments, all of</w:t>
      </w:r>
      <w:r w:rsidRPr="00041AD5">
        <w:rPr>
          <w:rFonts w:ascii="Palatino Linotype" w:hAnsi="Palatino Linotype" w:eastAsia="Palatino Linotype" w:cs="Times New Roman"/>
          <w:color w:val="000000" w:themeColor="text1"/>
        </w:rPr>
        <w:t xml:space="preserve"> which must be used to offset new and/or additional ratepayer costs for </w:t>
      </w:r>
      <w:r w:rsidRPr="00041AD5" w:rsidR="005C4BE6">
        <w:rPr>
          <w:rFonts w:ascii="Palatino Linotype" w:hAnsi="Palatino Linotype" w:eastAsia="Palatino Linotype" w:cs="Times New Roman"/>
          <w:color w:val="000000" w:themeColor="text1"/>
        </w:rPr>
        <w:t xml:space="preserve">the </w:t>
      </w:r>
      <w:r w:rsidRPr="00041AD5">
        <w:rPr>
          <w:rFonts w:ascii="Palatino Linotype" w:hAnsi="Palatino Linotype" w:eastAsia="Palatino Linotype" w:cs="Times New Roman"/>
          <w:color w:val="000000" w:themeColor="text1"/>
        </w:rPr>
        <w:t>CEC’s Gas RD&amp;D Plans accordingly.</w:t>
      </w:r>
      <w:r w:rsidRPr="00041AD5" w:rsidR="00EE6A3F">
        <w:rPr>
          <w:rFonts w:ascii="Palatino Linotype" w:hAnsi="Palatino Linotype" w:eastAsia="Palatino Linotype" w:cs="Times New Roman"/>
          <w:color w:val="000000" w:themeColor="text1"/>
        </w:rPr>
        <w:t xml:space="preserve"> The CEC must utilize these</w:t>
      </w:r>
      <w:r w:rsidRPr="00041AD5" w:rsidR="00F35D38">
        <w:rPr>
          <w:rFonts w:ascii="Palatino Linotype" w:hAnsi="Palatino Linotype" w:eastAsia="Palatino Linotype" w:cs="Times New Roman"/>
          <w:color w:val="000000" w:themeColor="text1"/>
        </w:rPr>
        <w:t xml:space="preserve"> funds prior to </w:t>
      </w:r>
      <w:r w:rsidRPr="00041AD5" w:rsidR="00737A21">
        <w:rPr>
          <w:rFonts w:ascii="Palatino Linotype" w:hAnsi="Palatino Linotype" w:eastAsia="Palatino Linotype" w:cs="Times New Roman"/>
          <w:color w:val="000000" w:themeColor="text1"/>
        </w:rPr>
        <w:t>any new and/or additional ratepayer funds.</w:t>
      </w:r>
    </w:p>
    <w:p w:rsidRPr="00041AD5" w:rsidR="00561EBA" w:rsidP="0078634C" w:rsidRDefault="00561EBA" w14:paraId="3F916FE3" w14:textId="2F481672">
      <w:pPr>
        <w:pStyle w:val="ListParagraph"/>
        <w:keepNext/>
        <w:numPr>
          <w:ilvl w:val="0"/>
          <w:numId w:val="4"/>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Energy Division staff must ensure that utility surcharge rates for the following year are consistent with the adopted zero-based budget</w:t>
      </w:r>
      <w:r w:rsidRPr="00041AD5" w:rsidR="00BF19F0">
        <w:rPr>
          <w:rFonts w:ascii="Palatino Linotype" w:hAnsi="Palatino Linotype" w:eastAsia="Palatino Linotype" w:cs="Times New Roman"/>
          <w:color w:val="000000" w:themeColor="text1"/>
        </w:rPr>
        <w:t xml:space="preserve"> and reflective of the </w:t>
      </w:r>
      <w:r w:rsidRPr="00041AD5" w:rsidR="00A22543">
        <w:rPr>
          <w:rFonts w:ascii="Palatino Linotype" w:hAnsi="Palatino Linotype" w:eastAsia="Palatino Linotype" w:cs="Times New Roman"/>
          <w:color w:val="000000" w:themeColor="text1"/>
        </w:rPr>
        <w:t>funds used to offset new and/or additional ratepayer funds.</w:t>
      </w:r>
      <w:r w:rsidRPr="00041AD5">
        <w:rPr>
          <w:rFonts w:ascii="Palatino Linotype" w:hAnsi="Palatino Linotype" w:eastAsia="Palatino Linotype" w:cs="Times New Roman"/>
          <w:color w:val="000000" w:themeColor="text1"/>
        </w:rPr>
        <w:t xml:space="preserve"> </w:t>
      </w:r>
    </w:p>
    <w:p w:rsidRPr="00041AD5" w:rsidR="001D5F2F" w:rsidP="0078634C" w:rsidRDefault="009C1F08" w14:paraId="1A89202E" w14:textId="440F52FD">
      <w:pPr>
        <w:pStyle w:val="ListParagraph"/>
        <w:keepNext/>
        <w:numPr>
          <w:ilvl w:val="0"/>
          <w:numId w:val="4"/>
        </w:numPr>
        <w:spacing w:line="276" w:lineRule="auto"/>
        <w:rPr>
          <w:rFonts w:ascii="Palatino Linotype" w:hAnsi="Palatino Linotype" w:eastAsia="Palatino Linotype" w:cs="Times New Roman"/>
          <w:color w:val="000000" w:themeColor="text1"/>
        </w:rPr>
      </w:pPr>
      <w:r w:rsidRPr="00041AD5">
        <w:rPr>
          <w:rFonts w:ascii="Palatino Linotype" w:hAnsi="Palatino Linotype" w:eastAsia="Palatino Linotype" w:cs="Times New Roman"/>
          <w:color w:val="000000" w:themeColor="text1"/>
        </w:rPr>
        <w:t xml:space="preserve">Disbursements from </w:t>
      </w:r>
      <w:r w:rsidRPr="00041AD5" w:rsidR="005C4BE6">
        <w:rPr>
          <w:rFonts w:ascii="Palatino Linotype" w:hAnsi="Palatino Linotype" w:eastAsia="Palatino Linotype" w:cs="Times New Roman"/>
          <w:color w:val="000000" w:themeColor="text1"/>
        </w:rPr>
        <w:t xml:space="preserve">the </w:t>
      </w:r>
      <w:r w:rsidRPr="00041AD5">
        <w:rPr>
          <w:rFonts w:ascii="Palatino Linotype" w:hAnsi="Palatino Linotype" w:eastAsia="Palatino Linotype" w:cs="Times New Roman"/>
          <w:color w:val="000000" w:themeColor="text1"/>
        </w:rPr>
        <w:t xml:space="preserve">CPUC’s Gas Consumption Surcharge Fund to </w:t>
      </w:r>
      <w:r w:rsidRPr="00041AD5" w:rsidR="005C4BE6">
        <w:rPr>
          <w:rFonts w:ascii="Palatino Linotype" w:hAnsi="Palatino Linotype" w:eastAsia="Palatino Linotype" w:cs="Times New Roman"/>
          <w:color w:val="000000" w:themeColor="text1"/>
        </w:rPr>
        <w:t xml:space="preserve">the </w:t>
      </w:r>
      <w:r w:rsidR="000B324C">
        <w:rPr>
          <w:rFonts w:ascii="Palatino Linotype" w:hAnsi="Palatino Linotype" w:eastAsia="Palatino Linotype" w:cs="Times New Roman"/>
          <w:color w:val="000000" w:themeColor="text1"/>
        </w:rPr>
        <w:br/>
      </w:r>
      <w:r w:rsidRPr="00041AD5">
        <w:rPr>
          <w:rFonts w:ascii="Palatino Linotype" w:hAnsi="Palatino Linotype" w:eastAsia="Palatino Linotype" w:cs="Times New Roman"/>
          <w:color w:val="000000" w:themeColor="text1"/>
        </w:rPr>
        <w:t xml:space="preserve">CEC’s Public Interest RD&amp;D Fund </w:t>
      </w:r>
      <w:r w:rsidR="00A11E9B">
        <w:rPr>
          <w:rFonts w:ascii="Palatino Linotype" w:hAnsi="Palatino Linotype" w:eastAsia="Palatino Linotype" w:cs="Times New Roman"/>
          <w:color w:val="000000" w:themeColor="text1"/>
        </w:rPr>
        <w:t>must</w:t>
      </w:r>
      <w:r w:rsidRPr="00041AD5">
        <w:rPr>
          <w:rFonts w:ascii="Palatino Linotype" w:hAnsi="Palatino Linotype" w:eastAsia="Palatino Linotype" w:cs="Times New Roman"/>
          <w:color w:val="000000" w:themeColor="text1"/>
        </w:rPr>
        <w:t xml:space="preserve"> not exceed the zero-based budget </w:t>
      </w:r>
      <w:r w:rsidRPr="00041AD5" w:rsidR="009D665D">
        <w:rPr>
          <w:rFonts w:ascii="Palatino Linotype" w:hAnsi="Palatino Linotype" w:eastAsia="Palatino Linotype" w:cs="Times New Roman"/>
          <w:color w:val="000000" w:themeColor="text1"/>
        </w:rPr>
        <w:t>adopted by the Commission.</w:t>
      </w:r>
    </w:p>
    <w:p w:rsidRPr="00041AD5" w:rsidR="00BC2735" w:rsidP="00BC2735" w:rsidRDefault="005C4BE6" w14:paraId="5E1A8408" w14:textId="0F2469BF">
      <w:pPr>
        <w:pStyle w:val="ListParagraph"/>
        <w:numPr>
          <w:ilvl w:val="0"/>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B87832">
        <w:rPr>
          <w:rFonts w:ascii="Palatino Linotype" w:hAnsi="Palatino Linotype" w:eastAsia="Palatino Linotype" w:cs="Times New Roman"/>
          <w:color w:val="000000" w:themeColor="text1"/>
          <w:kern w:val="0"/>
          <w14:ligatures w14:val="none"/>
        </w:rPr>
        <w:t xml:space="preserve">CEC’s AL 12-G </w:t>
      </w:r>
      <w:r w:rsidRPr="00041AD5" w:rsidR="00BC2735">
        <w:rPr>
          <w:rFonts w:ascii="Palatino Linotype" w:hAnsi="Palatino Linotype" w:eastAsia="Palatino Linotype" w:cs="Times New Roman"/>
          <w:color w:val="000000" w:themeColor="text1"/>
          <w:kern w:val="0"/>
          <w14:ligatures w14:val="none"/>
        </w:rPr>
        <w:t>is not fully compliant with Commission requirements for the following reasons (See Appendix </w:t>
      </w:r>
      <w:r w:rsidRPr="00041AD5" w:rsidR="00037C5F">
        <w:rPr>
          <w:rFonts w:ascii="Palatino Linotype" w:hAnsi="Palatino Linotype" w:eastAsia="Palatino Linotype" w:cs="Times New Roman"/>
          <w:color w:val="000000" w:themeColor="text1"/>
          <w:kern w:val="0"/>
          <w14:ligatures w14:val="none"/>
        </w:rPr>
        <w:t>G</w:t>
      </w:r>
      <w:r w:rsidRPr="00041AD5" w:rsidR="00BC2735">
        <w:rPr>
          <w:rFonts w:ascii="Palatino Linotype" w:hAnsi="Palatino Linotype" w:eastAsia="Palatino Linotype" w:cs="Times New Roman"/>
          <w:color w:val="000000" w:themeColor="text1"/>
          <w:kern w:val="0"/>
          <w14:ligatures w14:val="none"/>
        </w:rPr>
        <w:t> for details): </w:t>
      </w:r>
    </w:p>
    <w:p w:rsidRPr="00041AD5" w:rsidR="00BC2735" w:rsidP="00B87832" w:rsidRDefault="00BC2735" w14:paraId="3A481640" w14:textId="77777777">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 does not disclose the following nor demonstrate that it:  </w:t>
      </w:r>
    </w:p>
    <w:p w:rsidRPr="00041AD5" w:rsidR="00BC2735" w:rsidP="00B87832" w:rsidRDefault="00BC2735" w14:paraId="7A8A6BF0" w14:textId="2BF30D71">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First utilized its applicable unspent fund balances, providing details of encumbrance and spending windows to demonstrate compliance.  </w:t>
      </w:r>
    </w:p>
    <w:p w:rsidRPr="00041AD5" w:rsidR="00BC2735" w:rsidP="00B87832" w:rsidRDefault="00BC2735" w14:paraId="2B5BDC76" w14:textId="3A791811">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Addressed whether any commercial benefits have resulted from Gas RD&amp;D investment or otherwise state that none have accrued.</w:t>
      </w:r>
    </w:p>
    <w:p w:rsidRPr="00041AD5" w:rsidR="00BC2735" w:rsidP="00B87832" w:rsidRDefault="00BC2735" w14:paraId="7E256185" w14:textId="14E7E67C">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Explained whether any interest has accrued on deposited amounts in balancing accounts held by utilities.</w:t>
      </w:r>
    </w:p>
    <w:p w:rsidRPr="00041AD5" w:rsidR="00BC2735" w:rsidP="00B87832" w:rsidRDefault="00BC2735" w14:paraId="7B1B3688" w14:textId="43173571">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lastRenderedPageBreak/>
        <w:t>The CEC </w:t>
      </w:r>
      <w:r w:rsidR="003221CF">
        <w:rPr>
          <w:rFonts w:ascii="Palatino Linotype" w:hAnsi="Palatino Linotype" w:eastAsia="Palatino Linotype" w:cs="Times New Roman"/>
          <w:color w:val="000000" w:themeColor="text1"/>
          <w:kern w:val="0"/>
          <w14:ligatures w14:val="none"/>
        </w:rPr>
        <w:t>does not</w:t>
      </w:r>
      <w:r w:rsidRPr="00041AD5">
        <w:rPr>
          <w:rFonts w:ascii="Palatino Linotype" w:hAnsi="Palatino Linotype" w:eastAsia="Palatino Linotype" w:cs="Times New Roman"/>
          <w:color w:val="000000" w:themeColor="text1"/>
          <w:kern w:val="0"/>
          <w14:ligatures w14:val="none"/>
        </w:rPr>
        <w:t xml:space="preserve"> provide </w:t>
      </w:r>
      <w:r w:rsidR="003221CF">
        <w:rPr>
          <w:rFonts w:ascii="Palatino Linotype" w:hAnsi="Palatino Linotype" w:eastAsia="Palatino Linotype" w:cs="Times New Roman"/>
          <w:color w:val="000000" w:themeColor="text1"/>
          <w:kern w:val="0"/>
          <w14:ligatures w14:val="none"/>
        </w:rPr>
        <w:t>sufficient</w:t>
      </w:r>
      <w:r w:rsidRPr="00041AD5">
        <w:rPr>
          <w:rFonts w:ascii="Palatino Linotype" w:hAnsi="Palatino Linotype" w:eastAsia="Palatino Linotype" w:cs="Times New Roman"/>
          <w:color w:val="000000" w:themeColor="text1"/>
          <w:kern w:val="0"/>
          <w14:ligatures w14:val="none"/>
        </w:rPr>
        <w:t xml:space="preserve"> detail to demonstrate that each proposed Initiative is coordinated with the IOUs and other Gas RD&amp;D entities, including how outputs and impacts are targeted and utilized to promote complementary rather than duplicative research efforts.  </w:t>
      </w:r>
    </w:p>
    <w:p w:rsidRPr="00041AD5" w:rsidR="00BC2735" w:rsidP="00B87832" w:rsidRDefault="00BC2735" w14:paraId="5E07EC20" w14:textId="631EE274">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w:t>
      </w:r>
      <w:r w:rsidR="003221CF">
        <w:rPr>
          <w:rFonts w:ascii="Palatino Linotype" w:hAnsi="Palatino Linotype" w:eastAsia="Palatino Linotype" w:cs="Times New Roman"/>
          <w:color w:val="000000" w:themeColor="text1"/>
          <w:kern w:val="0"/>
          <w14:ligatures w14:val="none"/>
        </w:rPr>
        <w:t xml:space="preserve"> does</w:t>
      </w:r>
      <w:r w:rsidRPr="00041AD5">
        <w:rPr>
          <w:rFonts w:ascii="Palatino Linotype" w:hAnsi="Palatino Linotype" w:eastAsia="Palatino Linotype" w:cs="Times New Roman"/>
          <w:color w:val="000000" w:themeColor="text1"/>
          <w:kern w:val="0"/>
          <w14:ligatures w14:val="none"/>
        </w:rPr>
        <w:t xml:space="preserve"> not demonstrated alignment with CPUC proceedings and ratepayer benefit in its </w:t>
      </w:r>
      <w:r w:rsidRPr="00041AD5">
        <w:rPr>
          <w:rFonts w:ascii="Palatino Linotype" w:hAnsi="Palatino Linotype" w:eastAsia="Palatino Linotype" w:cs="Times New Roman"/>
          <w:i/>
          <w:iCs/>
          <w:color w:val="000000" w:themeColor="text1"/>
          <w:kern w:val="0"/>
          <w14:ligatures w14:val="none"/>
        </w:rPr>
        <w:t>Support Equitable, Safe, and Cost-Effective Decarbonization of California’s Gas System </w:t>
      </w:r>
      <w:r w:rsidRPr="00041AD5">
        <w:rPr>
          <w:rFonts w:ascii="Palatino Linotype" w:hAnsi="Palatino Linotype" w:eastAsia="Palatino Linotype" w:cs="Times New Roman"/>
          <w:color w:val="000000" w:themeColor="text1"/>
          <w:kern w:val="0"/>
          <w14:ligatures w14:val="none"/>
        </w:rPr>
        <w:t>and</w:t>
      </w:r>
      <w:r w:rsidRPr="00041AD5">
        <w:rPr>
          <w:rFonts w:ascii="Palatino Linotype" w:hAnsi="Palatino Linotype" w:eastAsia="Palatino Linotype" w:cs="Times New Roman"/>
          <w:i/>
          <w:iCs/>
          <w:color w:val="000000" w:themeColor="text1"/>
          <w:kern w:val="0"/>
          <w14:ligatures w14:val="none"/>
        </w:rPr>
        <w:t> Fuel-Flexible Distributed Power Generation</w:t>
      </w:r>
      <w:r w:rsidRPr="00041AD5" w:rsidR="002310F6">
        <w:rPr>
          <w:rFonts w:ascii="Palatino Linotype" w:hAnsi="Palatino Linotype" w:eastAsia="Palatino Linotype" w:cs="Times New Roman"/>
          <w:color w:val="000000" w:themeColor="text1"/>
          <w:kern w:val="0"/>
          <w:vertAlign w:val="superscript"/>
          <w14:ligatures w14:val="none"/>
        </w:rPr>
        <w:t xml:space="preserve"> </w:t>
      </w:r>
      <w:r w:rsidRPr="00041AD5">
        <w:rPr>
          <w:rFonts w:ascii="Palatino Linotype" w:hAnsi="Palatino Linotype" w:eastAsia="Palatino Linotype" w:cs="Times New Roman"/>
          <w:color w:val="000000" w:themeColor="text1"/>
          <w:kern w:val="0"/>
          <w14:ligatures w14:val="none"/>
        </w:rPr>
        <w:t>Initiatives. The Commission has not provided guidance on the appropriate role of gas ratepayers in funding hydrogen RD&amp;D as these projects would have further implications for future ratepayer funding, including in future Gas RD&amp;D Plans. </w:t>
      </w:r>
    </w:p>
    <w:p w:rsidRPr="00041AD5" w:rsidR="004E3919" w:rsidP="004E3919" w:rsidRDefault="004E3919" w14:paraId="48FDF735" w14:textId="62FD1E74">
      <w:pPr>
        <w:pStyle w:val="ListParagraph"/>
        <w:numPr>
          <w:ilvl w:val="0"/>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CEC’s AL 10-G-A is not fully compliant with Commission requirements for the following reasons (See Appendix </w:t>
      </w:r>
      <w:r w:rsidRPr="00041AD5" w:rsidR="00037C5F">
        <w:rPr>
          <w:rFonts w:ascii="Palatino Linotype" w:hAnsi="Palatino Linotype" w:eastAsia="Palatino Linotype" w:cs="Times New Roman"/>
          <w:color w:val="000000" w:themeColor="text1"/>
          <w:kern w:val="0"/>
          <w14:ligatures w14:val="none"/>
        </w:rPr>
        <w:t>H</w:t>
      </w:r>
      <w:r w:rsidRPr="00041AD5">
        <w:rPr>
          <w:rFonts w:ascii="Palatino Linotype" w:hAnsi="Palatino Linotype" w:eastAsia="Palatino Linotype" w:cs="Times New Roman"/>
          <w:color w:val="000000" w:themeColor="text1"/>
          <w:kern w:val="0"/>
          <w14:ligatures w14:val="none"/>
        </w:rPr>
        <w:t> for details): </w:t>
      </w:r>
    </w:p>
    <w:p w:rsidRPr="00041AD5" w:rsidR="004E3919" w:rsidP="004E3919" w:rsidRDefault="004E3919" w14:paraId="520192AE" w14:textId="77777777">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The CEC does not disclose the following nor demonstrate that it: </w:t>
      </w:r>
    </w:p>
    <w:p w:rsidRPr="00041AD5" w:rsidR="004E3919" w:rsidP="004E3919" w:rsidRDefault="004E3919" w14:paraId="216502AB" w14:textId="5E83EFB6">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First utilized its applicable unspent fund balances, providing details of encumbrance and spending windows to demonstrate compliance.</w:t>
      </w:r>
    </w:p>
    <w:p w:rsidRPr="00041AD5" w:rsidR="004E3919" w:rsidP="004E3919" w:rsidRDefault="004E3919" w14:paraId="3B240B59" w14:textId="6D3CE349">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Addressed whether any commercial benefits have resulted from Gas RD&amp;D investment or otherwise state that none have accrued.</w:t>
      </w:r>
    </w:p>
    <w:p w:rsidRPr="00041AD5" w:rsidR="004E3919" w:rsidP="004E3919" w:rsidRDefault="004E3919" w14:paraId="70D43C22" w14:textId="4E3F62F5">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Explained whether any interest has accrued on deposited amounts in balancing accounts held by utilities.  </w:t>
      </w:r>
    </w:p>
    <w:p w:rsidRPr="00041AD5" w:rsidR="004E3919" w:rsidP="004E3919" w:rsidRDefault="004E3919" w14:paraId="5D87CB49" w14:textId="718EFC91">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11B33877">
        <w:rPr>
          <w:rFonts w:ascii="Palatino Linotype" w:hAnsi="Palatino Linotype" w:eastAsia="Palatino Linotype" w:cs="Times New Roman"/>
          <w:color w:val="000000" w:themeColor="text1"/>
        </w:rPr>
        <w:t>The CEC </w:t>
      </w:r>
      <w:r w:rsidRPr="11B33877" w:rsidR="003221CF">
        <w:rPr>
          <w:rFonts w:ascii="Palatino Linotype" w:hAnsi="Palatino Linotype" w:eastAsia="Palatino Linotype" w:cs="Times New Roman"/>
          <w:color w:val="000000" w:themeColor="text1"/>
        </w:rPr>
        <w:t>does not provide sufficient</w:t>
      </w:r>
      <w:r w:rsidRPr="11B33877">
        <w:rPr>
          <w:rFonts w:ascii="Palatino Linotype" w:hAnsi="Palatino Linotype" w:eastAsia="Palatino Linotype" w:cs="Times New Roman"/>
          <w:color w:val="000000" w:themeColor="text1"/>
        </w:rPr>
        <w:t xml:space="preserve"> detail to demonstrate that the </w:t>
      </w:r>
      <w:r w:rsidRPr="11B33877">
        <w:rPr>
          <w:rFonts w:ascii="Palatino Linotype" w:hAnsi="Palatino Linotype" w:eastAsia="Palatino Linotype" w:cs="Times New Roman"/>
          <w:i/>
          <w:iCs/>
          <w:color w:val="000000" w:themeColor="text1"/>
        </w:rPr>
        <w:t>Networked Geothermal Heat Pumps </w:t>
      </w:r>
      <w:r w:rsidRPr="11B33877">
        <w:rPr>
          <w:rFonts w:ascii="Palatino Linotype" w:hAnsi="Palatino Linotype" w:eastAsia="Palatino Linotype" w:cs="Times New Roman"/>
          <w:color w:val="000000" w:themeColor="text1"/>
        </w:rPr>
        <w:t>Initiative will involve activities that are complementary to rather than duplicative of ongoing and proposed CEC Gas RD&amp;D and EPIC Initiatives.</w:t>
      </w:r>
    </w:p>
    <w:p w:rsidRPr="00041AD5" w:rsidR="00DE2A6E" w:rsidP="00A556C9" w:rsidRDefault="00AC1C42" w14:paraId="6AF8704E" w14:textId="46177635">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DE2A6E">
        <w:rPr>
          <w:rFonts w:ascii="Palatino Linotype" w:hAnsi="Palatino Linotype" w:eastAsia="Palatino Linotype" w:cs="Times New Roman"/>
          <w:color w:val="000000" w:themeColor="text1"/>
          <w:kern w:val="0"/>
          <w14:ligatures w14:val="none"/>
        </w:rPr>
        <w:t xml:space="preserve">CEC’s </w:t>
      </w:r>
      <w:r w:rsidRPr="00041AD5" w:rsidR="002C7BB9">
        <w:rPr>
          <w:rFonts w:ascii="Palatino Linotype" w:hAnsi="Palatino Linotype" w:eastAsia="Palatino Linotype" w:cs="Times New Roman"/>
          <w:i/>
          <w:color w:val="000000" w:themeColor="text1"/>
          <w:kern w:val="0"/>
          <w14:ligatures w14:val="none"/>
        </w:rPr>
        <w:t>Social Science Research for Gas Decommissioning in the Mid and Long Term</w:t>
      </w:r>
      <w:r w:rsidRPr="00041AD5" w:rsidR="00CD3BB6">
        <w:rPr>
          <w:rFonts w:ascii="Palatino Linotype" w:hAnsi="Palatino Linotype" w:eastAsia="Palatino Linotype" w:cs="Times New Roman"/>
          <w:color w:val="000000" w:themeColor="text1"/>
          <w:kern w:val="0"/>
          <w14:ligatures w14:val="none"/>
        </w:rPr>
        <w:t xml:space="preserve"> and </w:t>
      </w:r>
      <w:r w:rsidRPr="00041AD5" w:rsidR="00476F8A">
        <w:rPr>
          <w:rFonts w:ascii="Palatino Linotype" w:hAnsi="Palatino Linotype" w:eastAsia="Palatino Linotype" w:cs="Times New Roman"/>
          <w:i/>
          <w:color w:val="000000" w:themeColor="text1"/>
          <w:kern w:val="0"/>
          <w14:ligatures w14:val="none"/>
        </w:rPr>
        <w:t>Pilot Projects to Advance Gas Decommissioning</w:t>
      </w:r>
      <w:r w:rsidRPr="00041AD5" w:rsidR="00CD3BB6">
        <w:rPr>
          <w:rFonts w:ascii="Palatino Linotype" w:hAnsi="Palatino Linotype" w:eastAsia="Palatino Linotype" w:cs="Times New Roman"/>
          <w:color w:val="000000" w:themeColor="text1"/>
          <w:kern w:val="0"/>
          <w14:ligatures w14:val="none"/>
        </w:rPr>
        <w:t xml:space="preserve"> Initiative</w:t>
      </w:r>
      <w:r w:rsidRPr="00041AD5" w:rsidR="00476F8A">
        <w:rPr>
          <w:rFonts w:ascii="Palatino Linotype" w:hAnsi="Palatino Linotype" w:eastAsia="Palatino Linotype" w:cs="Times New Roman"/>
          <w:color w:val="000000" w:themeColor="text1"/>
          <w:kern w:val="0"/>
          <w14:ligatures w14:val="none"/>
        </w:rPr>
        <w:t>s</w:t>
      </w:r>
      <w:r w:rsidRPr="00041AD5" w:rsidR="00CD3BB6">
        <w:rPr>
          <w:rFonts w:ascii="Palatino Linotype" w:hAnsi="Palatino Linotype" w:eastAsia="Palatino Linotype" w:cs="Times New Roman"/>
          <w:color w:val="000000" w:themeColor="text1"/>
          <w:kern w:val="0"/>
          <w14:ligatures w14:val="none"/>
        </w:rPr>
        <w:t xml:space="preserve"> in its proposed 2025 Plan submitted via Tier 3 AL 10-G-A are compliant with </w:t>
      </w:r>
      <w:r w:rsidRPr="00041AD5" w:rsidR="00476F8A">
        <w:rPr>
          <w:rFonts w:ascii="Palatino Linotype" w:hAnsi="Palatino Linotype" w:eastAsia="Palatino Linotype" w:cs="Times New Roman"/>
          <w:color w:val="000000" w:themeColor="text1"/>
          <w:kern w:val="0"/>
          <w14:ligatures w14:val="none"/>
        </w:rPr>
        <w:t xml:space="preserve">all applicable </w:t>
      </w:r>
      <w:r w:rsidRPr="00041AD5" w:rsidR="00CD3BB6">
        <w:rPr>
          <w:rFonts w:ascii="Palatino Linotype" w:hAnsi="Palatino Linotype" w:eastAsia="Palatino Linotype" w:cs="Times New Roman"/>
          <w:color w:val="000000" w:themeColor="text1"/>
          <w:kern w:val="0"/>
          <w14:ligatures w14:val="none"/>
        </w:rPr>
        <w:t>Commission requirements.</w:t>
      </w:r>
    </w:p>
    <w:p w:rsidRPr="00041AD5" w:rsidR="00A71CC5" w:rsidP="00A71CC5" w:rsidRDefault="00AC1C42" w14:paraId="0A02DE6D" w14:textId="1AEF9997">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6B374C">
        <w:rPr>
          <w:rFonts w:ascii="Palatino Linotype" w:hAnsi="Palatino Linotype" w:eastAsia="Palatino Linotype" w:cs="Times New Roman"/>
          <w:color w:val="000000" w:themeColor="text1"/>
          <w:kern w:val="0"/>
          <w14:ligatures w14:val="none"/>
        </w:rPr>
        <w:t xml:space="preserve">CEC appropriately </w:t>
      </w:r>
      <w:r w:rsidRPr="00041AD5" w:rsidR="007E4D48">
        <w:rPr>
          <w:rFonts w:ascii="Palatino Linotype" w:hAnsi="Palatino Linotype" w:eastAsia="Palatino Linotype" w:cs="Times New Roman"/>
          <w:color w:val="000000" w:themeColor="text1"/>
          <w:kern w:val="0"/>
          <w14:ligatures w14:val="none"/>
        </w:rPr>
        <w:t xml:space="preserve">responded to and addressed concerns in Cal </w:t>
      </w:r>
      <w:r w:rsidR="000B324C">
        <w:rPr>
          <w:rFonts w:ascii="Palatino Linotype" w:hAnsi="Palatino Linotype" w:eastAsia="Palatino Linotype" w:cs="Times New Roman"/>
          <w:color w:val="000000" w:themeColor="text1"/>
          <w:kern w:val="0"/>
          <w14:ligatures w14:val="none"/>
        </w:rPr>
        <w:br/>
      </w:r>
      <w:r w:rsidRPr="00041AD5" w:rsidR="007E4D48">
        <w:rPr>
          <w:rFonts w:ascii="Palatino Linotype" w:hAnsi="Palatino Linotype" w:eastAsia="Palatino Linotype" w:cs="Times New Roman"/>
          <w:color w:val="000000" w:themeColor="text1"/>
          <w:kern w:val="0"/>
          <w14:ligatures w14:val="none"/>
        </w:rPr>
        <w:t>Advocates’ protest on AL 10-G-A submitted April 30, 2025.</w:t>
      </w:r>
    </w:p>
    <w:p w:rsidRPr="00041AD5" w:rsidR="00B773FF" w:rsidP="00A71CC5" w:rsidRDefault="00AC1C42" w14:paraId="7A4B9DC5" w14:textId="7F7C1346">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041AD5">
        <w:rPr>
          <w:rFonts w:ascii="Palatino Linotype" w:hAnsi="Palatino Linotype" w:eastAsia="Palatino Linotype" w:cs="Times New Roman"/>
          <w:color w:val="000000" w:themeColor="text1"/>
          <w:kern w:val="0"/>
          <w14:ligatures w14:val="none"/>
        </w:rPr>
        <w:t xml:space="preserve">The </w:t>
      </w:r>
      <w:r w:rsidRPr="00041AD5" w:rsidR="00237AE7">
        <w:rPr>
          <w:rFonts w:ascii="Palatino Linotype" w:hAnsi="Palatino Linotype" w:eastAsia="Palatino Linotype" w:cs="Times New Roman"/>
          <w:color w:val="000000" w:themeColor="text1"/>
          <w:kern w:val="0"/>
          <w14:ligatures w14:val="none"/>
        </w:rPr>
        <w:t xml:space="preserve">CEC responded to a CPUC </w:t>
      </w:r>
      <w:r w:rsidRPr="00041AD5" w:rsidR="0056763F">
        <w:rPr>
          <w:rFonts w:ascii="Palatino Linotype" w:hAnsi="Palatino Linotype" w:eastAsia="Palatino Linotype" w:cs="Times New Roman"/>
          <w:color w:val="000000" w:themeColor="text1"/>
          <w:kern w:val="0"/>
          <w14:ligatures w14:val="none"/>
        </w:rPr>
        <w:t>d</w:t>
      </w:r>
      <w:r w:rsidRPr="00041AD5" w:rsidR="00237AE7">
        <w:rPr>
          <w:rFonts w:ascii="Palatino Linotype" w:hAnsi="Palatino Linotype" w:eastAsia="Palatino Linotype" w:cs="Times New Roman"/>
          <w:color w:val="000000" w:themeColor="text1"/>
          <w:kern w:val="0"/>
          <w14:ligatures w14:val="none"/>
        </w:rPr>
        <w:t xml:space="preserve">ata </w:t>
      </w:r>
      <w:r w:rsidRPr="00041AD5" w:rsidR="0056763F">
        <w:rPr>
          <w:rFonts w:ascii="Palatino Linotype" w:hAnsi="Palatino Linotype" w:eastAsia="Palatino Linotype" w:cs="Times New Roman"/>
          <w:color w:val="000000" w:themeColor="text1"/>
          <w:kern w:val="0"/>
          <w14:ligatures w14:val="none"/>
        </w:rPr>
        <w:t>r</w:t>
      </w:r>
      <w:r w:rsidRPr="00041AD5" w:rsidR="00237AE7">
        <w:rPr>
          <w:rFonts w:ascii="Palatino Linotype" w:hAnsi="Palatino Linotype" w:eastAsia="Palatino Linotype" w:cs="Times New Roman"/>
          <w:color w:val="000000" w:themeColor="text1"/>
          <w:kern w:val="0"/>
          <w14:ligatures w14:val="none"/>
        </w:rPr>
        <w:t xml:space="preserve">equest </w:t>
      </w:r>
      <w:r w:rsidRPr="00041AD5" w:rsidR="00551C23">
        <w:rPr>
          <w:rFonts w:ascii="Palatino Linotype" w:hAnsi="Palatino Linotype" w:eastAsia="Palatino Linotype" w:cs="Times New Roman"/>
          <w:color w:val="000000" w:themeColor="text1"/>
          <w:kern w:val="0"/>
          <w14:ligatures w14:val="none"/>
        </w:rPr>
        <w:t xml:space="preserve">on April </w:t>
      </w:r>
      <w:r w:rsidRPr="00041AD5" w:rsidR="00EC4A49">
        <w:rPr>
          <w:rFonts w:ascii="Palatino Linotype" w:hAnsi="Palatino Linotype" w:eastAsia="Palatino Linotype" w:cs="Times New Roman"/>
          <w:color w:val="000000" w:themeColor="text1"/>
          <w:kern w:val="0"/>
          <w14:ligatures w14:val="none"/>
        </w:rPr>
        <w:t xml:space="preserve">30, 2026, </w:t>
      </w:r>
      <w:r w:rsidRPr="00041AD5" w:rsidR="009E3048">
        <w:rPr>
          <w:rFonts w:ascii="Palatino Linotype" w:hAnsi="Palatino Linotype" w:eastAsia="Palatino Linotype" w:cs="Times New Roman"/>
          <w:color w:val="000000" w:themeColor="text1"/>
          <w:kern w:val="0"/>
          <w14:ligatures w14:val="none"/>
        </w:rPr>
        <w:t xml:space="preserve">with updated </w:t>
      </w:r>
      <w:r w:rsidRPr="00041AD5" w:rsidR="001D5023">
        <w:rPr>
          <w:rFonts w:ascii="Palatino Linotype" w:hAnsi="Palatino Linotype" w:eastAsia="Palatino Linotype" w:cs="Times New Roman"/>
          <w:color w:val="000000" w:themeColor="text1"/>
          <w:kern w:val="0"/>
          <w14:ligatures w14:val="none"/>
        </w:rPr>
        <w:t xml:space="preserve">balances of spent and unspent encumbered funds and unencumbered funds </w:t>
      </w:r>
      <w:r w:rsidRPr="00041AD5" w:rsidR="008B3A67">
        <w:rPr>
          <w:rFonts w:ascii="Palatino Linotype" w:hAnsi="Palatino Linotype" w:eastAsia="Palatino Linotype" w:cs="Times New Roman"/>
          <w:color w:val="000000" w:themeColor="text1"/>
          <w:kern w:val="0"/>
          <w14:ligatures w14:val="none"/>
        </w:rPr>
        <w:t>from previously approved Gas RD&amp;D Plans from FY 2015-2016 to present</w:t>
      </w:r>
      <w:r w:rsidRPr="00041AD5" w:rsidR="00EE6726">
        <w:rPr>
          <w:rFonts w:ascii="Palatino Linotype" w:hAnsi="Palatino Linotype" w:eastAsia="Palatino Linotype" w:cs="Times New Roman"/>
          <w:color w:val="000000" w:themeColor="text1"/>
          <w:kern w:val="0"/>
          <w14:ligatures w14:val="none"/>
        </w:rPr>
        <w:t xml:space="preserve"> to </w:t>
      </w:r>
      <w:r w:rsidRPr="00041AD5" w:rsidR="00EE6726">
        <w:rPr>
          <w:rFonts w:ascii="Palatino Linotype" w:hAnsi="Palatino Linotype" w:eastAsia="Palatino Linotype" w:cs="Times New Roman"/>
          <w:color w:val="000000" w:themeColor="text1"/>
          <w:kern w:val="0"/>
          <w14:ligatures w14:val="none"/>
        </w:rPr>
        <w:lastRenderedPageBreak/>
        <w:t xml:space="preserve">supplement information provided in its </w:t>
      </w:r>
      <w:r w:rsidRPr="00041AD5" w:rsidR="00E86FE1">
        <w:rPr>
          <w:rFonts w:ascii="Palatino Linotype" w:hAnsi="Palatino Linotype" w:eastAsia="Palatino Linotype" w:cs="Times New Roman"/>
          <w:color w:val="000000" w:themeColor="text1"/>
          <w:kern w:val="0"/>
          <w14:ligatures w14:val="none"/>
        </w:rPr>
        <w:t xml:space="preserve">Annual Report and </w:t>
      </w:r>
      <w:r w:rsidRPr="00041AD5" w:rsidR="00D412E5">
        <w:rPr>
          <w:rFonts w:ascii="Palatino Linotype" w:hAnsi="Palatino Linotype" w:eastAsia="Palatino Linotype" w:cs="Times New Roman"/>
          <w:color w:val="000000" w:themeColor="text1"/>
          <w:kern w:val="0"/>
          <w14:ligatures w14:val="none"/>
        </w:rPr>
        <w:t xml:space="preserve">Annual </w:t>
      </w:r>
      <w:r w:rsidRPr="00041AD5" w:rsidR="00EE6726">
        <w:rPr>
          <w:rFonts w:ascii="Palatino Linotype" w:hAnsi="Palatino Linotype" w:eastAsia="Palatino Linotype" w:cs="Times New Roman"/>
          <w:color w:val="000000" w:themeColor="text1"/>
          <w:kern w:val="0"/>
          <w14:ligatures w14:val="none"/>
        </w:rPr>
        <w:t>Plan appendices.</w:t>
      </w:r>
    </w:p>
    <w:p w:rsidRPr="00041AD5" w:rsidR="00A20F88" w:rsidP="00A20F88" w:rsidRDefault="003C10E9" w14:paraId="69F23310" w14:textId="486766F6">
      <w:pPr>
        <w:pStyle w:val="10sp0"/>
        <w:numPr>
          <w:ilvl w:val="0"/>
          <w:numId w:val="4"/>
        </w:numPr>
        <w:spacing w:after="0" w:line="276" w:lineRule="auto"/>
        <w:rPr>
          <w:rFonts w:ascii="Palatino Linotype" w:hAnsi="Palatino Linotype" w:eastAsia="Palatino Linotype"/>
          <w:color w:val="000000" w:themeColor="text1"/>
        </w:rPr>
      </w:pPr>
      <w:r>
        <w:rPr>
          <w:rFonts w:ascii="Palatino Linotype" w:hAnsi="Palatino Linotype" w:eastAsia="Palatino Linotype"/>
          <w:color w:val="000000" w:themeColor="text1"/>
        </w:rPr>
        <w:t xml:space="preserve">The </w:t>
      </w:r>
      <w:r w:rsidRPr="003C10E9">
        <w:rPr>
          <w:rFonts w:ascii="Palatino Linotype" w:hAnsi="Palatino Linotype" w:eastAsia="Palatino Linotype"/>
          <w:color w:val="000000" w:themeColor="text1"/>
        </w:rPr>
        <w:t xml:space="preserve">Consolidated Guidance for Future CEC Gas RD&amp;D Compliance Filings </w:t>
      </w:r>
      <w:r w:rsidRPr="00041AD5" w:rsidR="00A20F88">
        <w:rPr>
          <w:rFonts w:ascii="Palatino Linotype" w:hAnsi="Palatino Linotype" w:eastAsia="Palatino Linotype"/>
          <w:color w:val="000000" w:themeColor="text1"/>
        </w:rPr>
        <w:t xml:space="preserve">section of this Resolution is provided to support the </w:t>
      </w:r>
      <w:r w:rsidRPr="003C10E9">
        <w:rPr>
          <w:rFonts w:ascii="Palatino Linotype" w:hAnsi="Palatino Linotype" w:eastAsia="Palatino Linotype"/>
          <w:color w:val="000000" w:themeColor="text1"/>
        </w:rPr>
        <w:t>efficient development, streamlined review, and effective implementation of future proposed Gas RD&amp;D Plans.</w:t>
      </w:r>
    </w:p>
    <w:p w:rsidRPr="00041AD5" w:rsidR="00A76F4A" w:rsidP="003147DD" w:rsidRDefault="00A76F4A" w14:paraId="21CF1B88" w14:textId="77777777">
      <w:pPr>
        <w:spacing w:after="0" w:line="276" w:lineRule="auto"/>
        <w:rPr>
          <w:rFonts w:ascii="Palatino Linotype" w:hAnsi="Palatino Linotype" w:eastAsia="Palatino Linotype" w:cs="Times New Roman"/>
          <w:b/>
          <w:color w:val="000000" w:themeColor="text1"/>
          <w:kern w:val="0"/>
          <w14:ligatures w14:val="none"/>
        </w:rPr>
      </w:pPr>
    </w:p>
    <w:p w:rsidRPr="00041AD5" w:rsidR="00A76F4A" w:rsidP="00A70537" w:rsidRDefault="00A76F4A" w14:paraId="215FEFCC" w14:textId="4900AB08">
      <w:pPr>
        <w:keepNext/>
        <w:spacing w:after="240" w:line="276" w:lineRule="auto"/>
        <w:outlineLvl w:val="0"/>
        <w:rPr>
          <w:rFonts w:ascii="Palatino Linotype" w:hAnsi="Palatino Linotype" w:eastAsia="Palatino Linotype" w:cs="Times New Roman"/>
          <w:b/>
          <w:caps/>
          <w:color w:val="000000" w:themeColor="text1"/>
          <w:kern w:val="28"/>
          <w:u w:val="single"/>
          <w14:ligatures w14:val="none"/>
        </w:rPr>
      </w:pPr>
      <w:r w:rsidRPr="00041AD5">
        <w:rPr>
          <w:rFonts w:ascii="Palatino Linotype" w:hAnsi="Palatino Linotype" w:eastAsia="Palatino Linotype" w:cs="Times New Roman"/>
          <w:b/>
          <w:caps/>
          <w:color w:val="000000" w:themeColor="text1"/>
          <w:kern w:val="28"/>
          <w:u w:val="single"/>
          <w14:ligatures w14:val="none"/>
        </w:rPr>
        <w:t>Therefore</w:t>
      </w:r>
      <w:r w:rsidRPr="00041AD5" w:rsidR="006E3061">
        <w:rPr>
          <w:rFonts w:ascii="Palatino Linotype" w:hAnsi="Palatino Linotype" w:eastAsia="Palatino Linotype" w:cs="Times New Roman"/>
          <w:b/>
          <w:caps/>
          <w:color w:val="000000" w:themeColor="text1"/>
          <w:kern w:val="28"/>
          <w:u w:val="single"/>
          <w14:ligatures w14:val="none"/>
        </w:rPr>
        <w:t>,</w:t>
      </w:r>
      <w:r w:rsidRPr="00041AD5">
        <w:rPr>
          <w:rFonts w:ascii="Palatino Linotype" w:hAnsi="Palatino Linotype" w:eastAsia="Palatino Linotype" w:cs="Times New Roman"/>
          <w:b/>
          <w:caps/>
          <w:color w:val="000000" w:themeColor="text1"/>
          <w:kern w:val="28"/>
          <w:u w:val="single"/>
          <w14:ligatures w14:val="none"/>
        </w:rPr>
        <w:t xml:space="preserve"> it is ordered that:</w:t>
      </w:r>
    </w:p>
    <w:p w:rsidRPr="007033DF" w:rsidR="00BD751D" w:rsidP="00A26E2F" w:rsidRDefault="00F51987" w14:paraId="789996C5" w14:textId="76A0A2BC">
      <w:pPr>
        <w:numPr>
          <w:ilvl w:val="0"/>
          <w:numId w:val="5"/>
        </w:numPr>
        <w:spacing w:after="0" w:line="276" w:lineRule="auto"/>
        <w:ind w:right="720"/>
        <w:rPr>
          <w:rFonts w:ascii="Palatino Linotype" w:hAnsi="Palatino Linotype" w:eastAsia="Times New Roman" w:cs="Times New Roman"/>
          <w:color w:val="000000" w:themeColor="text1"/>
          <w:kern w:val="0"/>
          <w14:ligatures w14:val="none"/>
        </w:rPr>
      </w:pPr>
      <w:r w:rsidRPr="00041AD5">
        <w:rPr>
          <w:rFonts w:ascii="Palatino Linotype" w:hAnsi="Palatino Linotype" w:eastAsia="Times New Roman" w:cs="Times New Roman"/>
          <w:color w:val="000000" w:themeColor="text1"/>
          <w:kern w:val="0"/>
          <w14:ligatures w14:val="none"/>
        </w:rPr>
        <w:t>T</w:t>
      </w:r>
      <w:r w:rsidRPr="00041AD5" w:rsidR="00BD751D">
        <w:rPr>
          <w:rFonts w:ascii="Palatino Linotype" w:hAnsi="Palatino Linotype" w:eastAsia="Times New Roman" w:cs="Times New Roman"/>
          <w:color w:val="000000" w:themeColor="text1"/>
          <w:kern w:val="0"/>
          <w14:ligatures w14:val="none"/>
        </w:rPr>
        <w:t xml:space="preserve">he California Energy Commission’s </w:t>
      </w:r>
      <w:r w:rsidRPr="00041AD5">
        <w:rPr>
          <w:rFonts w:ascii="Palatino Linotype" w:hAnsi="Palatino Linotype" w:eastAsia="Times New Roman" w:cs="Times New Roman"/>
          <w:color w:val="000000" w:themeColor="text1"/>
          <w:kern w:val="0"/>
          <w14:ligatures w14:val="none"/>
        </w:rPr>
        <w:t xml:space="preserve">(CEC’s) </w:t>
      </w:r>
      <w:r w:rsidRPr="00041AD5" w:rsidR="00BD751D">
        <w:rPr>
          <w:rFonts w:ascii="Palatino Linotype" w:hAnsi="Palatino Linotype" w:eastAsia="Times New Roman" w:cs="Times New Roman"/>
          <w:color w:val="000000" w:themeColor="text1"/>
          <w:kern w:val="0"/>
          <w14:ligatures w14:val="none"/>
        </w:rPr>
        <w:t xml:space="preserve">Gas </w:t>
      </w:r>
      <w:r w:rsidRPr="00041AD5" w:rsidR="00ED2B79">
        <w:rPr>
          <w:rFonts w:ascii="Palatino Linotype" w:hAnsi="Palatino Linotype" w:eastAsia="Palatino Linotype" w:cs="Times New Roman"/>
          <w:color w:val="000000" w:themeColor="text1"/>
          <w:kern w:val="0"/>
          <w14:ligatures w14:val="none"/>
        </w:rPr>
        <w:t xml:space="preserve">Research, Development, and Demonstration (RD&amp;D) </w:t>
      </w:r>
      <w:r w:rsidRPr="00041AD5" w:rsidR="0089411E">
        <w:rPr>
          <w:rFonts w:ascii="Palatino Linotype" w:hAnsi="Palatino Linotype" w:eastAsia="Palatino Linotype" w:cs="Times New Roman"/>
          <w:color w:val="000000" w:themeColor="text1"/>
          <w:kern w:val="0"/>
          <w14:ligatures w14:val="none"/>
        </w:rPr>
        <w:t xml:space="preserve">Program </w:t>
      </w:r>
      <w:r w:rsidRPr="00041AD5" w:rsidR="009441FA">
        <w:rPr>
          <w:rFonts w:ascii="Palatino Linotype" w:hAnsi="Palatino Linotype" w:eastAsia="Times New Roman" w:cs="Times New Roman"/>
          <w:color w:val="000000" w:themeColor="text1"/>
          <w:kern w:val="0"/>
          <w14:ligatures w14:val="none"/>
        </w:rPr>
        <w:t>fun</w:t>
      </w:r>
      <w:r w:rsidRPr="007033DF" w:rsidR="009441FA">
        <w:rPr>
          <w:rFonts w:ascii="Palatino Linotype" w:hAnsi="Palatino Linotype" w:eastAsia="Times New Roman" w:cs="Times New Roman"/>
          <w:color w:val="000000" w:themeColor="text1"/>
          <w:kern w:val="0"/>
          <w14:ligatures w14:val="none"/>
        </w:rPr>
        <w:t>ding level</w:t>
      </w:r>
      <w:r w:rsidRPr="007033DF" w:rsidR="00BD751D">
        <w:rPr>
          <w:rFonts w:ascii="Palatino Linotype" w:hAnsi="Palatino Linotype" w:eastAsia="Times New Roman" w:cs="Times New Roman"/>
          <w:color w:val="000000" w:themeColor="text1"/>
          <w:kern w:val="0"/>
          <w14:ligatures w14:val="none"/>
        </w:rPr>
        <w:t xml:space="preserve"> for </w:t>
      </w:r>
      <w:r w:rsidRPr="007033DF" w:rsidR="0089411E">
        <w:rPr>
          <w:rFonts w:ascii="Palatino Linotype" w:hAnsi="Palatino Linotype" w:eastAsia="Times New Roman" w:cs="Times New Roman"/>
          <w:color w:val="000000" w:themeColor="text1"/>
          <w:kern w:val="0"/>
          <w14:ligatures w14:val="none"/>
        </w:rPr>
        <w:t>its 2024 Plan</w:t>
      </w:r>
      <w:r w:rsidRPr="007033DF" w:rsidR="00BD751D">
        <w:rPr>
          <w:rFonts w:ascii="Palatino Linotype" w:hAnsi="Palatino Linotype" w:eastAsia="Times New Roman" w:cs="Times New Roman"/>
          <w:color w:val="000000" w:themeColor="text1"/>
          <w:kern w:val="0"/>
          <w14:ligatures w14:val="none"/>
        </w:rPr>
        <w:t xml:space="preserve"> </w:t>
      </w:r>
      <w:r w:rsidR="003A6DEA">
        <w:rPr>
          <w:rFonts w:ascii="Palatino Linotype" w:hAnsi="Palatino Linotype" w:eastAsia="Times New Roman" w:cs="Times New Roman"/>
          <w:color w:val="000000" w:themeColor="text1"/>
          <w:kern w:val="0"/>
          <w14:ligatures w14:val="none"/>
        </w:rPr>
        <w:br/>
      </w:r>
      <w:r w:rsidRPr="007033DF" w:rsidR="00BD751D">
        <w:rPr>
          <w:rFonts w:ascii="Palatino Linotype" w:hAnsi="Palatino Linotype" w:eastAsia="Times New Roman" w:cs="Times New Roman"/>
          <w:color w:val="000000" w:themeColor="text1"/>
          <w:kern w:val="0"/>
          <w14:ligatures w14:val="none"/>
        </w:rPr>
        <w:t xml:space="preserve">(AL </w:t>
      </w:r>
      <w:r w:rsidRPr="007033DF" w:rsidR="00B95852">
        <w:rPr>
          <w:rFonts w:ascii="Palatino Linotype" w:hAnsi="Palatino Linotype" w:eastAsia="Times New Roman" w:cs="Times New Roman"/>
          <w:color w:val="000000" w:themeColor="text1"/>
          <w:kern w:val="0"/>
          <w14:ligatures w14:val="none"/>
        </w:rPr>
        <w:t>12-</w:t>
      </w:r>
      <w:r w:rsidRPr="007033DF" w:rsidR="00BD751D">
        <w:rPr>
          <w:rFonts w:ascii="Palatino Linotype" w:hAnsi="Palatino Linotype" w:eastAsia="Times New Roman" w:cs="Times New Roman"/>
          <w:color w:val="000000" w:themeColor="text1"/>
          <w:kern w:val="0"/>
          <w14:ligatures w14:val="none"/>
        </w:rPr>
        <w:t xml:space="preserve">G) </w:t>
      </w:r>
      <w:r w:rsidRPr="007033DF" w:rsidR="0089411E">
        <w:rPr>
          <w:rFonts w:ascii="Palatino Linotype" w:hAnsi="Palatino Linotype" w:eastAsia="Times New Roman" w:cs="Times New Roman"/>
          <w:color w:val="000000" w:themeColor="text1"/>
          <w:kern w:val="0"/>
          <w14:ligatures w14:val="none"/>
        </w:rPr>
        <w:t>is</w:t>
      </w:r>
      <w:r w:rsidRPr="007033DF" w:rsidR="009441FA">
        <w:rPr>
          <w:rFonts w:ascii="Palatino Linotype" w:hAnsi="Palatino Linotype" w:eastAsia="Times New Roman" w:cs="Times New Roman"/>
          <w:color w:val="000000" w:themeColor="text1"/>
          <w:kern w:val="0"/>
          <w14:ligatures w14:val="none"/>
        </w:rPr>
        <w:t xml:space="preserve"> </w:t>
      </w:r>
      <w:r w:rsidRPr="007033DF" w:rsidR="00BD751D">
        <w:rPr>
          <w:rFonts w:ascii="Palatino Linotype" w:hAnsi="Palatino Linotype" w:eastAsia="Times New Roman" w:cs="Times New Roman"/>
          <w:color w:val="000000" w:themeColor="text1"/>
          <w:kern w:val="0"/>
          <w14:ligatures w14:val="none"/>
        </w:rPr>
        <w:t>$</w:t>
      </w:r>
      <w:r w:rsidRPr="007033DF" w:rsidR="008D42C4">
        <w:rPr>
          <w:rFonts w:ascii="Palatino Linotype" w:hAnsi="Palatino Linotype" w:eastAsia="Times New Roman" w:cs="Times New Roman"/>
          <w:color w:val="000000" w:themeColor="text1"/>
          <w:kern w:val="0"/>
          <w14:ligatures w14:val="none"/>
        </w:rPr>
        <w:t>24</w:t>
      </w:r>
      <w:r w:rsidRPr="007033DF" w:rsidR="00BD751D">
        <w:rPr>
          <w:rFonts w:ascii="Palatino Linotype" w:hAnsi="Palatino Linotype" w:eastAsia="Times New Roman" w:cs="Times New Roman"/>
          <w:color w:val="000000" w:themeColor="text1"/>
          <w:kern w:val="0"/>
          <w14:ligatures w14:val="none"/>
        </w:rPr>
        <w:t xml:space="preserve"> million</w:t>
      </w:r>
      <w:r w:rsidRPr="007033DF" w:rsidR="00630E5E">
        <w:rPr>
          <w:rFonts w:ascii="Palatino Linotype" w:hAnsi="Palatino Linotype" w:eastAsia="Times New Roman" w:cs="Times New Roman"/>
          <w:color w:val="000000" w:themeColor="text1"/>
          <w:kern w:val="0"/>
          <w14:ligatures w14:val="none"/>
        </w:rPr>
        <w:t>, comprised of $21</w:t>
      </w:r>
      <w:r w:rsidRPr="007033DF" w:rsidR="00AD5709">
        <w:rPr>
          <w:rFonts w:ascii="Palatino Linotype" w:hAnsi="Palatino Linotype" w:eastAsia="Times New Roman" w:cs="Times New Roman"/>
          <w:color w:val="000000" w:themeColor="text1"/>
          <w:kern w:val="0"/>
          <w14:ligatures w14:val="none"/>
        </w:rPr>
        <w:t xml:space="preserve">.6 million </w:t>
      </w:r>
      <w:r w:rsidRPr="007033DF" w:rsidR="000F460B">
        <w:rPr>
          <w:rFonts w:ascii="Palatino Linotype" w:hAnsi="Palatino Linotype" w:eastAsia="Times New Roman" w:cs="Times New Roman"/>
          <w:color w:val="000000" w:themeColor="text1"/>
          <w:kern w:val="0"/>
          <w14:ligatures w14:val="none"/>
        </w:rPr>
        <w:t>from applicable unspent funds</w:t>
      </w:r>
      <w:r w:rsidRPr="007033DF" w:rsidR="00306696">
        <w:rPr>
          <w:rFonts w:ascii="Palatino Linotype" w:hAnsi="Palatino Linotype" w:eastAsia="Times New Roman" w:cs="Times New Roman"/>
          <w:color w:val="000000" w:themeColor="text1"/>
          <w:kern w:val="0"/>
          <w14:ligatures w14:val="none"/>
        </w:rPr>
        <w:t xml:space="preserve"> and</w:t>
      </w:r>
      <w:r w:rsidRPr="007033DF" w:rsidR="00A26E2F">
        <w:rPr>
          <w:rFonts w:ascii="Palatino Linotype" w:hAnsi="Palatino Linotype" w:eastAsia="Times New Roman" w:cs="Times New Roman"/>
          <w:color w:val="000000" w:themeColor="text1"/>
          <w:kern w:val="0"/>
          <w14:ligatures w14:val="none"/>
        </w:rPr>
        <w:t xml:space="preserve"> </w:t>
      </w:r>
      <w:r w:rsidRPr="007033DF" w:rsidR="00AD5709">
        <w:rPr>
          <w:rFonts w:ascii="Palatino Linotype" w:hAnsi="Palatino Linotype" w:eastAsia="Times New Roman" w:cs="Times New Roman"/>
          <w:color w:val="000000" w:themeColor="text1"/>
          <w:kern w:val="0"/>
          <w14:ligatures w14:val="none"/>
        </w:rPr>
        <w:t>$2.4 million in</w:t>
      </w:r>
      <w:r w:rsidRPr="007033DF" w:rsidR="00306696">
        <w:rPr>
          <w:rFonts w:ascii="Palatino Linotype" w:hAnsi="Palatino Linotype" w:eastAsia="Times New Roman" w:cs="Times New Roman"/>
          <w:color w:val="000000" w:themeColor="text1"/>
          <w:kern w:val="0"/>
          <w14:ligatures w14:val="none"/>
        </w:rPr>
        <w:t xml:space="preserve"> associated Program Administration funds</w:t>
      </w:r>
      <w:r w:rsidRPr="007033DF" w:rsidR="0089411E">
        <w:rPr>
          <w:rFonts w:ascii="Palatino Linotype" w:hAnsi="Palatino Linotype" w:eastAsia="Times New Roman" w:cs="Times New Roman"/>
          <w:color w:val="000000" w:themeColor="text1"/>
          <w:kern w:val="0"/>
          <w14:ligatures w14:val="none"/>
        </w:rPr>
        <w:t xml:space="preserve">. </w:t>
      </w:r>
      <w:r w:rsidRPr="007033DF" w:rsidR="0017259F">
        <w:rPr>
          <w:rFonts w:ascii="Palatino Linotype" w:hAnsi="Palatino Linotype" w:eastAsia="Times New Roman" w:cs="Times New Roman"/>
          <w:color w:val="000000" w:themeColor="text1"/>
          <w:kern w:val="0"/>
          <w14:ligatures w14:val="none"/>
        </w:rPr>
        <w:t>The CEC is not authorized any new ratepayer funds to fund its 2024 Plan.</w:t>
      </w:r>
    </w:p>
    <w:p w:rsidRPr="007033DF" w:rsidR="00295143" w:rsidP="00F30E27" w:rsidRDefault="00F30E27" w14:paraId="4F6DD93E" w14:textId="74E3FBFC">
      <w:pPr>
        <w:numPr>
          <w:ilvl w:val="0"/>
          <w:numId w:val="5"/>
        </w:numPr>
        <w:spacing w:after="0" w:line="276" w:lineRule="auto"/>
        <w:ind w:right="720"/>
        <w:rPr>
          <w:rFonts w:ascii="Palatino Linotype" w:hAnsi="Palatino Linotype" w:eastAsia="Times New Roman" w:cs="Times New Roman"/>
          <w:color w:val="000000" w:themeColor="text1"/>
          <w:kern w:val="0"/>
          <w14:ligatures w14:val="none"/>
        </w:rPr>
      </w:pPr>
      <w:r w:rsidRPr="007033DF">
        <w:rPr>
          <w:rFonts w:ascii="Palatino Linotype" w:hAnsi="Palatino Linotype" w:eastAsia="Times New Roman" w:cs="Times New Roman"/>
          <w:color w:val="000000" w:themeColor="text1"/>
          <w:kern w:val="0"/>
          <w14:ligatures w14:val="none"/>
        </w:rPr>
        <w:t xml:space="preserve">The CEC’s Gas </w:t>
      </w:r>
      <w:r w:rsidRPr="007033DF">
        <w:rPr>
          <w:rFonts w:ascii="Palatino Linotype" w:hAnsi="Palatino Linotype" w:eastAsia="Palatino Linotype" w:cs="Times New Roman"/>
          <w:color w:val="000000" w:themeColor="text1"/>
          <w:kern w:val="0"/>
          <w14:ligatures w14:val="none"/>
        </w:rPr>
        <w:t xml:space="preserve">RD&amp;D Program </w:t>
      </w:r>
      <w:r w:rsidRPr="007033DF">
        <w:rPr>
          <w:rFonts w:ascii="Palatino Linotype" w:hAnsi="Palatino Linotype" w:eastAsia="Times New Roman" w:cs="Times New Roman"/>
          <w:color w:val="000000" w:themeColor="text1"/>
          <w:kern w:val="0"/>
          <w14:ligatures w14:val="none"/>
        </w:rPr>
        <w:t xml:space="preserve">funding level for its 2025 Plan </w:t>
      </w:r>
      <w:r w:rsidR="000B324C">
        <w:rPr>
          <w:rFonts w:ascii="Palatino Linotype" w:hAnsi="Palatino Linotype" w:eastAsia="Times New Roman" w:cs="Times New Roman"/>
          <w:color w:val="000000" w:themeColor="text1"/>
          <w:kern w:val="0"/>
          <w14:ligatures w14:val="none"/>
        </w:rPr>
        <w:br/>
      </w:r>
      <w:r w:rsidRPr="007033DF">
        <w:rPr>
          <w:rFonts w:ascii="Palatino Linotype" w:hAnsi="Palatino Linotype" w:eastAsia="Times New Roman" w:cs="Times New Roman"/>
          <w:color w:val="000000" w:themeColor="text1"/>
          <w:kern w:val="0"/>
          <w14:ligatures w14:val="none"/>
        </w:rPr>
        <w:t>(AL 10-G-A) is $</w:t>
      </w:r>
      <w:r w:rsidRPr="007033DF" w:rsidR="005E747C">
        <w:rPr>
          <w:rFonts w:ascii="Palatino Linotype" w:hAnsi="Palatino Linotype" w:eastAsia="Times New Roman" w:cs="Times New Roman"/>
          <w:color w:val="000000" w:themeColor="text1"/>
          <w:kern w:val="0"/>
          <w14:ligatures w14:val="none"/>
        </w:rPr>
        <w:t>24 million</w:t>
      </w:r>
      <w:r w:rsidRPr="007033DF" w:rsidR="00630E5E">
        <w:rPr>
          <w:rFonts w:ascii="Palatino Linotype" w:hAnsi="Palatino Linotype" w:eastAsia="Times New Roman" w:cs="Times New Roman"/>
          <w:color w:val="000000" w:themeColor="text1"/>
          <w:kern w:val="0"/>
          <w14:ligatures w14:val="none"/>
        </w:rPr>
        <w:t>, comprised of</w:t>
      </w:r>
      <w:r w:rsidRPr="007033DF" w:rsidR="00295143">
        <w:rPr>
          <w:rFonts w:ascii="Palatino Linotype" w:hAnsi="Palatino Linotype" w:eastAsia="Times New Roman" w:cs="Times New Roman"/>
          <w:color w:val="000000" w:themeColor="text1"/>
          <w:kern w:val="0"/>
          <w14:ligatures w14:val="none"/>
        </w:rPr>
        <w:t>:</w:t>
      </w:r>
    </w:p>
    <w:p w:rsidRPr="007033DF" w:rsidR="00F37F82" w:rsidP="00F37F82" w:rsidRDefault="00F37F82" w14:paraId="7F2D8DF7" w14:textId="5A478FC4">
      <w:pPr>
        <w:numPr>
          <w:ilvl w:val="1"/>
          <w:numId w:val="5"/>
        </w:numPr>
        <w:spacing w:after="0" w:line="276" w:lineRule="auto"/>
        <w:ind w:right="720"/>
        <w:rPr>
          <w:rFonts w:ascii="Palatino Linotype" w:hAnsi="Palatino Linotype" w:eastAsia="Times New Roman" w:cs="Times New Roman"/>
          <w:color w:val="000000" w:themeColor="text1"/>
          <w:kern w:val="0"/>
          <w14:ligatures w14:val="none"/>
        </w:rPr>
      </w:pPr>
      <w:r w:rsidRPr="007033DF">
        <w:rPr>
          <w:rFonts w:ascii="Palatino Linotype" w:hAnsi="Palatino Linotype" w:eastAsia="Palatino Linotype"/>
          <w:color w:val="000000" w:themeColor="text1"/>
        </w:rPr>
        <w:t>$9,476,691 from applicable unspent funds</w:t>
      </w:r>
      <w:r w:rsidRPr="007033DF" w:rsidR="0017259F">
        <w:rPr>
          <w:rFonts w:ascii="Palatino Linotype" w:hAnsi="Palatino Linotype" w:eastAsia="Palatino Linotype"/>
          <w:color w:val="000000" w:themeColor="text1"/>
        </w:rPr>
        <w:t xml:space="preserve"> for Initiatives</w:t>
      </w:r>
      <w:r w:rsidRPr="007033DF" w:rsidR="00C819F6">
        <w:rPr>
          <w:rFonts w:ascii="Palatino Linotype" w:hAnsi="Palatino Linotype" w:eastAsia="Palatino Linotype"/>
          <w:color w:val="000000" w:themeColor="text1"/>
        </w:rPr>
        <w:t xml:space="preserve"> and $1,052,880 in associated Program Administration funds; and</w:t>
      </w:r>
    </w:p>
    <w:p w:rsidRPr="007033DF" w:rsidR="00C819F6" w:rsidP="00D22746" w:rsidRDefault="00FA1041" w14:paraId="03CC07CB" w14:textId="79DE7E20">
      <w:pPr>
        <w:numPr>
          <w:ilvl w:val="1"/>
          <w:numId w:val="5"/>
        </w:numPr>
        <w:spacing w:after="0" w:line="276" w:lineRule="auto"/>
        <w:ind w:right="720"/>
        <w:rPr>
          <w:rFonts w:ascii="Palatino Linotype" w:hAnsi="Palatino Linotype" w:eastAsia="Times New Roman" w:cs="Times New Roman"/>
          <w:color w:val="000000" w:themeColor="text1"/>
          <w:kern w:val="0"/>
          <w14:ligatures w14:val="none"/>
        </w:rPr>
      </w:pPr>
      <w:r w:rsidRPr="007033DF">
        <w:rPr>
          <w:rFonts w:ascii="Palatino Linotype" w:hAnsi="Palatino Linotype" w:eastAsia="Palatino Linotype"/>
          <w:color w:val="000000" w:themeColor="text1"/>
        </w:rPr>
        <w:t>$13,470,429</w:t>
      </w:r>
      <w:r w:rsidRPr="007033DF" w:rsidR="00A42DA0">
        <w:rPr>
          <w:rFonts w:ascii="Palatino Linotype" w:hAnsi="Palatino Linotype" w:eastAsia="Palatino Linotype"/>
          <w:color w:val="000000" w:themeColor="text1"/>
        </w:rPr>
        <w:t xml:space="preserve"> </w:t>
      </w:r>
      <w:r w:rsidRPr="007033DF" w:rsidR="005C73F6">
        <w:rPr>
          <w:rFonts w:ascii="Palatino Linotype" w:hAnsi="Palatino Linotype" w:eastAsia="Palatino Linotype"/>
          <w:color w:val="000000" w:themeColor="text1"/>
        </w:rPr>
        <w:t xml:space="preserve">in new </w:t>
      </w:r>
      <w:r w:rsidRPr="007033DF" w:rsidR="00B23949">
        <w:rPr>
          <w:rFonts w:ascii="Palatino Linotype" w:hAnsi="Palatino Linotype" w:eastAsia="Palatino Linotype"/>
          <w:color w:val="000000" w:themeColor="text1"/>
        </w:rPr>
        <w:t>ratepayer</w:t>
      </w:r>
      <w:r w:rsidRPr="007033DF" w:rsidR="005C73F6">
        <w:rPr>
          <w:rFonts w:ascii="Palatino Linotype" w:hAnsi="Palatino Linotype" w:eastAsia="Palatino Linotype"/>
          <w:color w:val="000000" w:themeColor="text1"/>
        </w:rPr>
        <w:t xml:space="preserve"> funds</w:t>
      </w:r>
      <w:r w:rsidRPr="007033DF" w:rsidR="00D22746">
        <w:rPr>
          <w:rFonts w:ascii="Palatino Linotype" w:hAnsi="Palatino Linotype" w:eastAsia="Palatino Linotype"/>
          <w:color w:val="000000" w:themeColor="text1"/>
        </w:rPr>
        <w:t>, including:</w:t>
      </w:r>
      <w:r w:rsidRPr="007033DF" w:rsidR="005C73F6">
        <w:rPr>
          <w:rFonts w:ascii="Palatino Linotype" w:hAnsi="Palatino Linotype" w:eastAsia="Palatino Linotype"/>
          <w:color w:val="000000" w:themeColor="text1"/>
        </w:rPr>
        <w:t xml:space="preserve"> </w:t>
      </w:r>
    </w:p>
    <w:p w:rsidRPr="007033DF" w:rsidR="00D22746" w:rsidP="005E747C" w:rsidRDefault="00A42DA0" w14:paraId="6052119B" w14:textId="77777777">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Palatino Linotype"/>
          <w:color w:val="000000" w:themeColor="text1"/>
        </w:rPr>
        <w:t>$</w:t>
      </w:r>
      <w:r w:rsidRPr="007033DF" w:rsidR="00FA1041">
        <w:rPr>
          <w:rFonts w:ascii="Palatino Linotype" w:hAnsi="Palatino Linotype" w:eastAsia="Palatino Linotype"/>
          <w:color w:val="000000" w:themeColor="text1"/>
        </w:rPr>
        <w:t xml:space="preserve">12,123,309 </w:t>
      </w:r>
      <w:r w:rsidRPr="007033DF" w:rsidR="00D22746">
        <w:rPr>
          <w:rFonts w:ascii="Palatino Linotype" w:hAnsi="Palatino Linotype" w:eastAsia="Palatino Linotype"/>
          <w:color w:val="000000" w:themeColor="text1"/>
        </w:rPr>
        <w:t>for</w:t>
      </w:r>
      <w:r w:rsidRPr="007033DF">
        <w:rPr>
          <w:rFonts w:ascii="Palatino Linotype" w:hAnsi="Palatino Linotype" w:eastAsia="Palatino Linotype"/>
          <w:color w:val="000000" w:themeColor="text1"/>
        </w:rPr>
        <w:t xml:space="preserve"> Initiative</w:t>
      </w:r>
      <w:r w:rsidRPr="007033DF" w:rsidR="00D22746">
        <w:rPr>
          <w:rFonts w:ascii="Palatino Linotype" w:hAnsi="Palatino Linotype" w:eastAsia="Palatino Linotype"/>
          <w:color w:val="000000" w:themeColor="text1"/>
        </w:rPr>
        <w:t xml:space="preserve">s, </w:t>
      </w:r>
      <w:r w:rsidRPr="007033DF">
        <w:rPr>
          <w:rFonts w:ascii="Palatino Linotype" w:hAnsi="Palatino Linotype" w:eastAsia="Palatino Linotype"/>
          <w:color w:val="000000" w:themeColor="text1"/>
        </w:rPr>
        <w:t xml:space="preserve">and </w:t>
      </w:r>
    </w:p>
    <w:p w:rsidRPr="007033DF" w:rsidR="001A107C" w:rsidP="005E747C" w:rsidRDefault="00AF282C" w14:paraId="1880A305" w14:textId="7C8E4246">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Palatino Linotype"/>
          <w:color w:val="000000" w:themeColor="text1"/>
        </w:rPr>
        <w:t>$1,</w:t>
      </w:r>
      <w:r w:rsidRPr="007033DF" w:rsidR="00FA1041">
        <w:rPr>
          <w:rFonts w:ascii="Palatino Linotype" w:hAnsi="Palatino Linotype" w:eastAsia="Palatino Linotype"/>
          <w:color w:val="000000" w:themeColor="text1"/>
        </w:rPr>
        <w:t xml:space="preserve">347,120 </w:t>
      </w:r>
      <w:r w:rsidRPr="007033DF" w:rsidR="004B26F2">
        <w:rPr>
          <w:rFonts w:ascii="Palatino Linotype" w:hAnsi="Palatino Linotype" w:eastAsia="Palatino Linotype"/>
          <w:color w:val="000000" w:themeColor="text1"/>
        </w:rPr>
        <w:t xml:space="preserve">for </w:t>
      </w:r>
      <w:r w:rsidRPr="007033DF" w:rsidR="00D22746">
        <w:rPr>
          <w:rFonts w:ascii="Palatino Linotype" w:hAnsi="Palatino Linotype" w:eastAsia="Palatino Linotype"/>
          <w:color w:val="000000" w:themeColor="text1"/>
        </w:rPr>
        <w:t>Program</w:t>
      </w:r>
      <w:r w:rsidRPr="007033DF" w:rsidR="004B26F2">
        <w:rPr>
          <w:rFonts w:ascii="Palatino Linotype" w:hAnsi="Palatino Linotype" w:eastAsia="Palatino Linotype"/>
          <w:color w:val="000000" w:themeColor="text1"/>
        </w:rPr>
        <w:t xml:space="preserve"> </w:t>
      </w:r>
      <w:r w:rsidRPr="007033DF" w:rsidR="00D22746">
        <w:rPr>
          <w:rFonts w:ascii="Palatino Linotype" w:hAnsi="Palatino Linotype" w:eastAsia="Palatino Linotype"/>
          <w:color w:val="000000" w:themeColor="text1"/>
        </w:rPr>
        <w:t>A</w:t>
      </w:r>
      <w:r w:rsidRPr="007033DF" w:rsidR="004B26F2">
        <w:rPr>
          <w:rFonts w:ascii="Palatino Linotype" w:hAnsi="Palatino Linotype" w:eastAsia="Palatino Linotype"/>
          <w:color w:val="000000" w:themeColor="text1"/>
        </w:rPr>
        <w:t>dministration.</w:t>
      </w:r>
    </w:p>
    <w:p w:rsidR="00B440ED" w:rsidP="00A556C9" w:rsidRDefault="00D97E2D" w14:paraId="6F897D35" w14:textId="3A47888A">
      <w:pPr>
        <w:pStyle w:val="10spHanging05"/>
        <w:numPr>
          <w:ilvl w:val="0"/>
          <w:numId w:val="5"/>
        </w:numPr>
        <w:spacing w:after="0" w:line="276" w:lineRule="auto"/>
        <w:rPr>
          <w:rFonts w:ascii="Palatino Linotype" w:hAnsi="Palatino Linotype" w:eastAsia="Times New Roman"/>
          <w:color w:val="000000" w:themeColor="text1"/>
        </w:rPr>
      </w:pPr>
      <w:r w:rsidRPr="00F2741F">
        <w:rPr>
          <w:rFonts w:ascii="Palatino Linotype" w:hAnsi="Palatino Linotype" w:eastAsia="Times New Roman"/>
          <w:color w:val="000000" w:themeColor="text1"/>
        </w:rPr>
        <w:t xml:space="preserve">CEC shall submit Tier 2 Advice Letters with revised 2024 and 2025 Plans </w:t>
      </w:r>
      <w:r w:rsidR="006379BD">
        <w:rPr>
          <w:rFonts w:ascii="Palatino Linotype" w:hAnsi="Palatino Linotype" w:eastAsia="Times New Roman"/>
          <w:color w:val="000000" w:themeColor="text1"/>
        </w:rPr>
        <w:t>addressing all compliance issues outline</w:t>
      </w:r>
      <w:r w:rsidR="00184295">
        <w:rPr>
          <w:rFonts w:ascii="Palatino Linotype" w:hAnsi="Palatino Linotype" w:eastAsia="Times New Roman"/>
          <w:color w:val="000000" w:themeColor="text1"/>
        </w:rPr>
        <w:t>d</w:t>
      </w:r>
      <w:r w:rsidR="006379BD">
        <w:rPr>
          <w:rFonts w:ascii="Palatino Linotype" w:hAnsi="Palatino Linotype" w:eastAsia="Times New Roman"/>
          <w:color w:val="000000" w:themeColor="text1"/>
        </w:rPr>
        <w:t xml:space="preserve"> in Appendices </w:t>
      </w:r>
      <w:r w:rsidR="00D05987">
        <w:rPr>
          <w:rFonts w:ascii="Palatino Linotype" w:hAnsi="Palatino Linotype" w:eastAsia="Times New Roman"/>
          <w:color w:val="000000" w:themeColor="text1"/>
        </w:rPr>
        <w:t>G</w:t>
      </w:r>
      <w:r w:rsidRPr="008A29D9" w:rsidR="008A29D9">
        <w:rPr>
          <w:rFonts w:ascii="Palatino Linotype" w:hAnsi="Palatino Linotype" w:eastAsia="Times New Roman"/>
          <w:color w:val="000000" w:themeColor="text1"/>
        </w:rPr>
        <w:t xml:space="preserve"> and </w:t>
      </w:r>
      <w:r w:rsidR="00D05987">
        <w:rPr>
          <w:rFonts w:ascii="Palatino Linotype" w:hAnsi="Palatino Linotype" w:eastAsia="Times New Roman"/>
          <w:color w:val="000000" w:themeColor="text1"/>
        </w:rPr>
        <w:t>H</w:t>
      </w:r>
      <w:r w:rsidRPr="008A29D9" w:rsidR="008A29D9">
        <w:rPr>
          <w:rFonts w:ascii="Palatino Linotype" w:hAnsi="Palatino Linotype" w:eastAsia="Times New Roman"/>
          <w:color w:val="000000" w:themeColor="text1"/>
        </w:rPr>
        <w:t xml:space="preserve"> </w:t>
      </w:r>
      <w:r w:rsidR="004371DC">
        <w:rPr>
          <w:rFonts w:ascii="Palatino Linotype" w:hAnsi="Palatino Linotype" w:eastAsia="Times New Roman"/>
          <w:color w:val="000000" w:themeColor="text1"/>
        </w:rPr>
        <w:t xml:space="preserve">and requirements outlined in this Resolution </w:t>
      </w:r>
      <w:r w:rsidRPr="00F2741F">
        <w:rPr>
          <w:rFonts w:ascii="Palatino Linotype" w:hAnsi="Palatino Linotype" w:eastAsia="Times New Roman"/>
          <w:color w:val="000000" w:themeColor="text1"/>
        </w:rPr>
        <w:t>within 90 days. CEC shall commensurately modify its 2024 and 2025 Gas RD&amp;D Plans with this information and attach to its Advice Letter: 1) a track-change version of its original Plan; 2) a clean version of its updated Plan; 3) a table describing the changes it has made aligned with the ordering paragraph and page number.</w:t>
      </w:r>
    </w:p>
    <w:p w:rsidRPr="007033DF" w:rsidR="00DC71A0" w:rsidP="00FA0B66" w:rsidRDefault="00DC71A0" w14:paraId="103F28ED" w14:textId="180984BA">
      <w:pPr>
        <w:pStyle w:val="ListParagraph"/>
        <w:numPr>
          <w:ilvl w:val="0"/>
          <w:numId w:val="5"/>
        </w:numPr>
        <w:spacing w:after="0" w:line="276" w:lineRule="auto"/>
        <w:rPr>
          <w:rFonts w:ascii="Palatino Linotype" w:hAnsi="Palatino Linotype" w:eastAsia="Palatino Linotype"/>
          <w:color w:val="000000" w:themeColor="text1"/>
        </w:rPr>
      </w:pPr>
      <w:r w:rsidRPr="007033DF">
        <w:rPr>
          <w:rFonts w:ascii="Palatino Linotype" w:hAnsi="Palatino Linotype" w:eastAsia="Palatino Linotype"/>
          <w:color w:val="000000" w:themeColor="text1"/>
        </w:rPr>
        <w:t xml:space="preserve">If, at the time this Resolution is issued, the CEC has encumbered or spent a portion of the approximately $31M in applicable unspent funds since reporting balances to the CPUC on April 30, 2026, the CEC shall provide updated balances to Energy Division in its Tier 2 ALs in the format </w:t>
      </w:r>
      <w:r w:rsidRPr="007033DF" w:rsidR="00E86DC2">
        <w:rPr>
          <w:rFonts w:ascii="Palatino Linotype" w:hAnsi="Palatino Linotype" w:eastAsia="Palatino Linotype"/>
          <w:color w:val="000000" w:themeColor="text1"/>
        </w:rPr>
        <w:t>of</w:t>
      </w:r>
      <w:r w:rsidRPr="007033DF">
        <w:rPr>
          <w:rFonts w:ascii="Palatino Linotype" w:hAnsi="Palatino Linotype" w:eastAsia="Palatino Linotype"/>
          <w:color w:val="000000" w:themeColor="text1"/>
        </w:rPr>
        <w:t xml:space="preserve"> Appendix </w:t>
      </w:r>
      <w:r w:rsidR="00037C5F">
        <w:rPr>
          <w:rFonts w:ascii="Palatino Linotype" w:hAnsi="Palatino Linotype" w:eastAsia="Palatino Linotype"/>
          <w:color w:val="000000" w:themeColor="text1"/>
        </w:rPr>
        <w:t>F</w:t>
      </w:r>
      <w:r w:rsidRPr="007033DF">
        <w:rPr>
          <w:rFonts w:ascii="Palatino Linotype" w:hAnsi="Palatino Linotype" w:eastAsia="Palatino Linotype"/>
          <w:color w:val="000000" w:themeColor="text1"/>
        </w:rPr>
        <w:t xml:space="preserve">. In its Tier 2 AL, the CEC shall also report potential interest and commercial benefits from Gas </w:t>
      </w:r>
      <w:r w:rsidRPr="007033DF">
        <w:rPr>
          <w:rFonts w:ascii="Palatino Linotype" w:hAnsi="Palatino Linotype" w:eastAsia="Palatino Linotype"/>
          <w:color w:val="000000" w:themeColor="text1"/>
        </w:rPr>
        <w:lastRenderedPageBreak/>
        <w:t xml:space="preserve">RD&amp;D funds and investments or otherwise state that none have accrued. Energy Division is authorized to modify the calculations of CEC’s 2025 Plan budget commensurately based on the balances of applicable unspent funds in addition to accrued interest and commercial benefits according to the methods described in this Resolution.  </w:t>
      </w:r>
    </w:p>
    <w:p w:rsidRPr="00FA0B66" w:rsidR="00FA0B66" w:rsidP="00FA0B66" w:rsidRDefault="00FA0B66" w14:paraId="6ADF3FC2" w14:textId="580BB239">
      <w:pPr>
        <w:pStyle w:val="ListParagraph"/>
        <w:numPr>
          <w:ilvl w:val="0"/>
          <w:numId w:val="5"/>
        </w:numPr>
        <w:spacing w:after="0" w:line="276" w:lineRule="auto"/>
        <w:rPr>
          <w:rFonts w:ascii="Palatino Linotype" w:hAnsi="Palatino Linotype" w:eastAsia="Palatino Linotype"/>
          <w:color w:val="000000" w:themeColor="text1"/>
        </w:rPr>
      </w:pPr>
      <w:r>
        <w:rPr>
          <w:rFonts w:ascii="Palatino Linotype" w:hAnsi="Palatino Linotype" w:eastAsia="Palatino Linotype"/>
          <w:color w:val="000000" w:themeColor="text1"/>
        </w:rPr>
        <w:t xml:space="preserve">Upon Commission approval, CEC shall not fund hydrogen-related RD&amp;D under its proposed 2024 Plan </w:t>
      </w:r>
      <w:r w:rsidRPr="00F17BE0">
        <w:rPr>
          <w:rFonts w:ascii="Palatino Linotype" w:hAnsi="Palatino Linotype" w:eastAsia="Palatino Linotype"/>
          <w:i/>
          <w:color w:val="000000" w:themeColor="text1"/>
        </w:rPr>
        <w:t>Fuel-Flexible Distributed Power Generation</w:t>
      </w:r>
      <w:r>
        <w:rPr>
          <w:rFonts w:ascii="Palatino Linotype" w:hAnsi="Palatino Linotype" w:eastAsia="Palatino Linotype"/>
          <w:color w:val="000000" w:themeColor="text1"/>
        </w:rPr>
        <w:t xml:space="preserve"> Initiative as </w:t>
      </w:r>
      <w:r w:rsidRPr="001F0361">
        <w:rPr>
          <w:rFonts w:ascii="Palatino Linotype" w:hAnsi="Palatino Linotype" w:eastAsia="Palatino Linotype"/>
          <w:color w:val="000000" w:themeColor="text1"/>
        </w:rPr>
        <w:t>the Commission has not provided guidance on the appropriate role of gas ratepayers in funding hydrogen RD&amp;D, particula</w:t>
      </w:r>
      <w:r w:rsidR="000429B2">
        <w:rPr>
          <w:rFonts w:ascii="Palatino Linotype" w:hAnsi="Palatino Linotype" w:eastAsia="Palatino Linotype"/>
          <w:color w:val="000000" w:themeColor="text1"/>
        </w:rPr>
        <w:t xml:space="preserve">rly </w:t>
      </w:r>
      <w:r w:rsidRPr="001F0361">
        <w:rPr>
          <w:rFonts w:ascii="Palatino Linotype" w:hAnsi="Palatino Linotype" w:eastAsia="Palatino Linotype"/>
          <w:color w:val="000000" w:themeColor="text1"/>
        </w:rPr>
        <w:t>as these projects would have further implications for ratepayer funding, including in future Gas RD&amp;D Plans</w:t>
      </w:r>
      <w:r>
        <w:rPr>
          <w:rFonts w:ascii="Palatino Linotype" w:hAnsi="Palatino Linotype" w:eastAsia="Palatino Linotype"/>
          <w:color w:val="000000" w:themeColor="text1"/>
        </w:rPr>
        <w:t>.</w:t>
      </w:r>
    </w:p>
    <w:p w:rsidRPr="00A71CC5" w:rsidR="00E8506E" w:rsidP="00A71CC5" w:rsidRDefault="00990EA3" w14:paraId="7DD81D20" w14:textId="66BC0096">
      <w:pPr>
        <w:pStyle w:val="10sp0"/>
        <w:numPr>
          <w:ilvl w:val="0"/>
          <w:numId w:val="5"/>
        </w:numPr>
        <w:spacing w:after="0" w:line="276" w:lineRule="auto"/>
        <w:rPr>
          <w:rFonts w:ascii="Palatino Linotype" w:hAnsi="Palatino Linotype" w:eastAsia="Palatino Linotype"/>
          <w:color w:val="000000" w:themeColor="text1"/>
        </w:rPr>
      </w:pPr>
      <w:r w:rsidRPr="00873272">
        <w:rPr>
          <w:rFonts w:ascii="Palatino Linotype" w:hAnsi="Palatino Linotype" w:eastAsia="Times New Roman"/>
          <w:color w:val="000000" w:themeColor="text1"/>
        </w:rPr>
        <w:t>In alignment with the</w:t>
      </w:r>
      <w:r w:rsidRPr="00873272" w:rsidR="009C4B71">
        <w:rPr>
          <w:rFonts w:ascii="Palatino Linotype" w:hAnsi="Palatino Linotype" w:eastAsia="Times New Roman"/>
          <w:color w:val="000000" w:themeColor="text1"/>
        </w:rPr>
        <w:t xml:space="preserve"> requirements outlined in the</w:t>
      </w:r>
      <w:r w:rsidRPr="00873272" w:rsidR="00E8506E">
        <w:rPr>
          <w:rFonts w:ascii="Palatino Linotype" w:hAnsi="Palatino Linotype" w:eastAsia="Times New Roman"/>
          <w:color w:val="000000" w:themeColor="text1"/>
        </w:rPr>
        <w:t xml:space="preserve"> </w:t>
      </w:r>
      <w:r w:rsidRPr="005C63D4" w:rsidR="005C63D4">
        <w:rPr>
          <w:rFonts w:ascii="Palatino Linotype" w:hAnsi="Palatino Linotype" w:eastAsia="Times New Roman"/>
          <w:color w:val="000000" w:themeColor="text1"/>
        </w:rPr>
        <w:t xml:space="preserve">Consolidated Guidance for Future CEC Gas RD&amp;D Compliance Filings </w:t>
      </w:r>
      <w:r w:rsidRPr="00A71CC5" w:rsidR="00E8506E">
        <w:rPr>
          <w:rFonts w:ascii="Palatino Linotype" w:hAnsi="Palatino Linotype" w:eastAsia="Times New Roman"/>
          <w:color w:val="000000" w:themeColor="text1"/>
        </w:rPr>
        <w:t>section of this Resolution</w:t>
      </w:r>
      <w:r w:rsidRPr="00A71CC5" w:rsidR="009C4B71">
        <w:rPr>
          <w:rFonts w:ascii="Palatino Linotype" w:hAnsi="Palatino Linotype" w:eastAsia="Times New Roman"/>
          <w:color w:val="000000" w:themeColor="text1"/>
        </w:rPr>
        <w:t xml:space="preserve">, CEC shall: </w:t>
      </w:r>
      <w:r w:rsidRPr="00A71CC5" w:rsidR="00A81369">
        <w:rPr>
          <w:rFonts w:ascii="Palatino Linotype" w:hAnsi="Palatino Linotype" w:eastAsia="Times New Roman"/>
          <w:color w:val="000000" w:themeColor="text1"/>
        </w:rPr>
        <w:t xml:space="preserve"> </w:t>
      </w:r>
    </w:p>
    <w:p w:rsidR="00A81369" w:rsidP="00A556C9" w:rsidRDefault="00462816" w14:paraId="71B06ECD" w14:textId="1D8C9BD7">
      <w:pPr>
        <w:pStyle w:val="10spHanging05"/>
        <w:numPr>
          <w:ilvl w:val="1"/>
          <w:numId w:val="5"/>
        </w:numPr>
        <w:spacing w:after="0" w:line="276" w:lineRule="auto"/>
        <w:rPr>
          <w:rFonts w:ascii="Palatino Linotype" w:hAnsi="Palatino Linotype" w:eastAsia="Times New Roman"/>
          <w:color w:val="000000" w:themeColor="text1"/>
        </w:rPr>
      </w:pPr>
      <w:r>
        <w:rPr>
          <w:rFonts w:ascii="Palatino Linotype" w:hAnsi="Palatino Linotype" w:eastAsia="Times New Roman"/>
          <w:color w:val="000000" w:themeColor="text1"/>
        </w:rPr>
        <w:t>Propose investments at the Initiative level and d</w:t>
      </w:r>
      <w:r w:rsidRPr="00362A2B" w:rsidR="00362A2B">
        <w:rPr>
          <w:rFonts w:ascii="Palatino Linotype" w:hAnsi="Palatino Linotype" w:eastAsia="Times New Roman"/>
          <w:color w:val="000000" w:themeColor="text1"/>
        </w:rPr>
        <w:t>emonstrate</w:t>
      </w:r>
      <w:r w:rsidR="00362A2B">
        <w:rPr>
          <w:rFonts w:ascii="Palatino Linotype" w:hAnsi="Palatino Linotype" w:eastAsia="Times New Roman"/>
          <w:color w:val="000000" w:themeColor="text1"/>
        </w:rPr>
        <w:t xml:space="preserve"> fulfillment of the Initiative Criteria for each proposed Initiative. </w:t>
      </w:r>
    </w:p>
    <w:p w:rsidR="000C6147" w:rsidP="00A556C9" w:rsidRDefault="00A36CAD" w14:paraId="60BE8FC7" w14:textId="0CA317E5">
      <w:pPr>
        <w:pStyle w:val="10spHanging05"/>
        <w:numPr>
          <w:ilvl w:val="1"/>
          <w:numId w:val="5"/>
        </w:numPr>
        <w:spacing w:after="0" w:line="276" w:lineRule="auto"/>
        <w:rPr>
          <w:rFonts w:ascii="Palatino Linotype" w:hAnsi="Palatino Linotype" w:eastAsia="Times New Roman"/>
          <w:color w:val="000000" w:themeColor="text1"/>
        </w:rPr>
      </w:pPr>
      <w:r>
        <w:rPr>
          <w:rFonts w:ascii="Palatino Linotype" w:hAnsi="Palatino Linotype" w:eastAsia="Times New Roman"/>
          <w:color w:val="000000" w:themeColor="text1"/>
        </w:rPr>
        <w:t>Conduct the detailed</w:t>
      </w:r>
      <w:r w:rsidRPr="00A36CAD">
        <w:rPr>
          <w:rFonts w:ascii="Palatino Linotype" w:hAnsi="Palatino Linotype" w:eastAsia="Times New Roman"/>
          <w:color w:val="000000" w:themeColor="text1"/>
        </w:rPr>
        <w:t xml:space="preserve"> pre-submittal consultation process </w:t>
      </w:r>
      <w:r>
        <w:rPr>
          <w:rFonts w:ascii="Palatino Linotype" w:hAnsi="Palatino Linotype" w:eastAsia="Times New Roman"/>
          <w:color w:val="000000" w:themeColor="text1"/>
        </w:rPr>
        <w:t>to</w:t>
      </w:r>
      <w:r w:rsidRPr="00A36CAD">
        <w:rPr>
          <w:rFonts w:ascii="Palatino Linotype" w:hAnsi="Palatino Linotype" w:eastAsia="Times New Roman"/>
          <w:color w:val="000000" w:themeColor="text1"/>
        </w:rPr>
        <w:t xml:space="preserve"> promote coordinated strategic planning across administrators to facilitate a holistic investment planning approach</w:t>
      </w:r>
      <w:r>
        <w:rPr>
          <w:rFonts w:ascii="Palatino Linotype" w:hAnsi="Palatino Linotype" w:eastAsia="Times New Roman"/>
          <w:color w:val="000000" w:themeColor="text1"/>
        </w:rPr>
        <w:t>.</w:t>
      </w:r>
    </w:p>
    <w:p w:rsidR="00F67BA8" w:rsidP="00A556C9" w:rsidRDefault="00BB33C1" w14:paraId="38FD2AAD" w14:textId="4C98539E">
      <w:pPr>
        <w:pStyle w:val="10spHanging05"/>
        <w:numPr>
          <w:ilvl w:val="1"/>
          <w:numId w:val="5"/>
        </w:numPr>
        <w:spacing w:after="0" w:line="276" w:lineRule="auto"/>
        <w:rPr>
          <w:rFonts w:ascii="Palatino Linotype" w:hAnsi="Palatino Linotype" w:eastAsia="Times New Roman"/>
          <w:color w:val="000000" w:themeColor="text1"/>
        </w:rPr>
      </w:pPr>
      <w:r>
        <w:rPr>
          <w:rFonts w:ascii="Palatino Linotype" w:hAnsi="Palatino Linotype" w:eastAsia="Times New Roman"/>
          <w:color w:val="000000" w:themeColor="text1"/>
        </w:rPr>
        <w:t>Report on</w:t>
      </w:r>
      <w:r w:rsidR="00F67BA8">
        <w:rPr>
          <w:rFonts w:ascii="Palatino Linotype" w:hAnsi="Palatino Linotype" w:eastAsia="Times New Roman"/>
          <w:color w:val="000000" w:themeColor="text1"/>
        </w:rPr>
        <w:t xml:space="preserve"> </w:t>
      </w:r>
      <w:r w:rsidR="00A73D25">
        <w:rPr>
          <w:rFonts w:ascii="Palatino Linotype" w:hAnsi="Palatino Linotype" w:eastAsia="Times New Roman"/>
          <w:color w:val="000000" w:themeColor="text1"/>
        </w:rPr>
        <w:t>the following</w:t>
      </w:r>
      <w:r>
        <w:rPr>
          <w:rFonts w:ascii="Palatino Linotype" w:hAnsi="Palatino Linotype" w:eastAsia="Times New Roman"/>
          <w:color w:val="000000" w:themeColor="text1"/>
        </w:rPr>
        <w:t xml:space="preserve"> in Annual Plans</w:t>
      </w:r>
      <w:r w:rsidR="0070268A">
        <w:rPr>
          <w:rFonts w:ascii="Palatino Linotype" w:hAnsi="Palatino Linotype" w:eastAsia="Times New Roman"/>
          <w:color w:val="000000" w:themeColor="text1"/>
        </w:rPr>
        <w:t xml:space="preserve"> </w:t>
      </w:r>
      <w:r>
        <w:rPr>
          <w:rFonts w:ascii="Palatino Linotype" w:hAnsi="Palatino Linotype" w:eastAsia="Times New Roman"/>
          <w:color w:val="000000" w:themeColor="text1"/>
        </w:rPr>
        <w:t xml:space="preserve">to support Energy Division staff’s oversight requirements: </w:t>
      </w:r>
    </w:p>
    <w:p w:rsidRPr="00BB33C1" w:rsidR="00BB33C1" w:rsidP="00BB33C1" w:rsidRDefault="00BB33C1" w14:paraId="3C05A50B" w14:textId="72EE1F45">
      <w:pPr>
        <w:pStyle w:val="10spHanging05"/>
        <w:numPr>
          <w:ilvl w:val="2"/>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Pertaining to previously approved Gas RD&amp;D Plans:</w:t>
      </w:r>
      <w:r w:rsidR="001207B9">
        <w:rPr>
          <w:rStyle w:val="FootnoteReference"/>
          <w:rFonts w:ascii="Palatino Linotype" w:hAnsi="Palatino Linotype" w:eastAsia="Times New Roman"/>
          <w:color w:val="000000" w:themeColor="text1"/>
        </w:rPr>
        <w:footnoteReference w:id="120"/>
      </w:r>
      <w:r w:rsidRPr="00BB33C1">
        <w:rPr>
          <w:rFonts w:ascii="Palatino Linotype" w:hAnsi="Palatino Linotype" w:eastAsia="Times New Roman"/>
          <w:color w:val="000000" w:themeColor="text1"/>
        </w:rPr>
        <w:t> </w:t>
      </w:r>
    </w:p>
    <w:p w:rsidRPr="00BB33C1" w:rsidR="00BB33C1" w:rsidP="00BB33C1" w:rsidRDefault="00BB33C1" w14:paraId="3F996F43" w14:textId="7A7CCE26">
      <w:pPr>
        <w:pStyle w:val="10spHanging05"/>
        <w:numPr>
          <w:ilvl w:val="3"/>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The balances of spent, unspent, encumbered, and unencumbered Gas RD&amp;D funds for each specific Initiative and for Program Administration.</w:t>
      </w:r>
    </w:p>
    <w:p w:rsidRPr="00BB33C1" w:rsidR="00BB33C1" w:rsidP="00BB33C1" w:rsidRDefault="00BB33C1" w14:paraId="7C4E3620" w14:textId="730FE24E">
      <w:pPr>
        <w:pStyle w:val="10spHanging05"/>
        <w:numPr>
          <w:ilvl w:val="3"/>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Commission-approved budget allocations, Commission approval dates, and encumbrance and spending deadlines.</w:t>
      </w:r>
    </w:p>
    <w:p w:rsidRPr="00BB33C1" w:rsidR="00BB33C1" w:rsidP="00BB33C1" w:rsidRDefault="00BB33C1" w14:paraId="5F7F7331" w14:textId="74629A68">
      <w:pPr>
        <w:pStyle w:val="10spHanging05"/>
        <w:numPr>
          <w:ilvl w:val="3"/>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For funding reallocated from approved Initiatives, the Plan and specific Initiative the funding has been reallocated to; relatedly, for funding reallocated to new Initiatives, the Plan and specific Initiative funding has been reallocated from</w:t>
      </w:r>
      <w:r>
        <w:rPr>
          <w:rFonts w:ascii="Palatino Linotype" w:hAnsi="Palatino Linotype" w:eastAsia="Times New Roman"/>
          <w:color w:val="000000" w:themeColor="text1"/>
        </w:rPr>
        <w:t>.</w:t>
      </w:r>
      <w:r w:rsidRPr="00BB33C1">
        <w:rPr>
          <w:rFonts w:ascii="Palatino Linotype" w:hAnsi="Palatino Linotype" w:eastAsia="Times New Roman"/>
          <w:color w:val="000000" w:themeColor="text1"/>
        </w:rPr>
        <w:t>  </w:t>
      </w:r>
    </w:p>
    <w:p w:rsidRPr="00BB33C1" w:rsidR="00BB33C1" w:rsidP="00BB33C1" w:rsidRDefault="00BB33C1" w14:paraId="37730B86" w14:textId="40F553C0">
      <w:pPr>
        <w:pStyle w:val="10spHanging05"/>
        <w:numPr>
          <w:ilvl w:val="2"/>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t>Commercial benefits which may result from Gas RD&amp;D investments.</w:t>
      </w:r>
    </w:p>
    <w:p w:rsidRPr="007033DF" w:rsidR="00BB33C1" w:rsidP="00BB33C1" w:rsidRDefault="00BB33C1" w14:paraId="3025581F" w14:textId="4FB0748B">
      <w:pPr>
        <w:pStyle w:val="10spHanging05"/>
        <w:numPr>
          <w:ilvl w:val="2"/>
          <w:numId w:val="5"/>
        </w:numPr>
        <w:spacing w:after="0" w:line="276" w:lineRule="auto"/>
        <w:rPr>
          <w:rFonts w:ascii="Palatino Linotype" w:hAnsi="Palatino Linotype" w:eastAsia="Times New Roman"/>
          <w:color w:val="000000" w:themeColor="text1"/>
        </w:rPr>
      </w:pPr>
      <w:r w:rsidRPr="00BB33C1">
        <w:rPr>
          <w:rFonts w:ascii="Palatino Linotype" w:hAnsi="Palatino Linotype" w:eastAsia="Times New Roman"/>
          <w:color w:val="000000" w:themeColor="text1"/>
        </w:rPr>
        <w:lastRenderedPageBreak/>
        <w:t xml:space="preserve">Interest on deposited amounts in balancing accounts held </w:t>
      </w:r>
      <w:r w:rsidRPr="007033DF">
        <w:rPr>
          <w:rFonts w:ascii="Palatino Linotype" w:hAnsi="Palatino Linotype" w:eastAsia="Times New Roman"/>
          <w:color w:val="000000" w:themeColor="text1"/>
        </w:rPr>
        <w:t>by utilities.</w:t>
      </w:r>
    </w:p>
    <w:p w:rsidRPr="007033DF" w:rsidR="00393420" w:rsidP="00A556C9" w:rsidRDefault="00393420" w14:paraId="217AF6A1" w14:textId="2C6EC247">
      <w:pPr>
        <w:pStyle w:val="10spHanging05"/>
        <w:numPr>
          <w:ilvl w:val="1"/>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 xml:space="preserve">Submit </w:t>
      </w:r>
      <w:r w:rsidRPr="007033DF" w:rsidR="008A630C">
        <w:rPr>
          <w:rFonts w:ascii="Palatino Linotype" w:hAnsi="Palatino Linotype" w:eastAsia="Times New Roman"/>
          <w:color w:val="000000" w:themeColor="text1"/>
        </w:rPr>
        <w:t>Tier 1 ALs by the start of each quarter to Energy Division</w:t>
      </w:r>
      <w:r w:rsidRPr="007033DF" w:rsidR="002C6446">
        <w:rPr>
          <w:rFonts w:ascii="Palatino Linotype" w:hAnsi="Palatino Linotype" w:eastAsia="Times New Roman"/>
          <w:color w:val="000000" w:themeColor="text1"/>
        </w:rPr>
        <w:t xml:space="preserve"> that provide updated status</w:t>
      </w:r>
      <w:r w:rsidRPr="007033DF" w:rsidR="00990F49">
        <w:rPr>
          <w:rFonts w:ascii="Palatino Linotype" w:hAnsi="Palatino Linotype" w:eastAsia="Times New Roman"/>
          <w:color w:val="000000" w:themeColor="text1"/>
        </w:rPr>
        <w:t>es on the above data.</w:t>
      </w:r>
      <w:r w:rsidRPr="007033DF" w:rsidR="0001455A">
        <w:rPr>
          <w:rStyle w:val="FootnoteReference"/>
          <w:rFonts w:ascii="Palatino Linotype" w:hAnsi="Palatino Linotype" w:eastAsia="Times New Roman"/>
          <w:color w:val="000000" w:themeColor="text1"/>
        </w:rPr>
        <w:footnoteReference w:id="121"/>
      </w:r>
    </w:p>
    <w:p w:rsidRPr="007033DF" w:rsidR="0078107C" w:rsidP="00A556C9" w:rsidRDefault="003B565C" w14:paraId="6A32DBC8" w14:textId="1154BED2">
      <w:pPr>
        <w:pStyle w:val="10spHanging05"/>
        <w:numPr>
          <w:ilvl w:val="1"/>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 xml:space="preserve">Provide Energy Division with an annual Tier 1 AL to demonstrate its request to the </w:t>
      </w:r>
      <w:r w:rsidR="00810984">
        <w:rPr>
          <w:rFonts w:ascii="Palatino Linotype" w:hAnsi="Palatino Linotype" w:eastAsia="Times New Roman"/>
          <w:color w:val="000000" w:themeColor="text1"/>
        </w:rPr>
        <w:t>SCO</w:t>
      </w:r>
      <w:r w:rsidRPr="007033DF">
        <w:rPr>
          <w:rFonts w:ascii="Palatino Linotype" w:hAnsi="Palatino Linotype" w:eastAsia="Times New Roman"/>
          <w:color w:val="000000" w:themeColor="text1"/>
        </w:rPr>
        <w:t xml:space="preserve"> to access PPP funds is consistent with the Gas RD&amp;D zero-based budget adopted by the Commission via </w:t>
      </w:r>
      <w:r w:rsidR="00BF2A11">
        <w:rPr>
          <w:rFonts w:ascii="Palatino Linotype" w:hAnsi="Palatino Linotype" w:eastAsia="Times New Roman"/>
          <w:color w:val="000000" w:themeColor="text1"/>
        </w:rPr>
        <w:t>r</w:t>
      </w:r>
      <w:r w:rsidRPr="007033DF">
        <w:rPr>
          <w:rFonts w:ascii="Palatino Linotype" w:hAnsi="Palatino Linotype" w:eastAsia="Times New Roman"/>
          <w:color w:val="000000" w:themeColor="text1"/>
        </w:rPr>
        <w:t>esolution.</w:t>
      </w:r>
    </w:p>
    <w:p w:rsidRPr="007033DF" w:rsidR="003B565C" w:rsidP="00A556C9" w:rsidRDefault="008547D7" w14:paraId="59FA60B2" w14:textId="317546C8">
      <w:pPr>
        <w:pStyle w:val="10spHanging05"/>
        <w:numPr>
          <w:ilvl w:val="1"/>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 xml:space="preserve">Consult Energy Division at least 60 days in advance </w:t>
      </w:r>
      <w:r w:rsidRPr="007033DF" w:rsidR="00972462">
        <w:rPr>
          <w:rFonts w:ascii="Palatino Linotype" w:hAnsi="Palatino Linotype" w:eastAsia="Times New Roman"/>
          <w:color w:val="000000" w:themeColor="text1"/>
        </w:rPr>
        <w:t>regarding</w:t>
      </w:r>
      <w:r w:rsidRPr="007033DF" w:rsidR="009B25E2">
        <w:rPr>
          <w:rFonts w:ascii="Palatino Linotype" w:hAnsi="Palatino Linotype" w:eastAsia="Times New Roman"/>
          <w:color w:val="000000" w:themeColor="text1"/>
        </w:rPr>
        <w:t>:</w:t>
      </w:r>
    </w:p>
    <w:p w:rsidRPr="007033DF" w:rsidR="009B25E2" w:rsidP="009B25E2" w:rsidRDefault="009B25E2" w14:paraId="72706576" w14:textId="04E1BFE0">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Shifting funds between Initiatives or Plans.</w:t>
      </w:r>
    </w:p>
    <w:p w:rsidRPr="007033DF" w:rsidR="009B25E2" w:rsidP="009B25E2" w:rsidRDefault="009B25E2" w14:paraId="5BDFCAA3" w14:textId="24B50B29">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Modifying research topics for Initiatives</w:t>
      </w:r>
      <w:r w:rsidRPr="007033DF" w:rsidR="007F27C0">
        <w:rPr>
          <w:rFonts w:ascii="Palatino Linotype" w:hAnsi="Palatino Linotype" w:eastAsia="Times New Roman"/>
          <w:color w:val="000000" w:themeColor="text1"/>
        </w:rPr>
        <w:t>.</w:t>
      </w:r>
    </w:p>
    <w:p w:rsidRPr="007033DF" w:rsidR="007F27C0" w:rsidP="009B25E2" w:rsidRDefault="007F27C0" w14:paraId="6D4B090D" w14:textId="3A6FDF52">
      <w:pPr>
        <w:pStyle w:val="10spHanging05"/>
        <w:numPr>
          <w:ilvl w:val="2"/>
          <w:numId w:val="5"/>
        </w:numPr>
        <w:spacing w:after="0" w:line="276" w:lineRule="auto"/>
        <w:rPr>
          <w:rFonts w:ascii="Palatino Linotype" w:hAnsi="Palatino Linotype" w:eastAsia="Times New Roman"/>
          <w:color w:val="000000" w:themeColor="text1"/>
        </w:rPr>
      </w:pPr>
      <w:r w:rsidRPr="007033DF">
        <w:rPr>
          <w:rFonts w:ascii="Palatino Linotype" w:hAnsi="Palatino Linotype" w:eastAsia="Times New Roman"/>
          <w:color w:val="000000" w:themeColor="text1"/>
        </w:rPr>
        <w:t>Issuing Requests for Proposals (RFPs)</w:t>
      </w:r>
      <w:r w:rsidRPr="007033DF" w:rsidR="00DE02E4">
        <w:rPr>
          <w:rFonts w:ascii="Palatino Linotype" w:hAnsi="Palatino Linotype" w:eastAsia="Times New Roman"/>
          <w:color w:val="000000" w:themeColor="text1"/>
        </w:rPr>
        <w:t>.</w:t>
      </w:r>
    </w:p>
    <w:p w:rsidRPr="007033DF" w:rsidR="007B55AC" w:rsidP="00A556C9" w:rsidRDefault="007B55AC" w14:paraId="789E26C6" w14:textId="4C18EC95">
      <w:pPr>
        <w:pStyle w:val="10spHanging05"/>
        <w:numPr>
          <w:ilvl w:val="1"/>
          <w:numId w:val="5"/>
        </w:numPr>
        <w:spacing w:after="0" w:line="276" w:lineRule="auto"/>
        <w:rPr>
          <w:rFonts w:ascii="Palatino Linotype" w:hAnsi="Palatino Linotype" w:eastAsia="Times New Roman"/>
          <w:color w:val="000000" w:themeColor="text1"/>
        </w:rPr>
      </w:pPr>
      <w:r w:rsidRPr="007B55AC">
        <w:rPr>
          <w:rFonts w:ascii="Palatino Linotype" w:hAnsi="Palatino Linotype" w:eastAsia="Palatino Linotype"/>
          <w:color w:val="000000" w:themeColor="text1"/>
        </w:rPr>
        <w:t>Submit Gas RD&amp;D Annual Reports to Energy Division by June 1 annually for the previous calendar year</w:t>
      </w:r>
      <w:r w:rsidR="00A7311B">
        <w:rPr>
          <w:rFonts w:ascii="Palatino Linotype" w:hAnsi="Palatino Linotype" w:eastAsia="Palatino Linotype"/>
          <w:color w:val="000000" w:themeColor="text1"/>
        </w:rPr>
        <w:t>, utilizing a standardized template provided by Energy Division</w:t>
      </w:r>
      <w:r w:rsidRPr="007B55AC">
        <w:rPr>
          <w:rFonts w:ascii="Palatino Linotype" w:hAnsi="Palatino Linotype" w:eastAsia="Palatino Linotype"/>
          <w:color w:val="000000" w:themeColor="text1"/>
        </w:rPr>
        <w:t>.</w:t>
      </w:r>
      <w:r w:rsidR="00D64F3D">
        <w:rPr>
          <w:rStyle w:val="FootnoteReference"/>
          <w:rFonts w:ascii="Palatino Linotype" w:hAnsi="Palatino Linotype" w:eastAsia="Palatino Linotype"/>
          <w:color w:val="000000" w:themeColor="text1"/>
        </w:rPr>
        <w:footnoteReference w:id="122"/>
      </w:r>
    </w:p>
    <w:p w:rsidRPr="007033DF" w:rsidR="008432F4" w:rsidP="00A556C9" w:rsidRDefault="008432F4" w14:paraId="1DC3E2BE" w14:textId="2FC20F77">
      <w:pPr>
        <w:pStyle w:val="10spHanging05"/>
        <w:numPr>
          <w:ilvl w:val="1"/>
          <w:numId w:val="5"/>
        </w:numPr>
        <w:spacing w:after="0" w:line="276" w:lineRule="auto"/>
        <w:rPr>
          <w:rFonts w:ascii="Palatino Linotype" w:hAnsi="Palatino Linotype"/>
          <w:color w:val="000000" w:themeColor="text1"/>
        </w:rPr>
      </w:pPr>
      <w:r w:rsidRPr="007033DF">
        <w:rPr>
          <w:rFonts w:ascii="Palatino Linotype" w:hAnsi="Palatino Linotype"/>
          <w:color w:val="000000" w:themeColor="text1"/>
        </w:rPr>
        <w:t>If funds for Initiatives from an approved Gas RD&amp;D Plan remain unspent after the encumbrance and spending windows close, retain and utilize a commensurate portion of Program Administrative funds to administer these funds upon Commission re-authorization in a subsequent Gas RD&amp;D Plan</w:t>
      </w:r>
      <w:r w:rsidRPr="007033DF" w:rsidR="00AD2D18">
        <w:rPr>
          <w:rFonts w:ascii="Palatino Linotype" w:hAnsi="Palatino Linotype"/>
          <w:color w:val="000000" w:themeColor="text1"/>
        </w:rPr>
        <w:t>.</w:t>
      </w:r>
    </w:p>
    <w:p w:rsidRPr="007033DF" w:rsidR="009F6257" w:rsidP="009F6257" w:rsidRDefault="009F6257" w14:paraId="56AD186D" w14:textId="0C3BFB8C">
      <w:pPr>
        <w:pStyle w:val="10spHanging05"/>
        <w:numPr>
          <w:ilvl w:val="1"/>
          <w:numId w:val="5"/>
        </w:numPr>
        <w:spacing w:after="0" w:line="276" w:lineRule="auto"/>
        <w:rPr>
          <w:rFonts w:ascii="Palatino Linotype" w:hAnsi="Palatino Linotype"/>
          <w:color w:val="000000" w:themeColor="text1"/>
        </w:rPr>
      </w:pPr>
      <w:r w:rsidRPr="007033DF">
        <w:rPr>
          <w:rFonts w:ascii="Palatino Linotype" w:hAnsi="Palatino Linotype"/>
          <w:color w:val="000000" w:themeColor="text1"/>
        </w:rPr>
        <w:t>In the use of ratepayer funds, maintain supporting documentation for transparency that is easily auditable, including for grant recipients, and comply with state requirements and procedures.</w:t>
      </w:r>
    </w:p>
    <w:p w:rsidRPr="00260404" w:rsidR="00F67CDF" w:rsidP="00A556C9" w:rsidRDefault="56CC564E" w14:paraId="281F6FF3" w14:textId="78C5202B">
      <w:pPr>
        <w:pStyle w:val="10spHanging05"/>
        <w:numPr>
          <w:ilvl w:val="0"/>
          <w:numId w:val="5"/>
        </w:numPr>
        <w:spacing w:after="0" w:line="276" w:lineRule="auto"/>
        <w:rPr>
          <w:rFonts w:ascii="Palatino Linotype" w:hAnsi="Palatino Linotype"/>
          <w:color w:val="000000" w:themeColor="text1"/>
        </w:rPr>
      </w:pPr>
      <w:r w:rsidRPr="007033DF">
        <w:rPr>
          <w:rFonts w:ascii="Palatino Linotype" w:hAnsi="Palatino Linotype" w:eastAsia="Palatino Linotype"/>
          <w:color w:val="000000" w:themeColor="text1"/>
        </w:rPr>
        <w:t xml:space="preserve">CEC shall allocate funds towards its proportional </w:t>
      </w:r>
      <w:r w:rsidRPr="00260404">
        <w:rPr>
          <w:rFonts w:ascii="Palatino Linotype" w:hAnsi="Palatino Linotype" w:eastAsia="Palatino Linotype"/>
          <w:color w:val="000000" w:themeColor="text1"/>
        </w:rPr>
        <w:t xml:space="preserve">share, </w:t>
      </w:r>
      <w:r w:rsidRPr="00260404">
        <w:rPr>
          <w:rFonts w:ascii="Palatino Linotype" w:hAnsi="Palatino Linotype"/>
          <w:color w:val="000000" w:themeColor="text1"/>
        </w:rPr>
        <w:t>$184,511,</w:t>
      </w:r>
      <w:r w:rsidRPr="00260404">
        <w:rPr>
          <w:rFonts w:ascii="Palatino Linotype" w:hAnsi="Palatino Linotype" w:eastAsia="Palatino Linotype"/>
          <w:color w:val="000000" w:themeColor="text1"/>
        </w:rPr>
        <w:t xml:space="preserve"> of developing a comprehensive Gas RD&amp;D Database of projects.</w:t>
      </w:r>
    </w:p>
    <w:p w:rsidRPr="00260404" w:rsidR="00F67CDF" w:rsidP="00A556C9" w:rsidRDefault="00F67CDF" w14:paraId="7CD6BFFE" w14:textId="40D80402">
      <w:pPr>
        <w:pStyle w:val="10spHanging05"/>
        <w:numPr>
          <w:ilvl w:val="0"/>
          <w:numId w:val="5"/>
        </w:numPr>
        <w:spacing w:after="0" w:line="276" w:lineRule="auto"/>
        <w:rPr>
          <w:rFonts w:ascii="Palatino Linotype" w:hAnsi="Palatino Linotype"/>
          <w:color w:val="000000" w:themeColor="text1"/>
        </w:rPr>
      </w:pPr>
      <w:r w:rsidRPr="00260404">
        <w:rPr>
          <w:rFonts w:ascii="Palatino Linotype" w:hAnsi="Palatino Linotype"/>
          <w:color w:val="000000" w:themeColor="text1"/>
        </w:rPr>
        <w:t>Energy Division shall advise</w:t>
      </w:r>
      <w:r w:rsidRPr="00260404" w:rsidR="00C8304A">
        <w:rPr>
          <w:rFonts w:ascii="Palatino Linotype" w:hAnsi="Palatino Linotype"/>
          <w:color w:val="000000" w:themeColor="text1"/>
        </w:rPr>
        <w:t xml:space="preserve"> CEC</w:t>
      </w:r>
      <w:r w:rsidRPr="00260404">
        <w:rPr>
          <w:rFonts w:ascii="Palatino Linotype" w:hAnsi="Palatino Linotype"/>
          <w:color w:val="000000" w:themeColor="text1"/>
        </w:rPr>
        <w:t xml:space="preserve"> on any reimbursement process to support a consolidated, comprehensive </w:t>
      </w:r>
      <w:r w:rsidR="00660D77">
        <w:rPr>
          <w:rFonts w:ascii="Palatino Linotype" w:hAnsi="Palatino Linotype"/>
          <w:color w:val="000000" w:themeColor="text1"/>
        </w:rPr>
        <w:t>i</w:t>
      </w:r>
      <w:r w:rsidRPr="00260404">
        <w:rPr>
          <w:rFonts w:ascii="Palatino Linotype" w:hAnsi="Palatino Linotype"/>
          <w:color w:val="000000" w:themeColor="text1"/>
        </w:rPr>
        <w:t>ndependent Program Evaluation across all Gas RD&amp;D administrators to create efficiencies and improve transparency regarding the use of ratepayer funds.</w:t>
      </w:r>
    </w:p>
    <w:p w:rsidRPr="00260404" w:rsidR="00CB6C54" w:rsidP="00A556C9" w:rsidRDefault="00CB6C54" w14:paraId="49D11BD9" w14:textId="3A7B3D77">
      <w:pPr>
        <w:pStyle w:val="10spHanging05"/>
        <w:numPr>
          <w:ilvl w:val="0"/>
          <w:numId w:val="5"/>
        </w:numPr>
        <w:spacing w:after="0" w:line="276" w:lineRule="auto"/>
        <w:rPr>
          <w:rFonts w:ascii="Palatino Linotype" w:hAnsi="Palatino Linotype"/>
          <w:color w:val="000000" w:themeColor="text1"/>
        </w:rPr>
      </w:pPr>
      <w:r w:rsidRPr="00260404">
        <w:rPr>
          <w:rFonts w:ascii="Palatino Linotype" w:hAnsi="Palatino Linotype"/>
          <w:color w:val="000000" w:themeColor="text1"/>
        </w:rPr>
        <w:lastRenderedPageBreak/>
        <w:t xml:space="preserve">In consultation with Energy Division staff and the Database administrator, CEC shall allocate and reimburse additional funds in future Plans for its proportional share of the maintenance and operational needs of the Database once established. </w:t>
      </w:r>
    </w:p>
    <w:p w:rsidRPr="006104DA" w:rsidR="009A6B41" w:rsidP="00A556C9" w:rsidRDefault="00387D25" w14:paraId="1899A730" w14:textId="72C36D21">
      <w:pPr>
        <w:pStyle w:val="10spHanging05"/>
        <w:numPr>
          <w:ilvl w:val="0"/>
          <w:numId w:val="5"/>
        </w:numPr>
        <w:spacing w:after="0" w:line="276" w:lineRule="auto"/>
        <w:rPr>
          <w:rFonts w:ascii="Palatino Linotype" w:hAnsi="Palatino Linotype" w:eastAsia="Times New Roman"/>
          <w:color w:val="000000" w:themeColor="text1"/>
        </w:rPr>
      </w:pPr>
      <w:r w:rsidRPr="006104DA">
        <w:rPr>
          <w:rFonts w:ascii="Palatino Linotype" w:hAnsi="Palatino Linotype" w:eastAsia="Times New Roman"/>
          <w:color w:val="000000" w:themeColor="text1"/>
        </w:rPr>
        <w:t>CEC</w:t>
      </w:r>
      <w:r w:rsidRPr="006104DA" w:rsidR="00F10602">
        <w:rPr>
          <w:rFonts w:ascii="Palatino Linotype" w:hAnsi="Palatino Linotype" w:eastAsia="Times New Roman"/>
          <w:color w:val="000000" w:themeColor="text1"/>
        </w:rPr>
        <w:t xml:space="preserve">’s Advice Letters 12-G and 10-G-A proposing for CEC to record up to </w:t>
      </w:r>
      <w:r w:rsidR="00E11CBF">
        <w:rPr>
          <w:rFonts w:ascii="Palatino Linotype" w:hAnsi="Palatino Linotype" w:eastAsia="Times New Roman"/>
          <w:color w:val="000000" w:themeColor="text1"/>
        </w:rPr>
        <w:br/>
      </w:r>
      <w:r w:rsidRPr="006104DA" w:rsidR="00F10602">
        <w:rPr>
          <w:rFonts w:ascii="Palatino Linotype" w:hAnsi="Palatino Linotype" w:eastAsia="Times New Roman"/>
          <w:color w:val="000000" w:themeColor="text1"/>
        </w:rPr>
        <w:t xml:space="preserve">$24 million for each FY 2024-2025 and FY 2025-2026 </w:t>
      </w:r>
      <w:r w:rsidRPr="006104DA" w:rsidR="00963A57">
        <w:rPr>
          <w:rFonts w:ascii="Palatino Linotype" w:hAnsi="Palatino Linotype" w:eastAsia="Times New Roman"/>
          <w:color w:val="000000" w:themeColor="text1"/>
        </w:rPr>
        <w:t>in Gas RD&amp;D expenses are partially approved.</w:t>
      </w:r>
    </w:p>
    <w:p w:rsidRPr="001942D0" w:rsidR="009A6B41" w:rsidP="003147DD" w:rsidRDefault="009A6B41" w14:paraId="40252AB0" w14:textId="77777777">
      <w:pPr>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1942D0" w:rsidR="00A76F4A" w:rsidP="003147DD" w:rsidRDefault="00A76F4A" w14:paraId="6B9B735A" w14:textId="77777777">
      <w:pPr>
        <w:keepNext/>
        <w:tabs>
          <w:tab w:val="left" w:pos="720"/>
          <w:tab w:val="left" w:pos="1296"/>
          <w:tab w:val="left" w:pos="2016"/>
          <w:tab w:val="left" w:pos="2736"/>
          <w:tab w:val="left" w:pos="3456"/>
          <w:tab w:val="left" w:pos="4176"/>
          <w:tab w:val="left" w:pos="5760"/>
        </w:tabs>
        <w:spacing w:before="240" w:after="0" w:line="276"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003147DD" w:rsidRDefault="00A76F4A" w14:paraId="45A541E0"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C5B85" w:rsidP="003147DD" w:rsidRDefault="00AC5B85" w14:paraId="299EE29A"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0B324C" w:rsidR="00A76F4A" w:rsidP="003147DD" w:rsidRDefault="00A76F4A" w14:paraId="34F8C9C5" w14:textId="5A935289">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sidRPr="000B324C">
        <w:rPr>
          <w:rFonts w:ascii="Palatino Linotype" w:hAnsi="Palatino Linotype" w:eastAsia="Palatino Linotype" w:cs="Times New Roman"/>
          <w:color w:val="000000" w:themeColor="text1"/>
          <w:kern w:val="0"/>
          <w14:ligatures w14:val="none"/>
        </w:rPr>
        <w:t xml:space="preserve">Commissioner Signature blocks to be added </w:t>
      </w:r>
    </w:p>
    <w:p w:rsidRPr="000B324C" w:rsidR="00A76F4A" w:rsidP="003147DD" w:rsidRDefault="00A76F4A" w14:paraId="47615040" w14:textId="7EF365BF">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r>
      <w:r w:rsidRPr="000B324C">
        <w:rPr>
          <w:rFonts w:ascii="Palatino Linotype" w:hAnsi="Palatino Linotype" w:eastAsia="Palatino Linotype" w:cs="Times New Roman"/>
          <w:color w:val="000000" w:themeColor="text1"/>
          <w:kern w:val="0"/>
          <w14:ligatures w14:val="none"/>
        </w:rPr>
        <w:tab/>
        <w:t>upon adoption of the resolution</w:t>
      </w:r>
      <w:r w:rsidRPr="000B324C" w:rsidR="00CD2149">
        <w:rPr>
          <w:rFonts w:ascii="Palatino Linotype" w:hAnsi="Palatino Linotype" w:eastAsia="Palatino Linotype" w:cs="Times New Roman"/>
          <w:color w:val="000000" w:themeColor="text1"/>
          <w:kern w:val="0"/>
          <w14:ligatures w14:val="none"/>
        </w:rPr>
        <w:t>.</w:t>
      </w:r>
    </w:p>
    <w:p w:rsidRPr="000B324C" w:rsidR="00A76F4A" w:rsidP="003147DD" w:rsidRDefault="00A76F4A" w14:paraId="7B507E3D"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p>
    <w:p w:rsidR="00A76F4A" w:rsidP="003147DD" w:rsidRDefault="00A76F4A" w14:paraId="5A07E5F1"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76F4A" w:rsidP="003147DD" w:rsidRDefault="00A76F4A" w14:paraId="7C0D2B15"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51493D" w:rsidR="00A76F4A" w:rsidP="003147DD" w:rsidRDefault="00A76F4A" w14:paraId="203AD159" w14:textId="2A15F76C">
      <w:pPr>
        <w:pStyle w:val="10sp0"/>
        <w:spacing w:after="480" w:line="276" w:lineRule="auto"/>
        <w:rPr>
          <w:rFonts w:ascii="Palatino Linotype" w:hAnsi="Palatino Linotype"/>
        </w:rPr>
      </w:pPr>
      <w:r>
        <w:rPr>
          <w:rFonts w:ascii="Palatino Linotype" w:hAnsi="Palatino Linotype"/>
        </w:rPr>
        <w:t>T</w:t>
      </w:r>
      <w:r w:rsidRPr="0051493D">
        <w:rPr>
          <w:rFonts w:ascii="Palatino Linotype" w:hAnsi="Palatino Linotype"/>
        </w:rPr>
        <w:t xml:space="preserve">he foregoing resolution was duly introduced, passed and adopted at a conference of the Public Utilities Commission of the State of California held on </w:t>
      </w:r>
      <w:r w:rsidR="001D386B">
        <w:rPr>
          <w:rFonts w:ascii="Palatino Linotype" w:hAnsi="Palatino Linotype"/>
        </w:rPr>
        <w:t xml:space="preserve">October </w:t>
      </w:r>
      <w:r w:rsidR="00295E0C">
        <w:rPr>
          <w:rFonts w:ascii="Palatino Linotype" w:hAnsi="Palatino Linotype"/>
        </w:rPr>
        <w:t>29</w:t>
      </w:r>
      <w:r w:rsidR="00C245C0">
        <w:rPr>
          <w:rFonts w:ascii="Palatino Linotype" w:hAnsi="Palatino Linotype"/>
        </w:rPr>
        <w:t>, 2026</w:t>
      </w:r>
      <w:r w:rsidRPr="007E0F6F">
        <w:rPr>
          <w:rFonts w:ascii="Palatino Linotype" w:hAnsi="Palatino Linotype"/>
        </w:rPr>
        <w:t>;</w:t>
      </w:r>
      <w:r w:rsidRPr="0051493D">
        <w:rPr>
          <w:rFonts w:ascii="Palatino Linotype" w:hAnsi="Palatino Linotype"/>
        </w:rPr>
        <w:t xml:space="preserve"> the following Commissioners voting favorably thereon:</w:t>
      </w:r>
    </w:p>
    <w:p w:rsidRPr="001942D0" w:rsidR="00A76F4A" w:rsidP="00A067B3" w:rsidRDefault="00A76F4A" w14:paraId="7B2A2C97" w14:textId="77777777">
      <w:pPr>
        <w:spacing w:after="0" w:line="276" w:lineRule="auto"/>
      </w:pPr>
    </w:p>
    <w:p w:rsidR="00FC571F" w:rsidP="00A067B3" w:rsidRDefault="00A76F4A" w14:paraId="26B5CB22" w14:textId="77777777">
      <w:pPr>
        <w:spacing w:line="276" w:lineRule="auto"/>
        <w:rPr>
          <w:rFonts w:ascii="Palatino Linotype" w:hAnsi="Palatino Linotype" w:eastAsia="SimSun" w:cs="Times New Roman"/>
          <w:kern w:val="0"/>
          <w14:ligatures w14:val="none"/>
        </w:rPr>
      </w:pPr>
      <w:r w:rsidRPr="35F2EE98">
        <w:rPr>
          <w:rFonts w:ascii="Palatino Linotype" w:hAnsi="Palatino Linotype" w:eastAsia="SimSun" w:cs="Times New Roman"/>
          <w:kern w:val="0"/>
          <w14:ligatures w14:val="none"/>
        </w:rPr>
        <w:t xml:space="preserve">Dated </w:t>
      </w:r>
      <w:r w:rsidR="00E11CBF">
        <w:rPr>
          <w:rFonts w:ascii="Palatino Linotype" w:hAnsi="Palatino Linotype"/>
        </w:rPr>
        <w:t>________________</w:t>
      </w:r>
      <w:r w:rsidRPr="35F2EE98">
        <w:rPr>
          <w:rFonts w:ascii="Palatino Linotype" w:hAnsi="Palatino Linotype" w:eastAsia="SimSun" w:cs="Times New Roman"/>
          <w:kern w:val="0"/>
          <w14:ligatures w14:val="none"/>
        </w:rPr>
        <w:t>, at</w:t>
      </w:r>
      <w:r w:rsidR="00E11CBF">
        <w:rPr>
          <w:rFonts w:ascii="Palatino Linotype" w:hAnsi="Palatino Linotype" w:eastAsia="SimSun" w:cs="Times New Roman"/>
          <w:kern w:val="0"/>
          <w14:ligatures w14:val="none"/>
        </w:rPr>
        <w:t>__________________</w:t>
      </w:r>
      <w:r w:rsidRPr="35F2EE98">
        <w:rPr>
          <w:rFonts w:ascii="Palatino Linotype" w:hAnsi="Palatino Linotype" w:eastAsia="SimSun" w:cs="Times New Roman"/>
          <w:kern w:val="0"/>
          <w14:ligatures w14:val="none"/>
        </w:rPr>
        <w:t>, California</w:t>
      </w:r>
    </w:p>
    <w:p w:rsidR="00FC571F" w:rsidP="00A067B3" w:rsidRDefault="00FC571F" w14:paraId="2FC5DB1A" w14:textId="77777777">
      <w:pPr>
        <w:spacing w:line="276" w:lineRule="auto"/>
        <w:rPr>
          <w:rFonts w:ascii="Palatino Linotype" w:hAnsi="Palatino Linotype" w:eastAsia="SimSun" w:cs="Times New Roman"/>
          <w:kern w:val="0"/>
          <w14:ligatures w14:val="none"/>
        </w:rPr>
      </w:pPr>
    </w:p>
    <w:p w:rsidR="004C0225" w:rsidP="00A067B3" w:rsidRDefault="004C0225" w14:paraId="18C81F1B" w14:textId="77777777">
      <w:pPr>
        <w:spacing w:line="276" w:lineRule="auto"/>
        <w:rPr>
          <w:rFonts w:ascii="Palatino Linotype" w:hAnsi="Palatino Linotype" w:eastAsia="SimSun" w:cs="Times New Roman"/>
          <w:kern w:val="0"/>
          <w14:ligatures w14:val="none"/>
        </w:rPr>
        <w:sectPr w:rsidR="004C0225" w:rsidSect="00FC571F">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rsidR="00DC7721" w:rsidP="00521CDB" w:rsidRDefault="00DC7721" w14:paraId="6B9B730F" w14:textId="77777777">
      <w:pPr>
        <w:spacing w:line="276" w:lineRule="auto"/>
        <w:rPr>
          <w:rFonts w:ascii="Palatino Linotype" w:hAnsi="Palatino Linotype" w:eastAsia="Palatino Linotype" w:cs="Times New Roman"/>
          <w:b/>
          <w:sz w:val="32"/>
          <w:szCs w:val="32"/>
        </w:rPr>
      </w:pPr>
    </w:p>
    <w:p w:rsidR="00DC7721" w:rsidP="00521CDB" w:rsidRDefault="00DC7721" w14:paraId="3EC4E006" w14:textId="77777777">
      <w:pPr>
        <w:spacing w:line="276" w:lineRule="auto"/>
        <w:rPr>
          <w:rFonts w:ascii="Palatino Linotype" w:hAnsi="Palatino Linotype" w:eastAsia="Palatino Linotype" w:cs="Times New Roman"/>
          <w:b/>
          <w:sz w:val="32"/>
          <w:szCs w:val="32"/>
        </w:rPr>
      </w:pPr>
    </w:p>
    <w:p w:rsidR="00957A11" w:rsidP="00521CDB" w:rsidRDefault="00957A11" w14:paraId="06EA8EAA" w14:textId="77777777">
      <w:pPr>
        <w:spacing w:line="276" w:lineRule="auto"/>
        <w:rPr>
          <w:rFonts w:ascii="Palatino Linotype" w:hAnsi="Palatino Linotype" w:eastAsia="Palatino Linotype" w:cs="Times New Roman"/>
          <w:b/>
          <w:sz w:val="32"/>
          <w:szCs w:val="32"/>
        </w:rPr>
      </w:pPr>
    </w:p>
    <w:p w:rsidRPr="00957A11" w:rsidR="004C0225" w:rsidP="00DC7721" w:rsidRDefault="004C0225" w14:paraId="1BEBE570" w14:textId="4599F7D1">
      <w:pPr>
        <w:spacing w:line="276" w:lineRule="auto"/>
        <w:jc w:val="center"/>
        <w:rPr>
          <w:rFonts w:ascii="Palatino Linotype" w:hAnsi="Palatino Linotype" w:eastAsia="Palatino Linotype" w:cs="Times New Roman"/>
          <w:b/>
          <w:sz w:val="48"/>
          <w:szCs w:val="48"/>
        </w:rPr>
      </w:pPr>
      <w:r w:rsidRPr="00957A11">
        <w:rPr>
          <w:rFonts w:ascii="Palatino Linotype" w:hAnsi="Palatino Linotype" w:eastAsia="Palatino Linotype" w:cs="Times New Roman"/>
          <w:b/>
          <w:sz w:val="48"/>
          <w:szCs w:val="48"/>
        </w:rPr>
        <w:t>APPENDIX A</w:t>
      </w:r>
    </w:p>
    <w:p w:rsidR="004C0225" w:rsidP="00521CDB" w:rsidRDefault="004C0225" w14:paraId="48F6C233" w14:textId="77777777">
      <w:pPr>
        <w:spacing w:line="276" w:lineRule="auto"/>
        <w:rPr>
          <w:rFonts w:ascii="Palatino Linotype" w:hAnsi="Palatino Linotype" w:eastAsia="Palatino Linotype" w:cs="Times New Roman"/>
          <w:b/>
        </w:rPr>
      </w:pPr>
    </w:p>
    <w:p w:rsidR="00DC7721" w:rsidRDefault="00DC7721" w14:paraId="3F5E49D4" w14:textId="77777777">
      <w:pPr>
        <w:rPr>
          <w:rFonts w:ascii="Palatino Linotype" w:hAnsi="Palatino Linotype" w:eastAsia="Palatino Linotype" w:cs="Times New Roman"/>
          <w:b/>
        </w:rPr>
      </w:pPr>
      <w:r>
        <w:rPr>
          <w:rFonts w:ascii="Palatino Linotype" w:hAnsi="Palatino Linotype" w:eastAsia="Palatino Linotype" w:cs="Times New Roman"/>
          <w:b/>
        </w:rPr>
        <w:br w:type="page"/>
      </w:r>
    </w:p>
    <w:p w:rsidRPr="00891F0C" w:rsidR="00521CDB" w:rsidP="00521CDB" w:rsidRDefault="00521CDB" w14:paraId="382ABA21" w14:textId="7A3787B6">
      <w:pPr>
        <w:spacing w:line="276" w:lineRule="auto"/>
        <w:rPr>
          <w:rFonts w:ascii="Palatino Linotype" w:hAnsi="Palatino Linotype" w:eastAsia="Palatino Linotype" w:cs="Times New Roman"/>
          <w:b/>
          <w:sz w:val="22"/>
          <w:szCs w:val="22"/>
        </w:rPr>
      </w:pPr>
      <w:r w:rsidRPr="00891F0C">
        <w:rPr>
          <w:rFonts w:ascii="Palatino Linotype" w:hAnsi="Palatino Linotype" w:eastAsia="Palatino Linotype" w:cs="Times New Roman"/>
          <w:b/>
        </w:rPr>
        <w:lastRenderedPageBreak/>
        <w:t xml:space="preserve">APPENDIX </w:t>
      </w:r>
      <w:r w:rsidR="000E0EBD">
        <w:rPr>
          <w:rFonts w:ascii="Palatino Linotype" w:hAnsi="Palatino Linotype" w:eastAsia="Palatino Linotype" w:cs="Times New Roman"/>
          <w:b/>
        </w:rPr>
        <w:t>A</w:t>
      </w:r>
      <w:r w:rsidRPr="00891F0C">
        <w:rPr>
          <w:rFonts w:ascii="Palatino Linotype" w:hAnsi="Palatino Linotype" w:eastAsia="Palatino Linotype" w:cs="Times New Roman"/>
          <w:b/>
        </w:rPr>
        <w:t xml:space="preserve">: </w:t>
      </w:r>
      <w:r w:rsidRPr="00891F0C">
        <w:rPr>
          <w:rFonts w:ascii="Palatino Linotype" w:hAnsi="Palatino Linotype" w:eastAsia="Palatino Linotype" w:cs="Times New Roman"/>
          <w:b/>
          <w:kern w:val="0"/>
          <w14:ligatures w14:val="none"/>
        </w:rPr>
        <w:t>Key CPUC Gas RD&amp;D Resolution Requirements</w:t>
      </w:r>
    </w:p>
    <w:p w:rsidR="00BC7ABB" w:rsidP="00521CDB" w:rsidRDefault="00521CDB" w14:paraId="5A91F528" w14:textId="74974C48">
      <w:pPr>
        <w:spacing w:after="0" w:line="276" w:lineRule="auto"/>
        <w:rPr>
          <w:rFonts w:ascii="Palatino Linotype" w:hAnsi="Palatino Linotype" w:eastAsia="Palatino Linotype" w:cs="Times New Roman"/>
          <w:bCs/>
          <w:i/>
          <w:iCs/>
          <w:color w:val="0070C0"/>
          <w:kern w:val="0"/>
          <w:sz w:val="20"/>
          <w:szCs w:val="20"/>
          <w14:ligatures w14:val="none"/>
        </w:rPr>
      </w:pPr>
      <w:r w:rsidRPr="00891F0C">
        <w:rPr>
          <w:rFonts w:ascii="Palatino Linotype" w:hAnsi="Palatino Linotype" w:eastAsia="Palatino Linotype" w:cs="Times New Roman"/>
          <w:bCs/>
          <w:i/>
          <w:iCs/>
          <w:kern w:val="0"/>
          <w:sz w:val="20"/>
          <w:szCs w:val="20"/>
          <w14:ligatures w14:val="none"/>
        </w:rPr>
        <w:t xml:space="preserve">The Commission set requirements for CEC’s Gas RD&amp;D Program via </w:t>
      </w:r>
      <w:r w:rsidR="00BF2A11">
        <w:rPr>
          <w:rFonts w:ascii="Palatino Linotype" w:hAnsi="Palatino Linotype" w:eastAsia="Palatino Linotype" w:cs="Times New Roman"/>
          <w:bCs/>
          <w:i/>
          <w:iCs/>
          <w:kern w:val="0"/>
          <w:sz w:val="20"/>
          <w:szCs w:val="20"/>
          <w14:ligatures w14:val="none"/>
        </w:rPr>
        <w:t>r</w:t>
      </w:r>
      <w:r w:rsidRPr="00891F0C">
        <w:rPr>
          <w:rFonts w:ascii="Palatino Linotype" w:hAnsi="Palatino Linotype" w:eastAsia="Palatino Linotype" w:cs="Times New Roman"/>
          <w:bCs/>
          <w:i/>
          <w:iCs/>
          <w:kern w:val="0"/>
          <w:sz w:val="20"/>
          <w:szCs w:val="20"/>
          <w14:ligatures w14:val="none"/>
        </w:rPr>
        <w:t>esolutions approving CEC’s Gas RD&amp;D Plans, beginning in 20</w:t>
      </w:r>
      <w:r w:rsidRPr="00891F0C">
        <w:rPr>
          <w:rFonts w:ascii="Palatino Linotype" w:hAnsi="Palatino Linotype" w:eastAsia="Palatino Linotype" w:cs="Times New Roman"/>
          <w:bCs/>
          <w:i/>
          <w:iCs/>
          <w:color w:val="000000" w:themeColor="text1"/>
          <w:kern w:val="0"/>
          <w:sz w:val="20"/>
          <w:szCs w:val="20"/>
          <w14:ligatures w14:val="none"/>
        </w:rPr>
        <w:t>04.</w:t>
      </w:r>
      <w:r w:rsidRPr="00891F0C">
        <w:rPr>
          <w:rStyle w:val="FootnoteReference"/>
          <w:rFonts w:ascii="Palatino Linotype" w:hAnsi="Palatino Linotype" w:eastAsia="Palatino Linotype" w:cs="Times New Roman"/>
          <w:bCs/>
          <w:i/>
          <w:iCs/>
          <w:color w:val="000000" w:themeColor="text1"/>
          <w:kern w:val="0"/>
          <w:sz w:val="20"/>
          <w:szCs w:val="20"/>
          <w14:ligatures w14:val="none"/>
        </w:rPr>
        <w:footnoteReference w:id="123"/>
      </w:r>
      <w:r w:rsidRPr="00891F0C">
        <w:rPr>
          <w:rFonts w:ascii="Palatino Linotype" w:hAnsi="Palatino Linotype" w:eastAsia="Palatino Linotype" w:cs="Times New Roman"/>
          <w:bCs/>
          <w:i/>
          <w:iCs/>
          <w:color w:val="000000" w:themeColor="text1"/>
          <w:kern w:val="0"/>
          <w:sz w:val="20"/>
          <w:szCs w:val="20"/>
          <w14:ligatures w14:val="none"/>
        </w:rPr>
        <w:t xml:space="preserve"> All applicable Commission requirements set via </w:t>
      </w:r>
      <w:r w:rsidR="00BF2A11">
        <w:rPr>
          <w:rFonts w:ascii="Palatino Linotype" w:hAnsi="Palatino Linotype" w:eastAsia="Palatino Linotype" w:cs="Times New Roman"/>
          <w:bCs/>
          <w:i/>
          <w:iCs/>
          <w:color w:val="000000" w:themeColor="text1"/>
          <w:kern w:val="0"/>
          <w:sz w:val="20"/>
          <w:szCs w:val="20"/>
          <w14:ligatures w14:val="none"/>
        </w:rPr>
        <w:t>r</w:t>
      </w:r>
      <w:r w:rsidRPr="00891F0C">
        <w:rPr>
          <w:rFonts w:ascii="Palatino Linotype" w:hAnsi="Palatino Linotype" w:eastAsia="Palatino Linotype" w:cs="Times New Roman"/>
          <w:bCs/>
          <w:i/>
          <w:iCs/>
          <w:color w:val="000000" w:themeColor="text1"/>
          <w:kern w:val="0"/>
          <w:sz w:val="20"/>
          <w:szCs w:val="20"/>
          <w14:ligatures w14:val="none"/>
        </w:rPr>
        <w:t xml:space="preserve">esolution were rigorously reviewed to identify the following key orders for the Commission’s evaluation of CEC’s proposed Plans: </w:t>
      </w:r>
    </w:p>
    <w:p w:rsidRPr="00521CDB" w:rsidR="00521CDB" w:rsidP="00521CDB" w:rsidRDefault="00521CDB" w14:paraId="529CCC56" w14:textId="77777777">
      <w:pPr>
        <w:spacing w:after="0" w:line="276" w:lineRule="auto"/>
        <w:rPr>
          <w:rFonts w:ascii="Palatino Linotype" w:hAnsi="Palatino Linotype" w:eastAsia="Palatino Linotype" w:cs="Times New Roman"/>
          <w:bCs/>
          <w:i/>
          <w:iCs/>
          <w:color w:val="0070C0"/>
          <w:kern w:val="0"/>
          <w:sz w:val="20"/>
          <w:szCs w:val="20"/>
          <w14:ligatures w14:val="none"/>
        </w:rPr>
      </w:pPr>
    </w:p>
    <w:tbl>
      <w:tblPr>
        <w:tblStyle w:val="TableGrid"/>
        <w:tblW w:w="0" w:type="auto"/>
        <w:tblLook w:val="04A0" w:firstRow="1" w:lastRow="0" w:firstColumn="1" w:lastColumn="0" w:noHBand="0" w:noVBand="1"/>
      </w:tblPr>
      <w:tblGrid>
        <w:gridCol w:w="3412"/>
        <w:gridCol w:w="5938"/>
      </w:tblGrid>
      <w:tr w:rsidRPr="004354A1" w:rsidR="000119E7" w:rsidTr="001B5B03" w14:paraId="02C5BEAF" w14:textId="77777777">
        <w:trPr>
          <w:tblHeader/>
        </w:trPr>
        <w:tc>
          <w:tcPr>
            <w:tcW w:w="3955" w:type="dxa"/>
          </w:tcPr>
          <w:p w:rsidRPr="004354A1" w:rsidR="000119E7" w:rsidRDefault="000119E7" w14:paraId="1D732957" w14:textId="77777777">
            <w:pPr>
              <w:rPr>
                <w:rFonts w:ascii="Palatino Linotype" w:hAnsi="Palatino Linotype" w:eastAsia="Palatino Linotype" w:cs="Times New Roman"/>
                <w:b/>
                <w:sz w:val="20"/>
                <w:szCs w:val="20"/>
              </w:rPr>
            </w:pPr>
            <w:r w:rsidRPr="004354A1">
              <w:rPr>
                <w:rFonts w:ascii="Palatino Linotype" w:hAnsi="Palatino Linotype" w:eastAsia="Palatino Linotype" w:cs="Times New Roman"/>
                <w:b/>
                <w:sz w:val="20"/>
                <w:szCs w:val="20"/>
              </w:rPr>
              <w:t>Resolution</w:t>
            </w:r>
          </w:p>
        </w:tc>
        <w:tc>
          <w:tcPr>
            <w:tcW w:w="6835" w:type="dxa"/>
          </w:tcPr>
          <w:p w:rsidRPr="004354A1" w:rsidR="000119E7" w:rsidRDefault="000119E7" w14:paraId="6605ACDE" w14:textId="77777777">
            <w:pPr>
              <w:rPr>
                <w:rFonts w:ascii="Palatino Linotype" w:hAnsi="Palatino Linotype" w:eastAsia="Palatino Linotype" w:cs="Times New Roman"/>
                <w:b/>
                <w:sz w:val="20"/>
                <w:szCs w:val="20"/>
              </w:rPr>
            </w:pPr>
            <w:r w:rsidRPr="004354A1">
              <w:rPr>
                <w:rFonts w:ascii="Palatino Linotype" w:hAnsi="Palatino Linotype" w:eastAsia="Palatino Linotype" w:cs="Times New Roman"/>
                <w:b/>
                <w:sz w:val="20"/>
                <w:szCs w:val="20"/>
              </w:rPr>
              <w:t>Commission Order/Requirement</w:t>
            </w:r>
          </w:p>
        </w:tc>
      </w:tr>
      <w:tr w:rsidRPr="004354A1" w:rsidR="000119E7" w:rsidTr="001B5B03" w14:paraId="2EBD510F" w14:textId="77777777">
        <w:tc>
          <w:tcPr>
            <w:tcW w:w="3955" w:type="dxa"/>
          </w:tcPr>
          <w:p w:rsidRPr="004354A1" w:rsidR="000119E7" w:rsidRDefault="000119E7" w14:paraId="7730E09D" w14:textId="77777777">
            <w:pPr>
              <w:rPr>
                <w:rFonts w:ascii="Palatino Linotype" w:hAnsi="Palatino Linotype" w:eastAsia="Palatino Linotype" w:cs="Times New Roman"/>
                <w:bCs/>
                <w:sz w:val="20"/>
                <w:szCs w:val="20"/>
              </w:rPr>
            </w:pPr>
            <w:hyperlink w:history="1" r:id="rId16">
              <w:r w:rsidRPr="004354A1">
                <w:rPr>
                  <w:rStyle w:val="Hyperlink"/>
                  <w:rFonts w:ascii="Palatino Linotype" w:hAnsi="Palatino Linotype"/>
                  <w:sz w:val="20"/>
                  <w:szCs w:val="20"/>
                </w:rPr>
                <w:t>Resolution G-3394</w:t>
              </w:r>
            </w:hyperlink>
            <w:r w:rsidRPr="004354A1">
              <w:rPr>
                <w:rFonts w:ascii="Palatino Linotype" w:hAnsi="Palatino Linotype"/>
                <w:sz w:val="20"/>
                <w:szCs w:val="20"/>
              </w:rPr>
              <w:t xml:space="preserve"> (2006)</w:t>
            </w:r>
            <w:r w:rsidRPr="004354A1">
              <w:rPr>
                <w:rFonts w:ascii="Palatino Linotype" w:hAnsi="Palatino Linotype"/>
                <w:color w:val="000000" w:themeColor="text1"/>
                <w:sz w:val="20"/>
                <w:szCs w:val="20"/>
              </w:rPr>
              <w:t>: Approving CEC’s FY 2007-2008 Gas RD&amp;D Plan</w:t>
            </w:r>
          </w:p>
        </w:tc>
        <w:tc>
          <w:tcPr>
            <w:tcW w:w="6835" w:type="dxa"/>
          </w:tcPr>
          <w:p w:rsidRPr="004354A1" w:rsidR="000119E7" w:rsidRDefault="000119E7" w14:paraId="2925EB36" w14:textId="134FC43F">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
                <w:sz w:val="20"/>
                <w:szCs w:val="20"/>
              </w:rPr>
              <w:t>OP 2</w:t>
            </w:r>
            <w:r w:rsidRPr="004354A1">
              <w:rPr>
                <w:rFonts w:ascii="Palatino Linotype" w:hAnsi="Palatino Linotype" w:eastAsia="Palatino Linotype" w:cs="Times New Roman"/>
                <w:bCs/>
                <w:sz w:val="20"/>
                <w:szCs w:val="20"/>
              </w:rPr>
              <w:t xml:space="preserve">. </w:t>
            </w:r>
            <w:r w:rsidRPr="004354A1">
              <w:rPr>
                <w:rFonts w:ascii="Palatino Linotype" w:hAnsi="Palatino Linotype" w:eastAsia="Palatino Linotype" w:cs="Times New Roman"/>
                <w:bCs/>
                <w:kern w:val="0"/>
                <w:sz w:val="20"/>
                <w:szCs w:val="20"/>
                <w14:ligatures w14:val="none"/>
              </w:rPr>
              <w:t>The CEC shall submit its Annual [Plan] by March 31st, and its Annual [Report] by October 31st,</w:t>
            </w:r>
            <w:r w:rsidR="00186D4F">
              <w:rPr>
                <w:rStyle w:val="FootnoteReference"/>
                <w:rFonts w:ascii="Palatino Linotype" w:hAnsi="Palatino Linotype" w:eastAsia="Palatino Linotype" w:cs="Times New Roman"/>
                <w:bCs/>
                <w:sz w:val="20"/>
                <w:szCs w:val="20"/>
              </w:rPr>
              <w:t xml:space="preserve"> </w:t>
            </w:r>
            <w:r w:rsidR="00186D4F">
              <w:rPr>
                <w:rStyle w:val="FootnoteReference"/>
                <w:rFonts w:ascii="Palatino Linotype" w:hAnsi="Palatino Linotype" w:eastAsia="Palatino Linotype" w:cs="Times New Roman"/>
                <w:bCs/>
                <w:sz w:val="20"/>
                <w:szCs w:val="20"/>
              </w:rPr>
              <w:footnoteReference w:id="124"/>
            </w:r>
            <w:r w:rsidRPr="004354A1">
              <w:rPr>
                <w:rFonts w:ascii="Palatino Linotype" w:hAnsi="Palatino Linotype" w:eastAsia="Palatino Linotype" w:cs="Times New Roman"/>
                <w:bCs/>
                <w:kern w:val="0"/>
                <w:sz w:val="20"/>
                <w:szCs w:val="20"/>
                <w14:ligatures w14:val="none"/>
              </w:rPr>
              <w:t xml:space="preserve"> beginning in 2008</w:t>
            </w:r>
            <w:r w:rsidRPr="004354A1">
              <w:rPr>
                <w:rFonts w:ascii="Palatino Linotype" w:hAnsi="Palatino Linotype" w:eastAsia="Palatino Linotype" w:cs="Times New Roman"/>
                <w:bCs/>
                <w:sz w:val="20"/>
                <w:szCs w:val="20"/>
              </w:rPr>
              <w:t>.</w:t>
            </w:r>
          </w:p>
        </w:tc>
      </w:tr>
      <w:tr w:rsidRPr="004354A1" w:rsidR="000119E7" w:rsidTr="001B5B03" w14:paraId="0D8CB783" w14:textId="77777777">
        <w:tc>
          <w:tcPr>
            <w:tcW w:w="3955" w:type="dxa"/>
          </w:tcPr>
          <w:p w:rsidRPr="004354A1" w:rsidR="000119E7" w:rsidRDefault="000119E7" w14:paraId="2FDB6924" w14:textId="77777777">
            <w:pPr>
              <w:rPr>
                <w:rFonts w:ascii="Palatino Linotype" w:hAnsi="Palatino Linotype" w:eastAsia="Palatino Linotype" w:cs="Times New Roman"/>
                <w:bCs/>
                <w:sz w:val="20"/>
                <w:szCs w:val="20"/>
              </w:rPr>
            </w:pPr>
            <w:hyperlink w:history="1" r:id="rId17">
              <w:r w:rsidRPr="004354A1">
                <w:rPr>
                  <w:rStyle w:val="Hyperlink"/>
                  <w:rFonts w:ascii="Palatino Linotype" w:hAnsi="Palatino Linotype"/>
                  <w:sz w:val="20"/>
                  <w:szCs w:val="20"/>
                </w:rPr>
                <w:t>Resolution G-3484</w:t>
              </w:r>
            </w:hyperlink>
            <w:r w:rsidRPr="004354A1">
              <w:rPr>
                <w:rFonts w:ascii="Palatino Linotype" w:hAnsi="Palatino Linotype"/>
                <w:sz w:val="20"/>
                <w:szCs w:val="20"/>
              </w:rPr>
              <w:t xml:space="preserve"> (2013): Approving CEC’s FY 2013-2014 Gas RD&amp;D Plan</w:t>
            </w:r>
          </w:p>
        </w:tc>
        <w:tc>
          <w:tcPr>
            <w:tcW w:w="6835" w:type="dxa"/>
          </w:tcPr>
          <w:p w:rsidRPr="004354A1" w:rsidR="000119E7" w:rsidRDefault="000119E7" w14:paraId="0F5D68DE" w14:textId="77777777">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In the interest of transparency, the CEC shall give an accounting of unspent PIER Natural Gas R&amp;D funds in each future year proposed budget, beginning with the proposed budget for Fiscal Year 2014-2015. The CPUC understands that the CEC has two years to encumber PIER Natural Gas R&amp;D funds with projects and an additional four years before such funds expire.</w:t>
            </w:r>
            <w:r w:rsidRPr="004354A1">
              <w:rPr>
                <w:rStyle w:val="FootnoteReference"/>
                <w:rFonts w:ascii="Palatino Linotype" w:hAnsi="Palatino Linotype" w:eastAsia="Palatino Linotype" w:cs="Times New Roman"/>
                <w:bCs/>
                <w:sz w:val="20"/>
                <w:szCs w:val="20"/>
              </w:rPr>
              <w:footnoteReference w:id="125"/>
            </w:r>
            <w:r w:rsidRPr="004354A1">
              <w:rPr>
                <w:rFonts w:ascii="Palatino Linotype" w:hAnsi="Palatino Linotype" w:eastAsia="Palatino Linotype" w:cs="Times New Roman"/>
                <w:bCs/>
                <w:sz w:val="20"/>
                <w:szCs w:val="20"/>
              </w:rPr>
              <w:t xml:space="preserve"> Beginning with the Fiscal Year 2014-2015 proposed budget, the CEC shall include in its proposed budget an account, by research area, of then-current unspent funds in the PIER Natural Gas R&amp;D program, including encumbrances and expiration dates.</w:t>
            </w:r>
            <w:r w:rsidRPr="004354A1">
              <w:rPr>
                <w:rStyle w:val="FootnoteReference"/>
                <w:rFonts w:ascii="Palatino Linotype" w:hAnsi="Palatino Linotype" w:eastAsia="Palatino Linotype" w:cs="Times New Roman"/>
                <w:bCs/>
                <w:sz w:val="20"/>
                <w:szCs w:val="20"/>
              </w:rPr>
              <w:footnoteReference w:id="126"/>
            </w:r>
            <w:r w:rsidRPr="004354A1">
              <w:rPr>
                <w:rFonts w:ascii="Palatino Linotype" w:hAnsi="Palatino Linotype" w:eastAsia="Palatino Linotype" w:cs="Times New Roman"/>
                <w:bCs/>
                <w:sz w:val="20"/>
                <w:szCs w:val="20"/>
              </w:rPr>
              <w:t xml:space="preserve"> The intent of this requirement is to show that the CEC has spent its cumulative authorized budgets in the areas in which the money was authorized and to provide an accounting of the status of cumulative unspent funds. This requirement shall remain in place for each fiscal year’s proposed budget, until otherwise directed by the CPUC (</w:t>
            </w:r>
            <w:r w:rsidRPr="004354A1">
              <w:rPr>
                <w:rFonts w:ascii="Palatino Linotype" w:hAnsi="Palatino Linotype" w:eastAsia="Palatino Linotype" w:cs="Times New Roman"/>
                <w:b/>
                <w:sz w:val="20"/>
                <w:szCs w:val="20"/>
              </w:rPr>
              <w:t>p. 5-6</w:t>
            </w:r>
            <w:r w:rsidRPr="004354A1">
              <w:rPr>
                <w:rFonts w:ascii="Palatino Linotype" w:hAnsi="Palatino Linotype" w:eastAsia="Palatino Linotype" w:cs="Times New Roman"/>
                <w:bCs/>
                <w:sz w:val="20"/>
                <w:szCs w:val="20"/>
              </w:rPr>
              <w:t>).</w:t>
            </w:r>
          </w:p>
        </w:tc>
      </w:tr>
      <w:tr w:rsidRPr="004354A1" w:rsidR="000119E7" w:rsidTr="001B5B03" w14:paraId="5D58A78F" w14:textId="77777777">
        <w:tc>
          <w:tcPr>
            <w:tcW w:w="3955" w:type="dxa"/>
            <w:vMerge w:val="restart"/>
          </w:tcPr>
          <w:p w:rsidRPr="004354A1" w:rsidR="000119E7" w:rsidRDefault="000119E7" w14:paraId="6A68CC2B" w14:textId="77777777">
            <w:pPr>
              <w:rPr>
                <w:rFonts w:ascii="Palatino Linotype" w:hAnsi="Palatino Linotype" w:eastAsia="Palatino Linotype" w:cs="Times New Roman"/>
                <w:bCs/>
                <w:sz w:val="20"/>
                <w:szCs w:val="20"/>
              </w:rPr>
            </w:pPr>
            <w:hyperlink w:tgtFrame="_blank" w:history="1" r:id="rId18">
              <w:r w:rsidRPr="004354A1">
                <w:rPr>
                  <w:rStyle w:val="Hyperlink"/>
                  <w:rFonts w:ascii="Palatino Linotype" w:hAnsi="Palatino Linotype"/>
                  <w:sz w:val="20"/>
                  <w:szCs w:val="20"/>
                </w:rPr>
                <w:t>Resolution G-3571</w:t>
              </w:r>
            </w:hyperlink>
            <w:r w:rsidRPr="004354A1">
              <w:rPr>
                <w:rFonts w:ascii="Palatino Linotype" w:hAnsi="Palatino Linotype"/>
                <w:sz w:val="20"/>
                <w:szCs w:val="20"/>
              </w:rPr>
              <w:t xml:space="preserve"> (2020): Approving CEC’s FY 2021-2021 Gas RD&amp;D Plan.</w:t>
            </w:r>
          </w:p>
        </w:tc>
        <w:tc>
          <w:tcPr>
            <w:tcW w:w="6835" w:type="dxa"/>
          </w:tcPr>
          <w:p w:rsidRPr="004354A1" w:rsidR="000119E7" w:rsidRDefault="000119E7" w14:paraId="516D7492" w14:textId="77777777">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
                <w:sz w:val="20"/>
                <w:szCs w:val="20"/>
              </w:rPr>
              <w:t>OP 5</w:t>
            </w:r>
            <w:r w:rsidRPr="004354A1">
              <w:rPr>
                <w:rFonts w:ascii="Palatino Linotype" w:hAnsi="Palatino Linotype" w:eastAsia="Palatino Linotype" w:cs="Times New Roman"/>
                <w:bCs/>
                <w:sz w:val="20"/>
                <w:szCs w:val="20"/>
              </w:rPr>
              <w:t xml:space="preserve">. In developing all future Natural Gas R&amp;D Plans, the CPUC requests that the CEC: </w:t>
            </w:r>
          </w:p>
          <w:p w:rsidRPr="004354A1" w:rsidR="000119E7" w:rsidP="00BB33C1" w:rsidRDefault="000119E7" w14:paraId="6F1DF4E8"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lastRenderedPageBreak/>
              <w:t>At least three weeks in advance of the public workshop on the proposed budget plan, coordinate with CPUC staff on development of the Draft Plan.</w:t>
            </w:r>
            <w:r w:rsidRPr="004354A1">
              <w:rPr>
                <w:rStyle w:val="FootnoteReference"/>
                <w:rFonts w:ascii="Palatino Linotype" w:hAnsi="Palatino Linotype" w:eastAsia="Palatino Linotype" w:cs="Times New Roman"/>
                <w:bCs/>
                <w:sz w:val="20"/>
                <w:szCs w:val="20"/>
              </w:rPr>
              <w:footnoteReference w:id="127"/>
            </w:r>
            <w:r w:rsidRPr="004354A1">
              <w:rPr>
                <w:rFonts w:ascii="Palatino Linotype" w:hAnsi="Palatino Linotype" w:eastAsia="Palatino Linotype" w:cs="Times New Roman"/>
                <w:bCs/>
                <w:sz w:val="20"/>
                <w:szCs w:val="20"/>
              </w:rPr>
              <w:t xml:space="preserve">   </w:t>
            </w:r>
          </w:p>
          <w:p w:rsidRPr="004354A1" w:rsidR="000119E7" w:rsidP="00BB33C1" w:rsidRDefault="000119E7" w14:paraId="6B494963"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 xml:space="preserve">Post the Natural Gas Research and Development Program: Proposed Budget Plan publicly on their website and notify CPUC of the web address when requesting approval of the plan.  </w:t>
            </w:r>
          </w:p>
          <w:p w:rsidRPr="004354A1" w:rsidR="000119E7" w:rsidP="00BB33C1" w:rsidRDefault="000119E7" w14:paraId="75914463"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4354A1" w:rsidR="000119E7" w:rsidP="00BB33C1" w:rsidRDefault="000119E7" w14:paraId="60F979AE"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Consult with Energy Division staff on which CPUC listservs from ongoing CPUC proceedings the CEC should notice their proposed plan to.</w:t>
            </w:r>
          </w:p>
          <w:p w:rsidRPr="004354A1" w:rsidR="000119E7" w:rsidP="00BB33C1" w:rsidRDefault="000119E7" w14:paraId="5DBE01D1" w14:textId="77777777">
            <w:pPr>
              <w:pStyle w:val="ListParagraph"/>
              <w:numPr>
                <w:ilvl w:val="0"/>
                <w:numId w:val="42"/>
              </w:numPr>
              <w:rPr>
                <w:rFonts w:ascii="Palatino Linotype" w:hAnsi="Palatino Linotype" w:eastAsia="Palatino Linotype" w:cs="Times New Roman"/>
                <w:bCs/>
                <w:sz w:val="20"/>
                <w:szCs w:val="20"/>
              </w:rPr>
            </w:pPr>
            <w:r w:rsidRPr="004354A1">
              <w:rPr>
                <w:rFonts w:ascii="Palatino Linotype" w:hAnsi="Palatino Linotype" w:eastAsia="Palatino Linotype" w:cs="Times New Roman"/>
                <w:bCs/>
                <w:sz w:val="20"/>
                <w:szCs w:val="20"/>
              </w:rPr>
              <w:t>Consult with CPUC staff to allow for the option of presenting the Natural Gas Research and Development Program: Proposed Budget Plan to the CPUC Commissioners during a CPUC Commissioner Committee Meeting.</w:t>
            </w:r>
            <w:r w:rsidRPr="004354A1">
              <w:rPr>
                <w:rStyle w:val="FootnoteReference"/>
                <w:rFonts w:ascii="Palatino Linotype" w:hAnsi="Palatino Linotype" w:eastAsia="Palatino Linotype" w:cs="Times New Roman"/>
                <w:bCs/>
                <w:sz w:val="20"/>
                <w:szCs w:val="20"/>
              </w:rPr>
              <w:footnoteReference w:id="128"/>
            </w:r>
            <w:r w:rsidRPr="004354A1">
              <w:rPr>
                <w:rFonts w:ascii="Palatino Linotype" w:hAnsi="Palatino Linotype" w:eastAsia="Palatino Linotype" w:cs="Times New Roman"/>
                <w:bCs/>
                <w:sz w:val="20"/>
                <w:szCs w:val="20"/>
              </w:rPr>
              <w:t xml:space="preserve">  </w:t>
            </w:r>
          </w:p>
        </w:tc>
      </w:tr>
      <w:tr w:rsidRPr="004354A1" w:rsidR="000119E7" w:rsidTr="001B5B03" w14:paraId="08D1CAC5" w14:textId="77777777">
        <w:tc>
          <w:tcPr>
            <w:tcW w:w="3955" w:type="dxa"/>
            <w:vMerge/>
          </w:tcPr>
          <w:p w:rsidRPr="004354A1" w:rsidR="000119E7" w:rsidRDefault="000119E7" w14:paraId="2D2103B9"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6698A3D3" w14:textId="77777777">
            <w:pPr>
              <w:rPr>
                <w:rFonts w:ascii="Palatino Linotype" w:hAnsi="Palatino Linotype" w:eastAsia="Palatino Linotype" w:cs="Times New Roman"/>
                <w:bCs/>
                <w:sz w:val="20"/>
                <w:szCs w:val="20"/>
              </w:rPr>
            </w:pPr>
            <w:r w:rsidRPr="004354A1">
              <w:rPr>
                <w:rFonts w:ascii="Palatino Linotype" w:hAnsi="Palatino Linotype" w:eastAsia="Palatino Linotype" w:cs="Times New Roman"/>
                <w:b/>
                <w:sz w:val="20"/>
                <w:szCs w:val="20"/>
              </w:rPr>
              <w:t>OP 6.</w:t>
            </w:r>
            <w:r w:rsidRPr="004354A1">
              <w:rPr>
                <w:rFonts w:ascii="Palatino Linotype" w:hAnsi="Palatino Linotype" w:eastAsia="Palatino Linotype" w:cs="Times New Roman"/>
                <w:bCs/>
                <w:sz w:val="20"/>
                <w:szCs w:val="20"/>
              </w:rPr>
              <w:t xml:space="preserve"> In developing the future Natural Gas R&amp;D Plans, the CPUC requests that the CEC submit future Natural Gas R&amp;D Plans via the Tier 3 Advice Letter/business letter process.</w:t>
            </w:r>
          </w:p>
        </w:tc>
      </w:tr>
      <w:tr w:rsidRPr="004354A1" w:rsidR="000119E7" w:rsidTr="001B5B03" w14:paraId="10BC22F2" w14:textId="77777777">
        <w:tc>
          <w:tcPr>
            <w:tcW w:w="3955" w:type="dxa"/>
            <w:vMerge w:val="restart"/>
          </w:tcPr>
          <w:p w:rsidRPr="004354A1" w:rsidR="000119E7" w:rsidRDefault="000119E7" w14:paraId="735C975E" w14:textId="77777777">
            <w:pPr>
              <w:rPr>
                <w:rFonts w:ascii="Palatino Linotype" w:hAnsi="Palatino Linotype" w:eastAsia="Palatino Linotype" w:cs="Times New Roman"/>
                <w:bCs/>
                <w:sz w:val="20"/>
                <w:szCs w:val="20"/>
              </w:rPr>
            </w:pPr>
            <w:hyperlink w:tgtFrame="_blank" w:history="1" r:id="rId19">
              <w:r w:rsidRPr="004354A1">
                <w:rPr>
                  <w:rStyle w:val="Hyperlink"/>
                  <w:rFonts w:ascii="Palatino Linotype" w:hAnsi="Palatino Linotype"/>
                  <w:sz w:val="20"/>
                  <w:szCs w:val="20"/>
                </w:rPr>
                <w:t>Resolution G-3584</w:t>
              </w:r>
            </w:hyperlink>
            <w:r w:rsidRPr="004354A1">
              <w:rPr>
                <w:rFonts w:ascii="Palatino Linotype" w:hAnsi="Palatino Linotype"/>
                <w:sz w:val="20"/>
                <w:szCs w:val="20"/>
              </w:rPr>
              <w:t xml:space="preserve"> (2021): Approving CEC’s FY 2021-2022 Gas RD&amp;D Plan</w:t>
            </w:r>
          </w:p>
        </w:tc>
        <w:tc>
          <w:tcPr>
            <w:tcW w:w="6835" w:type="dxa"/>
          </w:tcPr>
          <w:p w:rsidRPr="004354A1" w:rsidR="000119E7" w:rsidRDefault="000119E7" w14:paraId="4227ED01" w14:textId="77777777">
            <w:pPr>
              <w:rPr>
                <w:rFonts w:ascii="Palatino Linotype" w:hAnsi="Palatino Linotype" w:eastAsia="Palatino Linotype" w:cs="Times New Roman"/>
                <w:bCs/>
                <w:color w:val="000000" w:themeColor="text1"/>
                <w:sz w:val="20"/>
                <w:szCs w:val="20"/>
              </w:rPr>
            </w:pPr>
            <w:r w:rsidRPr="004354A1">
              <w:rPr>
                <w:rFonts w:ascii="Palatino Linotype" w:hAnsi="Palatino Linotype" w:eastAsia="Palatino Linotype" w:cs="Times New Roman"/>
                <w:b/>
                <w:color w:val="000000" w:themeColor="text1"/>
                <w:kern w:val="0"/>
                <w:sz w:val="20"/>
                <w:szCs w:val="20"/>
                <w14:ligatures w14:val="none"/>
              </w:rPr>
              <w:t>OP 5</w:t>
            </w:r>
            <w:r w:rsidRPr="004354A1">
              <w:rPr>
                <w:rFonts w:ascii="Palatino Linotype" w:hAnsi="Palatino Linotype" w:eastAsia="Palatino Linotype" w:cs="Times New Roman"/>
                <w:bCs/>
                <w:color w:val="000000" w:themeColor="text1"/>
                <w:kern w:val="0"/>
                <w:sz w:val="20"/>
                <w:szCs w:val="20"/>
                <w14:ligatures w14:val="none"/>
              </w:rPr>
              <w:t>. In developing the Fiscal Year 2022-2023 Gas R&amp;D Plan, the CEC shall: a) Consider the Assembly Bill 3232 (Friedman, 2018) report.</w:t>
            </w:r>
            <w:r w:rsidRPr="004354A1">
              <w:rPr>
                <w:rStyle w:val="FootnoteReference"/>
                <w:rFonts w:ascii="Palatino Linotype" w:hAnsi="Palatino Linotype" w:eastAsia="Palatino Linotype" w:cs="Times New Roman"/>
                <w:bCs/>
                <w:color w:val="000000" w:themeColor="text1"/>
                <w:kern w:val="0"/>
                <w:sz w:val="20"/>
                <w:szCs w:val="20"/>
                <w14:ligatures w14:val="none"/>
              </w:rPr>
              <w:footnoteReference w:id="129"/>
            </w:r>
            <w:r w:rsidRPr="004354A1">
              <w:rPr>
                <w:rFonts w:ascii="Palatino Linotype" w:hAnsi="Palatino Linotype" w:eastAsia="Palatino Linotype" w:cs="Times New Roman"/>
                <w:bCs/>
                <w:color w:val="000000" w:themeColor="text1"/>
                <w:kern w:val="0"/>
                <w:sz w:val="20"/>
                <w:szCs w:val="20"/>
                <w14:ligatures w14:val="none"/>
              </w:rPr>
              <w:t xml:space="preserve">  </w:t>
            </w:r>
          </w:p>
        </w:tc>
      </w:tr>
      <w:tr w:rsidRPr="004354A1" w:rsidR="000119E7" w:rsidTr="001B5B03" w14:paraId="002713FB" w14:textId="77777777">
        <w:tc>
          <w:tcPr>
            <w:tcW w:w="3955" w:type="dxa"/>
            <w:vMerge/>
          </w:tcPr>
          <w:p w:rsidRPr="004354A1" w:rsidR="000119E7" w:rsidRDefault="000119E7" w14:paraId="1C9560C1"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29AD807D" w14:textId="77777777">
            <w:pPr>
              <w:rPr>
                <w:rFonts w:ascii="Palatino Linotype" w:hAnsi="Palatino Linotype" w:eastAsia="Palatino Linotype" w:cs="Times New Roman"/>
                <w:bCs/>
                <w:color w:val="000000" w:themeColor="text1"/>
                <w:sz w:val="20"/>
                <w:szCs w:val="20"/>
              </w:rPr>
            </w:pPr>
            <w:r w:rsidRPr="004354A1">
              <w:rPr>
                <w:rFonts w:ascii="Palatino Linotype" w:hAnsi="Palatino Linotype" w:eastAsia="Palatino Linotype" w:cs="Times New Roman"/>
                <w:b/>
                <w:color w:val="000000" w:themeColor="text1"/>
                <w:kern w:val="0"/>
                <w:sz w:val="20"/>
                <w:szCs w:val="20"/>
                <w14:ligatures w14:val="none"/>
              </w:rPr>
              <w:t>OP 6</w:t>
            </w:r>
            <w:r w:rsidRPr="004354A1">
              <w:rPr>
                <w:rFonts w:ascii="Palatino Linotype" w:hAnsi="Palatino Linotype" w:eastAsia="Palatino Linotype" w:cs="Times New Roman"/>
                <w:bCs/>
                <w:color w:val="000000" w:themeColor="text1"/>
                <w:kern w:val="0"/>
                <w:sz w:val="20"/>
                <w:szCs w:val="20"/>
                <w14:ligatures w14:val="none"/>
              </w:rPr>
              <w:t>. In developing future Gas R&amp;D plans, the CEC shall: a) Consider the Long-Term Technological Development Strategy to Meet Aggressive Statewide Decarbonization Goals as it becomes available.</w:t>
            </w:r>
            <w:r w:rsidRPr="004354A1">
              <w:rPr>
                <w:rStyle w:val="FootnoteReference"/>
                <w:rFonts w:ascii="Palatino Linotype" w:hAnsi="Palatino Linotype" w:eastAsia="Palatino Linotype" w:cs="Times New Roman"/>
                <w:bCs/>
                <w:color w:val="000000" w:themeColor="text1"/>
                <w:kern w:val="0"/>
                <w:sz w:val="20"/>
                <w:szCs w:val="20"/>
                <w14:ligatures w14:val="none"/>
              </w:rPr>
              <w:footnoteReference w:id="130"/>
            </w:r>
            <w:r w:rsidRPr="004354A1">
              <w:rPr>
                <w:rFonts w:ascii="Palatino Linotype" w:hAnsi="Palatino Linotype" w:eastAsia="Palatino Linotype" w:cs="Times New Roman"/>
                <w:bCs/>
                <w:color w:val="000000" w:themeColor="text1"/>
                <w:kern w:val="0"/>
                <w:sz w:val="20"/>
                <w:szCs w:val="20"/>
                <w14:ligatures w14:val="none"/>
              </w:rPr>
              <w:t xml:space="preserve"> </w:t>
            </w:r>
          </w:p>
        </w:tc>
      </w:tr>
      <w:tr w:rsidRPr="004354A1" w:rsidR="000119E7" w:rsidTr="001B5B03" w14:paraId="2B3960CA" w14:textId="77777777">
        <w:tc>
          <w:tcPr>
            <w:tcW w:w="3955" w:type="dxa"/>
            <w:vMerge w:val="restart"/>
          </w:tcPr>
          <w:p w:rsidRPr="004354A1" w:rsidR="000119E7" w:rsidRDefault="000119E7" w14:paraId="76362C1E" w14:textId="77777777">
            <w:pPr>
              <w:rPr>
                <w:rFonts w:ascii="Palatino Linotype" w:hAnsi="Palatino Linotype" w:eastAsia="Palatino Linotype" w:cs="Times New Roman"/>
                <w:bCs/>
                <w:sz w:val="20"/>
                <w:szCs w:val="20"/>
              </w:rPr>
            </w:pPr>
            <w:hyperlink w:history="1" r:id="rId20">
              <w:r w:rsidRPr="004354A1">
                <w:rPr>
                  <w:rStyle w:val="Hyperlink"/>
                  <w:rFonts w:ascii="Palatino Linotype" w:hAnsi="Palatino Linotype"/>
                  <w:sz w:val="20"/>
                  <w:szCs w:val="20"/>
                </w:rPr>
                <w:t>Resolution G-3592</w:t>
              </w:r>
            </w:hyperlink>
            <w:r w:rsidRPr="004354A1">
              <w:rPr>
                <w:rFonts w:ascii="Palatino Linotype" w:hAnsi="Palatino Linotype"/>
                <w:sz w:val="20"/>
                <w:szCs w:val="20"/>
              </w:rPr>
              <w:t xml:space="preserve"> (2023): Approving CEC’s FY 2022-2023 Gas RD&amp;D Plan</w:t>
            </w:r>
          </w:p>
        </w:tc>
        <w:tc>
          <w:tcPr>
            <w:tcW w:w="6835" w:type="dxa"/>
          </w:tcPr>
          <w:p w:rsidRPr="004354A1" w:rsidR="000119E7" w:rsidRDefault="000119E7" w14:paraId="174773FD" w14:textId="77777777">
            <w:pPr>
              <w:pStyle w:val="paragraph"/>
              <w:spacing w:before="0" w:beforeAutospacing="0" w:after="0" w:afterAutospacing="0"/>
              <w:textAlignment w:val="baseline"/>
              <w:rPr>
                <w:rFonts w:ascii="Palatino Linotype" w:hAnsi="Palatino Linotype"/>
                <w:sz w:val="20"/>
                <w:szCs w:val="20"/>
              </w:rPr>
            </w:pPr>
            <w:r w:rsidRPr="004354A1">
              <w:rPr>
                <w:rFonts w:ascii="Palatino Linotype" w:hAnsi="Palatino Linotype"/>
                <w:b/>
                <w:bCs/>
                <w:sz w:val="20"/>
                <w:szCs w:val="20"/>
              </w:rPr>
              <w:t>OP 5a</w:t>
            </w:r>
            <w:r w:rsidRPr="004354A1">
              <w:rPr>
                <w:rFonts w:ascii="Palatino Linotype" w:hAnsi="Palatino Linotype"/>
                <w:sz w:val="20"/>
                <w:szCs w:val="20"/>
              </w:rPr>
              <w:t xml:space="preserve">. Identify and engage appropriate disadvantaged community stakeholders to provide increased input on how to administer the program equitably. The CEC shall include details </w:t>
            </w:r>
            <w:r w:rsidRPr="004354A1">
              <w:rPr>
                <w:rFonts w:ascii="Palatino Linotype" w:hAnsi="Palatino Linotype"/>
                <w:sz w:val="20"/>
                <w:szCs w:val="20"/>
              </w:rPr>
              <w:lastRenderedPageBreak/>
              <w:t>on how disadvantaged community stakeholders and DACAG input was incorporated into each Gas R&amp;D theme, as relevant to their input.</w:t>
            </w:r>
            <w:r w:rsidRPr="004354A1">
              <w:rPr>
                <w:rStyle w:val="FootnoteReference"/>
                <w:rFonts w:ascii="Palatino Linotype" w:hAnsi="Palatino Linotype"/>
                <w:sz w:val="20"/>
                <w:szCs w:val="20"/>
              </w:rPr>
              <w:footnoteReference w:id="131"/>
            </w:r>
            <w:r w:rsidRPr="004354A1">
              <w:rPr>
                <w:rFonts w:ascii="Palatino Linotype" w:hAnsi="Palatino Linotype"/>
                <w:sz w:val="20"/>
                <w:szCs w:val="20"/>
              </w:rPr>
              <w:t xml:space="preserve">  </w:t>
            </w:r>
          </w:p>
        </w:tc>
      </w:tr>
      <w:tr w:rsidRPr="004354A1" w:rsidR="000119E7" w:rsidTr="001B5B03" w14:paraId="48037FCD" w14:textId="77777777">
        <w:tc>
          <w:tcPr>
            <w:tcW w:w="3955" w:type="dxa"/>
            <w:vMerge/>
          </w:tcPr>
          <w:p w:rsidRPr="004354A1" w:rsidR="000119E7" w:rsidRDefault="000119E7" w14:paraId="534301D8"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4CAA9ADA" w14:textId="77777777">
            <w:pPr>
              <w:pStyle w:val="paragraph"/>
              <w:spacing w:before="0" w:beforeAutospacing="0" w:after="0" w:afterAutospacing="0"/>
              <w:textAlignment w:val="baseline"/>
              <w:rPr>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5c &amp; d.</w:t>
            </w:r>
            <w:r w:rsidRPr="004354A1">
              <w:rPr>
                <w:rStyle w:val="eop"/>
                <w:rFonts w:ascii="Palatino Linotype" w:hAnsi="Palatino Linotype"/>
                <w:color w:val="000000" w:themeColor="text1"/>
                <w:sz w:val="20"/>
                <w:szCs w:val="20"/>
              </w:rPr>
              <w:t xml:space="preserve"> Describe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w:t>
            </w:r>
            <w:r w:rsidRPr="004354A1">
              <w:rPr>
                <w:rStyle w:val="FootnoteReference"/>
                <w:rFonts w:ascii="Palatino Linotype" w:hAnsi="Palatino Linotype"/>
                <w:color w:val="000000" w:themeColor="text1"/>
                <w:sz w:val="20"/>
                <w:szCs w:val="20"/>
              </w:rPr>
              <w:footnoteReference w:id="132"/>
            </w:r>
            <w:r w:rsidRPr="004354A1">
              <w:rPr>
                <w:rStyle w:val="eop"/>
                <w:rFonts w:ascii="Palatino Linotype" w:hAnsi="Palatino Linotype"/>
                <w:color w:val="000000" w:themeColor="text1"/>
                <w:sz w:val="20"/>
                <w:szCs w:val="20"/>
              </w:rPr>
              <w:t xml:space="preserve"> </w:t>
            </w:r>
          </w:p>
        </w:tc>
      </w:tr>
      <w:tr w:rsidRPr="004354A1" w:rsidR="000119E7" w:rsidTr="001B5B03" w14:paraId="7D893E7F" w14:textId="77777777">
        <w:tc>
          <w:tcPr>
            <w:tcW w:w="3955" w:type="dxa"/>
            <w:vMerge/>
          </w:tcPr>
          <w:p w:rsidRPr="004354A1" w:rsidR="000119E7" w:rsidRDefault="000119E7" w14:paraId="494AB6CF"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52540D26"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5e</w:t>
            </w:r>
            <w:r w:rsidRPr="004354A1">
              <w:rPr>
                <w:rStyle w:val="eop"/>
                <w:rFonts w:ascii="Palatino Linotype" w:hAnsi="Palatino Linotype"/>
                <w:color w:val="000000" w:themeColor="text1"/>
                <w:sz w:val="20"/>
                <w:szCs w:val="20"/>
              </w:rPr>
              <w:t>. Use the EPIC administrative budget template.</w:t>
            </w:r>
            <w:r w:rsidRPr="004354A1">
              <w:rPr>
                <w:rStyle w:val="FootnoteReference"/>
                <w:rFonts w:ascii="Palatino Linotype" w:hAnsi="Palatino Linotype"/>
                <w:color w:val="000000" w:themeColor="text1"/>
                <w:sz w:val="20"/>
                <w:szCs w:val="20"/>
              </w:rPr>
              <w:footnoteReference w:id="133"/>
            </w:r>
            <w:r w:rsidRPr="004354A1">
              <w:rPr>
                <w:rStyle w:val="eop"/>
                <w:rFonts w:ascii="Palatino Linotype" w:hAnsi="Palatino Linotype"/>
                <w:color w:val="000000" w:themeColor="text1"/>
                <w:sz w:val="20"/>
                <w:szCs w:val="20"/>
              </w:rPr>
              <w:t xml:space="preserve">  </w:t>
            </w:r>
          </w:p>
        </w:tc>
      </w:tr>
      <w:tr w:rsidRPr="004354A1" w:rsidR="000119E7" w:rsidTr="001B5B03" w14:paraId="4909CA32" w14:textId="77777777">
        <w:tc>
          <w:tcPr>
            <w:tcW w:w="3955" w:type="dxa"/>
            <w:vMerge/>
          </w:tcPr>
          <w:p w:rsidRPr="004354A1" w:rsidR="000119E7" w:rsidRDefault="000119E7" w14:paraId="152F8A39"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5BD65864"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4354A1">
              <w:rPr>
                <w:rFonts w:ascii="Palatino Linotype" w:hAnsi="Palatino Linotype"/>
                <w:b/>
                <w:bCs/>
                <w:color w:val="000000" w:themeColor="text1"/>
                <w:sz w:val="20"/>
                <w:szCs w:val="20"/>
              </w:rPr>
              <w:t>OP 7.</w:t>
            </w:r>
            <w:r w:rsidRPr="004354A1">
              <w:rPr>
                <w:rFonts w:ascii="Palatino Linotype" w:hAnsi="Palatino Linotype"/>
                <w:color w:val="000000" w:themeColor="text1"/>
                <w:sz w:val="20"/>
                <w:szCs w:val="20"/>
              </w:rPr>
              <w:t xml:space="preserve"> In Fiscal Year 2023-2024 and all future plans, the CEC shall identify 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The CEC shall also list all spent, encumbered, and uncommitted funds organized by Gas R&amp;D initiative. Unencumbered and unspent funds shall be utilized prior to the utilization of new and/or additional ratepayer funds.</w:t>
            </w:r>
            <w:r w:rsidRPr="004354A1">
              <w:rPr>
                <w:rStyle w:val="FootnoteReference"/>
                <w:rFonts w:ascii="Palatino Linotype" w:hAnsi="Palatino Linotype"/>
                <w:color w:val="000000" w:themeColor="text1"/>
                <w:sz w:val="20"/>
                <w:szCs w:val="20"/>
              </w:rPr>
              <w:footnoteReference w:id="134"/>
            </w:r>
            <w:r w:rsidRPr="004354A1">
              <w:rPr>
                <w:rFonts w:ascii="Palatino Linotype" w:hAnsi="Palatino Linotype"/>
                <w:color w:val="000000" w:themeColor="text1"/>
                <w:sz w:val="20"/>
                <w:szCs w:val="20"/>
              </w:rPr>
              <w:t xml:space="preserve">  </w:t>
            </w:r>
          </w:p>
        </w:tc>
      </w:tr>
      <w:tr w:rsidRPr="004354A1" w:rsidR="000119E7" w:rsidTr="001B5B03" w14:paraId="2F143FB2" w14:textId="77777777">
        <w:tc>
          <w:tcPr>
            <w:tcW w:w="3955" w:type="dxa"/>
            <w:vMerge w:val="restart"/>
          </w:tcPr>
          <w:p w:rsidRPr="004354A1" w:rsidR="000119E7" w:rsidRDefault="000119E7" w14:paraId="179EC026" w14:textId="77777777">
            <w:pPr>
              <w:rPr>
                <w:rFonts w:ascii="Palatino Linotype" w:hAnsi="Palatino Linotype" w:eastAsia="Palatino Linotype" w:cs="Times New Roman"/>
                <w:bCs/>
                <w:sz w:val="20"/>
                <w:szCs w:val="20"/>
              </w:rPr>
            </w:pPr>
            <w:hyperlink w:history="1" r:id="rId21">
              <w:r w:rsidRPr="004354A1">
                <w:rPr>
                  <w:rStyle w:val="Hyperlink"/>
                  <w:rFonts w:ascii="Palatino Linotype" w:hAnsi="Palatino Linotype"/>
                  <w:sz w:val="20"/>
                  <w:szCs w:val="20"/>
                </w:rPr>
                <w:t>Resolution G-3603</w:t>
              </w:r>
            </w:hyperlink>
            <w:r w:rsidRPr="004354A1">
              <w:rPr>
                <w:rFonts w:ascii="Palatino Linotype" w:hAnsi="Palatino Linotype"/>
                <w:sz w:val="20"/>
                <w:szCs w:val="20"/>
              </w:rPr>
              <w:t xml:space="preserve"> (2024): Approving CEC’s FY 2023-2024 Gas RD&amp;D Plans</w:t>
            </w:r>
          </w:p>
        </w:tc>
        <w:tc>
          <w:tcPr>
            <w:tcW w:w="6835" w:type="dxa"/>
          </w:tcPr>
          <w:p w:rsidRPr="004354A1" w:rsidR="000119E7" w:rsidRDefault="000119E7" w14:paraId="403E3F6E" w14:textId="77777777">
            <w:pPr>
              <w:rPr>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4</w:t>
            </w:r>
            <w:r w:rsidRPr="004354A1">
              <w:rPr>
                <w:rStyle w:val="eop"/>
                <w:rFonts w:ascii="Palatino Linotype" w:hAnsi="Palatino Linotype"/>
                <w:color w:val="000000" w:themeColor="text1"/>
                <w:sz w:val="20"/>
                <w:szCs w:val="20"/>
              </w:rPr>
              <w:t>. [The CEC] shall be proactive and specific in articulating its coordination and collaboration with the Investor-Owned Utilities (IOUs), and other Gas Research and Development (R&amp;D) entities,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4354A1">
              <w:rPr>
                <w:rStyle w:val="FootnoteReference"/>
                <w:rFonts w:ascii="Palatino Linotype" w:hAnsi="Palatino Linotype"/>
                <w:color w:val="000000" w:themeColor="text1"/>
                <w:sz w:val="20"/>
                <w:szCs w:val="20"/>
              </w:rPr>
              <w:footnoteReference w:id="135"/>
            </w:r>
            <w:r w:rsidRPr="004354A1">
              <w:rPr>
                <w:rStyle w:val="eop"/>
                <w:rFonts w:ascii="Palatino Linotype" w:hAnsi="Palatino Linotype"/>
                <w:color w:val="000000" w:themeColor="text1"/>
                <w:sz w:val="20"/>
                <w:szCs w:val="20"/>
              </w:rPr>
              <w:t xml:space="preserve"> </w:t>
            </w:r>
          </w:p>
        </w:tc>
      </w:tr>
      <w:tr w:rsidRPr="004354A1" w:rsidR="000119E7" w:rsidTr="001B5B03" w14:paraId="2A565243" w14:textId="77777777">
        <w:tc>
          <w:tcPr>
            <w:tcW w:w="3955" w:type="dxa"/>
            <w:vMerge/>
          </w:tcPr>
          <w:p w:rsidRPr="004354A1" w:rsidR="000119E7" w:rsidRDefault="000119E7" w14:paraId="36DC563F"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3DE58CC6" w14:textId="77777777">
            <w:pPr>
              <w:pStyle w:val="paragraph"/>
              <w:spacing w:before="0" w:beforeAutospacing="0" w:after="0" w:afterAutospacing="0"/>
              <w:textAlignment w:val="baseline"/>
              <w:rPr>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5</w:t>
            </w:r>
            <w:r w:rsidRPr="004354A1">
              <w:rPr>
                <w:rStyle w:val="eop"/>
                <w:rFonts w:ascii="Palatino Linotype" w:hAnsi="Palatino Linotype"/>
                <w:color w:val="000000" w:themeColor="text1"/>
                <w:sz w:val="20"/>
                <w:szCs w:val="20"/>
              </w:rPr>
              <w:t xml:space="preserve">. To ensure that research plans are coordinated, consistent, and aligned with CPUC policies and proceedings, the California Energy Commission shall coordinate with Energy Division and CPUC Staff in advance of commencing its plan. </w:t>
            </w:r>
          </w:p>
        </w:tc>
      </w:tr>
      <w:tr w:rsidRPr="004354A1" w:rsidR="000119E7" w:rsidTr="001B5B03" w14:paraId="4CE9327A" w14:textId="77777777">
        <w:tc>
          <w:tcPr>
            <w:tcW w:w="3955" w:type="dxa"/>
            <w:vMerge/>
          </w:tcPr>
          <w:p w:rsidRPr="004354A1" w:rsidR="000119E7" w:rsidRDefault="000119E7" w14:paraId="4C9E8F02" w14:textId="77777777">
            <w:pPr>
              <w:rPr>
                <w:rFonts w:ascii="Palatino Linotype" w:hAnsi="Palatino Linotype" w:eastAsia="Palatino Linotype" w:cs="Times New Roman"/>
                <w:bCs/>
                <w:sz w:val="20"/>
                <w:szCs w:val="20"/>
              </w:rPr>
            </w:pPr>
          </w:p>
        </w:tc>
        <w:tc>
          <w:tcPr>
            <w:tcW w:w="6835" w:type="dxa"/>
          </w:tcPr>
          <w:p w:rsidRPr="004354A1" w:rsidR="000119E7" w:rsidRDefault="000119E7" w14:paraId="79E1222E"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4354A1">
              <w:rPr>
                <w:rStyle w:val="eop"/>
                <w:rFonts w:ascii="Palatino Linotype" w:hAnsi="Palatino Linotype"/>
                <w:b/>
                <w:bCs/>
                <w:color w:val="000000" w:themeColor="text1"/>
                <w:sz w:val="20"/>
                <w:szCs w:val="20"/>
              </w:rPr>
              <w:t>OP 6.</w:t>
            </w:r>
            <w:r w:rsidRPr="004354A1">
              <w:rPr>
                <w:rStyle w:val="eop"/>
                <w:rFonts w:ascii="Palatino Linotype" w:hAnsi="Palatino Linotype"/>
                <w:color w:val="000000" w:themeColor="text1"/>
                <w:sz w:val="20"/>
                <w:szCs w:val="20"/>
              </w:rPr>
              <w:t xml:space="preserve"> 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r w:rsidRPr="004354A1">
              <w:rPr>
                <w:rStyle w:val="FootnoteReference"/>
                <w:rFonts w:ascii="Palatino Linotype" w:hAnsi="Palatino Linotype"/>
                <w:color w:val="000000" w:themeColor="text1"/>
                <w:sz w:val="20"/>
                <w:szCs w:val="20"/>
              </w:rPr>
              <w:footnoteReference w:id="136"/>
            </w:r>
            <w:r w:rsidRPr="004354A1">
              <w:rPr>
                <w:rStyle w:val="eop"/>
                <w:rFonts w:ascii="Palatino Linotype" w:hAnsi="Palatino Linotype"/>
                <w:color w:val="000000" w:themeColor="text1"/>
                <w:sz w:val="20"/>
                <w:szCs w:val="20"/>
              </w:rPr>
              <w:t xml:space="preserve"> </w:t>
            </w:r>
          </w:p>
        </w:tc>
      </w:tr>
    </w:tbl>
    <w:p w:rsidR="000119E7" w:rsidP="00C245C0" w:rsidRDefault="000119E7" w14:paraId="1800E8C2" w14:textId="48BC99C3">
      <w:pPr>
        <w:spacing w:before="240"/>
        <w:rPr>
          <w:rFonts w:ascii="Palatino Linotype" w:hAnsi="Palatino Linotype"/>
          <w:b/>
          <w:bCs/>
        </w:rPr>
        <w:sectPr w:rsidR="000119E7" w:rsidSect="00BE02E6">
          <w:footerReference w:type="default" r:id="rId22"/>
          <w:headerReference w:type="first" r:id="rId23"/>
          <w:footerReference w:type="first" r:id="rId24"/>
          <w:pgSz w:w="12240" w:h="15840"/>
          <w:pgMar w:top="1440" w:right="1440" w:bottom="1440" w:left="1440" w:header="720" w:footer="720" w:gutter="0"/>
          <w:pgNumType w:start="1"/>
          <w:cols w:space="720"/>
          <w:titlePg/>
          <w:docGrid w:linePitch="360"/>
        </w:sectPr>
      </w:pPr>
    </w:p>
    <w:p w:rsidR="00604802" w:rsidP="00C245C0" w:rsidRDefault="00604802" w14:paraId="05E46DEE" w14:textId="77777777">
      <w:pPr>
        <w:spacing w:before="240"/>
        <w:rPr>
          <w:rFonts w:ascii="Palatino Linotype" w:hAnsi="Palatino Linotype"/>
          <w:b/>
          <w:bCs/>
        </w:rPr>
      </w:pPr>
    </w:p>
    <w:p w:rsidR="00957A11" w:rsidP="00C245C0" w:rsidRDefault="00957A11" w14:paraId="2EBE39AB" w14:textId="77777777">
      <w:pPr>
        <w:spacing w:before="240"/>
        <w:rPr>
          <w:rFonts w:ascii="Palatino Linotype" w:hAnsi="Palatino Linotype"/>
          <w:b/>
          <w:bCs/>
        </w:rPr>
      </w:pPr>
    </w:p>
    <w:p w:rsidR="00604802" w:rsidP="00C245C0" w:rsidRDefault="00604802" w14:paraId="43C48B71" w14:textId="77777777">
      <w:pPr>
        <w:spacing w:before="240"/>
        <w:rPr>
          <w:rFonts w:ascii="Palatino Linotype" w:hAnsi="Palatino Linotype"/>
          <w:b/>
          <w:bCs/>
        </w:rPr>
      </w:pPr>
    </w:p>
    <w:p w:rsidRPr="00957A11" w:rsidR="004E3070" w:rsidP="004E3070" w:rsidRDefault="004E3070" w14:paraId="3168A187" w14:textId="2AECFDBF">
      <w:pPr>
        <w:spacing w:before="240"/>
        <w:jc w:val="center"/>
        <w:rPr>
          <w:rFonts w:ascii="Palatino Linotype" w:hAnsi="Palatino Linotype"/>
          <w:b/>
          <w:bCs/>
          <w:color w:val="000000" w:themeColor="text1"/>
          <w:sz w:val="48"/>
          <w:szCs w:val="48"/>
        </w:rPr>
      </w:pPr>
      <w:r w:rsidRPr="00957A11">
        <w:rPr>
          <w:rFonts w:ascii="Palatino Linotype" w:hAnsi="Palatino Linotype"/>
          <w:b/>
          <w:bCs/>
          <w:sz w:val="48"/>
          <w:szCs w:val="48"/>
        </w:rPr>
        <w:t>APPENDIX</w:t>
      </w:r>
      <w:r w:rsidRPr="00957A11">
        <w:rPr>
          <w:rFonts w:ascii="Palatino Linotype" w:hAnsi="Palatino Linotype"/>
          <w:b/>
          <w:bCs/>
          <w:color w:val="000000" w:themeColor="text1"/>
          <w:sz w:val="48"/>
          <w:szCs w:val="48"/>
        </w:rPr>
        <w:t xml:space="preserve"> B</w:t>
      </w:r>
    </w:p>
    <w:p w:rsidR="004E3070" w:rsidP="004E3070" w:rsidRDefault="004E3070" w14:paraId="5D105B0A" w14:textId="77777777">
      <w:pPr>
        <w:spacing w:before="240"/>
        <w:jc w:val="center"/>
        <w:rPr>
          <w:rFonts w:ascii="Palatino Linotype" w:hAnsi="Palatino Linotype"/>
          <w:b/>
          <w:bCs/>
          <w:color w:val="000000" w:themeColor="text1"/>
          <w:sz w:val="44"/>
          <w:szCs w:val="44"/>
        </w:rPr>
      </w:pPr>
    </w:p>
    <w:p w:rsidR="00A1288B" w:rsidRDefault="00A1288B" w14:paraId="4016B908" w14:textId="42C52D5D">
      <w:pPr>
        <w:rPr>
          <w:rFonts w:ascii="Palatino Linotype" w:hAnsi="Palatino Linotype"/>
          <w:b/>
          <w:bCs/>
          <w:color w:val="000000" w:themeColor="text1"/>
          <w:sz w:val="44"/>
          <w:szCs w:val="44"/>
        </w:rPr>
      </w:pPr>
      <w:r>
        <w:rPr>
          <w:rFonts w:ascii="Palatino Linotype" w:hAnsi="Palatino Linotype"/>
          <w:b/>
          <w:bCs/>
          <w:color w:val="000000" w:themeColor="text1"/>
          <w:sz w:val="44"/>
          <w:szCs w:val="44"/>
        </w:rPr>
        <w:br w:type="page"/>
      </w:r>
    </w:p>
    <w:p w:rsidRPr="004C5DBB" w:rsidR="00930C35" w:rsidP="00C245C0" w:rsidRDefault="00930C35" w14:paraId="570E6180" w14:textId="159FE032">
      <w:pPr>
        <w:spacing w:before="240"/>
        <w:rPr>
          <w:rFonts w:ascii="Palatino Linotype" w:hAnsi="Palatino Linotype"/>
          <w:b/>
          <w:bCs/>
        </w:rPr>
      </w:pPr>
      <w:r w:rsidRPr="004C5DBB">
        <w:rPr>
          <w:rFonts w:ascii="Palatino Linotype" w:hAnsi="Palatino Linotype"/>
          <w:b/>
          <w:bCs/>
        </w:rPr>
        <w:lastRenderedPageBreak/>
        <w:t>APPENDIX</w:t>
      </w:r>
      <w:r w:rsidRPr="004C5DBB">
        <w:rPr>
          <w:rFonts w:ascii="Palatino Linotype" w:hAnsi="Palatino Linotype"/>
          <w:b/>
          <w:bCs/>
          <w:color w:val="000000" w:themeColor="text1"/>
        </w:rPr>
        <w:t xml:space="preserve"> </w:t>
      </w:r>
      <w:r w:rsidR="000E0EBD">
        <w:rPr>
          <w:rFonts w:ascii="Palatino Linotype" w:hAnsi="Palatino Linotype"/>
          <w:b/>
          <w:bCs/>
          <w:color w:val="000000" w:themeColor="text1"/>
        </w:rPr>
        <w:t>B</w:t>
      </w:r>
      <w:r w:rsidRPr="004C5DBB">
        <w:rPr>
          <w:rFonts w:ascii="Palatino Linotype" w:hAnsi="Palatino Linotype"/>
          <w:b/>
          <w:bCs/>
        </w:rPr>
        <w:t>: Administrative Budget Cost Categories</w:t>
      </w:r>
    </w:p>
    <w:tbl>
      <w:tblPr>
        <w:tblStyle w:val="TableGrid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5"/>
        <w:gridCol w:w="2430"/>
      </w:tblGrid>
      <w:tr w:rsidRPr="004C5DBB" w:rsidR="00930C35" w:rsidTr="00BB366A" w14:paraId="3CFFD635" w14:textId="77777777">
        <w:trPr>
          <w:trHeight w:val="432"/>
        </w:trPr>
        <w:tc>
          <w:tcPr>
            <w:tcW w:w="6925" w:type="dxa"/>
            <w:vAlign w:val="center"/>
          </w:tcPr>
          <w:p w:rsidRPr="004C5DBB" w:rsidR="00930C35" w:rsidP="00BB366A" w:rsidRDefault="00930C35" w14:paraId="5DBF5932" w14:textId="77777777">
            <w:pPr>
              <w:spacing w:line="276" w:lineRule="auto"/>
              <w:rPr>
                <w:rFonts w:ascii="Palatino Linotype" w:hAnsi="Palatino Linotype"/>
                <w:b/>
                <w:sz w:val="22"/>
                <w:szCs w:val="22"/>
              </w:rPr>
            </w:pPr>
            <w:r w:rsidRPr="004C5DBB">
              <w:rPr>
                <w:rFonts w:ascii="Palatino Linotype" w:hAnsi="Palatino Linotype"/>
                <w:b/>
                <w:sz w:val="22"/>
                <w:szCs w:val="22"/>
              </w:rPr>
              <w:t>Program Administrative Cost Budget Item</w:t>
            </w:r>
          </w:p>
        </w:tc>
        <w:tc>
          <w:tcPr>
            <w:tcW w:w="2430" w:type="dxa"/>
            <w:vAlign w:val="center"/>
          </w:tcPr>
          <w:p w:rsidRPr="004C5DBB" w:rsidR="00930C35" w:rsidP="00BB366A" w:rsidRDefault="00930C35" w14:paraId="10CDAA02" w14:textId="77777777">
            <w:pPr>
              <w:spacing w:line="276" w:lineRule="auto"/>
              <w:rPr>
                <w:rFonts w:ascii="Palatino Linotype" w:hAnsi="Palatino Linotype"/>
                <w:b/>
                <w:sz w:val="22"/>
                <w:szCs w:val="22"/>
              </w:rPr>
            </w:pPr>
            <w:r w:rsidRPr="004C5DBB">
              <w:rPr>
                <w:rFonts w:ascii="Palatino Linotype" w:hAnsi="Palatino Linotype"/>
                <w:b/>
                <w:sz w:val="22"/>
                <w:szCs w:val="22"/>
              </w:rPr>
              <w:t>Calendar Year ($)</w:t>
            </w:r>
          </w:p>
        </w:tc>
      </w:tr>
      <w:tr w:rsidRPr="004C5DBB" w:rsidR="00930C35" w:rsidTr="00BB366A" w14:paraId="48584CC1" w14:textId="77777777">
        <w:trPr>
          <w:trHeight w:val="432"/>
        </w:trPr>
        <w:tc>
          <w:tcPr>
            <w:tcW w:w="6925" w:type="dxa"/>
            <w:vAlign w:val="center"/>
          </w:tcPr>
          <w:p w:rsidRPr="004C5DBB" w:rsidR="00930C35" w:rsidP="00BB366A" w:rsidRDefault="00930C35" w14:paraId="3DC99408" w14:textId="77777777">
            <w:pPr>
              <w:spacing w:line="276" w:lineRule="auto"/>
              <w:rPr>
                <w:rFonts w:ascii="Palatino Linotype" w:hAnsi="Palatino Linotype"/>
                <w:sz w:val="22"/>
                <w:szCs w:val="22"/>
              </w:rPr>
            </w:pPr>
            <w:r w:rsidRPr="004C5DBB">
              <w:rPr>
                <w:rFonts w:ascii="Palatino Linotype" w:hAnsi="Palatino Linotype"/>
                <w:sz w:val="22"/>
                <w:szCs w:val="22"/>
              </w:rPr>
              <w:t>Investment Plan Development</w:t>
            </w:r>
          </w:p>
        </w:tc>
        <w:tc>
          <w:tcPr>
            <w:tcW w:w="2430" w:type="dxa"/>
            <w:vAlign w:val="center"/>
          </w:tcPr>
          <w:p w:rsidRPr="004C5DBB" w:rsidR="00930C35" w:rsidP="00BB366A" w:rsidRDefault="00930C35" w14:paraId="7940DC81" w14:textId="77777777">
            <w:pPr>
              <w:spacing w:line="276" w:lineRule="auto"/>
              <w:rPr>
                <w:rFonts w:ascii="Palatino Linotype" w:hAnsi="Palatino Linotype"/>
                <w:b/>
                <w:sz w:val="22"/>
                <w:szCs w:val="22"/>
              </w:rPr>
            </w:pPr>
          </w:p>
        </w:tc>
      </w:tr>
      <w:tr w:rsidRPr="004C5DBB" w:rsidR="00930C35" w:rsidTr="00BB366A" w14:paraId="1086129C" w14:textId="77777777">
        <w:trPr>
          <w:trHeight w:val="432"/>
        </w:trPr>
        <w:tc>
          <w:tcPr>
            <w:tcW w:w="6925" w:type="dxa"/>
            <w:vAlign w:val="center"/>
          </w:tcPr>
          <w:p w:rsidRPr="004C5DBB" w:rsidR="00930C35" w:rsidP="00BB366A" w:rsidRDefault="00930C35" w14:paraId="7E8566BF" w14:textId="77777777">
            <w:pPr>
              <w:spacing w:line="276" w:lineRule="auto"/>
              <w:rPr>
                <w:rFonts w:ascii="Palatino Linotype" w:hAnsi="Palatino Linotype"/>
                <w:sz w:val="22"/>
                <w:szCs w:val="22"/>
              </w:rPr>
            </w:pPr>
            <w:r w:rsidRPr="004C5DBB">
              <w:rPr>
                <w:rFonts w:ascii="Palatino Linotype" w:hAnsi="Palatino Linotype"/>
                <w:sz w:val="22"/>
                <w:szCs w:val="22"/>
              </w:rPr>
              <w:t xml:space="preserve">Project Planning and Initiation </w:t>
            </w:r>
          </w:p>
        </w:tc>
        <w:tc>
          <w:tcPr>
            <w:tcW w:w="2430" w:type="dxa"/>
            <w:vAlign w:val="center"/>
          </w:tcPr>
          <w:p w:rsidRPr="004C5DBB" w:rsidR="00930C35" w:rsidP="00BB366A" w:rsidRDefault="00930C35" w14:paraId="5EC39709" w14:textId="77777777">
            <w:pPr>
              <w:spacing w:line="276" w:lineRule="auto"/>
              <w:rPr>
                <w:rFonts w:ascii="Palatino Linotype" w:hAnsi="Palatino Linotype"/>
                <w:b/>
                <w:sz w:val="22"/>
                <w:szCs w:val="22"/>
              </w:rPr>
            </w:pPr>
          </w:p>
        </w:tc>
      </w:tr>
      <w:tr w:rsidRPr="004C5DBB" w:rsidR="00930C35" w:rsidTr="00BB366A" w14:paraId="1AC82E51" w14:textId="77777777">
        <w:trPr>
          <w:trHeight w:val="432"/>
        </w:trPr>
        <w:tc>
          <w:tcPr>
            <w:tcW w:w="6925" w:type="dxa"/>
            <w:vAlign w:val="center"/>
          </w:tcPr>
          <w:p w:rsidRPr="004C5DBB" w:rsidR="00930C35" w:rsidP="00BB366A" w:rsidRDefault="00930C35" w14:paraId="02849217" w14:textId="77777777">
            <w:pPr>
              <w:spacing w:line="276" w:lineRule="auto"/>
              <w:rPr>
                <w:rFonts w:ascii="Palatino Linotype" w:hAnsi="Palatino Linotype"/>
                <w:sz w:val="22"/>
                <w:szCs w:val="22"/>
              </w:rPr>
            </w:pPr>
            <w:r w:rsidRPr="004C5DBB">
              <w:rPr>
                <w:rFonts w:ascii="Palatino Linotype" w:hAnsi="Palatino Linotype"/>
                <w:sz w:val="22"/>
                <w:szCs w:val="22"/>
              </w:rPr>
              <w:t>Project Oversight and Governance</w:t>
            </w:r>
          </w:p>
        </w:tc>
        <w:tc>
          <w:tcPr>
            <w:tcW w:w="2430" w:type="dxa"/>
            <w:vAlign w:val="center"/>
          </w:tcPr>
          <w:p w:rsidRPr="004C5DBB" w:rsidR="00930C35" w:rsidP="00BB366A" w:rsidRDefault="00930C35" w14:paraId="32E51E4D" w14:textId="77777777">
            <w:pPr>
              <w:spacing w:line="276" w:lineRule="auto"/>
              <w:rPr>
                <w:rFonts w:ascii="Palatino Linotype" w:hAnsi="Palatino Linotype"/>
                <w:b/>
                <w:sz w:val="22"/>
                <w:szCs w:val="22"/>
              </w:rPr>
            </w:pPr>
          </w:p>
        </w:tc>
      </w:tr>
      <w:tr w:rsidRPr="004C5DBB" w:rsidR="00930C35" w:rsidTr="00BB366A" w14:paraId="703B2EAE" w14:textId="77777777">
        <w:trPr>
          <w:trHeight w:val="432"/>
        </w:trPr>
        <w:tc>
          <w:tcPr>
            <w:tcW w:w="6925" w:type="dxa"/>
            <w:vAlign w:val="center"/>
          </w:tcPr>
          <w:p w:rsidRPr="004C5DBB" w:rsidR="00930C35" w:rsidP="00BB366A" w:rsidRDefault="00930C35" w14:paraId="0CA5A8B4" w14:textId="77777777">
            <w:pPr>
              <w:spacing w:line="276" w:lineRule="auto"/>
              <w:rPr>
                <w:rFonts w:ascii="Palatino Linotype" w:hAnsi="Palatino Linotype"/>
                <w:sz w:val="22"/>
                <w:szCs w:val="22"/>
              </w:rPr>
            </w:pPr>
            <w:r w:rsidRPr="004C5DBB">
              <w:rPr>
                <w:rFonts w:ascii="Palatino Linotype" w:hAnsi="Palatino Linotype"/>
                <w:sz w:val="22"/>
                <w:szCs w:val="22"/>
              </w:rPr>
              <w:t>Stakeholder Communication, Engagement, and Outreach</w:t>
            </w:r>
          </w:p>
        </w:tc>
        <w:tc>
          <w:tcPr>
            <w:tcW w:w="2430" w:type="dxa"/>
            <w:vAlign w:val="center"/>
          </w:tcPr>
          <w:p w:rsidRPr="004C5DBB" w:rsidR="00930C35" w:rsidP="00BB366A" w:rsidRDefault="00930C35" w14:paraId="4A45BB9C" w14:textId="77777777">
            <w:pPr>
              <w:spacing w:line="276" w:lineRule="auto"/>
              <w:rPr>
                <w:rFonts w:ascii="Palatino Linotype" w:hAnsi="Palatino Linotype"/>
                <w:b/>
                <w:sz w:val="22"/>
                <w:szCs w:val="22"/>
              </w:rPr>
            </w:pPr>
          </w:p>
        </w:tc>
      </w:tr>
      <w:tr w:rsidRPr="004C5DBB" w:rsidR="00930C35" w:rsidTr="00BB366A" w14:paraId="7E50E104" w14:textId="77777777">
        <w:trPr>
          <w:trHeight w:val="432"/>
        </w:trPr>
        <w:tc>
          <w:tcPr>
            <w:tcW w:w="6925" w:type="dxa"/>
            <w:vAlign w:val="center"/>
          </w:tcPr>
          <w:p w:rsidRPr="004C5DBB" w:rsidR="00930C35" w:rsidP="00BB366A" w:rsidRDefault="00930C35" w14:paraId="297AAF57" w14:textId="77777777">
            <w:pPr>
              <w:spacing w:line="276" w:lineRule="auto"/>
              <w:rPr>
                <w:rFonts w:ascii="Palatino Linotype" w:hAnsi="Palatino Linotype"/>
                <w:sz w:val="22"/>
                <w:szCs w:val="22"/>
              </w:rPr>
            </w:pPr>
            <w:r w:rsidRPr="004C5DBB">
              <w:rPr>
                <w:rFonts w:ascii="Palatino Linotype" w:hAnsi="Palatino Linotype"/>
                <w:sz w:val="22"/>
                <w:szCs w:val="22"/>
              </w:rPr>
              <w:t>Regulatory Support Compliance</w:t>
            </w:r>
          </w:p>
        </w:tc>
        <w:tc>
          <w:tcPr>
            <w:tcW w:w="2430" w:type="dxa"/>
            <w:vAlign w:val="center"/>
          </w:tcPr>
          <w:p w:rsidRPr="004C5DBB" w:rsidR="00930C35" w:rsidP="00BB366A" w:rsidRDefault="00930C35" w14:paraId="62A56642" w14:textId="77777777">
            <w:pPr>
              <w:spacing w:line="276" w:lineRule="auto"/>
              <w:rPr>
                <w:rFonts w:ascii="Palatino Linotype" w:hAnsi="Palatino Linotype"/>
                <w:b/>
                <w:sz w:val="22"/>
                <w:szCs w:val="22"/>
              </w:rPr>
            </w:pPr>
          </w:p>
        </w:tc>
      </w:tr>
      <w:tr w:rsidRPr="004C5DBB" w:rsidR="00930C35" w:rsidTr="00BB366A" w14:paraId="5B9F0802" w14:textId="77777777">
        <w:trPr>
          <w:trHeight w:val="432"/>
        </w:trPr>
        <w:tc>
          <w:tcPr>
            <w:tcW w:w="6925" w:type="dxa"/>
            <w:vAlign w:val="center"/>
          </w:tcPr>
          <w:p w:rsidRPr="004C5DBB" w:rsidR="00930C35" w:rsidP="00BB366A" w:rsidRDefault="00930C35" w14:paraId="7FD55DFF" w14:textId="77777777">
            <w:pPr>
              <w:spacing w:line="276" w:lineRule="auto"/>
              <w:rPr>
                <w:rFonts w:ascii="Palatino Linotype" w:hAnsi="Palatino Linotype"/>
                <w:sz w:val="22"/>
                <w:szCs w:val="22"/>
              </w:rPr>
            </w:pPr>
            <w:r w:rsidRPr="004C5DBB">
              <w:rPr>
                <w:rFonts w:ascii="Palatino Linotype" w:hAnsi="Palatino Linotype"/>
                <w:sz w:val="22"/>
                <w:szCs w:val="22"/>
              </w:rPr>
              <w:t>Internal Management Coordination</w:t>
            </w:r>
          </w:p>
        </w:tc>
        <w:tc>
          <w:tcPr>
            <w:tcW w:w="2430" w:type="dxa"/>
            <w:vAlign w:val="center"/>
          </w:tcPr>
          <w:p w:rsidRPr="004C5DBB" w:rsidR="00930C35" w:rsidP="00BB366A" w:rsidRDefault="00930C35" w14:paraId="3783F01B" w14:textId="77777777">
            <w:pPr>
              <w:spacing w:line="276" w:lineRule="auto"/>
              <w:rPr>
                <w:rFonts w:ascii="Palatino Linotype" w:hAnsi="Palatino Linotype"/>
                <w:b/>
                <w:sz w:val="22"/>
                <w:szCs w:val="22"/>
              </w:rPr>
            </w:pPr>
          </w:p>
        </w:tc>
      </w:tr>
      <w:tr w:rsidRPr="004C5DBB" w:rsidR="00930C35" w:rsidTr="00BB366A" w14:paraId="30C35304" w14:textId="77777777">
        <w:trPr>
          <w:trHeight w:val="432"/>
        </w:trPr>
        <w:tc>
          <w:tcPr>
            <w:tcW w:w="6925" w:type="dxa"/>
            <w:vAlign w:val="center"/>
          </w:tcPr>
          <w:p w:rsidRPr="004C5DBB" w:rsidR="00930C35" w:rsidP="00BB366A" w:rsidRDefault="00930C35" w14:paraId="7F032A83" w14:textId="77777777">
            <w:pPr>
              <w:spacing w:line="276" w:lineRule="auto"/>
              <w:rPr>
                <w:rFonts w:ascii="Palatino Linotype" w:hAnsi="Palatino Linotype"/>
                <w:sz w:val="22"/>
                <w:szCs w:val="22"/>
              </w:rPr>
            </w:pPr>
            <w:r w:rsidRPr="004C5DBB">
              <w:rPr>
                <w:rFonts w:ascii="Palatino Linotype" w:hAnsi="Palatino Linotype"/>
                <w:sz w:val="22"/>
                <w:szCs w:val="22"/>
              </w:rPr>
              <w:t>Program and Process Coordination and Improvement</w:t>
            </w:r>
          </w:p>
        </w:tc>
        <w:tc>
          <w:tcPr>
            <w:tcW w:w="2430" w:type="dxa"/>
            <w:vAlign w:val="center"/>
          </w:tcPr>
          <w:p w:rsidRPr="004C5DBB" w:rsidR="00930C35" w:rsidP="00BB366A" w:rsidRDefault="00930C35" w14:paraId="3782D21C" w14:textId="77777777">
            <w:pPr>
              <w:spacing w:line="276" w:lineRule="auto"/>
              <w:rPr>
                <w:rFonts w:ascii="Palatino Linotype" w:hAnsi="Palatino Linotype"/>
                <w:b/>
                <w:sz w:val="22"/>
                <w:szCs w:val="22"/>
              </w:rPr>
            </w:pPr>
          </w:p>
        </w:tc>
      </w:tr>
      <w:tr w:rsidRPr="004C5DBB" w:rsidR="00930C35" w:rsidTr="00BB366A" w14:paraId="69BCB98C" w14:textId="77777777">
        <w:trPr>
          <w:trHeight w:val="432"/>
        </w:trPr>
        <w:tc>
          <w:tcPr>
            <w:tcW w:w="6925" w:type="dxa"/>
            <w:vAlign w:val="center"/>
          </w:tcPr>
          <w:p w:rsidRPr="004C5DBB" w:rsidR="00930C35" w:rsidP="00BB366A" w:rsidRDefault="00930C35" w14:paraId="505487EF" w14:textId="77777777">
            <w:pPr>
              <w:spacing w:line="276" w:lineRule="auto"/>
              <w:rPr>
                <w:rFonts w:ascii="Palatino Linotype" w:hAnsi="Palatino Linotype"/>
                <w:sz w:val="22"/>
                <w:szCs w:val="22"/>
              </w:rPr>
            </w:pPr>
            <w:r w:rsidRPr="004C5DBB">
              <w:rPr>
                <w:rFonts w:ascii="Palatino Linotype" w:hAnsi="Palatino Linotype"/>
                <w:sz w:val="22"/>
                <w:szCs w:val="22"/>
              </w:rPr>
              <w:t>Administrative Activities</w:t>
            </w:r>
          </w:p>
        </w:tc>
        <w:tc>
          <w:tcPr>
            <w:tcW w:w="2430" w:type="dxa"/>
            <w:vAlign w:val="center"/>
          </w:tcPr>
          <w:p w:rsidRPr="004C5DBB" w:rsidR="00930C35" w:rsidP="00BB366A" w:rsidRDefault="00930C35" w14:paraId="55EFC09A" w14:textId="77777777">
            <w:pPr>
              <w:spacing w:line="276" w:lineRule="auto"/>
              <w:rPr>
                <w:rFonts w:ascii="Palatino Linotype" w:hAnsi="Palatino Linotype"/>
                <w:b/>
                <w:sz w:val="22"/>
                <w:szCs w:val="22"/>
              </w:rPr>
            </w:pPr>
          </w:p>
        </w:tc>
      </w:tr>
      <w:tr w:rsidRPr="004C5DBB" w:rsidR="00930C35" w:rsidTr="00BB366A" w14:paraId="7D19D85B" w14:textId="77777777">
        <w:trPr>
          <w:trHeight w:val="432"/>
        </w:trPr>
        <w:tc>
          <w:tcPr>
            <w:tcW w:w="6925" w:type="dxa"/>
            <w:vAlign w:val="center"/>
          </w:tcPr>
          <w:p w:rsidRPr="004C5DBB" w:rsidR="00930C35" w:rsidP="00BB366A" w:rsidRDefault="00930C35" w14:paraId="08271564" w14:textId="77777777">
            <w:pPr>
              <w:spacing w:line="276" w:lineRule="auto"/>
              <w:rPr>
                <w:rFonts w:ascii="Palatino Linotype" w:hAnsi="Palatino Linotype"/>
                <w:sz w:val="22"/>
                <w:szCs w:val="22"/>
              </w:rPr>
            </w:pPr>
            <w:r w:rsidRPr="004C5DBB">
              <w:rPr>
                <w:rFonts w:ascii="Palatino Linotype" w:hAnsi="Palatino Linotype"/>
                <w:sz w:val="22"/>
                <w:szCs w:val="22"/>
              </w:rPr>
              <w:t>Supervision and Personnel</w:t>
            </w:r>
          </w:p>
        </w:tc>
        <w:tc>
          <w:tcPr>
            <w:tcW w:w="2430" w:type="dxa"/>
            <w:vAlign w:val="center"/>
          </w:tcPr>
          <w:p w:rsidRPr="004C5DBB" w:rsidR="00930C35" w:rsidP="00BB366A" w:rsidRDefault="00930C35" w14:paraId="5E6C5586" w14:textId="77777777">
            <w:pPr>
              <w:spacing w:line="276" w:lineRule="auto"/>
              <w:rPr>
                <w:rFonts w:ascii="Palatino Linotype" w:hAnsi="Palatino Linotype"/>
                <w:b/>
                <w:sz w:val="22"/>
                <w:szCs w:val="22"/>
              </w:rPr>
            </w:pPr>
          </w:p>
        </w:tc>
      </w:tr>
      <w:tr w:rsidRPr="004C5DBB" w:rsidR="00930C35" w:rsidTr="00BB366A" w14:paraId="3D9A2920" w14:textId="77777777">
        <w:trPr>
          <w:trHeight w:val="432"/>
        </w:trPr>
        <w:tc>
          <w:tcPr>
            <w:tcW w:w="6925" w:type="dxa"/>
            <w:vAlign w:val="center"/>
          </w:tcPr>
          <w:p w:rsidRPr="004C5DBB" w:rsidR="00930C35" w:rsidP="00BB366A" w:rsidRDefault="00930C35" w14:paraId="638E23BA" w14:textId="77777777">
            <w:pPr>
              <w:spacing w:line="276" w:lineRule="auto"/>
              <w:rPr>
                <w:rFonts w:ascii="Palatino Linotype" w:hAnsi="Palatino Linotype"/>
                <w:sz w:val="22"/>
                <w:szCs w:val="22"/>
              </w:rPr>
            </w:pPr>
            <w:r w:rsidRPr="004C5DBB">
              <w:rPr>
                <w:rFonts w:ascii="Palatino Linotype" w:hAnsi="Palatino Linotype"/>
                <w:sz w:val="22"/>
                <w:szCs w:val="22"/>
              </w:rPr>
              <w:t>Training and Development</w:t>
            </w:r>
          </w:p>
        </w:tc>
        <w:tc>
          <w:tcPr>
            <w:tcW w:w="2430" w:type="dxa"/>
            <w:vAlign w:val="center"/>
          </w:tcPr>
          <w:p w:rsidRPr="004C5DBB" w:rsidR="00930C35" w:rsidP="00BB366A" w:rsidRDefault="00930C35" w14:paraId="5EFD7C65" w14:textId="77777777">
            <w:pPr>
              <w:spacing w:line="276" w:lineRule="auto"/>
              <w:rPr>
                <w:rFonts w:ascii="Palatino Linotype" w:hAnsi="Palatino Linotype"/>
                <w:b/>
                <w:sz w:val="22"/>
                <w:szCs w:val="22"/>
              </w:rPr>
            </w:pPr>
          </w:p>
        </w:tc>
      </w:tr>
      <w:tr w:rsidRPr="004C5DBB" w:rsidR="00930C35" w:rsidTr="00BB366A" w14:paraId="639DEE75" w14:textId="77777777">
        <w:trPr>
          <w:trHeight w:val="432"/>
        </w:trPr>
        <w:tc>
          <w:tcPr>
            <w:tcW w:w="6925" w:type="dxa"/>
            <w:vAlign w:val="center"/>
          </w:tcPr>
          <w:p w:rsidRPr="004C5DBB" w:rsidR="00930C35" w:rsidP="00BB366A" w:rsidRDefault="00930C35" w14:paraId="5E2882D2" w14:textId="77777777">
            <w:pPr>
              <w:spacing w:line="276" w:lineRule="auto"/>
              <w:rPr>
                <w:rFonts w:ascii="Palatino Linotype" w:hAnsi="Palatino Linotype"/>
                <w:b/>
                <w:sz w:val="22"/>
                <w:szCs w:val="22"/>
              </w:rPr>
            </w:pPr>
            <w:r w:rsidRPr="004C5DBB">
              <w:rPr>
                <w:rFonts w:ascii="Palatino Linotype" w:hAnsi="Palatino Linotype"/>
                <w:b/>
                <w:sz w:val="22"/>
                <w:szCs w:val="22"/>
              </w:rPr>
              <w:t>Total</w:t>
            </w:r>
          </w:p>
        </w:tc>
        <w:tc>
          <w:tcPr>
            <w:tcW w:w="2430" w:type="dxa"/>
            <w:vAlign w:val="center"/>
          </w:tcPr>
          <w:p w:rsidRPr="004C5DBB" w:rsidR="00930C35" w:rsidP="00BB366A" w:rsidRDefault="00930C35" w14:paraId="532F9618" w14:textId="77777777">
            <w:pPr>
              <w:spacing w:line="276" w:lineRule="auto"/>
              <w:rPr>
                <w:rFonts w:ascii="Palatino Linotype" w:hAnsi="Palatino Linotype"/>
                <w:b/>
                <w:sz w:val="22"/>
                <w:szCs w:val="22"/>
              </w:rPr>
            </w:pPr>
          </w:p>
        </w:tc>
      </w:tr>
    </w:tbl>
    <w:p w:rsidR="00930C35" w:rsidP="00930C35" w:rsidRDefault="00930C35" w14:paraId="3CD1F33E" w14:textId="77777777">
      <w:pPr>
        <w:spacing w:line="276" w:lineRule="auto"/>
        <w:rPr>
          <w:rFonts w:ascii="Palatino Linotype" w:hAnsi="Palatino Linotype"/>
          <w:b/>
          <w:bCs/>
        </w:rPr>
        <w:sectPr w:rsidR="00930C35" w:rsidSect="000417CC">
          <w:footerReference w:type="default" r:id="rId25"/>
          <w:headerReference w:type="first" r:id="rId26"/>
          <w:footerReference w:type="first" r:id="rId27"/>
          <w:pgSz w:w="12240" w:h="15840"/>
          <w:pgMar w:top="1440" w:right="1440" w:bottom="1440" w:left="1440" w:header="720" w:footer="720" w:gutter="0"/>
          <w:pgNumType w:start="1"/>
          <w:cols w:space="720"/>
          <w:titlePg/>
          <w:docGrid w:linePitch="360"/>
        </w:sectPr>
      </w:pPr>
    </w:p>
    <w:p w:rsidR="00604523" w:rsidP="006D6FDD" w:rsidRDefault="00604523" w14:paraId="65834371" w14:textId="77777777">
      <w:pPr>
        <w:spacing w:before="240" w:after="0"/>
        <w:rPr>
          <w:rFonts w:ascii="Palatino Linotype" w:hAnsi="Palatino Linotype"/>
          <w:b/>
          <w:bCs/>
        </w:rPr>
      </w:pPr>
    </w:p>
    <w:p w:rsidR="00957A11" w:rsidP="006D6FDD" w:rsidRDefault="00957A11" w14:paraId="54DCCFB7" w14:textId="77777777">
      <w:pPr>
        <w:spacing w:before="240" w:after="0"/>
        <w:rPr>
          <w:rFonts w:ascii="Palatino Linotype" w:hAnsi="Palatino Linotype"/>
          <w:b/>
          <w:bCs/>
        </w:rPr>
      </w:pPr>
    </w:p>
    <w:p w:rsidR="00957A11" w:rsidP="006D6FDD" w:rsidRDefault="00957A11" w14:paraId="0CD3F37F" w14:textId="77777777">
      <w:pPr>
        <w:spacing w:before="240" w:after="0"/>
        <w:rPr>
          <w:rFonts w:ascii="Palatino Linotype" w:hAnsi="Palatino Linotype"/>
          <w:b/>
          <w:bCs/>
        </w:rPr>
      </w:pPr>
    </w:p>
    <w:p w:rsidR="00604523" w:rsidP="006D6FDD" w:rsidRDefault="00604523" w14:paraId="1B60335A" w14:textId="77777777">
      <w:pPr>
        <w:spacing w:before="240" w:after="0"/>
        <w:rPr>
          <w:rFonts w:ascii="Palatino Linotype" w:hAnsi="Palatino Linotype"/>
          <w:b/>
          <w:bCs/>
        </w:rPr>
      </w:pPr>
    </w:p>
    <w:p w:rsidRPr="00957A11" w:rsidR="00604523" w:rsidP="00F54A85" w:rsidRDefault="00604523" w14:paraId="685E9F39" w14:textId="110F39D5">
      <w:pPr>
        <w:spacing w:before="240" w:after="0"/>
        <w:jc w:val="center"/>
        <w:rPr>
          <w:rFonts w:ascii="Palatino Linotype" w:hAnsi="Palatino Linotype"/>
          <w:b/>
          <w:bCs/>
          <w:color w:val="000000" w:themeColor="text1"/>
          <w:sz w:val="48"/>
          <w:szCs w:val="48"/>
        </w:rPr>
      </w:pPr>
      <w:r w:rsidRPr="00957A11">
        <w:rPr>
          <w:rFonts w:ascii="Palatino Linotype" w:hAnsi="Palatino Linotype"/>
          <w:b/>
          <w:bCs/>
          <w:sz w:val="48"/>
          <w:szCs w:val="48"/>
        </w:rPr>
        <w:t xml:space="preserve">APPENDIX </w:t>
      </w:r>
      <w:r w:rsidRPr="00957A11">
        <w:rPr>
          <w:rFonts w:ascii="Palatino Linotype" w:hAnsi="Palatino Linotype"/>
          <w:b/>
          <w:bCs/>
          <w:color w:val="000000" w:themeColor="text1"/>
          <w:sz w:val="48"/>
          <w:szCs w:val="48"/>
        </w:rPr>
        <w:t>C</w:t>
      </w:r>
    </w:p>
    <w:p w:rsidR="00F54A85" w:rsidRDefault="00F54A85" w14:paraId="648E027D" w14:textId="37026A13">
      <w:pPr>
        <w:rPr>
          <w:rFonts w:ascii="Palatino Linotype" w:hAnsi="Palatino Linotype"/>
          <w:b/>
          <w:bCs/>
          <w:color w:val="000000" w:themeColor="text1"/>
        </w:rPr>
      </w:pPr>
      <w:r>
        <w:rPr>
          <w:rFonts w:ascii="Palatino Linotype" w:hAnsi="Palatino Linotype"/>
          <w:b/>
          <w:bCs/>
          <w:color w:val="000000" w:themeColor="text1"/>
        </w:rPr>
        <w:br w:type="page"/>
      </w:r>
    </w:p>
    <w:p w:rsidR="00930C35" w:rsidP="006D6FDD" w:rsidRDefault="00930C35" w14:paraId="5D6D6B36" w14:textId="549EBA51">
      <w:pPr>
        <w:spacing w:before="240" w:after="0"/>
        <w:rPr>
          <w:rFonts w:ascii="Palatino Linotype" w:hAnsi="Palatino Linotype"/>
          <w:b/>
          <w:bCs/>
        </w:rPr>
      </w:pPr>
      <w:r w:rsidRPr="3F09D30F">
        <w:rPr>
          <w:rFonts w:ascii="Palatino Linotype" w:hAnsi="Palatino Linotype"/>
          <w:b/>
          <w:bCs/>
        </w:rPr>
        <w:lastRenderedPageBreak/>
        <w:t xml:space="preserve">APPENDIX </w:t>
      </w:r>
      <w:r w:rsidR="000E0EBD">
        <w:rPr>
          <w:rFonts w:ascii="Palatino Linotype" w:hAnsi="Palatino Linotype"/>
          <w:b/>
          <w:bCs/>
          <w:color w:val="000000" w:themeColor="text1"/>
        </w:rPr>
        <w:t>C</w:t>
      </w:r>
      <w:r w:rsidRPr="3F09D30F">
        <w:rPr>
          <w:rFonts w:ascii="Palatino Linotype" w:hAnsi="Palatino Linotype"/>
          <w:b/>
          <w:bCs/>
        </w:rPr>
        <w:t xml:space="preserve">: Commission Guidance on Gas RD&amp;D Initiative Criteria </w:t>
      </w:r>
    </w:p>
    <w:p w:rsidRPr="006D6FDD" w:rsidR="006D6FDD" w:rsidP="006D6FDD" w:rsidRDefault="006D6FDD" w14:paraId="79E9E326" w14:textId="0E1E0922">
      <w:pPr>
        <w:rPr>
          <w:rFonts w:ascii="Palatino Linotype" w:hAnsi="Palatino Linotype"/>
          <w:i/>
          <w:iCs/>
          <w:sz w:val="20"/>
          <w:szCs w:val="20"/>
        </w:rPr>
      </w:pPr>
      <w:r w:rsidRPr="006D6FDD">
        <w:rPr>
          <w:rFonts w:ascii="Palatino Linotype" w:hAnsi="Palatino Linotype"/>
          <w:i/>
          <w:iCs/>
          <w:sz w:val="20"/>
          <w:szCs w:val="20"/>
        </w:rPr>
        <w:t>Commission orders in bold pertain to the CEC.</w:t>
      </w:r>
    </w:p>
    <w:tbl>
      <w:tblPr>
        <w:tblStyle w:val="TableGrid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35"/>
        <w:gridCol w:w="3415"/>
      </w:tblGrid>
      <w:tr w:rsidRPr="004C5DBB" w:rsidR="00930C35" w:rsidTr="00BB366A" w14:paraId="31B9B1E3" w14:textId="77777777">
        <w:tc>
          <w:tcPr>
            <w:tcW w:w="5935" w:type="dxa"/>
          </w:tcPr>
          <w:p w:rsidRPr="00EA677F" w:rsidR="00930C35" w:rsidP="00BB366A" w:rsidRDefault="00930C35" w14:paraId="07D7AE1E" w14:textId="5BEE5356">
            <w:pPr>
              <w:rPr>
                <w:rFonts w:ascii="Palatino Linotype" w:hAnsi="Palatino Linotype"/>
                <w:b/>
                <w:sz w:val="22"/>
                <w:szCs w:val="22"/>
              </w:rPr>
            </w:pPr>
            <w:r w:rsidRPr="004C5DBB">
              <w:rPr>
                <w:rFonts w:ascii="Palatino Linotype" w:hAnsi="Palatino Linotype"/>
                <w:b/>
                <w:sz w:val="22"/>
                <w:szCs w:val="22"/>
              </w:rPr>
              <w:t>Commission Guidance</w:t>
            </w:r>
          </w:p>
        </w:tc>
        <w:tc>
          <w:tcPr>
            <w:tcW w:w="3415" w:type="dxa"/>
            <w:vAlign w:val="center"/>
          </w:tcPr>
          <w:p w:rsidRPr="004C5DBB" w:rsidR="00930C35" w:rsidP="00BB366A" w:rsidRDefault="00930C35" w14:paraId="783F5C02" w14:textId="77777777">
            <w:pPr>
              <w:rPr>
                <w:rFonts w:ascii="Palatino Linotype" w:hAnsi="Palatino Linotype"/>
                <w:b/>
                <w:sz w:val="22"/>
                <w:szCs w:val="22"/>
              </w:rPr>
            </w:pPr>
            <w:r w:rsidRPr="004C5DBB">
              <w:rPr>
                <w:rFonts w:ascii="Palatino Linotype" w:hAnsi="Palatino Linotype"/>
                <w:b/>
                <w:sz w:val="22"/>
                <w:szCs w:val="22"/>
              </w:rPr>
              <w:t xml:space="preserve">Initiative Criteria </w:t>
            </w:r>
          </w:p>
        </w:tc>
      </w:tr>
      <w:tr w:rsidRPr="004C5DBB" w:rsidR="00930C35" w:rsidTr="00BB366A" w14:paraId="3FA52BF3" w14:textId="77777777">
        <w:tc>
          <w:tcPr>
            <w:tcW w:w="5935" w:type="dxa"/>
          </w:tcPr>
          <w:p w:rsidRPr="00BB09CA" w:rsidR="00930C35" w:rsidP="00BB366A" w:rsidRDefault="00930C35" w14:paraId="3BEA205D" w14:textId="77777777">
            <w:pPr>
              <w:rPr>
                <w:rFonts w:ascii="Palatino Linotype" w:hAnsi="Palatino Linotype"/>
                <w:sz w:val="22"/>
                <w:szCs w:val="22"/>
              </w:rPr>
            </w:pPr>
            <w:hyperlink w:history="1" r:id="rId28">
              <w:r w:rsidRPr="00BB09CA">
                <w:rPr>
                  <w:rFonts w:ascii="Palatino Linotype" w:hAnsi="Palatino Linotype" w:eastAsia="Century Gothic" w:cs="Century Gothic"/>
                  <w:color w:val="467886" w:themeColor="hyperlink"/>
                  <w:sz w:val="22"/>
                  <w:szCs w:val="22"/>
                  <w:u w:val="single"/>
                </w:rPr>
                <w:t>D.19-09-051</w:t>
              </w:r>
            </w:hyperlink>
            <w:r w:rsidRPr="00BB09CA">
              <w:rPr>
                <w:rFonts w:ascii="Palatino Linotype" w:hAnsi="Palatino Linotype"/>
                <w:sz w:val="22"/>
                <w:szCs w:val="22"/>
              </w:rPr>
              <w:t xml:space="preserve"> at p. 379.</w:t>
            </w:r>
          </w:p>
          <w:p w:rsidRPr="00BB09CA" w:rsidR="00930C35" w:rsidP="00BB366A" w:rsidRDefault="00930C35" w14:paraId="1FE873E4" w14:textId="77777777">
            <w:pPr>
              <w:rPr>
                <w:rFonts w:ascii="Palatino Linotype" w:hAnsi="Palatino Linotype"/>
                <w:b/>
                <w:bCs w:val="0"/>
                <w:sz w:val="22"/>
                <w:szCs w:val="22"/>
              </w:rPr>
            </w:pPr>
            <w:hyperlink w:history="1" r:id="rId29">
              <w:r w:rsidRPr="00BB09CA">
                <w:rPr>
                  <w:rStyle w:val="Hyperlink"/>
                  <w:rFonts w:ascii="Palatino Linotype" w:hAnsi="Palatino Linotype"/>
                  <w:b/>
                  <w:sz w:val="22"/>
                  <w:szCs w:val="22"/>
                </w:rPr>
                <w:t>Resolution G-3571</w:t>
              </w:r>
            </w:hyperlink>
            <w:r w:rsidRPr="00BB09CA">
              <w:rPr>
                <w:rFonts w:ascii="Palatino Linotype" w:hAnsi="Palatino Linotype"/>
                <w:b/>
                <w:sz w:val="22"/>
                <w:szCs w:val="22"/>
              </w:rPr>
              <w:t xml:space="preserve"> (2020) at OP 5a.</w:t>
            </w:r>
          </w:p>
          <w:p w:rsidRPr="00BB09CA" w:rsidR="00930C35" w:rsidP="00BB366A" w:rsidRDefault="00930C35" w14:paraId="33B2BF15" w14:textId="77777777">
            <w:pPr>
              <w:rPr>
                <w:rFonts w:ascii="Palatino Linotype" w:hAnsi="Palatino Linotype"/>
                <w:sz w:val="22"/>
                <w:szCs w:val="22"/>
              </w:rPr>
            </w:pPr>
            <w:hyperlink w:tgtFrame="_blank" w:history="1" r:id="rId30">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6a.</w:t>
            </w:r>
          </w:p>
          <w:p w:rsidRPr="00243155" w:rsidR="00930C35" w:rsidP="00BB366A" w:rsidRDefault="00930C35" w14:paraId="6B594684" w14:textId="7407081C">
            <w:pPr>
              <w:rPr>
                <w:rFonts w:ascii="Palatino Linotype" w:hAnsi="Palatino Linotype"/>
                <w:b/>
                <w:bCs w:val="0"/>
                <w:sz w:val="22"/>
                <w:szCs w:val="22"/>
              </w:rPr>
            </w:pPr>
            <w:hyperlink w:tgtFrame="_blank" w:history="1" r:id="rId31">
              <w:r w:rsidRPr="00243155">
                <w:rPr>
                  <w:rFonts w:ascii="Palatino Linotype" w:hAnsi="Palatino Linotype"/>
                  <w:b/>
                  <w:color w:val="467886" w:themeColor="hyperlink"/>
                  <w:sz w:val="22"/>
                  <w:szCs w:val="22"/>
                  <w:u w:val="single"/>
                </w:rPr>
                <w:t>Resolution G-3603</w:t>
              </w:r>
            </w:hyperlink>
            <w:r w:rsidRPr="00243155">
              <w:rPr>
                <w:rFonts w:ascii="Palatino Linotype" w:hAnsi="Palatino Linotype"/>
                <w:b/>
                <w:sz w:val="22"/>
                <w:szCs w:val="22"/>
              </w:rPr>
              <w:t xml:space="preserve"> (2024) at OP </w:t>
            </w:r>
            <w:r w:rsidR="00D57C46">
              <w:rPr>
                <w:rFonts w:ascii="Palatino Linotype" w:hAnsi="Palatino Linotype"/>
                <w:b/>
                <w:sz w:val="22"/>
                <w:szCs w:val="22"/>
              </w:rPr>
              <w:t>5</w:t>
            </w:r>
            <w:r w:rsidRPr="00243155">
              <w:rPr>
                <w:rFonts w:ascii="Palatino Linotype" w:hAnsi="Palatino Linotype"/>
                <w:b/>
                <w:sz w:val="22"/>
                <w:szCs w:val="22"/>
              </w:rPr>
              <w:t>.</w:t>
            </w:r>
          </w:p>
        </w:tc>
        <w:tc>
          <w:tcPr>
            <w:tcW w:w="3415" w:type="dxa"/>
          </w:tcPr>
          <w:p w:rsidRPr="004C5DBB" w:rsidR="00930C35" w:rsidP="00BB366A" w:rsidRDefault="00930C35" w14:paraId="5AF33781" w14:textId="17659EAD">
            <w:pPr>
              <w:rPr>
                <w:rFonts w:ascii="Palatino Linotype" w:hAnsi="Palatino Linotype"/>
                <w:sz w:val="22"/>
                <w:szCs w:val="22"/>
              </w:rPr>
            </w:pPr>
            <w:r w:rsidRPr="004C5DBB">
              <w:rPr>
                <w:rFonts w:ascii="Palatino Linotype" w:hAnsi="Palatino Linotype"/>
                <w:sz w:val="22"/>
                <w:szCs w:val="22"/>
              </w:rPr>
              <w:t xml:space="preserve">1. </w:t>
            </w:r>
            <w:r w:rsidRPr="00884591">
              <w:rPr>
                <w:rFonts w:ascii="Palatino Linotype" w:hAnsi="Palatino Linotype"/>
                <w:b/>
                <w:sz w:val="22"/>
                <w:szCs w:val="22"/>
              </w:rPr>
              <w:t>Policy Priority:</w:t>
            </w:r>
            <w:r>
              <w:rPr>
                <w:rFonts w:ascii="Palatino Linotype" w:hAnsi="Palatino Linotype"/>
                <w:sz w:val="22"/>
                <w:szCs w:val="22"/>
              </w:rPr>
              <w:t xml:space="preserve"> </w:t>
            </w:r>
            <w:r w:rsidRPr="00A33A7B" w:rsidR="00A33A7B">
              <w:rPr>
                <w:rFonts w:ascii="Palatino Linotype" w:hAnsi="Palatino Linotype"/>
                <w:sz w:val="22"/>
                <w:szCs w:val="22"/>
              </w:rPr>
              <w:t>Alignment with and prioritization of critical gaps and needs identified in specific CPUC policies and proceedings, which support State goals, informed by consultation with CPUC staff on targeted policy objectives.</w:t>
            </w:r>
          </w:p>
        </w:tc>
      </w:tr>
      <w:tr w:rsidRPr="004C5DBB" w:rsidR="00930C35" w:rsidTr="00BB366A" w14:paraId="44DBAFD9" w14:textId="77777777">
        <w:tc>
          <w:tcPr>
            <w:tcW w:w="5935" w:type="dxa"/>
          </w:tcPr>
          <w:p w:rsidRPr="004C5DBB" w:rsidR="00930C35" w:rsidP="00BB366A" w:rsidRDefault="00930C35" w14:paraId="3E93EC2F" w14:textId="0A27EF91">
            <w:pPr>
              <w:rPr>
                <w:rFonts w:ascii="Palatino Linotype" w:hAnsi="Palatino Linotype"/>
                <w:sz w:val="22"/>
                <w:szCs w:val="22"/>
              </w:rPr>
            </w:pPr>
            <w:r w:rsidRPr="00D22704">
              <w:rPr>
                <w:rFonts w:ascii="Palatino Linotype" w:hAnsi="Palatino Linotype"/>
                <w:sz w:val="22"/>
                <w:szCs w:val="22"/>
              </w:rPr>
              <w:t>Public Utilities Code Section 740.1</w:t>
            </w:r>
            <w:r w:rsidRPr="004C5DBB">
              <w:rPr>
                <w:rFonts w:ascii="Palatino Linotype" w:hAnsi="Palatino Linotype"/>
                <w:sz w:val="22"/>
                <w:szCs w:val="22"/>
              </w:rPr>
              <w:t xml:space="preserve"> (d)</w:t>
            </w:r>
          </w:p>
          <w:p w:rsidRPr="00BB09CA" w:rsidR="00930C35" w:rsidP="00BB366A" w:rsidRDefault="00930C35" w14:paraId="4BD897EC" w14:textId="77777777">
            <w:pPr>
              <w:rPr>
                <w:rFonts w:ascii="Palatino Linotype" w:hAnsi="Palatino Linotype"/>
                <w:sz w:val="22"/>
                <w:szCs w:val="22"/>
              </w:rPr>
            </w:pPr>
            <w:hyperlink w:tgtFrame="_blank" w:history="1" r:id="rId32">
              <w:r w:rsidRPr="00BB09CA">
                <w:rPr>
                  <w:rFonts w:ascii="Palatino Linotype" w:hAnsi="Palatino Linotype"/>
                  <w:color w:val="467886" w:themeColor="hyperlink"/>
                  <w:sz w:val="22"/>
                  <w:szCs w:val="22"/>
                  <w:u w:val="single"/>
                </w:rPr>
                <w:t>Resolution G-3586</w:t>
              </w:r>
            </w:hyperlink>
            <w:r w:rsidRPr="00BB09CA">
              <w:rPr>
                <w:rFonts w:ascii="Palatino Linotype" w:hAnsi="Palatino Linotype"/>
                <w:sz w:val="22"/>
                <w:szCs w:val="22"/>
              </w:rPr>
              <w:t xml:space="preserve"> (2022) at OP 5.</w:t>
            </w:r>
          </w:p>
          <w:p w:rsidRPr="00BB09CA" w:rsidR="00930C35" w:rsidP="00BB366A" w:rsidRDefault="00930C35" w14:paraId="4F491233" w14:textId="28D209AC">
            <w:pPr>
              <w:rPr>
                <w:rFonts w:ascii="Palatino Linotype" w:hAnsi="Palatino Linotype"/>
                <w:b/>
                <w:bCs w:val="0"/>
                <w:sz w:val="22"/>
                <w:szCs w:val="22"/>
              </w:rPr>
            </w:pPr>
            <w:hyperlink w:tgtFrame="_blank" w:history="1" r:id="rId33">
              <w:r w:rsidRPr="00BB09CA">
                <w:rPr>
                  <w:rFonts w:ascii="Palatino Linotype" w:hAnsi="Palatino Linotype"/>
                  <w:b/>
                  <w:color w:val="467886" w:themeColor="hyperlink"/>
                  <w:sz w:val="22"/>
                  <w:szCs w:val="22"/>
                  <w:u w:val="single"/>
                </w:rPr>
                <w:t>Resolution G-3592</w:t>
              </w:r>
            </w:hyperlink>
            <w:r w:rsidRPr="00BB09CA">
              <w:rPr>
                <w:rFonts w:ascii="Palatino Linotype" w:hAnsi="Palatino Linotype"/>
                <w:b/>
                <w:sz w:val="22"/>
                <w:szCs w:val="22"/>
              </w:rPr>
              <w:t xml:space="preserve"> (2023) at OP 5</w:t>
            </w:r>
            <w:r w:rsidR="00FE4962">
              <w:rPr>
                <w:rFonts w:ascii="Palatino Linotype" w:hAnsi="Palatino Linotype"/>
                <w:b/>
                <w:sz w:val="22"/>
                <w:szCs w:val="22"/>
              </w:rPr>
              <w:t>d</w:t>
            </w:r>
            <w:r w:rsidRPr="00BB09CA">
              <w:rPr>
                <w:rFonts w:ascii="Palatino Linotype" w:hAnsi="Palatino Linotype"/>
                <w:b/>
                <w:sz w:val="22"/>
                <w:szCs w:val="22"/>
              </w:rPr>
              <w:t>.</w:t>
            </w:r>
          </w:p>
          <w:p w:rsidRPr="00BB09CA" w:rsidR="00930C35" w:rsidP="00BB366A" w:rsidRDefault="00930C35" w14:paraId="414C03B9" w14:textId="77777777">
            <w:pPr>
              <w:rPr>
                <w:rFonts w:ascii="Palatino Linotype" w:hAnsi="Palatino Linotype"/>
                <w:sz w:val="22"/>
                <w:szCs w:val="22"/>
              </w:rPr>
            </w:pPr>
            <w:hyperlink w:tgtFrame="_blank" w:history="1" r:id="rId34">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6a &amp; 6i.</w:t>
            </w:r>
          </w:p>
          <w:p w:rsidRPr="00BB09CA" w:rsidR="00930C35" w:rsidP="00BB366A" w:rsidRDefault="00930C35" w14:paraId="1BC8DF76" w14:textId="77777777">
            <w:pPr>
              <w:rPr>
                <w:rFonts w:ascii="Palatino Linotype" w:hAnsi="Palatino Linotype"/>
                <w:b/>
                <w:bCs w:val="0"/>
                <w:sz w:val="22"/>
                <w:szCs w:val="22"/>
              </w:rPr>
            </w:pPr>
            <w:hyperlink w:tgtFrame="_blank" w:history="1" r:id="rId35">
              <w:r w:rsidRPr="00BB09CA">
                <w:rPr>
                  <w:rFonts w:ascii="Palatino Linotype" w:hAnsi="Palatino Linotype"/>
                  <w:b/>
                  <w:color w:val="467886" w:themeColor="hyperlink"/>
                  <w:sz w:val="22"/>
                  <w:szCs w:val="22"/>
                  <w:u w:val="single"/>
                </w:rPr>
                <w:t>Resolution G-3603</w:t>
              </w:r>
            </w:hyperlink>
            <w:r w:rsidRPr="00BB09CA">
              <w:rPr>
                <w:rFonts w:ascii="Palatino Linotype" w:hAnsi="Palatino Linotype"/>
                <w:b/>
                <w:sz w:val="22"/>
                <w:szCs w:val="22"/>
              </w:rPr>
              <w:t xml:space="preserve"> (2024) at OP 4.</w:t>
            </w:r>
          </w:p>
          <w:p w:rsidR="00930C35" w:rsidP="00BB366A" w:rsidRDefault="00930C35" w14:paraId="66CBE7E4" w14:textId="77777777">
            <w:pPr>
              <w:rPr>
                <w:rFonts w:ascii="Palatino Linotype" w:hAnsi="Palatino Linotype"/>
                <w:sz w:val="22"/>
                <w:szCs w:val="22"/>
              </w:rPr>
            </w:pPr>
            <w:hyperlink w:tgtFrame="_blank" w:history="1" r:id="rId36">
              <w:r w:rsidRPr="00BB09CA">
                <w:rPr>
                  <w:rFonts w:ascii="Palatino Linotype" w:hAnsi="Palatino Linotype"/>
                  <w:color w:val="467886" w:themeColor="hyperlink"/>
                  <w:sz w:val="22"/>
                  <w:szCs w:val="22"/>
                  <w:u w:val="single"/>
                </w:rPr>
                <w:t>D.24-12-074</w:t>
              </w:r>
            </w:hyperlink>
            <w:r w:rsidRPr="00BB09CA">
              <w:rPr>
                <w:rFonts w:ascii="Palatino Linotype" w:hAnsi="Palatino Linotype"/>
                <w:sz w:val="22"/>
                <w:szCs w:val="22"/>
              </w:rPr>
              <w:t xml:space="preserve"> at p. 327.</w:t>
            </w:r>
          </w:p>
          <w:p w:rsidRPr="00BB09CA" w:rsidR="00C97EBE" w:rsidP="00C97EBE" w:rsidRDefault="00C97EBE" w14:paraId="06DBD7BF" w14:textId="133DB33F">
            <w:pPr>
              <w:rPr>
                <w:rFonts w:ascii="Palatino Linotype" w:hAnsi="Palatino Linotype"/>
                <w:sz w:val="22"/>
                <w:szCs w:val="22"/>
              </w:rPr>
            </w:pPr>
            <w:r w:rsidRPr="00C97EBE">
              <w:rPr>
                <w:rFonts w:ascii="Palatino Linotype" w:hAnsi="Palatino Linotype"/>
                <w:sz w:val="22"/>
                <w:szCs w:val="22"/>
              </w:rPr>
              <w:t xml:space="preserve">Consistent with: </w:t>
            </w:r>
            <w:hyperlink w:history="1" r:id="rId37">
              <w:r w:rsidRPr="00BB09CA">
                <w:rPr>
                  <w:rFonts w:ascii="Palatino Linotype" w:hAnsi="Palatino Linotype"/>
                  <w:color w:val="467886" w:themeColor="hyperlink"/>
                  <w:sz w:val="22"/>
                  <w:szCs w:val="22"/>
                  <w:u w:val="single"/>
                </w:rPr>
                <w:t>D.23-04-042</w:t>
              </w:r>
            </w:hyperlink>
            <w:r w:rsidRPr="00BB09CA">
              <w:rPr>
                <w:rFonts w:ascii="Palatino Linotype" w:hAnsi="Palatino Linotype"/>
                <w:sz w:val="22"/>
                <w:szCs w:val="22"/>
              </w:rPr>
              <w:t xml:space="preserve"> at Appendix A.</w:t>
            </w:r>
            <w:r w:rsidRPr="00BB09CA" w:rsidR="000C1DCF">
              <w:rPr>
                <w:rFonts w:ascii="Palatino Linotype" w:hAnsi="Palatino Linotype"/>
                <w:sz w:val="22"/>
                <w:szCs w:val="22"/>
              </w:rPr>
              <w:t xml:space="preserve"> See </w:t>
            </w:r>
            <w:r w:rsidR="000C1DCF">
              <w:rPr>
                <w:rFonts w:ascii="Palatino Linotype" w:hAnsi="Palatino Linotype"/>
                <w:sz w:val="22"/>
                <w:szCs w:val="22"/>
              </w:rPr>
              <w:t xml:space="preserve">Resolution G-3622 at </w:t>
            </w:r>
            <w:r w:rsidRPr="00BB09CA" w:rsidR="000C1DCF">
              <w:rPr>
                <w:rFonts w:ascii="Palatino Linotype" w:hAnsi="Palatino Linotype"/>
                <w:sz w:val="22"/>
                <w:szCs w:val="22"/>
              </w:rPr>
              <w:t xml:space="preserve">Appendix </w:t>
            </w:r>
            <w:r w:rsidR="000C1DCF">
              <w:rPr>
                <w:rFonts w:ascii="Palatino Linotype" w:hAnsi="Palatino Linotype"/>
                <w:sz w:val="22"/>
                <w:szCs w:val="22"/>
              </w:rPr>
              <w:t>D:</w:t>
            </w:r>
            <w:r w:rsidRPr="00BB09CA" w:rsidR="000C1DCF">
              <w:rPr>
                <w:rFonts w:ascii="Palatino Linotype" w:hAnsi="Palatino Linotype"/>
                <w:sz w:val="22"/>
                <w:szCs w:val="22"/>
              </w:rPr>
              <w:t xml:space="preserve"> EPIC Foundational Principles for the Development of a Uniform Impact Analysis Framework.</w:t>
            </w:r>
          </w:p>
          <w:p w:rsidR="00C97EBE" w:rsidP="00BB366A" w:rsidRDefault="00C97EBE" w14:paraId="12AF142B" w14:textId="77777777">
            <w:pPr>
              <w:rPr>
                <w:rFonts w:ascii="Palatino Linotype" w:hAnsi="Palatino Linotype"/>
                <w:strike/>
                <w:sz w:val="22"/>
                <w:szCs w:val="22"/>
              </w:rPr>
            </w:pPr>
          </w:p>
          <w:p w:rsidRPr="00B83681" w:rsidR="00C97EBE" w:rsidP="00BB366A" w:rsidRDefault="00C97EBE" w14:paraId="7690CC8F" w14:textId="272FD78D">
            <w:pPr>
              <w:rPr>
                <w:strike/>
              </w:rPr>
            </w:pPr>
          </w:p>
        </w:tc>
        <w:tc>
          <w:tcPr>
            <w:tcW w:w="3415" w:type="dxa"/>
          </w:tcPr>
          <w:p w:rsidRPr="004A11B2" w:rsidR="00930C35" w:rsidP="00BB366A" w:rsidRDefault="00930C35" w14:paraId="2C0487D5" w14:textId="77777777">
            <w:pPr>
              <w:rPr>
                <w:rFonts w:ascii="Palatino Linotype" w:hAnsi="Palatino Linotype"/>
                <w:color w:val="000000" w:themeColor="text1"/>
                <w:sz w:val="22"/>
                <w:szCs w:val="22"/>
              </w:rPr>
            </w:pPr>
            <w:r>
              <w:rPr>
                <w:rFonts w:ascii="Palatino Linotype" w:hAnsi="Palatino Linotype"/>
                <w:color w:val="000000" w:themeColor="text1"/>
                <w:sz w:val="22"/>
                <w:szCs w:val="22"/>
              </w:rPr>
              <w:t xml:space="preserve">2. </w:t>
            </w:r>
            <w:r w:rsidRPr="004A11B2">
              <w:rPr>
                <w:rFonts w:ascii="Palatino Linotype" w:hAnsi="Palatino Linotype"/>
                <w:b/>
                <w:color w:val="000000" w:themeColor="text1"/>
                <w:sz w:val="22"/>
                <w:szCs w:val="22"/>
              </w:rPr>
              <w:t xml:space="preserve">Identified Need: </w:t>
            </w:r>
            <w:r w:rsidRPr="004C5DBB">
              <w:rPr>
                <w:rFonts w:ascii="Palatino Linotype" w:hAnsi="Palatino Linotype"/>
                <w:color w:val="000000" w:themeColor="text1"/>
                <w:sz w:val="22"/>
                <w:szCs w:val="22"/>
              </w:rPr>
              <w:t>Innovation and differentiation from existing RD&amp;D activities to support complementary rather than duplicative efforts, informed by specific consultation with other Gas RD&amp;</w:t>
            </w:r>
            <w:r w:rsidRPr="00CC7AE7">
              <w:rPr>
                <w:rFonts w:ascii="Palatino Linotype" w:hAnsi="Palatino Linotype"/>
                <w:color w:val="000000" w:themeColor="text1"/>
                <w:sz w:val="22"/>
                <w:szCs w:val="22"/>
              </w:rPr>
              <w:t>D Administrators. Demonstrate that the Initiative will leverage existing progress while providing distinct additional value.</w:t>
            </w:r>
          </w:p>
        </w:tc>
      </w:tr>
      <w:tr w:rsidRPr="004C5DBB" w:rsidR="00930C35" w:rsidTr="00BB366A" w14:paraId="1B43F145" w14:textId="77777777">
        <w:tc>
          <w:tcPr>
            <w:tcW w:w="5935" w:type="dxa"/>
          </w:tcPr>
          <w:p w:rsidRPr="00BB09CA" w:rsidR="00930C35" w:rsidP="00BB366A" w:rsidRDefault="00930C35" w14:paraId="3AF5FDE3" w14:textId="77777777">
            <w:pPr>
              <w:rPr>
                <w:rFonts w:ascii="Palatino Linotype" w:hAnsi="Palatino Linotype"/>
                <w:sz w:val="22"/>
                <w:szCs w:val="22"/>
              </w:rPr>
            </w:pPr>
            <w:hyperlink w:history="1" r:id="rId38">
              <w:r w:rsidRPr="00BB09CA">
                <w:rPr>
                  <w:rFonts w:ascii="Palatino Linotype" w:hAnsi="Palatino Linotype"/>
                  <w:color w:val="467886" w:themeColor="hyperlink"/>
                  <w:sz w:val="22"/>
                  <w:szCs w:val="22"/>
                  <w:u w:val="single"/>
                </w:rPr>
                <w:t>Resolution G-</w:t>
              </w:r>
              <w:r w:rsidRPr="00BB09CA">
                <w:rPr>
                  <w:rFonts w:ascii="Palatino Linotype" w:hAnsi="Palatino Linotype" w:cs="Arial"/>
                  <w:color w:val="467886" w:themeColor="hyperlink"/>
                  <w:sz w:val="22"/>
                  <w:szCs w:val="22"/>
                  <w:u w:val="single"/>
                </w:rPr>
                <w:t>3573</w:t>
              </w:r>
            </w:hyperlink>
            <w:r w:rsidRPr="00BB09CA">
              <w:rPr>
                <w:rFonts w:ascii="Palatino Linotype" w:hAnsi="Palatino Linotype"/>
                <w:sz w:val="22"/>
                <w:szCs w:val="22"/>
              </w:rPr>
              <w:t xml:space="preserve"> (2021) at OP 3.</w:t>
            </w:r>
          </w:p>
          <w:p w:rsidRPr="00BB09CA" w:rsidR="00930C35" w:rsidP="00BB366A" w:rsidRDefault="00930C35" w14:paraId="0A19B014" w14:textId="77777777">
            <w:pPr>
              <w:rPr>
                <w:rFonts w:ascii="Palatino Linotype" w:hAnsi="Palatino Linotype"/>
                <w:sz w:val="22"/>
                <w:szCs w:val="22"/>
              </w:rPr>
            </w:pPr>
            <w:hyperlink w:tgtFrame="_blank" w:history="1" r:id="rId39">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6c.</w:t>
            </w:r>
          </w:p>
          <w:p w:rsidR="00930C35" w:rsidP="00BB366A" w:rsidRDefault="00B81057" w14:paraId="1684B51A" w14:textId="0AD16027">
            <w:r w:rsidRPr="00C97EBE">
              <w:rPr>
                <w:rFonts w:ascii="Palatino Linotype" w:hAnsi="Palatino Linotype"/>
                <w:sz w:val="22"/>
                <w:szCs w:val="22"/>
              </w:rPr>
              <w:t xml:space="preserve">Consistent with: </w:t>
            </w:r>
            <w:hyperlink w:history="1" r:id="rId40">
              <w:r w:rsidRPr="004C5DBB" w:rsidR="00930C35">
                <w:rPr>
                  <w:rFonts w:ascii="Palatino Linotype" w:hAnsi="Palatino Linotype"/>
                  <w:color w:val="467886" w:themeColor="hyperlink"/>
                  <w:sz w:val="22"/>
                  <w:szCs w:val="22"/>
                  <w:u w:val="single"/>
                </w:rPr>
                <w:t>D.23-04-042</w:t>
              </w:r>
            </w:hyperlink>
            <w:r w:rsidRPr="004C5DBB" w:rsidR="00930C35">
              <w:rPr>
                <w:rFonts w:ascii="Palatino Linotype" w:hAnsi="Palatino Linotype"/>
                <w:sz w:val="22"/>
                <w:szCs w:val="22"/>
              </w:rPr>
              <w:t xml:space="preserve"> at Appendix A.</w:t>
            </w:r>
          </w:p>
        </w:tc>
        <w:tc>
          <w:tcPr>
            <w:tcW w:w="3415" w:type="dxa"/>
          </w:tcPr>
          <w:p w:rsidRPr="004C5DBB" w:rsidR="00930C35" w:rsidP="00BB366A" w:rsidRDefault="00930C35" w14:paraId="7C246502" w14:textId="77777777">
            <w:pPr>
              <w:rPr>
                <w:rFonts w:ascii="Palatino Linotype" w:hAnsi="Palatino Linotype"/>
                <w:sz w:val="22"/>
                <w:szCs w:val="22"/>
              </w:rPr>
            </w:pPr>
            <w:r>
              <w:rPr>
                <w:rFonts w:ascii="Palatino Linotype" w:hAnsi="Palatino Linotype"/>
                <w:sz w:val="22"/>
                <w:szCs w:val="22"/>
              </w:rPr>
              <w:t xml:space="preserve">3. </w:t>
            </w:r>
            <w:r w:rsidRPr="004A11B2">
              <w:rPr>
                <w:rFonts w:ascii="Palatino Linotype" w:hAnsi="Palatino Linotype"/>
                <w:b/>
                <w:sz w:val="22"/>
                <w:szCs w:val="22"/>
              </w:rPr>
              <w:t>Proposed Solution</w:t>
            </w:r>
            <w:r>
              <w:rPr>
                <w:rFonts w:ascii="Palatino Linotype" w:hAnsi="Palatino Linotype"/>
                <w:sz w:val="22"/>
                <w:szCs w:val="22"/>
              </w:rPr>
              <w:t>:</w:t>
            </w:r>
            <w:r w:rsidRPr="004C5DBB">
              <w:rPr>
                <w:rFonts w:ascii="Palatino Linotype" w:hAnsi="Palatino Linotype"/>
                <w:sz w:val="22"/>
                <w:szCs w:val="22"/>
              </w:rPr>
              <w:t xml:space="preserve"> </w:t>
            </w:r>
            <w:r w:rsidRPr="00CC7AE7">
              <w:rPr>
                <w:rFonts w:ascii="Palatino Linotype" w:hAnsi="Palatino Linotype"/>
                <w:color w:val="000000" w:themeColor="text1"/>
                <w:sz w:val="22"/>
                <w:szCs w:val="22"/>
              </w:rPr>
              <w:t xml:space="preserve">Describe Research Topics, anticipated near-term project outputs commensurate with the proposed funding level, </w:t>
            </w:r>
            <w:r>
              <w:rPr>
                <w:rFonts w:ascii="Palatino Linotype" w:hAnsi="Palatino Linotype"/>
                <w:color w:val="000000" w:themeColor="text1"/>
                <w:sz w:val="22"/>
                <w:szCs w:val="22"/>
              </w:rPr>
              <w:t xml:space="preserve">and </w:t>
            </w:r>
            <w:r>
              <w:rPr>
                <w:rFonts w:ascii="Palatino Linotype" w:hAnsi="Palatino Linotype" w:eastAsia="Century Gothic" w:cs="Century Gothic"/>
                <w:color w:val="000000" w:themeColor="text1"/>
                <w:sz w:val="22"/>
                <w:szCs w:val="22"/>
              </w:rPr>
              <w:t>i</w:t>
            </w:r>
            <w:r w:rsidRPr="004C5DBB">
              <w:rPr>
                <w:rFonts w:ascii="Palatino Linotype" w:hAnsi="Palatino Linotype" w:eastAsia="Century Gothic" w:cs="Century Gothic"/>
                <w:color w:val="000000" w:themeColor="text1"/>
                <w:sz w:val="22"/>
                <w:szCs w:val="22"/>
              </w:rPr>
              <w:t>ntended pathways to scale, commercialize, and otherwise utilize results from RD&amp;D activities to promote technology transfer and market facilitation.</w:t>
            </w:r>
          </w:p>
        </w:tc>
      </w:tr>
      <w:tr w:rsidRPr="004C5DBB" w:rsidR="00930C35" w:rsidTr="00BB366A" w14:paraId="760C17EC" w14:textId="77777777">
        <w:tc>
          <w:tcPr>
            <w:tcW w:w="5935" w:type="dxa"/>
          </w:tcPr>
          <w:p w:rsidRPr="00512F50" w:rsidR="00930C35" w:rsidP="00BB366A" w:rsidRDefault="00930C35" w14:paraId="188B9B24" w14:textId="77777777">
            <w:pPr>
              <w:rPr>
                <w:rFonts w:ascii="Palatino Linotype" w:hAnsi="Palatino Linotype"/>
                <w:b/>
                <w:sz w:val="22"/>
                <w:szCs w:val="22"/>
              </w:rPr>
            </w:pPr>
            <w:r w:rsidRPr="004A11B2">
              <w:rPr>
                <w:rFonts w:ascii="Palatino Linotype" w:hAnsi="Palatino Linotype"/>
              </w:rPr>
              <w:t xml:space="preserve">a. </w:t>
            </w:r>
            <w:r w:rsidRPr="00D22704">
              <w:rPr>
                <w:rFonts w:ascii="Palatino Linotype" w:hAnsi="Palatino Linotype" w:eastAsia="Palatino Linotype" w:cs="Palatino Linotype"/>
                <w:color w:val="000000" w:themeColor="text1"/>
                <w:sz w:val="22"/>
                <w:szCs w:val="22"/>
              </w:rPr>
              <w:t>Public Utilities Code 740.1</w:t>
            </w:r>
            <w:r w:rsidRPr="004C5DBB">
              <w:rPr>
                <w:rFonts w:ascii="Palatino Linotype" w:hAnsi="Palatino Linotype" w:eastAsia="Palatino Linotype" w:cs="Palatino Linotype"/>
                <w:color w:val="000000" w:themeColor="text1"/>
                <w:sz w:val="22"/>
                <w:szCs w:val="22"/>
              </w:rPr>
              <w:t xml:space="preserve"> at (a).</w:t>
            </w:r>
          </w:p>
          <w:p w:rsidRPr="00D903E4" w:rsidR="00930C35" w:rsidP="00BB366A" w:rsidRDefault="00930C35" w14:paraId="1F3902C4" w14:textId="658C6067">
            <w:pPr>
              <w:rPr>
                <w:rFonts w:ascii="Palatino Linotype" w:hAnsi="Palatino Linotype" w:eastAsia="Palatino Linotype" w:cs="Palatino Linotype"/>
                <w:color w:val="000000" w:themeColor="text1"/>
                <w:sz w:val="22"/>
                <w:szCs w:val="22"/>
              </w:rPr>
            </w:pPr>
            <w:r>
              <w:t xml:space="preserve">    </w:t>
            </w:r>
            <w:hyperlink r:id="rId41">
              <w:r w:rsidRPr="004C5DBB">
                <w:rPr>
                  <w:rFonts w:ascii="Palatino Linotype" w:hAnsi="Palatino Linotype" w:eastAsia="Palatino Linotype" w:cs="Palatino Linotype"/>
                  <w:color w:val="467886" w:themeColor="hyperlink"/>
                  <w:sz w:val="22"/>
                  <w:szCs w:val="22"/>
                  <w:u w:val="single"/>
                </w:rPr>
                <w:t>D.04-08-010</w:t>
              </w:r>
            </w:hyperlink>
            <w:r w:rsidRPr="004C5DBB">
              <w:rPr>
                <w:rFonts w:ascii="Palatino Linotype" w:hAnsi="Palatino Linotype" w:eastAsia="Palatino Linotype" w:cs="Palatino Linotype"/>
                <w:color w:val="000000" w:themeColor="text1"/>
                <w:sz w:val="22"/>
                <w:szCs w:val="22"/>
              </w:rPr>
              <w:t xml:space="preserve"> at p. 28; FOF 32; &amp; OP 17. </w:t>
            </w:r>
          </w:p>
          <w:p w:rsidRPr="00BB09CA" w:rsidR="00930C35" w:rsidP="00BB366A" w:rsidRDefault="00930C35" w14:paraId="692BD30C" w14:textId="555B3219">
            <w:pPr>
              <w:rPr>
                <w:rFonts w:ascii="Palatino Linotype" w:hAnsi="Palatino Linotype"/>
                <w:sz w:val="22"/>
                <w:szCs w:val="22"/>
              </w:rPr>
            </w:pPr>
            <w:r w:rsidRPr="00BB09CA">
              <w:t xml:space="preserve">    </w:t>
            </w:r>
            <w:hyperlink w:tgtFrame="_blank" w:history="1" r:id="rId42">
              <w:r w:rsidRPr="00BB09CA">
                <w:rPr>
                  <w:rFonts w:ascii="Palatino Linotype" w:hAnsi="Palatino Linotype"/>
                  <w:color w:val="467886" w:themeColor="hyperlink"/>
                  <w:sz w:val="22"/>
                  <w:szCs w:val="22"/>
                  <w:u w:val="single"/>
                </w:rPr>
                <w:t>Resolution G-3586</w:t>
              </w:r>
            </w:hyperlink>
            <w:r w:rsidRPr="00BB09CA">
              <w:rPr>
                <w:rFonts w:ascii="Palatino Linotype" w:hAnsi="Palatino Linotype"/>
                <w:sz w:val="22"/>
                <w:szCs w:val="22"/>
              </w:rPr>
              <w:t xml:space="preserve"> (2022) at OP 4 &amp; 5.</w:t>
            </w:r>
          </w:p>
          <w:p w:rsidR="004521C3" w:rsidP="00BB366A" w:rsidRDefault="00930C35" w14:paraId="561A41EA" w14:textId="77777777">
            <w:r>
              <w:t xml:space="preserve">    </w:t>
            </w:r>
            <w:hyperlink w:tgtFrame="_blank" w:history="1" r:id="rId43">
              <w:r w:rsidRPr="007341EB">
                <w:rPr>
                  <w:rFonts w:ascii="Palatino Linotype" w:hAnsi="Palatino Linotype"/>
                  <w:b/>
                  <w:color w:val="467886" w:themeColor="hyperlink"/>
                  <w:sz w:val="22"/>
                  <w:szCs w:val="22"/>
                  <w:u w:val="single"/>
                </w:rPr>
                <w:t>Resolution G-3592</w:t>
              </w:r>
            </w:hyperlink>
            <w:r w:rsidRPr="007341EB">
              <w:rPr>
                <w:rFonts w:ascii="Palatino Linotype" w:hAnsi="Palatino Linotype"/>
                <w:b/>
                <w:sz w:val="22"/>
                <w:szCs w:val="22"/>
              </w:rPr>
              <w:t xml:space="preserve"> (2023) at OP 6.</w:t>
            </w:r>
            <w:r w:rsidRPr="00BB09CA">
              <w:t xml:space="preserve">     </w:t>
            </w:r>
          </w:p>
          <w:p w:rsidRPr="004521C3" w:rsidR="00930C35" w:rsidP="00BB366A" w:rsidRDefault="004521C3" w14:paraId="7887E032" w14:textId="0E212CE8">
            <w:pPr>
              <w:rPr>
                <w:rFonts w:ascii="Palatino Linotype" w:hAnsi="Palatino Linotype"/>
                <w:b/>
                <w:bCs w:val="0"/>
                <w:sz w:val="22"/>
                <w:szCs w:val="22"/>
              </w:rPr>
            </w:pPr>
            <w:r>
              <w:t xml:space="preserve">    </w:t>
            </w:r>
            <w:hyperlink w:tgtFrame="_blank" w:history="1" r:id="rId44">
              <w:r w:rsidRPr="00BB09CA" w:rsidR="00930C35">
                <w:rPr>
                  <w:rFonts w:ascii="Palatino Linotype" w:hAnsi="Palatino Linotype"/>
                  <w:color w:val="467886" w:themeColor="hyperlink"/>
                  <w:sz w:val="22"/>
                  <w:szCs w:val="22"/>
                  <w:u w:val="single"/>
                </w:rPr>
                <w:t>Resolution G-3601</w:t>
              </w:r>
            </w:hyperlink>
            <w:r w:rsidRPr="00BB09CA" w:rsidR="00930C35">
              <w:rPr>
                <w:rFonts w:ascii="Palatino Linotype" w:hAnsi="Palatino Linotype"/>
                <w:sz w:val="22"/>
                <w:szCs w:val="22"/>
              </w:rPr>
              <w:t xml:space="preserve"> (2023) at OP 5 &amp; 6b. </w:t>
            </w:r>
          </w:p>
          <w:p w:rsidRPr="0053077E" w:rsidR="00930C35" w:rsidP="00BB366A" w:rsidRDefault="00930C35" w14:paraId="3B735102" w14:textId="4F3CC585">
            <w:pPr>
              <w:rPr>
                <w:rFonts w:ascii="Palatino Linotype" w:hAnsi="Palatino Linotype"/>
                <w:b/>
                <w:bCs w:val="0"/>
                <w:sz w:val="22"/>
                <w:szCs w:val="22"/>
              </w:rPr>
            </w:pPr>
            <w:r w:rsidRPr="00BB09CA">
              <w:lastRenderedPageBreak/>
              <w:t xml:space="preserve">     </w:t>
            </w:r>
            <w:hyperlink w:tgtFrame="_blank" w:history="1" r:id="rId45">
              <w:r w:rsidRPr="00BB09CA">
                <w:rPr>
                  <w:rFonts w:ascii="Palatino Linotype" w:hAnsi="Palatino Linotype"/>
                  <w:b/>
                  <w:color w:val="467886" w:themeColor="hyperlink"/>
                  <w:sz w:val="22"/>
                  <w:szCs w:val="22"/>
                  <w:u w:val="single"/>
                </w:rPr>
                <w:t>Resolution G-3603</w:t>
              </w:r>
            </w:hyperlink>
            <w:r w:rsidRPr="00BB09CA">
              <w:rPr>
                <w:rFonts w:ascii="Palatino Linotype" w:hAnsi="Palatino Linotype"/>
                <w:b/>
                <w:sz w:val="22"/>
                <w:szCs w:val="22"/>
              </w:rPr>
              <w:t xml:space="preserve"> (2024) at OP 6.</w:t>
            </w:r>
          </w:p>
          <w:p w:rsidR="00A84231" w:rsidP="00A84231" w:rsidRDefault="00930C35" w14:paraId="170557BD" w14:textId="77777777">
            <w:pPr>
              <w:rPr>
                <w:rFonts w:ascii="Palatino Linotype" w:hAnsi="Palatino Linotype"/>
                <w:sz w:val="22"/>
                <w:szCs w:val="22"/>
              </w:rPr>
            </w:pPr>
            <w:r w:rsidRPr="00BB09CA">
              <w:t xml:space="preserve">     </w:t>
            </w:r>
            <w:hyperlink w:history="1" r:id="rId46">
              <w:r w:rsidRPr="00BB09CA">
                <w:rPr>
                  <w:rFonts w:ascii="Palatino Linotype" w:hAnsi="Palatino Linotype"/>
                  <w:color w:val="467886" w:themeColor="hyperlink"/>
                  <w:sz w:val="22"/>
                  <w:szCs w:val="22"/>
                  <w:u w:val="single"/>
                </w:rPr>
                <w:t>D.23-11-069</w:t>
              </w:r>
            </w:hyperlink>
            <w:r w:rsidRPr="00BB09CA">
              <w:rPr>
                <w:rFonts w:ascii="Palatino Linotype" w:hAnsi="Palatino Linotype"/>
                <w:sz w:val="22"/>
                <w:szCs w:val="22"/>
              </w:rPr>
              <w:t xml:space="preserve"> at p. 218 &amp; 220.</w:t>
            </w:r>
          </w:p>
          <w:p w:rsidRPr="00BB09CA" w:rsidR="0053077E" w:rsidP="00A84231" w:rsidRDefault="00A84231" w14:paraId="72FD7140" w14:textId="64A12774">
            <w:pPr>
              <w:rPr>
                <w:rFonts w:ascii="Palatino Linotype" w:hAnsi="Palatino Linotype"/>
                <w:sz w:val="22"/>
                <w:szCs w:val="22"/>
              </w:rPr>
            </w:pPr>
            <w:r>
              <w:rPr>
                <w:rFonts w:ascii="Palatino Linotype" w:hAnsi="Palatino Linotype"/>
                <w:sz w:val="22"/>
                <w:szCs w:val="22"/>
              </w:rPr>
              <w:t xml:space="preserve">      </w:t>
            </w:r>
            <w:r w:rsidRPr="0053077E" w:rsidR="0053077E">
              <w:rPr>
                <w:rFonts w:ascii="Palatino Linotype" w:hAnsi="Palatino Linotype"/>
                <w:sz w:val="22"/>
                <w:szCs w:val="22"/>
              </w:rPr>
              <w:t xml:space="preserve">Consistent with: </w:t>
            </w:r>
            <w:hyperlink w:history="1" r:id="rId47">
              <w:r w:rsidRPr="00BB09CA" w:rsidR="0053077E">
                <w:rPr>
                  <w:rFonts w:ascii="Palatino Linotype" w:hAnsi="Palatino Linotype"/>
                  <w:color w:val="467886" w:themeColor="hyperlink"/>
                  <w:sz w:val="22"/>
                  <w:szCs w:val="22"/>
                  <w:u w:val="single"/>
                </w:rPr>
                <w:t>D.23-04-042</w:t>
              </w:r>
            </w:hyperlink>
            <w:r w:rsidRPr="00BB09CA" w:rsidR="0053077E">
              <w:rPr>
                <w:rFonts w:ascii="Palatino Linotype" w:hAnsi="Palatino Linotype"/>
                <w:sz w:val="22"/>
                <w:szCs w:val="22"/>
              </w:rPr>
              <w:t xml:space="preserve"> at Appendix A.</w:t>
            </w:r>
            <w:r w:rsidRPr="00BB09CA" w:rsidR="0053077E">
              <w:t xml:space="preserve"> </w:t>
            </w:r>
          </w:p>
          <w:p w:rsidRPr="007F2074" w:rsidR="00930C35" w:rsidP="007F2074" w:rsidRDefault="00930C35" w14:paraId="5F407209" w14:textId="0DE4B9F3">
            <w:pPr>
              <w:spacing w:before="240"/>
              <w:rPr>
                <w:rFonts w:ascii="Palatino Linotype" w:hAnsi="Palatino Linotype"/>
                <w:b/>
                <w:sz w:val="22"/>
                <w:szCs w:val="22"/>
              </w:rPr>
            </w:pPr>
            <w:r w:rsidRPr="00BB09CA">
              <w:rPr>
                <w:rFonts w:ascii="Palatino Linotype" w:hAnsi="Palatino Linotype"/>
                <w:sz w:val="22"/>
                <w:szCs w:val="22"/>
              </w:rPr>
              <w:t>b. Public Utilities Code Section 740.1 (e)(5)</w:t>
            </w:r>
          </w:p>
          <w:p w:rsidR="00EC2F86" w:rsidP="00BB366A" w:rsidRDefault="00930C35" w14:paraId="474FD667" w14:textId="765F700B">
            <w:r w:rsidRPr="00BB09CA">
              <w:t xml:space="preserve">    </w:t>
            </w:r>
            <w:hyperlink w:tgtFrame="_blank" w:history="1" r:id="rId48">
              <w:r w:rsidRPr="00BB09CA" w:rsidR="00EC2F86">
                <w:rPr>
                  <w:rFonts w:ascii="Palatino Linotype" w:hAnsi="Palatino Linotype"/>
                  <w:color w:val="467886" w:themeColor="hyperlink"/>
                  <w:sz w:val="22"/>
                  <w:szCs w:val="22"/>
                  <w:u w:val="single"/>
                </w:rPr>
                <w:t>Resolution G-3586</w:t>
              </w:r>
            </w:hyperlink>
            <w:r w:rsidRPr="00BB09CA" w:rsidR="00EC2F86">
              <w:rPr>
                <w:rFonts w:ascii="Palatino Linotype" w:hAnsi="Palatino Linotype"/>
                <w:sz w:val="22"/>
                <w:szCs w:val="22"/>
              </w:rPr>
              <w:t xml:space="preserve"> (2022) at OP 4</w:t>
            </w:r>
            <w:r w:rsidR="00EC2F86">
              <w:rPr>
                <w:rFonts w:ascii="Palatino Linotype" w:hAnsi="Palatino Linotype"/>
                <w:sz w:val="22"/>
                <w:szCs w:val="22"/>
              </w:rPr>
              <w:t>.</w:t>
            </w:r>
          </w:p>
          <w:p w:rsidRPr="00BB09CA" w:rsidR="00930C35" w:rsidP="00BB366A" w:rsidRDefault="00EC2F86" w14:paraId="4663BCF4" w14:textId="6C6EEBF8">
            <w:pPr>
              <w:rPr>
                <w:rFonts w:ascii="Palatino Linotype" w:hAnsi="Palatino Linotype" w:eastAsia="Century Gothic" w:cs="Century Gothic"/>
                <w:sz w:val="22"/>
                <w:szCs w:val="22"/>
              </w:rPr>
            </w:pPr>
            <w:r>
              <w:t xml:space="preserve">    </w:t>
            </w:r>
            <w:hyperlink w:history="1" r:id="rId49">
              <w:r w:rsidRPr="00BB09CA" w:rsidR="00930C35">
                <w:rPr>
                  <w:rFonts w:ascii="Palatino Linotype" w:hAnsi="Palatino Linotype"/>
                  <w:color w:val="467886" w:themeColor="hyperlink"/>
                  <w:sz w:val="22"/>
                  <w:szCs w:val="22"/>
                  <w:u w:val="single"/>
                </w:rPr>
                <w:t>D.23-11-069</w:t>
              </w:r>
            </w:hyperlink>
            <w:r w:rsidRPr="00BB09CA" w:rsidR="00930C35">
              <w:rPr>
                <w:rFonts w:ascii="Palatino Linotype" w:hAnsi="Palatino Linotype"/>
                <w:sz w:val="22"/>
                <w:szCs w:val="22"/>
              </w:rPr>
              <w:t xml:space="preserve"> at p. 218.</w:t>
            </w:r>
          </w:p>
          <w:p w:rsidRPr="00BB09CA" w:rsidR="00930C35" w:rsidP="00BB366A" w:rsidRDefault="00930C35" w14:paraId="7B54B5E0" w14:textId="0D99D9AB">
            <w:pPr>
              <w:rPr>
                <w:rFonts w:ascii="Palatino Linotype" w:hAnsi="Palatino Linotype"/>
                <w:sz w:val="22"/>
                <w:szCs w:val="22"/>
              </w:rPr>
            </w:pPr>
            <w:r w:rsidRPr="00BB09CA">
              <w:t xml:space="preserve"> </w:t>
            </w:r>
            <w:r w:rsidR="00A84231">
              <w:t xml:space="preserve">   </w:t>
            </w:r>
            <w:r w:rsidRPr="00A84231" w:rsidR="00A84231">
              <w:rPr>
                <w:rFonts w:ascii="Palatino Linotype" w:hAnsi="Palatino Linotype"/>
                <w:sz w:val="22"/>
                <w:szCs w:val="22"/>
              </w:rPr>
              <w:t>Consistent with:</w:t>
            </w:r>
            <w:r w:rsidR="00A84231">
              <w:t xml:space="preserve"> </w:t>
            </w:r>
            <w:hyperlink w:history="1" r:id="rId50">
              <w:r w:rsidRPr="00BB09CA">
                <w:rPr>
                  <w:rFonts w:ascii="Palatino Linotype" w:hAnsi="Palatino Linotype"/>
                  <w:color w:val="467886" w:themeColor="hyperlink"/>
                  <w:sz w:val="22"/>
                  <w:szCs w:val="22"/>
                  <w:u w:val="single"/>
                </w:rPr>
                <w:t>Executive Order (EO) N-5-24</w:t>
              </w:r>
            </w:hyperlink>
            <w:r w:rsidRPr="00BB09CA">
              <w:rPr>
                <w:rFonts w:ascii="Palatino Linotype" w:hAnsi="Palatino Linotype"/>
                <w:sz w:val="22"/>
                <w:szCs w:val="22"/>
              </w:rPr>
              <w:t xml:space="preserve"> (Newsom, 2024)</w:t>
            </w:r>
          </w:p>
          <w:p w:rsidRPr="00BB09CA" w:rsidR="00930C35" w:rsidP="00BB366A" w:rsidRDefault="00930C35" w14:paraId="7BD25F63" w14:textId="2C204960">
            <w:pPr>
              <w:spacing w:before="240"/>
              <w:rPr>
                <w:rFonts w:ascii="Palatino Linotype" w:hAnsi="Palatino Linotype"/>
                <w:b/>
                <w:sz w:val="22"/>
                <w:szCs w:val="22"/>
              </w:rPr>
            </w:pPr>
            <w:r w:rsidRPr="00BB09CA">
              <w:rPr>
                <w:rFonts w:ascii="Palatino Linotype" w:hAnsi="Palatino Linotype"/>
                <w:sz w:val="22"/>
                <w:szCs w:val="22"/>
              </w:rPr>
              <w:t>c.</w:t>
            </w:r>
            <w:r w:rsidRPr="00BB09CA">
              <w:rPr>
                <w:sz w:val="22"/>
                <w:szCs w:val="22"/>
              </w:rPr>
              <w:t xml:space="preserve"> </w:t>
            </w:r>
            <w:hyperlink w:tgtFrame="_blank" w:history="1" r:id="rId51">
              <w:r w:rsidRPr="00BB09CA">
                <w:rPr>
                  <w:rFonts w:ascii="Palatino Linotype" w:hAnsi="Palatino Linotype"/>
                  <w:b/>
                  <w:color w:val="467886" w:themeColor="hyperlink"/>
                  <w:sz w:val="22"/>
                  <w:szCs w:val="22"/>
                  <w:u w:val="single"/>
                </w:rPr>
                <w:t>Resolution G-3555</w:t>
              </w:r>
            </w:hyperlink>
            <w:r w:rsidRPr="00BB09CA">
              <w:rPr>
                <w:rFonts w:ascii="Palatino Linotype" w:hAnsi="Palatino Linotype"/>
                <w:b/>
                <w:sz w:val="22"/>
                <w:szCs w:val="22"/>
              </w:rPr>
              <w:t xml:space="preserve"> (2019) at OP 6</w:t>
            </w:r>
            <w:r w:rsidR="006335A4">
              <w:rPr>
                <w:rFonts w:ascii="Palatino Linotype" w:hAnsi="Palatino Linotype"/>
                <w:b/>
                <w:sz w:val="22"/>
                <w:szCs w:val="22"/>
              </w:rPr>
              <w:t>a</w:t>
            </w:r>
            <w:r w:rsidRPr="00BB09CA">
              <w:rPr>
                <w:rFonts w:ascii="Palatino Linotype" w:hAnsi="Palatino Linotype"/>
                <w:b/>
                <w:sz w:val="22"/>
                <w:szCs w:val="22"/>
              </w:rPr>
              <w:t>.</w:t>
            </w:r>
          </w:p>
          <w:p w:rsidRPr="00BB09CA" w:rsidR="00930C35" w:rsidP="00BB366A" w:rsidRDefault="00930C35" w14:paraId="50A25379" w14:textId="77777777">
            <w:pPr>
              <w:rPr>
                <w:rFonts w:ascii="Palatino Linotype" w:hAnsi="Palatino Linotype"/>
                <w:b/>
                <w:bCs w:val="0"/>
                <w:sz w:val="22"/>
                <w:szCs w:val="22"/>
              </w:rPr>
            </w:pPr>
            <w:r w:rsidRPr="00BB09CA">
              <w:t xml:space="preserve">    </w:t>
            </w:r>
            <w:hyperlink w:history="1" r:id="rId52">
              <w:r w:rsidRPr="00BB09CA">
                <w:rPr>
                  <w:rFonts w:ascii="Palatino Linotype" w:hAnsi="Palatino Linotype"/>
                  <w:b/>
                  <w:color w:val="467886" w:themeColor="hyperlink"/>
                  <w:sz w:val="22"/>
                  <w:szCs w:val="22"/>
                  <w:u w:val="single"/>
                </w:rPr>
                <w:t>Resolution G-3571</w:t>
              </w:r>
            </w:hyperlink>
            <w:r w:rsidRPr="00BB09CA">
              <w:rPr>
                <w:rFonts w:ascii="Palatino Linotype" w:hAnsi="Palatino Linotype"/>
                <w:b/>
                <w:sz w:val="22"/>
                <w:szCs w:val="22"/>
              </w:rPr>
              <w:t xml:space="preserve"> (2020) at OP 8b.</w:t>
            </w:r>
          </w:p>
          <w:p w:rsidRPr="00BB09CA" w:rsidR="00930C35" w:rsidP="00BB366A" w:rsidRDefault="00930C35" w14:paraId="7E692231" w14:textId="77777777">
            <w:pPr>
              <w:rPr>
                <w:rFonts w:ascii="Palatino Linotype" w:hAnsi="Palatino Linotype"/>
                <w:sz w:val="22"/>
                <w:szCs w:val="22"/>
              </w:rPr>
            </w:pPr>
            <w:r w:rsidRPr="00BB09CA">
              <w:t xml:space="preserve">    </w:t>
            </w:r>
            <w:hyperlink w:history="1" r:id="rId53">
              <w:r w:rsidRPr="00BB09CA">
                <w:rPr>
                  <w:rFonts w:ascii="Palatino Linotype" w:hAnsi="Palatino Linotype"/>
                  <w:color w:val="467886" w:themeColor="hyperlink"/>
                  <w:sz w:val="22"/>
                  <w:szCs w:val="22"/>
                  <w:u w:val="single"/>
                </w:rPr>
                <w:t>Resolution G-</w:t>
              </w:r>
              <w:r w:rsidRPr="00BB09CA">
                <w:rPr>
                  <w:rFonts w:ascii="Palatino Linotype" w:hAnsi="Palatino Linotype" w:cs="Arial"/>
                  <w:color w:val="467886" w:themeColor="hyperlink"/>
                  <w:sz w:val="22"/>
                  <w:szCs w:val="22"/>
                  <w:u w:val="single"/>
                </w:rPr>
                <w:t>3573</w:t>
              </w:r>
            </w:hyperlink>
            <w:r w:rsidRPr="00BB09CA">
              <w:rPr>
                <w:rFonts w:ascii="Palatino Linotype" w:hAnsi="Palatino Linotype"/>
                <w:sz w:val="22"/>
                <w:szCs w:val="22"/>
              </w:rPr>
              <w:t xml:space="preserve"> (2021) at OP 3.</w:t>
            </w:r>
          </w:p>
          <w:p w:rsidRPr="00BB09CA" w:rsidR="00930C35" w:rsidP="00BB366A" w:rsidRDefault="00930C35" w14:paraId="2251BED1" w14:textId="77777777">
            <w:pPr>
              <w:rPr>
                <w:rFonts w:ascii="Palatino Linotype" w:hAnsi="Palatino Linotype"/>
                <w:sz w:val="22"/>
                <w:szCs w:val="22"/>
              </w:rPr>
            </w:pPr>
            <w:r w:rsidRPr="00BB09CA">
              <w:t xml:space="preserve">    </w:t>
            </w:r>
            <w:hyperlink w:tgtFrame="_blank" w:history="1" r:id="rId54">
              <w:r w:rsidRPr="00BB09CA">
                <w:rPr>
                  <w:rFonts w:ascii="Palatino Linotype" w:hAnsi="Palatino Linotype"/>
                  <w:color w:val="467886" w:themeColor="hyperlink"/>
                  <w:sz w:val="22"/>
                  <w:szCs w:val="22"/>
                  <w:u w:val="single"/>
                </w:rPr>
                <w:t>Resolution G-3586</w:t>
              </w:r>
            </w:hyperlink>
            <w:r w:rsidRPr="00BB09CA">
              <w:rPr>
                <w:rFonts w:ascii="Palatino Linotype" w:hAnsi="Palatino Linotype"/>
                <w:sz w:val="22"/>
                <w:szCs w:val="22"/>
              </w:rPr>
              <w:t xml:space="preserve"> (2022) at OP 4 &amp; 5.</w:t>
            </w:r>
          </w:p>
          <w:p w:rsidRPr="00BB09CA" w:rsidR="00930C35" w:rsidP="00BB366A" w:rsidRDefault="00930C35" w14:paraId="35122C12" w14:textId="77777777">
            <w:pPr>
              <w:rPr>
                <w:rFonts w:ascii="Palatino Linotype" w:hAnsi="Palatino Linotype"/>
                <w:sz w:val="22"/>
                <w:szCs w:val="22"/>
              </w:rPr>
            </w:pPr>
            <w:r w:rsidRPr="00BB09CA">
              <w:t xml:space="preserve">    </w:t>
            </w:r>
            <w:hyperlink w:history="1" r:id="rId55">
              <w:r w:rsidRPr="00BB09CA">
                <w:rPr>
                  <w:rFonts w:ascii="Palatino Linotype" w:hAnsi="Palatino Linotype"/>
                  <w:color w:val="467886" w:themeColor="hyperlink"/>
                  <w:sz w:val="22"/>
                  <w:szCs w:val="22"/>
                  <w:u w:val="single"/>
                </w:rPr>
                <w:t>Environmental &amp; Social Justice (ESJ) Action Plan Version 2.0</w:t>
              </w:r>
            </w:hyperlink>
            <w:r w:rsidRPr="00BB09CA">
              <w:rPr>
                <w:rFonts w:ascii="Palatino Linotype" w:hAnsi="Palatino Linotype"/>
                <w:sz w:val="22"/>
                <w:szCs w:val="22"/>
              </w:rPr>
              <w:t xml:space="preserve"> (2022).</w:t>
            </w:r>
          </w:p>
          <w:p w:rsidRPr="00BB09CA" w:rsidR="00930C35" w:rsidP="00BB366A" w:rsidRDefault="00930C35" w14:paraId="153187B5" w14:textId="77777777">
            <w:pPr>
              <w:rPr>
                <w:rFonts w:ascii="Palatino Linotype" w:hAnsi="Palatino Linotype"/>
                <w:b/>
                <w:bCs w:val="0"/>
                <w:sz w:val="22"/>
                <w:szCs w:val="22"/>
              </w:rPr>
            </w:pPr>
            <w:r w:rsidRPr="00BB09CA">
              <w:t xml:space="preserve">    </w:t>
            </w:r>
            <w:hyperlink w:tgtFrame="_blank" w:history="1" r:id="rId56">
              <w:r w:rsidRPr="00BB09CA">
                <w:rPr>
                  <w:rFonts w:ascii="Palatino Linotype" w:hAnsi="Palatino Linotype"/>
                  <w:b/>
                  <w:color w:val="467886" w:themeColor="hyperlink"/>
                  <w:sz w:val="22"/>
                  <w:szCs w:val="22"/>
                  <w:u w:val="single"/>
                </w:rPr>
                <w:t>Resolution G-3592</w:t>
              </w:r>
            </w:hyperlink>
            <w:r w:rsidRPr="00BB09CA">
              <w:rPr>
                <w:rFonts w:ascii="Palatino Linotype" w:hAnsi="Palatino Linotype"/>
                <w:b/>
                <w:sz w:val="22"/>
                <w:szCs w:val="22"/>
              </w:rPr>
              <w:t xml:space="preserve"> (2023) at OP 5a.</w:t>
            </w:r>
          </w:p>
          <w:p w:rsidRPr="00BB09CA" w:rsidR="00930C35" w:rsidP="00BB366A" w:rsidRDefault="00930C35" w14:paraId="282FE413" w14:textId="77777777">
            <w:pPr>
              <w:rPr>
                <w:rFonts w:ascii="Palatino Linotype" w:hAnsi="Palatino Linotype"/>
                <w:sz w:val="22"/>
                <w:szCs w:val="22"/>
              </w:rPr>
            </w:pPr>
            <w:r w:rsidRPr="00BB09CA">
              <w:t xml:space="preserve">    </w:t>
            </w:r>
            <w:hyperlink w:tgtFrame="_blank" w:history="1" r:id="rId57">
              <w:r w:rsidRPr="00BB09CA">
                <w:rPr>
                  <w:rFonts w:ascii="Palatino Linotype" w:hAnsi="Palatino Linotype"/>
                  <w:color w:val="467886" w:themeColor="hyperlink"/>
                  <w:sz w:val="22"/>
                  <w:szCs w:val="22"/>
                  <w:u w:val="single"/>
                </w:rPr>
                <w:t>Resolution G-3601</w:t>
              </w:r>
            </w:hyperlink>
            <w:r w:rsidRPr="00BB09CA">
              <w:rPr>
                <w:rFonts w:ascii="Palatino Linotype" w:hAnsi="Palatino Linotype"/>
                <w:sz w:val="22"/>
                <w:szCs w:val="22"/>
              </w:rPr>
              <w:t xml:space="preserve"> (2023) at OP 3d &amp; 6.</w:t>
            </w:r>
          </w:p>
          <w:p w:rsidRPr="00B83681" w:rsidR="00930C35" w:rsidP="00BB366A" w:rsidRDefault="00930C35" w14:paraId="504D8504" w14:textId="77777777">
            <w:pPr>
              <w:rPr>
                <w:rFonts w:ascii="Palatino Linotype" w:hAnsi="Palatino Linotype"/>
                <w:strike/>
                <w:sz w:val="22"/>
                <w:szCs w:val="22"/>
              </w:rPr>
            </w:pPr>
            <w:r w:rsidRPr="00BB09CA">
              <w:t xml:space="preserve">    </w:t>
            </w:r>
            <w:hyperlink w:history="1" r:id="rId58">
              <w:r w:rsidRPr="00BB09CA">
                <w:rPr>
                  <w:rFonts w:ascii="Palatino Linotype" w:hAnsi="Palatino Linotype"/>
                  <w:color w:val="467886" w:themeColor="hyperlink"/>
                  <w:sz w:val="22"/>
                  <w:szCs w:val="22"/>
                  <w:u w:val="single"/>
                </w:rPr>
                <w:t>D.23-11-069</w:t>
              </w:r>
            </w:hyperlink>
            <w:r w:rsidRPr="00BB09CA">
              <w:rPr>
                <w:rFonts w:ascii="Palatino Linotype" w:hAnsi="Palatino Linotype"/>
                <w:sz w:val="22"/>
                <w:szCs w:val="22"/>
              </w:rPr>
              <w:t xml:space="preserve"> at p. 218 &amp; 220-221.</w:t>
            </w:r>
          </w:p>
        </w:tc>
        <w:tc>
          <w:tcPr>
            <w:tcW w:w="3415" w:type="dxa"/>
          </w:tcPr>
          <w:p w:rsidR="00930C35" w:rsidP="00BB366A" w:rsidRDefault="00930C35" w14:paraId="48F4DBAB" w14:textId="77777777">
            <w:pPr>
              <w:rPr>
                <w:rFonts w:ascii="Palatino Linotype" w:hAnsi="Palatino Linotype"/>
                <w:sz w:val="22"/>
                <w:szCs w:val="22"/>
              </w:rPr>
            </w:pPr>
            <w:r>
              <w:rPr>
                <w:rFonts w:ascii="Palatino Linotype" w:hAnsi="Palatino Linotype"/>
                <w:sz w:val="22"/>
                <w:szCs w:val="22"/>
              </w:rPr>
              <w:lastRenderedPageBreak/>
              <w:t xml:space="preserve">4. </w:t>
            </w:r>
            <w:r w:rsidRPr="004A11B2">
              <w:rPr>
                <w:rFonts w:ascii="Palatino Linotype" w:hAnsi="Palatino Linotype"/>
                <w:b/>
                <w:sz w:val="22"/>
                <w:szCs w:val="22"/>
              </w:rPr>
              <w:t>Anticipated Impacts</w:t>
            </w:r>
            <w:r>
              <w:rPr>
                <w:rFonts w:ascii="Palatino Linotype" w:hAnsi="Palatino Linotype"/>
                <w:sz w:val="22"/>
                <w:szCs w:val="22"/>
              </w:rPr>
              <w:t xml:space="preserve">: </w:t>
            </w:r>
            <w:r w:rsidRPr="004C5DBB">
              <w:rPr>
                <w:rFonts w:ascii="Palatino Linotype" w:hAnsi="Palatino Linotype"/>
                <w:sz w:val="22"/>
                <w:szCs w:val="22"/>
              </w:rPr>
              <w:t xml:space="preserve"> </w:t>
            </w:r>
            <w:r>
              <w:rPr>
                <w:rFonts w:ascii="Palatino Linotype" w:hAnsi="Palatino Linotype"/>
                <w:sz w:val="22"/>
                <w:szCs w:val="22"/>
              </w:rPr>
              <w:t xml:space="preserve">    </w:t>
            </w:r>
          </w:p>
          <w:p w:rsidR="00930C35" w:rsidP="00BB366A" w:rsidRDefault="00930C35" w14:paraId="749C1A91" w14:textId="77777777">
            <w:pPr>
              <w:spacing w:before="240"/>
              <w:rPr>
                <w:rFonts w:ascii="Palatino Linotype" w:hAnsi="Palatino Linotype" w:eastAsia="Century Gothic" w:cs="Century Gothic"/>
                <w:color w:val="000000" w:themeColor="text1"/>
                <w:sz w:val="22"/>
                <w:szCs w:val="22"/>
              </w:rPr>
            </w:pPr>
            <w:r>
              <w:rPr>
                <w:rFonts w:ascii="Palatino Linotype" w:hAnsi="Palatino Linotype"/>
                <w:sz w:val="22"/>
                <w:szCs w:val="22"/>
              </w:rPr>
              <w:t xml:space="preserve">a. </w:t>
            </w:r>
            <w:r w:rsidRPr="004C5DBB">
              <w:rPr>
                <w:rFonts w:ascii="Palatino Linotype" w:hAnsi="Palatino Linotype" w:eastAsia="Century Gothic" w:cs="Century Gothic"/>
                <w:color w:val="000000" w:themeColor="text1"/>
                <w:sz w:val="22"/>
                <w:szCs w:val="22"/>
              </w:rPr>
              <w:t>Reasonable probability of providing California ratepayer benefit by locating projects in the State of California</w:t>
            </w:r>
            <w:r w:rsidRPr="004C5DBB">
              <w:rPr>
                <w:rFonts w:ascii="Palatino Linotype" w:hAnsi="Palatino Linotype" w:eastAsia="Century Gothic" w:cs="Century Gothic"/>
                <w:color w:val="000000" w:themeColor="text1"/>
                <w:sz w:val="22"/>
                <w:szCs w:val="22"/>
                <w:vertAlign w:val="superscript"/>
              </w:rPr>
              <w:footnoteReference w:id="137"/>
            </w:r>
            <w:r w:rsidRPr="004C5DBB">
              <w:rPr>
                <w:rFonts w:ascii="Palatino Linotype" w:hAnsi="Palatino Linotype" w:eastAsia="Century Gothic" w:cs="Century Gothic"/>
                <w:color w:val="000000" w:themeColor="text1"/>
                <w:sz w:val="22"/>
                <w:szCs w:val="22"/>
              </w:rPr>
              <w:t xml:space="preserve"> and </w:t>
            </w:r>
            <w:r w:rsidRPr="004C5DBB">
              <w:rPr>
                <w:rFonts w:ascii="Palatino Linotype" w:hAnsi="Palatino Linotype" w:eastAsia="Century Gothic" w:cs="Century Gothic"/>
                <w:color w:val="000000" w:themeColor="text1"/>
                <w:sz w:val="22"/>
                <w:szCs w:val="22"/>
              </w:rPr>
              <w:lastRenderedPageBreak/>
              <w:t>detailed planned methodologies for tracking and evaluating quantitative impacts from investments through the use of the EPIC Program’s Uniform Impacts Analysis Foundational Principles.</w:t>
            </w:r>
          </w:p>
          <w:p w:rsidR="00930C35" w:rsidP="00BB366A" w:rsidRDefault="00930C35" w14:paraId="23B418A6" w14:textId="77777777">
            <w:pPr>
              <w:spacing w:before="240"/>
              <w:rPr>
                <w:rFonts w:ascii="Palatino Linotype" w:hAnsi="Palatino Linotype" w:eastAsia="Century Gothic" w:cs="Century Gothic"/>
                <w:color w:val="000000" w:themeColor="text1"/>
                <w:sz w:val="22"/>
                <w:szCs w:val="22"/>
              </w:rPr>
            </w:pPr>
            <w:r>
              <w:rPr>
                <w:rFonts w:ascii="Palatino Linotype" w:hAnsi="Palatino Linotype" w:eastAsia="Century Gothic" w:cs="Century Gothic"/>
                <w:color w:val="000000" w:themeColor="text1"/>
                <w:sz w:val="22"/>
                <w:szCs w:val="22"/>
              </w:rPr>
              <w:t xml:space="preserve">b. </w:t>
            </w:r>
            <w:r w:rsidRPr="004C5DBB">
              <w:rPr>
                <w:rFonts w:ascii="Palatino Linotype" w:hAnsi="Palatino Linotype" w:eastAsia="Century Gothic" w:cs="Century Gothic"/>
                <w:color w:val="000000" w:themeColor="text1"/>
                <w:sz w:val="22"/>
                <w:szCs w:val="22"/>
              </w:rPr>
              <w:t>Cost-effectiveness and protection of affordability to ratepayers.</w:t>
            </w:r>
          </w:p>
          <w:p w:rsidRPr="004A11B2" w:rsidR="00930C35" w:rsidP="00BB366A" w:rsidRDefault="00930C35" w14:paraId="4F226867" w14:textId="77777777">
            <w:pPr>
              <w:spacing w:before="240"/>
              <w:rPr>
                <w:rFonts w:ascii="Palatino Linotype" w:hAnsi="Palatino Linotype"/>
                <w:sz w:val="22"/>
                <w:szCs w:val="22"/>
              </w:rPr>
            </w:pPr>
            <w:r>
              <w:rPr>
                <w:rFonts w:ascii="Palatino Linotype" w:hAnsi="Palatino Linotype" w:eastAsia="Century Gothic" w:cs="Century Gothic"/>
                <w:color w:val="000000" w:themeColor="text1"/>
                <w:sz w:val="22"/>
                <w:szCs w:val="22"/>
              </w:rPr>
              <w:t xml:space="preserve">c. </w:t>
            </w:r>
            <w:r w:rsidRPr="004A11B2">
              <w:rPr>
                <w:rFonts w:ascii="Palatino Linotype" w:hAnsi="Palatino Linotype" w:eastAsia="Century Gothic" w:cs="Century Gothic"/>
                <w:color w:val="000000" w:themeColor="text1"/>
                <w:sz w:val="22"/>
                <w:szCs w:val="22"/>
              </w:rPr>
              <w:t xml:space="preserve">Promote equity and provide benefits to Environmental &amp; Social Justice (ESJ) communities, informed by consultation with community-based organizations (CBOs) and the </w:t>
            </w:r>
            <w:r>
              <w:rPr>
                <w:rFonts w:ascii="Palatino Linotype" w:hAnsi="Palatino Linotype" w:eastAsia="Century Gothic" w:cs="Century Gothic"/>
                <w:color w:val="000000" w:themeColor="text1"/>
                <w:sz w:val="22"/>
                <w:szCs w:val="22"/>
              </w:rPr>
              <w:t xml:space="preserve">Commission’s most current </w:t>
            </w:r>
            <w:r w:rsidRPr="004A11B2">
              <w:rPr>
                <w:rFonts w:ascii="Palatino Linotype" w:hAnsi="Palatino Linotype" w:eastAsia="Century Gothic" w:cs="Century Gothic"/>
                <w:color w:val="000000" w:themeColor="text1"/>
                <w:sz w:val="22"/>
                <w:szCs w:val="22"/>
              </w:rPr>
              <w:t>ESJ Action Plan.</w:t>
            </w:r>
          </w:p>
        </w:tc>
      </w:tr>
    </w:tbl>
    <w:p w:rsidRPr="004C5DBB" w:rsidR="00930C35" w:rsidP="00930C35" w:rsidRDefault="00930C35" w14:paraId="48FEB723" w14:textId="77777777">
      <w:pPr>
        <w:spacing w:after="0" w:line="276" w:lineRule="auto"/>
        <w:contextualSpacing/>
        <w:rPr>
          <w:rFonts w:ascii="Palatino Linotype" w:hAnsi="Palatino Linotype" w:eastAsia="Century Gothic" w:cs="Century Gothic"/>
          <w:color w:val="000000" w:themeColor="text1"/>
          <w:sz w:val="22"/>
          <w:szCs w:val="22"/>
        </w:rPr>
      </w:pPr>
    </w:p>
    <w:p w:rsidRPr="004C5DBB" w:rsidR="00930C35" w:rsidP="00930C35" w:rsidRDefault="00930C35" w14:paraId="6EC4A409" w14:textId="77777777">
      <w:pPr>
        <w:spacing w:after="0" w:line="276" w:lineRule="auto"/>
        <w:rPr>
          <w:rFonts w:ascii="Palatino Linotype" w:hAnsi="Palatino Linotype" w:eastAsia="Century Gothic" w:cs="Century Gothic"/>
          <w:color w:val="000000" w:themeColor="text1"/>
          <w:sz w:val="22"/>
          <w:szCs w:val="22"/>
        </w:rPr>
      </w:pPr>
    </w:p>
    <w:p w:rsidR="00930C35" w:rsidP="00930C35" w:rsidRDefault="00930C35" w14:paraId="08D5E3CF" w14:textId="77777777">
      <w:pPr>
        <w:rPr>
          <w:rFonts w:ascii="Palatino Linotype" w:hAnsi="Palatino Linotype"/>
          <w:b/>
          <w:bCs/>
        </w:rPr>
      </w:pPr>
    </w:p>
    <w:p w:rsidR="00092A73" w:rsidP="00930C35" w:rsidRDefault="00092A73" w14:paraId="2FDBCEA1" w14:textId="77777777">
      <w:pPr>
        <w:rPr>
          <w:rFonts w:ascii="Palatino Linotype" w:hAnsi="Palatino Linotype"/>
          <w:b/>
          <w:bCs/>
        </w:rPr>
        <w:sectPr w:rsidR="00092A73" w:rsidSect="00F54A85">
          <w:headerReference w:type="default" r:id="rId59"/>
          <w:footerReference w:type="default" r:id="rId60"/>
          <w:headerReference w:type="first" r:id="rId61"/>
          <w:footerReference w:type="first" r:id="rId62"/>
          <w:pgSz w:w="12240" w:h="15840"/>
          <w:pgMar w:top="1440" w:right="1440" w:bottom="1440" w:left="1440" w:header="720" w:footer="720" w:gutter="0"/>
          <w:pgNumType w:start="1"/>
          <w:cols w:space="720"/>
          <w:titlePg/>
          <w:docGrid w:linePitch="360"/>
        </w:sectPr>
      </w:pPr>
    </w:p>
    <w:p w:rsidR="00930C35" w:rsidP="00930C35" w:rsidRDefault="00930C35" w14:paraId="3DB4D097" w14:textId="192FC12B">
      <w:pPr>
        <w:rPr>
          <w:rFonts w:ascii="Palatino Linotype" w:hAnsi="Palatino Linotype"/>
          <w:b/>
          <w:bCs/>
        </w:rPr>
      </w:pPr>
    </w:p>
    <w:p w:rsidR="000B40EB" w:rsidP="00930C35" w:rsidRDefault="000B40EB" w14:paraId="55BB106F" w14:textId="77777777">
      <w:pPr>
        <w:rPr>
          <w:rFonts w:ascii="Palatino Linotype" w:hAnsi="Palatino Linotype"/>
          <w:b/>
          <w:bCs/>
        </w:rPr>
      </w:pPr>
    </w:p>
    <w:p w:rsidR="000B40EB" w:rsidP="00930C35" w:rsidRDefault="000B40EB" w14:paraId="4597A26D" w14:textId="77777777">
      <w:pPr>
        <w:rPr>
          <w:rFonts w:ascii="Palatino Linotype" w:hAnsi="Palatino Linotype"/>
          <w:b/>
          <w:bCs/>
        </w:rPr>
      </w:pPr>
    </w:p>
    <w:p w:rsidR="000B40EB" w:rsidP="00930C35" w:rsidRDefault="000B40EB" w14:paraId="3D0F4E3B" w14:textId="77777777">
      <w:pPr>
        <w:rPr>
          <w:rFonts w:ascii="Palatino Linotype" w:hAnsi="Palatino Linotype"/>
          <w:b/>
          <w:bCs/>
        </w:rPr>
      </w:pPr>
    </w:p>
    <w:p w:rsidRPr="00957A11" w:rsidR="000B40EB" w:rsidP="000B40EB" w:rsidRDefault="000B40EB" w14:paraId="0E8059BF" w14:textId="29C9B4B7">
      <w:pPr>
        <w:jc w:val="center"/>
        <w:rPr>
          <w:rFonts w:ascii="Palatino Linotype" w:hAnsi="Palatino Linotype"/>
          <w:b/>
          <w:bCs/>
          <w:sz w:val="48"/>
          <w:szCs w:val="48"/>
        </w:rPr>
      </w:pPr>
      <w:r w:rsidRPr="00957A11">
        <w:rPr>
          <w:rFonts w:ascii="Palatino Linotype" w:hAnsi="Palatino Linotype"/>
          <w:b/>
          <w:bCs/>
          <w:sz w:val="48"/>
          <w:szCs w:val="48"/>
        </w:rPr>
        <w:t xml:space="preserve">APPENDIX </w:t>
      </w:r>
      <w:r w:rsidRPr="00957A11">
        <w:rPr>
          <w:rFonts w:ascii="Palatino Linotype" w:hAnsi="Palatino Linotype"/>
          <w:b/>
          <w:bCs/>
          <w:color w:val="000000" w:themeColor="text1"/>
          <w:sz w:val="48"/>
          <w:szCs w:val="48"/>
        </w:rPr>
        <w:t>D</w:t>
      </w:r>
    </w:p>
    <w:p w:rsidR="000B40EB" w:rsidP="00930C35" w:rsidRDefault="000B40EB" w14:paraId="2A35F429" w14:textId="77777777">
      <w:pPr>
        <w:rPr>
          <w:rFonts w:ascii="Palatino Linotype" w:hAnsi="Palatino Linotype"/>
          <w:b/>
          <w:bCs/>
        </w:rPr>
      </w:pPr>
    </w:p>
    <w:p w:rsidR="000B40EB" w:rsidRDefault="000B40EB" w14:paraId="46EAE77D" w14:textId="77777777">
      <w:pPr>
        <w:rPr>
          <w:rFonts w:ascii="Palatino Linotype" w:hAnsi="Palatino Linotype"/>
          <w:b/>
          <w:bCs/>
        </w:rPr>
      </w:pPr>
      <w:r>
        <w:rPr>
          <w:rFonts w:ascii="Palatino Linotype" w:hAnsi="Palatino Linotype"/>
          <w:b/>
          <w:bCs/>
        </w:rPr>
        <w:br w:type="page"/>
      </w:r>
    </w:p>
    <w:p w:rsidR="00930C35" w:rsidP="00930C35" w:rsidRDefault="00930C35" w14:paraId="5CB2F749" w14:textId="72E499BD">
      <w:pPr>
        <w:rPr>
          <w:rFonts w:ascii="Palatino Linotype" w:hAnsi="Palatino Linotype"/>
          <w:b/>
          <w:bCs/>
        </w:rPr>
      </w:pPr>
      <w:r w:rsidRPr="004C5DBB">
        <w:rPr>
          <w:rFonts w:ascii="Palatino Linotype" w:hAnsi="Palatino Linotype"/>
          <w:b/>
          <w:bCs/>
        </w:rPr>
        <w:lastRenderedPageBreak/>
        <w:t xml:space="preserve">APPENDIX </w:t>
      </w:r>
      <w:r w:rsidR="000E0EBD">
        <w:rPr>
          <w:rFonts w:ascii="Palatino Linotype" w:hAnsi="Palatino Linotype"/>
          <w:b/>
          <w:bCs/>
          <w:color w:val="000000" w:themeColor="text1"/>
        </w:rPr>
        <w:t>D</w:t>
      </w:r>
      <w:r w:rsidRPr="00891A31">
        <w:rPr>
          <w:rFonts w:ascii="Palatino Linotype" w:hAnsi="Palatino Linotype"/>
          <w:b/>
          <w:bCs/>
          <w:color w:val="000000" w:themeColor="text1"/>
        </w:rPr>
        <w:t>:</w:t>
      </w:r>
      <w:r w:rsidRPr="004C5DBB">
        <w:rPr>
          <w:rFonts w:ascii="Palatino Linotype" w:hAnsi="Palatino Linotype"/>
          <w:b/>
          <w:bCs/>
        </w:rPr>
        <w:t xml:space="preserve"> EPIC Foundational Principles for the Development of a Uniform Impact Analysis Framework</w:t>
      </w:r>
      <w:r>
        <w:rPr>
          <w:rStyle w:val="FootnoteReference"/>
          <w:rFonts w:ascii="Palatino Linotype" w:hAnsi="Palatino Linotype"/>
          <w:b/>
          <w:bCs/>
        </w:rPr>
        <w:footnoteReference w:id="138"/>
      </w:r>
    </w:p>
    <w:p w:rsidRPr="008844BF" w:rsidR="00930C35" w:rsidP="00930C35" w:rsidRDefault="00930C35" w14:paraId="58C5A1D5" w14:textId="77777777">
      <w:pPr>
        <w:spacing w:line="276" w:lineRule="auto"/>
        <w:ind w:firstLine="720"/>
        <w:contextualSpacing/>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This document outlines the Commission’s expectations of Electric Program Investment Charge (EPIC) administrators in developing a uniform impact analysis framework and metrics, enabling the evaluation and tracking of the impacts of all EPIC projects, that complies with D.21-11-028, Ordering Paragraph 12. These foundational principles include:</w:t>
      </w:r>
    </w:p>
    <w:p w:rsidRPr="008844BF" w:rsidR="00930C35" w:rsidP="00930C35" w:rsidRDefault="00930C35" w14:paraId="30DE3AF3" w14:textId="77777777">
      <w:pPr>
        <w:spacing w:line="276" w:lineRule="auto"/>
        <w:contextualSpacing/>
        <w:rPr>
          <w:rFonts w:ascii="Palatino Linotype" w:hAnsi="Palatino Linotype" w:eastAsia="Calibri" w:cs="Arial"/>
          <w:b/>
          <w:kern w:val="0"/>
          <w14:ligatures w14:val="none"/>
        </w:rPr>
      </w:pPr>
    </w:p>
    <w:p w:rsidRPr="008844BF" w:rsidR="00930C35" w:rsidP="00930C35" w:rsidRDefault="00930C35" w14:paraId="58885C8F"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Purpose</w:t>
      </w:r>
    </w:p>
    <w:p w:rsidRPr="008844BF" w:rsidR="00930C35" w:rsidP="003B475F" w:rsidRDefault="00930C35" w14:paraId="0253C374"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mandatory guiding principle of EPIC is to provide ratepayer benefits as related to California's electric system.</w:t>
      </w:r>
      <w:r w:rsidRPr="0060382B">
        <w:rPr>
          <w:vertAlign w:val="superscript"/>
        </w:rPr>
        <w:footnoteReference w:id="139"/>
      </w:r>
    </w:p>
    <w:p w:rsidRPr="008844BF" w:rsidR="00930C35" w:rsidP="003B475F" w:rsidRDefault="00930C35" w14:paraId="627DE306"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EPIC impacts analysis framework should provide EPIC administrators with a uniform methodology to demonstrate with data the realized and potential impacts to ratepayers from EPIC research, development, and demonstration (RD&amp;D) investment.</w:t>
      </w:r>
    </w:p>
    <w:p w:rsidRPr="008844BF" w:rsidR="00930C35" w:rsidP="00930C35" w:rsidRDefault="00930C35" w14:paraId="127B4BA1" w14:textId="77777777">
      <w:pPr>
        <w:spacing w:after="0" w:line="276" w:lineRule="auto"/>
        <w:ind w:left="274"/>
        <w:contextualSpacing/>
        <w:rPr>
          <w:rFonts w:ascii="Palatino Linotype" w:hAnsi="Palatino Linotype" w:eastAsia="Calibri" w:cs="Arial"/>
          <w:kern w:val="0"/>
          <w14:ligatures w14:val="none"/>
        </w:rPr>
      </w:pPr>
    </w:p>
    <w:p w:rsidRPr="008844BF" w:rsidR="00930C35" w:rsidP="00930C35" w:rsidRDefault="00930C35" w14:paraId="1F111FEE"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Overarching Principles</w:t>
      </w:r>
    </w:p>
    <w:p w:rsidRPr="008844BF" w:rsidR="00930C35" w:rsidP="003B475F" w:rsidRDefault="00930C35" w14:paraId="6F02A907"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In general, each EPIC project should offer a reasonable probability of providing benefits to ratepayers and expenditures on projects which have a low probability for success should be minimized,</w:t>
      </w:r>
      <w:r w:rsidRPr="0060382B">
        <w:rPr>
          <w:vertAlign w:val="superscript"/>
        </w:rPr>
        <w:footnoteReference w:id="140"/>
      </w:r>
      <w:r w:rsidRPr="008844BF">
        <w:rPr>
          <w:rFonts w:ascii="Palatino Linotype" w:hAnsi="Palatino Linotype" w:eastAsia="Calibri" w:cs="Arial"/>
          <w:kern w:val="0"/>
          <w14:ligatures w14:val="none"/>
        </w:rPr>
        <w:t xml:space="preserve"> and the EPIC portfolio as a whole should demonstrably benefit ratepayers.</w:t>
      </w:r>
    </w:p>
    <w:p w:rsidRPr="008844BF" w:rsidR="00930C35" w:rsidP="003B475F" w:rsidRDefault="00930C35" w14:paraId="541B5AE4"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While in some cases, a targeted group of ratepayers may benefit from an individual project’s output, EPIC investments should result in scalable and replicable innovations that prioritize solutions to address California’s energy and climate goals.</w:t>
      </w:r>
    </w:p>
    <w:p w:rsidRPr="008844BF" w:rsidR="00930C35" w:rsidP="003B475F" w:rsidRDefault="00930C35" w14:paraId="387AC5A7" w14:textId="77777777">
      <w:pPr>
        <w:pStyle w:val="ListParagraph"/>
        <w:numPr>
          <w:ilvl w:val="0"/>
          <w:numId w:val="19"/>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Accurate and precise EPIC project and program impacts reporting is paramount to inform policy, decision making, and formulating EPIC strategic goals. Therefore, impacts resulting from the analytical framework must be defensible and not overstated. </w:t>
      </w:r>
    </w:p>
    <w:p w:rsidRPr="008844BF" w:rsidR="00930C35" w:rsidP="003B475F" w:rsidRDefault="00930C35" w14:paraId="58FD75ED" w14:textId="77777777">
      <w:pPr>
        <w:pStyle w:val="ListParagraph"/>
        <w:numPr>
          <w:ilvl w:val="0"/>
          <w:numId w:val="19"/>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lastRenderedPageBreak/>
        <w:t xml:space="preserve">Clear methods are necessary to calculate past, current, and future EPIC impacts based on published data and reasonable assumptions, such that any party can take the data and assumptions and apply the methodology to recreate the results. Without such foundation, it will be difficult to calculate quantitative impacts of EPIC innovations that lack the market or deployment history to have readily available sufficient data for impacts analysis or project future impacts of pre-commercial innovations. </w:t>
      </w:r>
    </w:p>
    <w:p w:rsidRPr="008844BF" w:rsidR="00930C35" w:rsidP="00930C35" w:rsidRDefault="00930C35" w14:paraId="0EA1F246" w14:textId="77777777">
      <w:pPr>
        <w:spacing w:after="0" w:line="276" w:lineRule="auto"/>
        <w:ind w:left="274"/>
        <w:contextualSpacing/>
        <w:rPr>
          <w:rFonts w:ascii="Palatino Linotype" w:hAnsi="Palatino Linotype" w:eastAsia="Calibri" w:cs="Arial"/>
          <w:kern w:val="0"/>
          <w14:ligatures w14:val="none"/>
        </w:rPr>
      </w:pPr>
    </w:p>
    <w:p w:rsidRPr="008844BF" w:rsidR="00930C35" w:rsidP="00930C35" w:rsidRDefault="00930C35" w14:paraId="75D80D7E"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 xml:space="preserve">Net Impacts </w:t>
      </w:r>
    </w:p>
    <w:p w:rsidRPr="008844BF" w:rsidR="00930C35" w:rsidP="003B475F" w:rsidRDefault="00930C35" w14:paraId="7C8A7F19" w14:textId="77777777">
      <w:pPr>
        <w:pStyle w:val="ListParagraph"/>
        <w:numPr>
          <w:ilvl w:val="0"/>
          <w:numId w:val="18"/>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Realized ratepayer benefits must be demonstrated by the incremental, value-added impact of EPIC innovation. </w:t>
      </w:r>
    </w:p>
    <w:p w:rsidRPr="008844BF" w:rsidR="00930C35" w:rsidP="003B475F" w:rsidRDefault="00930C35" w14:paraId="683AEAAD" w14:textId="77777777">
      <w:pPr>
        <w:pStyle w:val="ListParagraph"/>
        <w:numPr>
          <w:ilvl w:val="1"/>
          <w:numId w:val="18"/>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For example, if a ratepayer spends $20 to save $30, the ratepayer benefit realized is the net $10 savings, not the gross $30 impact. Thus, the metric by which EPIC investments should be evaluated is </w:t>
      </w:r>
      <w:r w:rsidRPr="008844BF">
        <w:rPr>
          <w:rFonts w:ascii="Palatino Linotype" w:hAnsi="Palatino Linotype" w:eastAsia="Calibri" w:cs="Arial"/>
          <w:i/>
          <w:kern w:val="0"/>
          <w14:ligatures w14:val="none"/>
        </w:rPr>
        <w:t>net</w:t>
      </w:r>
      <w:r w:rsidRPr="008844BF">
        <w:rPr>
          <w:rFonts w:ascii="Palatino Linotype" w:hAnsi="Palatino Linotype" w:eastAsia="Calibri" w:cs="Arial"/>
          <w:kern w:val="0"/>
          <w14:ligatures w14:val="none"/>
        </w:rPr>
        <w:t xml:space="preserve">, not gross, impacts. </w:t>
      </w:r>
    </w:p>
    <w:p w:rsidRPr="008844BF" w:rsidR="00930C35" w:rsidP="003B475F" w:rsidRDefault="00930C35" w14:paraId="3749CDC8" w14:textId="77777777">
      <w:pPr>
        <w:pStyle w:val="ListParagraph"/>
        <w:numPr>
          <w:ilvl w:val="0"/>
          <w:numId w:val="18"/>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Net impacts are required to calculate project or program benefit-cost ratios and rates of return on investment.</w:t>
      </w:r>
    </w:p>
    <w:p w:rsidRPr="008844BF" w:rsidR="00930C35" w:rsidP="00930C35" w:rsidRDefault="00930C35" w14:paraId="256850D1" w14:textId="77777777">
      <w:pPr>
        <w:spacing w:after="0" w:line="276" w:lineRule="auto"/>
        <w:rPr>
          <w:rFonts w:ascii="Palatino Linotype" w:hAnsi="Palatino Linotype" w:eastAsia="Calibri" w:cs="Arial"/>
          <w:kern w:val="0"/>
          <w14:ligatures w14:val="none"/>
        </w:rPr>
      </w:pPr>
    </w:p>
    <w:p w:rsidRPr="008844BF" w:rsidR="00930C35" w:rsidP="00930C35" w:rsidRDefault="00930C35" w14:paraId="2DF12FA1"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Attribution</w:t>
      </w:r>
    </w:p>
    <w:p w:rsidRPr="008844BF" w:rsidR="00930C35" w:rsidP="003B475F" w:rsidRDefault="00930C35" w14:paraId="18BCF4D4" w14:textId="77777777">
      <w:pPr>
        <w:pStyle w:val="ListParagraph"/>
        <w:numPr>
          <w:ilvl w:val="0"/>
          <w:numId w:val="17"/>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To understand the impact of EPIC accurately and precisely, and therefore, inform continuance or improvements in EPIC strategic goals and strategic objectives, administrators should demonstrate to the CPUC what impacts have or are forecasted to occur that would not have otherwise occurred without EPIC investment (i.e., only these impacts should be attributed to EPIC.)</w:t>
      </w:r>
    </w:p>
    <w:p w:rsidRPr="008844BF" w:rsidR="00930C35" w:rsidP="003B475F" w:rsidRDefault="00930C35" w14:paraId="24092B7B" w14:textId="77777777">
      <w:pPr>
        <w:pStyle w:val="ListParagraph"/>
        <w:numPr>
          <w:ilvl w:val="0"/>
          <w:numId w:val="17"/>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The portion of the observed change that is only due to EPIC investment must be documented with data, and a set of reasonable and acceptable rules for determining the share of credit attributed to EPIC developed, including attribution for the value of cost-shared, matching, or leveraged funding. </w:t>
      </w:r>
    </w:p>
    <w:p w:rsidRPr="008844BF" w:rsidR="00930C35" w:rsidP="003B475F" w:rsidRDefault="00930C35" w14:paraId="0ED5C595" w14:textId="77777777">
      <w:pPr>
        <w:pStyle w:val="ListParagraph"/>
        <w:numPr>
          <w:ilvl w:val="0"/>
          <w:numId w:val="17"/>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Comparable scenarios should be used to estimate when the market would have produced an innovation had EPIC funding not been available. Where innovation would have eventually occurred without EPIC, impacts should be based on the acceleration in the time to market readiness of the innovation, rather than the lifetime of the technology itself. </w:t>
      </w:r>
    </w:p>
    <w:p w:rsidRPr="008844BF" w:rsidR="00930C35" w:rsidP="003B475F" w:rsidRDefault="00930C35" w14:paraId="3A09ABF0" w14:textId="77777777">
      <w:pPr>
        <w:pStyle w:val="ListParagraph"/>
        <w:numPr>
          <w:ilvl w:val="1"/>
          <w:numId w:val="17"/>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For example, if a deployed EPIC innovation provides impacts for 20 years between 2025 and 2045, and it is determined the innovation would have </w:t>
      </w:r>
      <w:r w:rsidRPr="008844BF">
        <w:rPr>
          <w:rFonts w:ascii="Palatino Linotype" w:hAnsi="Palatino Linotype" w:eastAsia="Calibri" w:cs="Arial"/>
          <w:kern w:val="0"/>
          <w14:ligatures w14:val="none"/>
        </w:rPr>
        <w:lastRenderedPageBreak/>
        <w:t>occurred and been deployed without EPIC in 2030, then the period of market acceleration due to EPIC is five years and EPIC impacts are calculated only for that 5-year period.</w:t>
      </w:r>
    </w:p>
    <w:p w:rsidRPr="008844BF" w:rsidR="00930C35" w:rsidP="00930C35" w:rsidRDefault="00930C35" w14:paraId="2015E29E" w14:textId="77777777">
      <w:pPr>
        <w:spacing w:line="276" w:lineRule="auto"/>
        <w:contextualSpacing/>
        <w:rPr>
          <w:rFonts w:ascii="Palatino Linotype" w:hAnsi="Palatino Linotype" w:eastAsia="Calibri" w:cs="Arial"/>
          <w:kern w:val="0"/>
          <w14:ligatures w14:val="none"/>
        </w:rPr>
      </w:pPr>
    </w:p>
    <w:p w:rsidRPr="008844BF" w:rsidR="00930C35" w:rsidP="00930C35" w:rsidRDefault="00930C35" w14:paraId="02A3855E"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Methods</w:t>
      </w:r>
    </w:p>
    <w:p w:rsidRPr="008844BF" w:rsidR="00930C35" w:rsidP="003B475F" w:rsidRDefault="00930C35" w14:paraId="564022F1" w14:textId="77777777">
      <w:pPr>
        <w:pStyle w:val="ListParagraph"/>
        <w:numPr>
          <w:ilvl w:val="0"/>
          <w:numId w:val="16"/>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Administrators should use or adapt existing accepted methodologies where possible for efficiencies of resources, time, cost, and effort.</w:t>
      </w:r>
    </w:p>
    <w:p w:rsidRPr="008844BF" w:rsidR="00930C35" w:rsidP="003B475F" w:rsidRDefault="00930C35" w14:paraId="75894F71" w14:textId="77777777">
      <w:pPr>
        <w:pStyle w:val="ListParagraph"/>
        <w:numPr>
          <w:ilvl w:val="0"/>
          <w:numId w:val="16"/>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methodology used to calculate benefits should be grounded in theory (i.e., if funding certain small businesses is seen as beneficial, data documentation and impact demonstration of this strategy should be provided).</w:t>
      </w:r>
    </w:p>
    <w:p w:rsidRPr="008844BF" w:rsidR="00930C35" w:rsidP="003B475F" w:rsidRDefault="00930C35" w14:paraId="2FB9955E" w14:textId="77777777">
      <w:pPr>
        <w:pStyle w:val="ListParagraph"/>
        <w:numPr>
          <w:ilvl w:val="0"/>
          <w:numId w:val="16"/>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Impacts evaluation may involve expert elicitation. Clearly and succinctly framing questions is required to guide experts in obtaining pertinent data. </w:t>
      </w:r>
    </w:p>
    <w:p w:rsidRPr="008844BF" w:rsidR="00930C35" w:rsidP="00930C35" w:rsidRDefault="00930C35" w14:paraId="7DA3FF9A" w14:textId="77777777">
      <w:pPr>
        <w:spacing w:after="0" w:line="276" w:lineRule="auto"/>
        <w:rPr>
          <w:rFonts w:ascii="Palatino Linotype" w:hAnsi="Palatino Linotype" w:eastAsia="Calibri" w:cs="Arial"/>
          <w:kern w:val="0"/>
          <w14:ligatures w14:val="none"/>
        </w:rPr>
      </w:pPr>
    </w:p>
    <w:p w:rsidRPr="008844BF" w:rsidR="00930C35" w:rsidP="00930C35" w:rsidRDefault="00930C35" w14:paraId="1791A997"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Metrics</w:t>
      </w:r>
    </w:p>
    <w:p w:rsidRPr="008844BF" w:rsidR="00930C35" w:rsidP="003B475F" w:rsidRDefault="00930C35" w14:paraId="4A23B609" w14:textId="77777777">
      <w:pPr>
        <w:pStyle w:val="ListParagraph"/>
        <w:numPr>
          <w:ilvl w:val="0"/>
          <w:numId w:val="15"/>
        </w:numPr>
        <w:spacing w:after="120" w:line="276" w:lineRule="auto"/>
        <w:rPr>
          <w:rFonts w:ascii="Palatino Linotype" w:hAnsi="Palatino Linotype" w:eastAsia="Calibri" w:cs="Arial"/>
          <w:kern w:val="0"/>
          <w14:ligatures w14:val="none"/>
        </w:rPr>
      </w:pPr>
      <w:hyperlink w:history="1" r:id="rId63">
        <w:r w:rsidRPr="008844BF">
          <w:rPr>
            <w:rFonts w:ascii="Palatino Linotype" w:hAnsi="Palatino Linotype" w:eastAsia="Calibri" w:cs="Arial"/>
            <w:color w:val="0563C1"/>
            <w:kern w:val="0"/>
            <w:u w:val="single"/>
            <w14:ligatures w14:val="none"/>
          </w:rPr>
          <w:t>D.13-11-025</w:t>
        </w:r>
      </w:hyperlink>
      <w:r w:rsidRPr="008844BF">
        <w:rPr>
          <w:rFonts w:ascii="Palatino Linotype" w:hAnsi="Palatino Linotype" w:eastAsia="Calibri" w:cs="Arial"/>
          <w:kern w:val="0"/>
          <w14:ligatures w14:val="none"/>
        </w:rPr>
        <w:t>, Attachment 4 provides a list of impacts (</w:t>
      </w:r>
      <w:r w:rsidRPr="008844BF">
        <w:rPr>
          <w:rFonts w:ascii="Palatino Linotype" w:hAnsi="Palatino Linotype" w:eastAsia="Calibri" w:cs="Arial"/>
          <w:i/>
          <w:kern w:val="0"/>
          <w14:ligatures w14:val="none"/>
        </w:rPr>
        <w:t xml:space="preserve">Metrics and Potential Areas of Measurement) </w:t>
      </w:r>
      <w:r w:rsidRPr="008844BF">
        <w:rPr>
          <w:rFonts w:ascii="Palatino Linotype" w:hAnsi="Palatino Linotype" w:eastAsia="Calibri" w:cs="Arial"/>
          <w:kern w:val="0"/>
          <w14:ligatures w14:val="none"/>
        </w:rPr>
        <w:t>proposed by the EPIC administrators and approved by the CPUC, which can serve as the basis for discussion of metrics. The list includes 10 impact metric categories and 59 potential areas of measurement. The decision allows creation of new project-specific impact metrics to consider for revisions.</w:t>
      </w:r>
    </w:p>
    <w:p w:rsidRPr="008844BF" w:rsidR="00930C35" w:rsidP="003B475F" w:rsidRDefault="00930C35" w14:paraId="570B493D" w14:textId="77777777">
      <w:pPr>
        <w:pStyle w:val="ListParagraph"/>
        <w:numPr>
          <w:ilvl w:val="0"/>
          <w:numId w:val="15"/>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Because units of measure have not been defined for many of these metrics, additional definitions are required for uniform impact reporting. This impacts metrics list may be modified and updated based on new information and must be used consistently across all administrators. </w:t>
      </w:r>
    </w:p>
    <w:p w:rsidRPr="008844BF" w:rsidR="00930C35" w:rsidP="00930C35" w:rsidRDefault="00930C35" w14:paraId="67059E6C" w14:textId="77777777">
      <w:pPr>
        <w:spacing w:after="0" w:line="276" w:lineRule="auto"/>
        <w:rPr>
          <w:rFonts w:ascii="Palatino Linotype" w:hAnsi="Palatino Linotype" w:eastAsia="Calibri" w:cs="Arial"/>
          <w:kern w:val="0"/>
          <w14:ligatures w14:val="none"/>
        </w:rPr>
      </w:pPr>
    </w:p>
    <w:p w:rsidRPr="008844BF" w:rsidR="00930C35" w:rsidP="00930C35" w:rsidRDefault="00930C35" w14:paraId="5D9B7956"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Assumptions</w:t>
      </w:r>
    </w:p>
    <w:p w:rsidRPr="008844BF" w:rsidR="00930C35" w:rsidP="003B475F" w:rsidRDefault="00930C35" w14:paraId="308ACBDC" w14:textId="77777777">
      <w:pPr>
        <w:pStyle w:val="ListParagraph"/>
        <w:numPr>
          <w:ilvl w:val="0"/>
          <w:numId w:val="14"/>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To the extent possible, administrators should use the same core data set for basic assumptions, such as the emissions profile of peak power in each service area. If administrators do not use the same data set, they should provide rationale for why not.</w:t>
      </w:r>
    </w:p>
    <w:p w:rsidRPr="008844BF" w:rsidR="00930C35" w:rsidP="003B475F" w:rsidRDefault="00930C35" w14:paraId="57BB74D0" w14:textId="77777777">
      <w:pPr>
        <w:pStyle w:val="ListParagraph"/>
        <w:numPr>
          <w:ilvl w:val="0"/>
          <w:numId w:val="14"/>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While market penetration assumptions may vary by innovation, the method by which these assumptions are arrived should be consistent. </w:t>
      </w:r>
    </w:p>
    <w:p w:rsidRPr="008844BF" w:rsidR="00930C35" w:rsidP="00930C35" w:rsidRDefault="00930C35" w14:paraId="4D7D2AC0" w14:textId="77777777">
      <w:pPr>
        <w:spacing w:after="0" w:line="276" w:lineRule="auto"/>
        <w:ind w:left="274"/>
        <w:contextualSpacing/>
        <w:rPr>
          <w:rFonts w:ascii="Palatino Linotype" w:hAnsi="Palatino Linotype" w:eastAsia="Calibri" w:cs="Arial"/>
          <w:kern w:val="0"/>
          <w14:ligatures w14:val="none"/>
        </w:rPr>
      </w:pPr>
    </w:p>
    <w:p w:rsidRPr="008844BF" w:rsidR="00930C35" w:rsidP="00CE3864" w:rsidRDefault="00930C35" w14:paraId="55DDE3C3" w14:textId="77777777">
      <w:pPr>
        <w:keepNext/>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lastRenderedPageBreak/>
        <w:t>Impact Reporting</w:t>
      </w:r>
    </w:p>
    <w:p w:rsidRPr="008844BF" w:rsidR="00930C35" w:rsidP="00CE3864" w:rsidRDefault="00930C35" w14:paraId="3C778BC7" w14:textId="77777777">
      <w:pPr>
        <w:pStyle w:val="ListParagraph"/>
        <w:keepNext/>
        <w:numPr>
          <w:ilvl w:val="0"/>
          <w:numId w:val="13"/>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For clarity of impacts on different economic sectors, direct, indirect, and induced impacts should be disaggregated in reporting.</w:t>
      </w:r>
    </w:p>
    <w:p w:rsidRPr="008844BF" w:rsidR="00930C35" w:rsidP="00930C35" w:rsidRDefault="00930C35" w14:paraId="513A2643" w14:textId="77777777">
      <w:pPr>
        <w:spacing w:after="0" w:line="276" w:lineRule="auto"/>
        <w:ind w:left="274"/>
        <w:contextualSpacing/>
        <w:rPr>
          <w:rFonts w:ascii="Palatino Linotype" w:hAnsi="Palatino Linotype" w:eastAsia="Calibri" w:cs="Arial"/>
          <w:kern w:val="0"/>
          <w14:ligatures w14:val="none"/>
        </w:rPr>
      </w:pPr>
    </w:p>
    <w:p w:rsidRPr="008844BF" w:rsidR="00930C35" w:rsidP="00930C35" w:rsidRDefault="00930C35" w14:paraId="3EDAB16E" w14:textId="77777777">
      <w:pPr>
        <w:spacing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Iterative Process</w:t>
      </w:r>
    </w:p>
    <w:p w:rsidRPr="00842F07" w:rsidR="00930C35" w:rsidP="003B475F" w:rsidRDefault="00930C35" w14:paraId="66D5A1AD" w14:textId="77777777">
      <w:pPr>
        <w:pStyle w:val="ListParagraph"/>
        <w:numPr>
          <w:ilvl w:val="0"/>
          <w:numId w:val="12"/>
        </w:numPr>
        <w:spacing w:after="0" w:line="276" w:lineRule="auto"/>
      </w:pPr>
      <w:r w:rsidRPr="008844BF">
        <w:rPr>
          <w:rFonts w:ascii="Palatino Linotype" w:hAnsi="Palatino Linotype" w:eastAsia="Calibri" w:cs="Arial"/>
          <w:kern w:val="0"/>
          <w14:ligatures w14:val="none"/>
        </w:rPr>
        <w:t>Guidelines may be revised and clarified as the EPIC Impacts Analysis Framework is developed to achieve the goals and principles outlined above.</w:t>
      </w:r>
    </w:p>
    <w:p w:rsidR="00930C35" w:rsidP="00930C35" w:rsidRDefault="00930C35" w14:paraId="2CA84616" w14:textId="77777777">
      <w:pPr>
        <w:spacing w:after="0" w:line="276" w:lineRule="auto"/>
      </w:pPr>
    </w:p>
    <w:p w:rsidR="00930C35" w:rsidP="00930C35" w:rsidRDefault="00930C35" w14:paraId="4E958478" w14:textId="77777777">
      <w:pPr>
        <w:spacing w:after="0" w:line="276" w:lineRule="auto"/>
      </w:pPr>
    </w:p>
    <w:p w:rsidR="00500544" w:rsidP="00930C35" w:rsidRDefault="00500544" w14:paraId="6E8D6793" w14:textId="77777777">
      <w:pPr>
        <w:spacing w:after="0" w:line="276" w:lineRule="auto"/>
      </w:pPr>
    </w:p>
    <w:p w:rsidR="00500544" w:rsidP="00930C35" w:rsidRDefault="00500544" w14:paraId="49CD4C03" w14:textId="77777777">
      <w:pPr>
        <w:spacing w:after="0" w:line="276" w:lineRule="auto"/>
        <w:sectPr w:rsidR="00500544" w:rsidSect="00F54A85">
          <w:footerReference w:type="default" r:id="rId64"/>
          <w:footerReference w:type="first" r:id="rId65"/>
          <w:pgSz w:w="12240" w:h="15840"/>
          <w:pgMar w:top="1440" w:right="1440" w:bottom="1440" w:left="1440" w:header="720" w:footer="720" w:gutter="0"/>
          <w:pgNumType w:start="1"/>
          <w:cols w:space="720"/>
          <w:titlePg/>
          <w:docGrid w:linePitch="360"/>
        </w:sectPr>
      </w:pPr>
    </w:p>
    <w:p w:rsidR="00875B2F" w:rsidP="00930C35" w:rsidRDefault="00875B2F" w14:paraId="78857D06" w14:textId="77777777">
      <w:pPr>
        <w:spacing w:after="0" w:line="276" w:lineRule="auto"/>
        <w:rPr>
          <w:rFonts w:ascii="Palatino Linotype" w:hAnsi="Palatino Linotype"/>
          <w:b/>
          <w:bCs/>
          <w:color w:val="000000" w:themeColor="text1"/>
        </w:rPr>
      </w:pPr>
    </w:p>
    <w:p w:rsidR="00875B2F" w:rsidP="00930C35" w:rsidRDefault="00875B2F" w14:paraId="1E42DC6D" w14:textId="77777777">
      <w:pPr>
        <w:spacing w:after="0" w:line="276" w:lineRule="auto"/>
        <w:rPr>
          <w:rFonts w:ascii="Palatino Linotype" w:hAnsi="Palatino Linotype"/>
          <w:b/>
          <w:bCs/>
          <w:color w:val="000000" w:themeColor="text1"/>
        </w:rPr>
      </w:pPr>
    </w:p>
    <w:p w:rsidR="00D06B4C" w:rsidP="00930C35" w:rsidRDefault="00D06B4C" w14:paraId="1D9B9DFD" w14:textId="77777777">
      <w:pPr>
        <w:spacing w:after="0" w:line="276" w:lineRule="auto"/>
        <w:rPr>
          <w:rFonts w:ascii="Palatino Linotype" w:hAnsi="Palatino Linotype"/>
          <w:b/>
          <w:bCs/>
          <w:color w:val="000000" w:themeColor="text1"/>
        </w:rPr>
      </w:pPr>
    </w:p>
    <w:p w:rsidR="00875B2F" w:rsidP="00930C35" w:rsidRDefault="00875B2F" w14:paraId="0B043BBA" w14:textId="77777777">
      <w:pPr>
        <w:spacing w:after="0" w:line="276" w:lineRule="auto"/>
        <w:rPr>
          <w:rFonts w:ascii="Palatino Linotype" w:hAnsi="Palatino Linotype"/>
          <w:b/>
          <w:bCs/>
          <w:color w:val="000000" w:themeColor="text1"/>
        </w:rPr>
      </w:pPr>
    </w:p>
    <w:p w:rsidRPr="00957A11" w:rsidR="00875B2F" w:rsidP="00875B2F" w:rsidRDefault="00875B2F" w14:paraId="177BCB29" w14:textId="0BC7797F">
      <w:pPr>
        <w:spacing w:after="0" w:line="276" w:lineRule="auto"/>
        <w:jc w:val="center"/>
        <w:rPr>
          <w:rFonts w:ascii="Palatino Linotype" w:hAnsi="Palatino Linotype"/>
          <w:b/>
          <w:bCs/>
          <w:color w:val="000000" w:themeColor="text1"/>
          <w:sz w:val="48"/>
          <w:szCs w:val="48"/>
        </w:rPr>
      </w:pPr>
      <w:r w:rsidRPr="00957A11">
        <w:rPr>
          <w:rFonts w:ascii="Palatino Linotype" w:hAnsi="Palatino Linotype"/>
          <w:b/>
          <w:bCs/>
          <w:color w:val="000000" w:themeColor="text1"/>
          <w:sz w:val="48"/>
          <w:szCs w:val="48"/>
        </w:rPr>
        <w:t>APPENDIX E</w:t>
      </w:r>
    </w:p>
    <w:p w:rsidR="00875B2F" w:rsidP="00930C35" w:rsidRDefault="00875B2F" w14:paraId="05D8B76A" w14:textId="77777777">
      <w:pPr>
        <w:spacing w:after="0" w:line="276" w:lineRule="auto"/>
        <w:rPr>
          <w:rFonts w:ascii="Palatino Linotype" w:hAnsi="Palatino Linotype"/>
          <w:b/>
          <w:bCs/>
          <w:color w:val="000000" w:themeColor="text1"/>
        </w:rPr>
      </w:pPr>
    </w:p>
    <w:p w:rsidR="00875B2F" w:rsidP="00930C35" w:rsidRDefault="00875B2F" w14:paraId="50D60925" w14:textId="77777777">
      <w:pPr>
        <w:spacing w:after="0" w:line="276" w:lineRule="auto"/>
        <w:rPr>
          <w:rFonts w:ascii="Palatino Linotype" w:hAnsi="Palatino Linotype"/>
          <w:b/>
          <w:bCs/>
          <w:color w:val="000000" w:themeColor="text1"/>
        </w:rPr>
      </w:pPr>
    </w:p>
    <w:p w:rsidR="00875B2F" w:rsidP="00930C35" w:rsidRDefault="00875B2F" w14:paraId="6003377D" w14:textId="77777777">
      <w:pPr>
        <w:spacing w:after="0" w:line="276" w:lineRule="auto"/>
        <w:rPr>
          <w:rFonts w:ascii="Palatino Linotype" w:hAnsi="Palatino Linotype"/>
          <w:b/>
          <w:bCs/>
          <w:color w:val="000000" w:themeColor="text1"/>
        </w:rPr>
      </w:pPr>
    </w:p>
    <w:p w:rsidR="00D06B4C" w:rsidRDefault="00D06B4C" w14:paraId="3296FB51" w14:textId="77777777">
      <w:pPr>
        <w:rPr>
          <w:rFonts w:ascii="Palatino Linotype" w:hAnsi="Palatino Linotype"/>
          <w:b/>
          <w:bCs/>
          <w:color w:val="000000" w:themeColor="text1"/>
        </w:rPr>
      </w:pPr>
      <w:r>
        <w:rPr>
          <w:rFonts w:ascii="Palatino Linotype" w:hAnsi="Palatino Linotype"/>
          <w:b/>
          <w:bCs/>
          <w:color w:val="000000" w:themeColor="text1"/>
        </w:rPr>
        <w:br w:type="page"/>
      </w:r>
    </w:p>
    <w:p w:rsidR="004934EA" w:rsidP="00930C35" w:rsidRDefault="00930C35" w14:paraId="6077542A" w14:textId="22ABC450">
      <w:pPr>
        <w:spacing w:after="0" w:line="276" w:lineRule="auto"/>
        <w:rPr>
          <w:rFonts w:ascii="Palatino Linotype" w:hAnsi="Palatino Linotype"/>
          <w:b/>
          <w:bCs/>
          <w:color w:val="000000" w:themeColor="text1"/>
        </w:rPr>
      </w:pPr>
      <w:r w:rsidRPr="00CB1308">
        <w:rPr>
          <w:rFonts w:ascii="Palatino Linotype" w:hAnsi="Palatino Linotype"/>
          <w:b/>
          <w:bCs/>
          <w:color w:val="000000" w:themeColor="text1"/>
        </w:rPr>
        <w:lastRenderedPageBreak/>
        <w:t xml:space="preserve">APPENDIX </w:t>
      </w:r>
      <w:r w:rsidR="000E0EBD">
        <w:rPr>
          <w:rFonts w:ascii="Palatino Linotype" w:hAnsi="Palatino Linotype"/>
          <w:b/>
          <w:bCs/>
          <w:color w:val="000000" w:themeColor="text1"/>
        </w:rPr>
        <w:t>E</w:t>
      </w:r>
      <w:r w:rsidRPr="00B814F0">
        <w:rPr>
          <w:rFonts w:ascii="Palatino Linotype" w:hAnsi="Palatino Linotype"/>
          <w:b/>
          <w:bCs/>
          <w:color w:val="000000" w:themeColor="text1"/>
        </w:rPr>
        <w:t xml:space="preserve">: </w:t>
      </w:r>
      <w:r w:rsidRPr="004934EA" w:rsidR="004934EA">
        <w:rPr>
          <w:rFonts w:ascii="Palatino Linotype" w:hAnsi="Palatino Linotype"/>
          <w:b/>
          <w:bCs/>
          <w:color w:val="000000" w:themeColor="text1"/>
        </w:rPr>
        <w:t xml:space="preserve">CEC Gas RD&amp;D Funding Process for Budgets Less </w:t>
      </w:r>
      <w:r w:rsidR="00426087">
        <w:rPr>
          <w:rFonts w:ascii="Palatino Linotype" w:hAnsi="Palatino Linotype"/>
          <w:b/>
          <w:bCs/>
          <w:color w:val="000000" w:themeColor="text1"/>
        </w:rPr>
        <w:t>T</w:t>
      </w:r>
      <w:r w:rsidRPr="004934EA" w:rsidR="004934EA">
        <w:rPr>
          <w:rFonts w:ascii="Palatino Linotype" w:hAnsi="Palatino Linotype"/>
          <w:b/>
          <w:bCs/>
          <w:color w:val="000000" w:themeColor="text1"/>
        </w:rPr>
        <w:t>han $24M</w:t>
      </w:r>
    </w:p>
    <w:p w:rsidRPr="004E5F1F" w:rsidR="00930C35" w:rsidP="00930C35" w:rsidRDefault="00930C35" w14:paraId="6B0A4D31" w14:textId="7616B6FF">
      <w:pPr>
        <w:spacing w:after="0" w:line="276" w:lineRule="auto"/>
        <w:rPr>
          <w:rFonts w:ascii="Palatino Linotype" w:hAnsi="Palatino Linotype"/>
          <w:i/>
          <w:iCs/>
          <w:color w:val="000000" w:themeColor="text1"/>
          <w:sz w:val="20"/>
          <w:szCs w:val="20"/>
        </w:rPr>
      </w:pPr>
      <w:r w:rsidRPr="004E5F1F">
        <w:rPr>
          <w:rFonts w:ascii="Palatino Linotype" w:hAnsi="Palatino Linotype"/>
          <w:i/>
          <w:iCs/>
          <w:color w:val="000000" w:themeColor="text1"/>
          <w:sz w:val="20"/>
          <w:szCs w:val="20"/>
        </w:rPr>
        <w:t>CEC’s FY 2012-2013 Annual Report (October 2013) (p. 6-7)</w:t>
      </w:r>
    </w:p>
    <w:p w:rsidRPr="00684409" w:rsidR="00930C35" w:rsidP="00930C35" w:rsidRDefault="00930C35" w14:paraId="05403BF4" w14:textId="77777777">
      <w:pPr>
        <w:spacing w:after="0" w:line="276" w:lineRule="auto"/>
        <w:rPr>
          <w:rFonts w:ascii="Palatino Linotype" w:hAnsi="Palatino Linotype"/>
          <w:color w:val="A6A6A6" w:themeColor="background1" w:themeShade="A6"/>
        </w:rPr>
      </w:pPr>
    </w:p>
    <w:p w:rsidRPr="00BD56B4" w:rsidR="00930C35" w:rsidP="00930C35" w:rsidRDefault="00930C35" w14:paraId="0C48A987" w14:textId="77777777">
      <w:pPr>
        <w:pStyle w:val="default0"/>
        <w:spacing w:line="276" w:lineRule="auto"/>
        <w:rPr>
          <w:rFonts w:ascii="Palatino Linotype" w:hAnsi="Palatino Linotype" w:cs="Arial"/>
          <w:color w:val="000000" w:themeColor="text1"/>
        </w:rPr>
      </w:pPr>
      <w:r w:rsidRPr="00BD56B4">
        <w:rPr>
          <w:rFonts w:ascii="Palatino Linotype" w:hAnsi="Palatino Linotype" w:cs="Arial"/>
          <w:color w:val="000000" w:themeColor="text1"/>
        </w:rPr>
        <w:t>[Resolution G-3484] requires the Energy Commission to explain its process for funding the PIER Natural Gas R&amp;D program in cases where the CPUC authorizes less than what the Energy Commission proposed in its budgets.</w:t>
      </w:r>
    </w:p>
    <w:p w:rsidRPr="00BD56B4" w:rsidR="00930C35" w:rsidP="00930C35" w:rsidRDefault="00930C35" w14:paraId="5A9C681F" w14:textId="77777777">
      <w:pPr>
        <w:pStyle w:val="default0"/>
        <w:spacing w:line="276" w:lineRule="auto"/>
        <w:rPr>
          <w:rFonts w:ascii="Palatino Linotype" w:hAnsi="Palatino Linotype" w:cs="Arial"/>
          <w:color w:val="000000" w:themeColor="text1"/>
        </w:rPr>
      </w:pPr>
    </w:p>
    <w:p w:rsidRPr="00BD56B4" w:rsidR="00930C35" w:rsidP="00930C35" w:rsidRDefault="00930C35" w14:paraId="3D53636D" w14:textId="77777777">
      <w:pPr>
        <w:spacing w:line="276" w:lineRule="auto"/>
        <w:rPr>
          <w:rFonts w:ascii="Palatino Linotype" w:hAnsi="Palatino Linotype" w:cs="Arial"/>
          <w:color w:val="000000" w:themeColor="text1"/>
        </w:rPr>
      </w:pPr>
      <w:r w:rsidRPr="00BD56B4">
        <w:rPr>
          <w:rFonts w:ascii="Palatino Linotype" w:hAnsi="Palatino Linotype" w:cs="Arial"/>
          <w:color w:val="000000" w:themeColor="text1"/>
        </w:rPr>
        <w:t>The Energy Commission acknowledges that the CPUC retains the authority to approve the full amount of funds requested in the annual Natural Gas R&amp;D Budget Plan or to reduce that amount if the CPUC believes that a lesser amount is in the ratepayers’ interest. If in future years the CPUC decides to authorize less than $24 million, the Energy Commission will proportionally reduce the requested transfers from the Gas Consumption Surcharge Fund by that amount. Below is the detailed process the Energy Commission would follow:</w:t>
      </w:r>
    </w:p>
    <w:p w:rsidRPr="00BD56B4" w:rsidR="00930C35" w:rsidP="003B475F" w:rsidRDefault="00930C35" w14:paraId="431A113B"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The Energy Commission submits a proposed budget as part of the annual State Budget process in the fall of each year for consideration in the next year’s Governor’s budget. Included in the budget request is up to $24 million in proposed PIER Natural Gas funding.</w:t>
      </w:r>
    </w:p>
    <w:p w:rsidRPr="00BD56B4" w:rsidR="00930C35" w:rsidP="003B475F" w:rsidRDefault="00930C35" w14:paraId="5A13ECF5"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The Energy Commission submits a proposed PIER Natural Gas Budget plan to the CPUC by the following March 31st of each year for the CPUC’s consideration. Typically the CPUC decides on the request by June 30</w:t>
      </w:r>
      <w:r w:rsidRPr="00BD56B4">
        <w:rPr>
          <w:rFonts w:ascii="Palatino Linotype" w:hAnsi="Palatino Linotype" w:cs="Arial"/>
          <w:color w:val="000000" w:themeColor="text1"/>
          <w:vertAlign w:val="superscript"/>
        </w:rPr>
        <w:t>th</w:t>
      </w:r>
      <w:r w:rsidRPr="00BD56B4">
        <w:rPr>
          <w:rFonts w:ascii="Palatino Linotype" w:hAnsi="Palatino Linotype" w:cs="Arial"/>
          <w:color w:val="000000" w:themeColor="text1"/>
        </w:rPr>
        <w:t>.</w:t>
      </w:r>
    </w:p>
    <w:p w:rsidRPr="00BD56B4" w:rsidR="00930C35" w:rsidP="003B475F" w:rsidRDefault="00930C35" w14:paraId="49765BC1"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The state budget is approved by the Legislature and signed by the Governor.</w:t>
      </w:r>
    </w:p>
    <w:p w:rsidRPr="00BD56B4" w:rsidR="00930C35" w:rsidP="003B475F" w:rsidRDefault="00930C35" w14:paraId="5CAAD267"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BD56B4">
        <w:rPr>
          <w:rFonts w:ascii="Palatino Linotype" w:hAnsi="Palatino Linotype" w:cs="Arial"/>
          <w:color w:val="000000" w:themeColor="text1"/>
        </w:rPr>
        <w:t>Depending on the outcome of the steps above, the Energy Commission requests that the CPUC transfer the funds in four equal payments on October 1, January 1, April 1, and July 1 of the appropriate year.</w:t>
      </w:r>
    </w:p>
    <w:p w:rsidRPr="00BD56B4" w:rsidR="00930C35" w:rsidP="0051281B" w:rsidRDefault="00930C35" w14:paraId="2056AAB6" w14:textId="77777777">
      <w:pPr>
        <w:spacing w:after="0" w:line="276" w:lineRule="auto"/>
        <w:rPr>
          <w:rFonts w:ascii="Palatino Linotype" w:hAnsi="Palatino Linotype" w:cs="Arial"/>
          <w:color w:val="000000" w:themeColor="text1"/>
        </w:rPr>
      </w:pPr>
    </w:p>
    <w:p w:rsidRPr="00BD56B4" w:rsidR="00930C35" w:rsidP="00930C35" w:rsidRDefault="00930C35" w14:paraId="37DFD42C" w14:textId="77777777">
      <w:pPr>
        <w:spacing w:line="276" w:lineRule="auto"/>
        <w:rPr>
          <w:rFonts w:ascii="Palatino Linotype" w:hAnsi="Palatino Linotype" w:cs="Arial"/>
          <w:color w:val="000000" w:themeColor="text1"/>
        </w:rPr>
      </w:pPr>
      <w:r w:rsidRPr="00BD56B4">
        <w:rPr>
          <w:rFonts w:ascii="Palatino Linotype" w:hAnsi="Palatino Linotype" w:cs="Arial"/>
          <w:color w:val="000000" w:themeColor="text1"/>
        </w:rPr>
        <w:t xml:space="preserve">If the annual natural gas budget plan submitted to the CPUC in March of each year is approved for the requested $24M, then the Energy Commission will request the transfer of $6M from the </w:t>
      </w:r>
      <w:r w:rsidRPr="00BD56B4">
        <w:rPr>
          <w:rFonts w:ascii="Palatino Linotype" w:hAnsi="Palatino Linotype" w:cs="Arial"/>
          <w:i/>
          <w:iCs/>
          <w:color w:val="000000" w:themeColor="text1"/>
        </w:rPr>
        <w:t>CPUC Gas Consumption Surcharge Fund</w:t>
      </w:r>
      <w:r w:rsidRPr="00BD56B4">
        <w:rPr>
          <w:rFonts w:ascii="Palatino Linotype" w:hAnsi="Palatino Linotype" w:cs="Arial"/>
          <w:color w:val="000000" w:themeColor="text1"/>
        </w:rPr>
        <w:t xml:space="preserve"> in quarterly payments on the dates identified above. Once transferred those funds are placed in the Energy Commission’s </w:t>
      </w:r>
      <w:r w:rsidRPr="00BD56B4">
        <w:rPr>
          <w:rFonts w:ascii="Palatino Linotype" w:hAnsi="Palatino Linotype" w:cs="Arial"/>
          <w:i/>
          <w:iCs/>
          <w:color w:val="000000" w:themeColor="text1"/>
        </w:rPr>
        <w:t>Public Interest Research Development &amp; Demonstration, Natural Gas Subaccount</w:t>
      </w:r>
      <w:r w:rsidRPr="00BD56B4">
        <w:rPr>
          <w:rFonts w:ascii="Palatino Linotype" w:hAnsi="Palatino Linotype" w:cs="Arial"/>
          <w:color w:val="000000" w:themeColor="text1"/>
        </w:rPr>
        <w:t>.</w:t>
      </w:r>
    </w:p>
    <w:p w:rsidRPr="00BD56B4" w:rsidR="00930C35" w:rsidP="00930C35" w:rsidRDefault="00930C35" w14:paraId="20DB5D79" w14:textId="77777777">
      <w:pPr>
        <w:spacing w:line="276" w:lineRule="auto"/>
        <w:rPr>
          <w:rFonts w:ascii="Palatino Linotype" w:hAnsi="Palatino Linotype" w:cs="Arial"/>
          <w:color w:val="000000" w:themeColor="text1"/>
        </w:rPr>
      </w:pPr>
    </w:p>
    <w:p w:rsidR="00930C35" w:rsidP="00930C35" w:rsidRDefault="00930C35" w14:paraId="1A9DBB5C" w14:textId="77777777">
      <w:pPr>
        <w:spacing w:after="0" w:line="276" w:lineRule="auto"/>
        <w:rPr>
          <w:rFonts w:ascii="Palatino Linotype" w:hAnsi="Palatino Linotype" w:cs="Arial"/>
          <w:color w:val="000000" w:themeColor="text1"/>
        </w:rPr>
      </w:pPr>
      <w:r w:rsidRPr="00BD56B4">
        <w:rPr>
          <w:rFonts w:ascii="Palatino Linotype" w:hAnsi="Palatino Linotype" w:cs="Arial"/>
          <w:color w:val="000000" w:themeColor="text1"/>
        </w:rPr>
        <w:lastRenderedPageBreak/>
        <w:t xml:space="preserve">If during its review of the proposed natural gas budget plan, the CPUC determines that it does not want to fund an element of the proposed budget (for example, only approve $22M of the $24M requested in the budget plan), then the CEC would request from the CPUC four equal payments of $5.5M that fiscal year instead of the maximum possible of $6M. Therefore, the CEC will only request one fourth of the amount approved by the CPUC and adopted in their resolution for any given year be transferred into the </w:t>
      </w:r>
      <w:r w:rsidRPr="00BD56B4">
        <w:rPr>
          <w:rFonts w:ascii="Palatino Linotype" w:hAnsi="Palatino Linotype" w:cs="Arial"/>
          <w:i/>
          <w:iCs/>
          <w:color w:val="000000" w:themeColor="text1"/>
        </w:rPr>
        <w:t>Public Interest Research Development &amp; Demonstration, Natural Gas Subaccount</w:t>
      </w:r>
      <w:r w:rsidRPr="00BD56B4">
        <w:rPr>
          <w:rFonts w:ascii="Palatino Linotype" w:hAnsi="Palatino Linotype" w:cs="Arial"/>
          <w:color w:val="000000" w:themeColor="text1"/>
        </w:rPr>
        <w:t>.</w:t>
      </w:r>
    </w:p>
    <w:p w:rsidR="00930C35" w:rsidP="00930C35" w:rsidRDefault="00930C35" w14:paraId="30296814" w14:textId="77777777">
      <w:pPr>
        <w:spacing w:after="0" w:line="276" w:lineRule="auto"/>
        <w:rPr>
          <w:rFonts w:ascii="Palatino Linotype" w:hAnsi="Palatino Linotype" w:cs="Arial"/>
          <w:color w:val="000000" w:themeColor="text1"/>
        </w:rPr>
      </w:pPr>
    </w:p>
    <w:p w:rsidR="00930C35" w:rsidP="00446A7E" w:rsidRDefault="00930C35" w14:paraId="4C25C9FB" w14:textId="77777777">
      <w:pPr>
        <w:spacing w:line="276" w:lineRule="auto"/>
        <w:sectPr w:rsidR="00930C35" w:rsidSect="00F54A85">
          <w:footerReference w:type="default" r:id="rId66"/>
          <w:footerReference w:type="first" r:id="rId67"/>
          <w:pgSz w:w="12240" w:h="15840"/>
          <w:pgMar w:top="1440" w:right="1440" w:bottom="1440" w:left="1440" w:header="720" w:footer="720" w:gutter="0"/>
          <w:pgNumType w:start="1"/>
          <w:cols w:space="720"/>
          <w:titlePg/>
          <w:docGrid w:linePitch="360"/>
        </w:sectPr>
      </w:pPr>
    </w:p>
    <w:p w:rsidR="007008A4" w:rsidP="002F78F4" w:rsidRDefault="007008A4" w14:paraId="71B2CD96" w14:textId="77777777">
      <w:pPr>
        <w:rPr>
          <w:rFonts w:ascii="Palatino Linotype" w:hAnsi="Palatino Linotype"/>
          <w:b/>
          <w:bCs/>
          <w:color w:val="000000" w:themeColor="text1"/>
        </w:rPr>
      </w:pPr>
    </w:p>
    <w:p w:rsidR="007008A4" w:rsidP="002F78F4" w:rsidRDefault="007008A4" w14:paraId="4E8745E2" w14:textId="77777777">
      <w:pPr>
        <w:rPr>
          <w:rFonts w:ascii="Palatino Linotype" w:hAnsi="Palatino Linotype"/>
          <w:b/>
          <w:bCs/>
          <w:color w:val="000000" w:themeColor="text1"/>
        </w:rPr>
      </w:pPr>
    </w:p>
    <w:p w:rsidR="00073B2C" w:rsidP="002F78F4" w:rsidRDefault="00073B2C" w14:paraId="69D5F269" w14:textId="77777777">
      <w:pPr>
        <w:rPr>
          <w:rFonts w:ascii="Palatino Linotype" w:hAnsi="Palatino Linotype"/>
          <w:b/>
          <w:bCs/>
          <w:color w:val="000000" w:themeColor="text1"/>
        </w:rPr>
      </w:pPr>
    </w:p>
    <w:p w:rsidRPr="00957A11" w:rsidR="007008A4" w:rsidP="00073B2C" w:rsidRDefault="00073B2C" w14:paraId="6C70CC19" w14:textId="4FC18740">
      <w:pPr>
        <w:jc w:val="center"/>
        <w:rPr>
          <w:rFonts w:ascii="Palatino Linotype" w:hAnsi="Palatino Linotype"/>
          <w:b/>
          <w:bCs/>
          <w:color w:val="000000" w:themeColor="text1"/>
          <w:sz w:val="48"/>
          <w:szCs w:val="48"/>
        </w:rPr>
      </w:pPr>
      <w:r w:rsidRPr="00957A11">
        <w:rPr>
          <w:rFonts w:ascii="Palatino Linotype" w:hAnsi="Palatino Linotype"/>
          <w:b/>
          <w:bCs/>
          <w:color w:val="000000" w:themeColor="text1"/>
          <w:sz w:val="48"/>
          <w:szCs w:val="48"/>
        </w:rPr>
        <w:t>APPENDIX F</w:t>
      </w:r>
    </w:p>
    <w:p w:rsidR="007008A4" w:rsidP="002F78F4" w:rsidRDefault="007008A4" w14:paraId="0A4361D3" w14:textId="77777777">
      <w:pPr>
        <w:rPr>
          <w:rFonts w:ascii="Palatino Linotype" w:hAnsi="Palatino Linotype"/>
          <w:b/>
          <w:bCs/>
          <w:color w:val="000000" w:themeColor="text1"/>
        </w:rPr>
      </w:pPr>
    </w:p>
    <w:p w:rsidR="00073B2C" w:rsidP="002F78F4" w:rsidRDefault="00073B2C" w14:paraId="3583F23B" w14:textId="77777777">
      <w:pPr>
        <w:rPr>
          <w:rFonts w:ascii="Palatino Linotype" w:hAnsi="Palatino Linotype"/>
          <w:b/>
          <w:bCs/>
          <w:color w:val="000000" w:themeColor="text1"/>
        </w:rPr>
      </w:pPr>
    </w:p>
    <w:p w:rsidR="00073B2C" w:rsidP="002F78F4" w:rsidRDefault="00073B2C" w14:paraId="0D0C228D" w14:textId="77777777">
      <w:pPr>
        <w:rPr>
          <w:rFonts w:ascii="Palatino Linotype" w:hAnsi="Palatino Linotype"/>
          <w:b/>
          <w:bCs/>
          <w:color w:val="000000" w:themeColor="text1"/>
        </w:rPr>
        <w:sectPr w:rsidR="00073B2C" w:rsidSect="00E96408">
          <w:headerReference w:type="default" r:id="rId68"/>
          <w:footerReference w:type="default" r:id="rId69"/>
          <w:pgSz w:w="15840" w:h="12240" w:orient="landscape"/>
          <w:pgMar w:top="720" w:right="720" w:bottom="720" w:left="720" w:header="720" w:footer="720" w:gutter="0"/>
          <w:pgNumType w:start="1"/>
          <w:cols w:space="720"/>
          <w:docGrid w:linePitch="360"/>
        </w:sectPr>
      </w:pPr>
    </w:p>
    <w:p w:rsidRPr="009D5DA7" w:rsidR="002F78F4" w:rsidP="002F78F4" w:rsidRDefault="002F78F4" w14:paraId="076C898A" w14:textId="3E52D1B2">
      <w:pPr>
        <w:rPr>
          <w:rFonts w:ascii="Palatino Linotype" w:hAnsi="Palatino Linotype"/>
          <w:b/>
          <w:bCs/>
          <w:color w:val="000000" w:themeColor="text1"/>
        </w:rPr>
      </w:pPr>
      <w:r w:rsidRPr="00B814F0">
        <w:rPr>
          <w:rFonts w:ascii="Palatino Linotype" w:hAnsi="Palatino Linotype"/>
          <w:b/>
          <w:bCs/>
          <w:color w:val="000000" w:themeColor="text1"/>
        </w:rPr>
        <w:lastRenderedPageBreak/>
        <w:t xml:space="preserve">APPENDIX </w:t>
      </w:r>
      <w:r w:rsidR="000E0EBD">
        <w:rPr>
          <w:rFonts w:ascii="Palatino Linotype" w:hAnsi="Palatino Linotype"/>
          <w:b/>
          <w:bCs/>
          <w:color w:val="000000" w:themeColor="text1"/>
        </w:rPr>
        <w:t>F</w:t>
      </w:r>
      <w:r w:rsidRPr="00B814F0">
        <w:rPr>
          <w:rFonts w:ascii="Palatino Linotype" w:hAnsi="Palatino Linotype"/>
          <w:b/>
          <w:bCs/>
          <w:color w:val="000000" w:themeColor="text1"/>
        </w:rPr>
        <w:t xml:space="preserve">: </w:t>
      </w:r>
      <w:r w:rsidRPr="009D5DA7">
        <w:rPr>
          <w:rFonts w:ascii="Palatino Linotype" w:hAnsi="Palatino Linotype"/>
          <w:b/>
          <w:bCs/>
          <w:color w:val="000000" w:themeColor="text1"/>
        </w:rPr>
        <w:t>CEC Balances of Unspent Funds from Previous</w:t>
      </w:r>
      <w:r>
        <w:rPr>
          <w:rFonts w:ascii="Palatino Linotype" w:hAnsi="Palatino Linotype"/>
          <w:b/>
          <w:bCs/>
          <w:color w:val="000000" w:themeColor="text1"/>
        </w:rPr>
        <w:t>ly</w:t>
      </w:r>
      <w:r w:rsidR="00F455FC">
        <w:rPr>
          <w:rFonts w:ascii="Palatino Linotype" w:hAnsi="Palatino Linotype"/>
          <w:b/>
          <w:bCs/>
          <w:color w:val="000000" w:themeColor="text1"/>
        </w:rPr>
        <w:t xml:space="preserve"> </w:t>
      </w:r>
      <w:r w:rsidRPr="009D5DA7">
        <w:rPr>
          <w:rFonts w:ascii="Palatino Linotype" w:hAnsi="Palatino Linotype"/>
          <w:b/>
          <w:bCs/>
          <w:color w:val="000000" w:themeColor="text1"/>
        </w:rPr>
        <w:t>Approved Gas RD&amp;D Plans</w:t>
      </w:r>
    </w:p>
    <w:tbl>
      <w:tblPr>
        <w:tblStyle w:val="TableGrid"/>
        <w:tblW w:w="14125" w:type="dxa"/>
        <w:tblLayout w:type="fixed"/>
        <w:tblLook w:val="04A0" w:firstRow="1" w:lastRow="0" w:firstColumn="1" w:lastColumn="0" w:noHBand="0" w:noVBand="1"/>
      </w:tblPr>
      <w:tblGrid>
        <w:gridCol w:w="1729"/>
        <w:gridCol w:w="4176"/>
        <w:gridCol w:w="1170"/>
        <w:gridCol w:w="1530"/>
        <w:gridCol w:w="1380"/>
        <w:gridCol w:w="270"/>
        <w:gridCol w:w="26"/>
        <w:gridCol w:w="334"/>
        <w:gridCol w:w="1260"/>
        <w:gridCol w:w="236"/>
        <w:gridCol w:w="304"/>
        <w:gridCol w:w="1710"/>
      </w:tblGrid>
      <w:tr w:rsidR="00D24405" w:rsidTr="003F491C" w14:paraId="32EFABBD" w14:textId="77777777">
        <w:tc>
          <w:tcPr>
            <w:tcW w:w="1729" w:type="dxa"/>
            <w:vAlign w:val="center"/>
          </w:tcPr>
          <w:p w:rsidRPr="00891B71" w:rsidR="00D24405" w:rsidP="00BB366A" w:rsidRDefault="00D24405" w14:paraId="69E5282E" w14:textId="532FDDDA">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Gas RD&amp;D Plan</w:t>
            </w:r>
          </w:p>
        </w:tc>
        <w:tc>
          <w:tcPr>
            <w:tcW w:w="4176" w:type="dxa"/>
            <w:vAlign w:val="center"/>
          </w:tcPr>
          <w:p w:rsidRPr="00891B71" w:rsidR="00D24405" w:rsidP="00BB366A" w:rsidRDefault="00D24405" w14:paraId="17435DA1" w14:textId="0B1C2E7B">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Initiative</w:t>
            </w:r>
          </w:p>
        </w:tc>
        <w:tc>
          <w:tcPr>
            <w:tcW w:w="1170" w:type="dxa"/>
            <w:vAlign w:val="center"/>
          </w:tcPr>
          <w:p w:rsidRPr="00891B71" w:rsidR="00D24405" w:rsidP="00BB366A" w:rsidRDefault="00D24405" w14:paraId="0E6BB911" w14:textId="7D24E2C2">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Approval Date</w:t>
            </w:r>
          </w:p>
        </w:tc>
        <w:tc>
          <w:tcPr>
            <w:tcW w:w="1530" w:type="dxa"/>
            <w:vAlign w:val="center"/>
          </w:tcPr>
          <w:p w:rsidRPr="00891B71" w:rsidR="00D24405" w:rsidP="00BB366A" w:rsidRDefault="00D24405" w14:paraId="55A770E7" w14:textId="77777777">
            <w:pPr>
              <w:jc w:val="center"/>
              <w:rPr>
                <w:rFonts w:ascii="Palatino Linotype" w:hAnsi="Palatino Linotype"/>
                <w:b/>
                <w:bCs/>
                <w:sz w:val="20"/>
                <w:szCs w:val="20"/>
              </w:rPr>
            </w:pPr>
            <w:r w:rsidRPr="00891B71">
              <w:rPr>
                <w:rFonts w:ascii="Palatino Linotype" w:hAnsi="Palatino Linotype"/>
                <w:b/>
                <w:bCs/>
                <w:sz w:val="20"/>
                <w:szCs w:val="20"/>
              </w:rPr>
              <w:t>Encumbrance Deadline</w:t>
            </w:r>
            <w:r>
              <w:rPr>
                <w:rStyle w:val="FootnoteReference"/>
                <w:rFonts w:ascii="Palatino Linotype" w:hAnsi="Palatino Linotype"/>
                <w:b/>
                <w:bCs/>
                <w:sz w:val="20"/>
                <w:szCs w:val="20"/>
              </w:rPr>
              <w:footnoteReference w:id="141"/>
            </w:r>
          </w:p>
        </w:tc>
        <w:tc>
          <w:tcPr>
            <w:tcW w:w="1380" w:type="dxa"/>
            <w:vAlign w:val="center"/>
          </w:tcPr>
          <w:p w:rsidRPr="00891B71" w:rsidR="00D24405" w:rsidP="00BB366A" w:rsidRDefault="00D24405" w14:paraId="13A342CF" w14:textId="77777777">
            <w:pPr>
              <w:jc w:val="center"/>
              <w:rPr>
                <w:rFonts w:ascii="Palatino Linotype" w:hAnsi="Palatino Linotype"/>
                <w:b/>
                <w:bCs/>
                <w:sz w:val="20"/>
                <w:szCs w:val="20"/>
              </w:rPr>
            </w:pPr>
            <w:r w:rsidRPr="00891B71">
              <w:rPr>
                <w:rFonts w:ascii="Palatino Linotype" w:hAnsi="Palatino Linotype"/>
                <w:b/>
                <w:bCs/>
                <w:sz w:val="20"/>
                <w:szCs w:val="20"/>
              </w:rPr>
              <w:t>Spending Deadline</w:t>
            </w:r>
            <w:r>
              <w:rPr>
                <w:rStyle w:val="FootnoteReference"/>
                <w:rFonts w:ascii="Palatino Linotype" w:hAnsi="Palatino Linotype"/>
                <w:b/>
                <w:bCs/>
                <w:sz w:val="20"/>
                <w:szCs w:val="20"/>
              </w:rPr>
              <w:footnoteReference w:id="142"/>
            </w:r>
          </w:p>
        </w:tc>
        <w:tc>
          <w:tcPr>
            <w:tcW w:w="1890" w:type="dxa"/>
            <w:gridSpan w:val="4"/>
            <w:tcBorders>
              <w:bottom w:val="single" w:color="auto" w:sz="4" w:space="0"/>
            </w:tcBorders>
            <w:vAlign w:val="center"/>
          </w:tcPr>
          <w:p w:rsidRPr="00891B71" w:rsidR="00D24405" w:rsidP="004A568A" w:rsidRDefault="00D24405" w14:paraId="7946C075" w14:textId="5FCFC5F7">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Unencumbered Funds</w:t>
            </w:r>
            <w:r>
              <w:rPr>
                <w:rStyle w:val="FootnoteReference"/>
                <w:rFonts w:ascii="Palatino Linotype" w:hAnsi="Palatino Linotype"/>
                <w:b/>
                <w:bCs/>
                <w:sz w:val="20"/>
                <w:szCs w:val="20"/>
              </w:rPr>
              <w:footnoteReference w:id="143"/>
            </w:r>
          </w:p>
        </w:tc>
        <w:tc>
          <w:tcPr>
            <w:tcW w:w="2250" w:type="dxa"/>
            <w:gridSpan w:val="3"/>
            <w:tcBorders>
              <w:bottom w:val="single" w:color="auto" w:sz="4" w:space="0"/>
            </w:tcBorders>
          </w:tcPr>
          <w:p w:rsidRPr="00891B71" w:rsidR="00D24405" w:rsidP="00BB366A" w:rsidRDefault="00D24405" w14:paraId="2A5250BA" w14:textId="40EA7204">
            <w:pPr>
              <w:jc w:val="center"/>
              <w:rPr>
                <w:rFonts w:ascii="Palatino Linotype" w:hAnsi="Palatino Linotype"/>
                <w:b/>
                <w:bCs/>
                <w:sz w:val="20"/>
                <w:szCs w:val="20"/>
              </w:rPr>
            </w:pPr>
            <w:r>
              <w:rPr>
                <w:rFonts w:ascii="Palatino Linotype" w:hAnsi="Palatino Linotype"/>
                <w:b/>
                <w:bCs/>
                <w:sz w:val="20"/>
                <w:szCs w:val="20"/>
              </w:rPr>
              <w:t>*</w:t>
            </w:r>
            <w:r w:rsidRPr="00891B71">
              <w:rPr>
                <w:rFonts w:ascii="Palatino Linotype" w:hAnsi="Palatino Linotype"/>
                <w:b/>
                <w:bCs/>
                <w:sz w:val="20"/>
                <w:szCs w:val="20"/>
              </w:rPr>
              <w:t>Unspent Encumbered Funds</w:t>
            </w:r>
            <w:r>
              <w:rPr>
                <w:rStyle w:val="FootnoteReference"/>
                <w:rFonts w:ascii="Palatino Linotype" w:hAnsi="Palatino Linotype"/>
                <w:b/>
                <w:bCs/>
                <w:sz w:val="20"/>
                <w:szCs w:val="20"/>
              </w:rPr>
              <w:footnoteReference w:id="144"/>
            </w:r>
          </w:p>
        </w:tc>
      </w:tr>
      <w:tr w:rsidR="004A568A" w:rsidTr="007079D0" w14:paraId="58E2DFB9" w14:textId="77777777">
        <w:tc>
          <w:tcPr>
            <w:tcW w:w="1729" w:type="dxa"/>
            <w:vMerge w:val="restart"/>
          </w:tcPr>
          <w:p w:rsidRPr="00891B71" w:rsidR="004A568A" w:rsidP="004A568A" w:rsidRDefault="004A568A" w14:paraId="2F9C4608" w14:textId="77777777">
            <w:pPr>
              <w:rPr>
                <w:rFonts w:ascii="Palatino Linotype" w:hAnsi="Palatino Linotype"/>
                <w:sz w:val="20"/>
                <w:szCs w:val="20"/>
              </w:rPr>
            </w:pPr>
            <w:r>
              <w:rPr>
                <w:rFonts w:ascii="Palatino Linotype" w:hAnsi="Palatino Linotype"/>
                <w:sz w:val="20"/>
                <w:szCs w:val="20"/>
              </w:rPr>
              <w:t>FY 2015-2016</w:t>
            </w:r>
          </w:p>
        </w:tc>
        <w:tc>
          <w:tcPr>
            <w:tcW w:w="4176" w:type="dxa"/>
            <w:vAlign w:val="center"/>
          </w:tcPr>
          <w:p w:rsidRPr="00891B71" w:rsidR="004A568A" w:rsidP="00970AC4" w:rsidRDefault="004A568A" w14:paraId="1937689E" w14:textId="3E931D66">
            <w:pPr>
              <w:rPr>
                <w:rFonts w:ascii="Palatino Linotype" w:hAnsi="Palatino Linotype"/>
                <w:sz w:val="20"/>
                <w:szCs w:val="20"/>
              </w:rPr>
            </w:pPr>
            <w:r w:rsidRPr="00B336DB">
              <w:rPr>
                <w:rFonts w:ascii="Palatino Linotype" w:hAnsi="Palatino Linotype"/>
                <w:sz w:val="20"/>
                <w:szCs w:val="20"/>
              </w:rPr>
              <w:t>Energy Efficiency</w:t>
            </w:r>
            <w:r>
              <w:rPr>
                <w:rFonts w:ascii="Palatino Linotype" w:hAnsi="Palatino Linotype"/>
                <w:sz w:val="20"/>
                <w:szCs w:val="20"/>
              </w:rPr>
              <w:t xml:space="preserve">: </w:t>
            </w:r>
            <w:r w:rsidRPr="00B336DB">
              <w:rPr>
                <w:rFonts w:ascii="Palatino Linotype" w:hAnsi="Palatino Linotype"/>
                <w:sz w:val="20"/>
                <w:szCs w:val="20"/>
              </w:rPr>
              <w:t>Buildings End-Use Energy Efficiency</w:t>
            </w:r>
          </w:p>
        </w:tc>
        <w:tc>
          <w:tcPr>
            <w:tcW w:w="1170" w:type="dxa"/>
            <w:vAlign w:val="center"/>
          </w:tcPr>
          <w:p w:rsidRPr="00891B71" w:rsidR="004A568A" w:rsidP="00970AC4" w:rsidRDefault="004A568A" w14:paraId="7DB5225A"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28F3D64D"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2D710856"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87C61E8" w14:textId="76C5ADE2">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D24405" w:rsidRDefault="004A568A" w14:paraId="6459A634" w14:textId="20CE5B75">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63AC94AA" w14:textId="6B7C824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5E4A065C" w14:textId="745E6F3B">
            <w:pPr>
              <w:jc w:val="right"/>
              <w:rPr>
                <w:rFonts w:ascii="Palatino Linotype" w:hAnsi="Palatino Linotype"/>
                <w:sz w:val="20"/>
                <w:szCs w:val="20"/>
              </w:rPr>
            </w:pPr>
            <w:r>
              <w:rPr>
                <w:rFonts w:ascii="Palatino Linotype" w:hAnsi="Palatino Linotype"/>
                <w:sz w:val="20"/>
                <w:szCs w:val="20"/>
              </w:rPr>
              <w:t>123,052</w:t>
            </w:r>
          </w:p>
        </w:tc>
      </w:tr>
      <w:tr w:rsidR="004A568A" w:rsidTr="007079D0" w14:paraId="7095268A" w14:textId="77777777">
        <w:tc>
          <w:tcPr>
            <w:tcW w:w="1729" w:type="dxa"/>
            <w:vMerge/>
          </w:tcPr>
          <w:p w:rsidRPr="00891B71" w:rsidR="004A568A" w:rsidP="004A568A" w:rsidRDefault="004A568A" w14:paraId="12AD900E" w14:textId="77777777">
            <w:pPr>
              <w:rPr>
                <w:rFonts w:ascii="Palatino Linotype" w:hAnsi="Palatino Linotype"/>
                <w:sz w:val="20"/>
                <w:szCs w:val="20"/>
              </w:rPr>
            </w:pPr>
          </w:p>
        </w:tc>
        <w:tc>
          <w:tcPr>
            <w:tcW w:w="4176" w:type="dxa"/>
            <w:vAlign w:val="center"/>
          </w:tcPr>
          <w:p w:rsidRPr="00891B71" w:rsidR="004A568A" w:rsidP="00970AC4" w:rsidRDefault="004A568A" w14:paraId="277C2661" w14:textId="77777777">
            <w:pPr>
              <w:rPr>
                <w:rFonts w:ascii="Palatino Linotype" w:hAnsi="Palatino Linotype"/>
                <w:sz w:val="20"/>
                <w:szCs w:val="20"/>
              </w:rPr>
            </w:pPr>
            <w:r w:rsidRPr="00B336DB">
              <w:rPr>
                <w:rFonts w:ascii="Palatino Linotype" w:hAnsi="Palatino Linotype"/>
                <w:sz w:val="20"/>
                <w:szCs w:val="20"/>
              </w:rPr>
              <w:t>Renewable Energy and Advanced Generation</w:t>
            </w:r>
          </w:p>
        </w:tc>
        <w:tc>
          <w:tcPr>
            <w:tcW w:w="1170" w:type="dxa"/>
            <w:vAlign w:val="center"/>
          </w:tcPr>
          <w:p w:rsidRPr="00891B71" w:rsidR="004A568A" w:rsidP="00970AC4" w:rsidRDefault="004A568A" w14:paraId="60D9210A"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04D5799E"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0CA754FA"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6A1D393" w14:textId="3637A7FB">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0A73C59A" w14:textId="350BCD4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C92AFE5" w14:textId="229ECC64">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16706310" w14:textId="65DE2BD5">
            <w:pPr>
              <w:jc w:val="right"/>
              <w:rPr>
                <w:rFonts w:ascii="Palatino Linotype" w:hAnsi="Palatino Linotype"/>
                <w:sz w:val="20"/>
                <w:szCs w:val="20"/>
              </w:rPr>
            </w:pPr>
            <w:r>
              <w:rPr>
                <w:rFonts w:ascii="Palatino Linotype" w:hAnsi="Palatino Linotype"/>
                <w:sz w:val="20"/>
                <w:szCs w:val="20"/>
              </w:rPr>
              <w:t>17,757</w:t>
            </w:r>
          </w:p>
        </w:tc>
      </w:tr>
      <w:tr w:rsidR="004A568A" w:rsidTr="007079D0" w14:paraId="6020ACF1" w14:textId="77777777">
        <w:tc>
          <w:tcPr>
            <w:tcW w:w="1729" w:type="dxa"/>
            <w:vMerge/>
          </w:tcPr>
          <w:p w:rsidRPr="00891B71" w:rsidR="004A568A" w:rsidP="004A568A" w:rsidRDefault="004A568A" w14:paraId="24F47226" w14:textId="77777777">
            <w:pPr>
              <w:rPr>
                <w:rFonts w:ascii="Palatino Linotype" w:hAnsi="Palatino Linotype"/>
                <w:sz w:val="20"/>
                <w:szCs w:val="20"/>
              </w:rPr>
            </w:pPr>
          </w:p>
        </w:tc>
        <w:tc>
          <w:tcPr>
            <w:tcW w:w="4176" w:type="dxa"/>
            <w:vAlign w:val="center"/>
          </w:tcPr>
          <w:p w:rsidRPr="00B336DB" w:rsidR="004A568A" w:rsidP="00970AC4" w:rsidRDefault="004A568A" w14:paraId="50CBD294" w14:textId="77777777">
            <w:pPr>
              <w:rPr>
                <w:rFonts w:ascii="Palatino Linotype" w:hAnsi="Palatino Linotype"/>
                <w:sz w:val="20"/>
                <w:szCs w:val="20"/>
              </w:rPr>
            </w:pPr>
            <w:r w:rsidRPr="00B336DB">
              <w:rPr>
                <w:rFonts w:ascii="Palatino Linotype" w:hAnsi="Palatino Linotype"/>
                <w:sz w:val="20"/>
                <w:szCs w:val="20"/>
              </w:rPr>
              <w:t>Natural Gas-Related Transportation</w:t>
            </w:r>
          </w:p>
        </w:tc>
        <w:tc>
          <w:tcPr>
            <w:tcW w:w="1170" w:type="dxa"/>
            <w:vAlign w:val="center"/>
          </w:tcPr>
          <w:p w:rsidRPr="00891B71" w:rsidR="004A568A" w:rsidP="00970AC4" w:rsidRDefault="004A568A" w14:paraId="365A4923"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40B4A798"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6D8E50ED"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13A8093" w14:textId="103423E6">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07C384B8" w14:textId="3F2622A4">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D1F41E7" w14:textId="4113CFB3">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72C73A9E" w14:textId="17447EE5">
            <w:pPr>
              <w:jc w:val="right"/>
              <w:rPr>
                <w:rFonts w:ascii="Palatino Linotype" w:hAnsi="Palatino Linotype"/>
                <w:sz w:val="20"/>
                <w:szCs w:val="20"/>
              </w:rPr>
            </w:pPr>
            <w:r>
              <w:rPr>
                <w:rFonts w:ascii="Palatino Linotype" w:hAnsi="Palatino Linotype"/>
                <w:sz w:val="20"/>
                <w:szCs w:val="20"/>
              </w:rPr>
              <w:t>16,411</w:t>
            </w:r>
          </w:p>
        </w:tc>
      </w:tr>
      <w:tr w:rsidR="004A568A" w:rsidTr="007079D0" w14:paraId="2A9B0A77" w14:textId="77777777">
        <w:tc>
          <w:tcPr>
            <w:tcW w:w="1729" w:type="dxa"/>
            <w:vMerge/>
          </w:tcPr>
          <w:p w:rsidRPr="00891B71" w:rsidR="004A568A" w:rsidP="004A568A" w:rsidRDefault="004A568A" w14:paraId="609788F8" w14:textId="77777777">
            <w:pPr>
              <w:rPr>
                <w:rFonts w:ascii="Palatino Linotype" w:hAnsi="Palatino Linotype"/>
                <w:sz w:val="20"/>
                <w:szCs w:val="20"/>
              </w:rPr>
            </w:pPr>
          </w:p>
        </w:tc>
        <w:tc>
          <w:tcPr>
            <w:tcW w:w="4176" w:type="dxa"/>
            <w:vAlign w:val="center"/>
          </w:tcPr>
          <w:p w:rsidRPr="00891B71" w:rsidR="004A568A" w:rsidP="00970AC4" w:rsidRDefault="004A568A" w14:paraId="306E6FC1" w14:textId="77777777">
            <w:pPr>
              <w:rPr>
                <w:rFonts w:ascii="Palatino Linotype" w:hAnsi="Palatino Linotype"/>
                <w:sz w:val="20"/>
                <w:szCs w:val="20"/>
              </w:rPr>
            </w:pPr>
            <w:r w:rsidRPr="007422E0">
              <w:rPr>
                <w:rFonts w:ascii="Palatino Linotype" w:hAnsi="Palatino Linotype"/>
                <w:sz w:val="20"/>
                <w:szCs w:val="20"/>
              </w:rPr>
              <w:t>Energy-Related Environmental Research</w:t>
            </w:r>
          </w:p>
        </w:tc>
        <w:tc>
          <w:tcPr>
            <w:tcW w:w="1170" w:type="dxa"/>
            <w:vAlign w:val="center"/>
          </w:tcPr>
          <w:p w:rsidRPr="00891B71" w:rsidR="004A568A" w:rsidP="00970AC4" w:rsidRDefault="004A568A" w14:paraId="17C21AE7"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0C8ED6F4"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5ED9099C"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46A9AA08" w14:textId="3B51EE9E">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47527DA3" w14:textId="578FB52B">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4F9091F3" w14:textId="3013E8C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891B71" w:rsidR="004A568A" w:rsidP="00970AC4" w:rsidRDefault="004A568A" w14:paraId="42AAB97F" w14:textId="39C4DBFA">
            <w:pPr>
              <w:jc w:val="right"/>
              <w:rPr>
                <w:rFonts w:ascii="Palatino Linotype" w:hAnsi="Palatino Linotype"/>
                <w:sz w:val="20"/>
                <w:szCs w:val="20"/>
              </w:rPr>
            </w:pPr>
            <w:r>
              <w:rPr>
                <w:rFonts w:ascii="Palatino Linotype" w:hAnsi="Palatino Linotype"/>
                <w:sz w:val="20"/>
                <w:szCs w:val="20"/>
              </w:rPr>
              <w:t>11,482</w:t>
            </w:r>
          </w:p>
        </w:tc>
      </w:tr>
      <w:tr w:rsidR="004A568A" w:rsidTr="007079D0" w14:paraId="73473F69" w14:textId="77777777">
        <w:tc>
          <w:tcPr>
            <w:tcW w:w="1729" w:type="dxa"/>
            <w:vMerge/>
          </w:tcPr>
          <w:p w:rsidRPr="00891B71" w:rsidR="004A568A" w:rsidP="004A568A" w:rsidRDefault="004A568A" w14:paraId="18ED3C18" w14:textId="77777777">
            <w:pPr>
              <w:rPr>
                <w:rFonts w:ascii="Palatino Linotype" w:hAnsi="Palatino Linotype"/>
                <w:sz w:val="20"/>
                <w:szCs w:val="20"/>
              </w:rPr>
            </w:pPr>
          </w:p>
        </w:tc>
        <w:tc>
          <w:tcPr>
            <w:tcW w:w="4176" w:type="dxa"/>
            <w:vAlign w:val="center"/>
          </w:tcPr>
          <w:p w:rsidRPr="007422E0" w:rsidR="004A568A" w:rsidP="00970AC4" w:rsidRDefault="004A568A" w14:paraId="6027156C" w14:textId="77777777">
            <w:pPr>
              <w:rPr>
                <w:rFonts w:ascii="Palatino Linotype" w:hAnsi="Palatino Linotype"/>
                <w:sz w:val="20"/>
                <w:szCs w:val="20"/>
              </w:rPr>
            </w:pPr>
            <w:r w:rsidRPr="00432614">
              <w:rPr>
                <w:rFonts w:ascii="Palatino Linotype" w:hAnsi="Palatino Linotype"/>
                <w:sz w:val="20"/>
                <w:szCs w:val="20"/>
              </w:rPr>
              <w:t>Natural Gas Pipeline Integrity</w:t>
            </w:r>
          </w:p>
        </w:tc>
        <w:tc>
          <w:tcPr>
            <w:tcW w:w="1170" w:type="dxa"/>
            <w:vAlign w:val="center"/>
          </w:tcPr>
          <w:p w:rsidRPr="00891B71" w:rsidR="004A568A" w:rsidP="00970AC4" w:rsidRDefault="004A568A" w14:paraId="566DAC9F" w14:textId="77777777">
            <w:pPr>
              <w:rPr>
                <w:rFonts w:ascii="Palatino Linotype" w:hAnsi="Palatino Linotype"/>
                <w:sz w:val="20"/>
                <w:szCs w:val="20"/>
              </w:rPr>
            </w:pPr>
            <w:r>
              <w:rPr>
                <w:rFonts w:ascii="Palatino Linotype" w:hAnsi="Palatino Linotype"/>
                <w:sz w:val="20"/>
                <w:szCs w:val="20"/>
              </w:rPr>
              <w:t>06/25/2015</w:t>
            </w:r>
          </w:p>
        </w:tc>
        <w:tc>
          <w:tcPr>
            <w:tcW w:w="1530" w:type="dxa"/>
            <w:vAlign w:val="center"/>
          </w:tcPr>
          <w:p w:rsidRPr="00891B71" w:rsidR="004A568A" w:rsidP="00970AC4" w:rsidRDefault="004A568A" w14:paraId="4884282D" w14:textId="77777777">
            <w:pPr>
              <w:rPr>
                <w:rFonts w:ascii="Palatino Linotype" w:hAnsi="Palatino Linotype"/>
                <w:sz w:val="20"/>
                <w:szCs w:val="20"/>
              </w:rPr>
            </w:pPr>
            <w:r>
              <w:rPr>
                <w:rFonts w:ascii="Palatino Linotype" w:hAnsi="Palatino Linotype"/>
                <w:sz w:val="20"/>
                <w:szCs w:val="20"/>
              </w:rPr>
              <w:t>06/25/2017</w:t>
            </w:r>
          </w:p>
        </w:tc>
        <w:tc>
          <w:tcPr>
            <w:tcW w:w="1380" w:type="dxa"/>
            <w:tcBorders>
              <w:right w:val="single" w:color="auto" w:sz="4" w:space="0"/>
            </w:tcBorders>
            <w:vAlign w:val="center"/>
          </w:tcPr>
          <w:p w:rsidRPr="00891B71" w:rsidR="004A568A" w:rsidP="00970AC4" w:rsidRDefault="004A568A" w14:paraId="11062D14" w14:textId="77777777">
            <w:pPr>
              <w:rPr>
                <w:rFonts w:ascii="Palatino Linotype" w:hAnsi="Palatino Linotype"/>
                <w:sz w:val="20"/>
                <w:szCs w:val="20"/>
              </w:rPr>
            </w:pPr>
            <w:r>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A6C2AB6" w14:textId="513C08D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891B71" w:rsidR="004A568A" w:rsidP="004A568A" w:rsidRDefault="004A568A" w14:paraId="34FC0CDE" w14:textId="02C1957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864F172" w14:textId="06D629EF">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48667C1" w14:textId="5037D5EB">
            <w:pPr>
              <w:jc w:val="right"/>
              <w:rPr>
                <w:rFonts w:ascii="Palatino Linotype" w:hAnsi="Palatino Linotype"/>
                <w:sz w:val="20"/>
                <w:szCs w:val="20"/>
              </w:rPr>
            </w:pPr>
            <w:r>
              <w:rPr>
                <w:rFonts w:ascii="Palatino Linotype" w:hAnsi="Palatino Linotype"/>
                <w:sz w:val="20"/>
                <w:szCs w:val="20"/>
              </w:rPr>
              <w:t>305,349</w:t>
            </w:r>
          </w:p>
        </w:tc>
      </w:tr>
      <w:tr w:rsidR="004A568A" w:rsidTr="007079D0" w14:paraId="6C5CBD4A" w14:textId="77777777">
        <w:tc>
          <w:tcPr>
            <w:tcW w:w="1729" w:type="dxa"/>
          </w:tcPr>
          <w:p w:rsidRPr="00891B71" w:rsidR="004A568A" w:rsidP="004A568A" w:rsidRDefault="004A568A" w14:paraId="0F58995B" w14:textId="77777777">
            <w:pPr>
              <w:rPr>
                <w:rFonts w:ascii="Palatino Linotype" w:hAnsi="Palatino Linotype"/>
                <w:sz w:val="20"/>
                <w:szCs w:val="20"/>
              </w:rPr>
            </w:pPr>
            <w:r>
              <w:rPr>
                <w:rFonts w:ascii="Palatino Linotype" w:hAnsi="Palatino Linotype"/>
                <w:sz w:val="20"/>
                <w:szCs w:val="20"/>
              </w:rPr>
              <w:t>FY 2015-2016 Supplemental</w:t>
            </w:r>
          </w:p>
        </w:tc>
        <w:tc>
          <w:tcPr>
            <w:tcW w:w="4176" w:type="dxa"/>
            <w:vAlign w:val="center"/>
          </w:tcPr>
          <w:p w:rsidRPr="00432614" w:rsidR="004A568A" w:rsidP="00970AC4" w:rsidRDefault="004A568A" w14:paraId="54FFF56D" w14:textId="77777777">
            <w:pPr>
              <w:rPr>
                <w:rFonts w:ascii="Palatino Linotype" w:hAnsi="Palatino Linotype"/>
                <w:sz w:val="20"/>
                <w:szCs w:val="20"/>
              </w:rPr>
            </w:pPr>
            <w:r w:rsidRPr="007422E0">
              <w:rPr>
                <w:rFonts w:ascii="Palatino Linotype" w:hAnsi="Palatino Linotype"/>
                <w:sz w:val="20"/>
                <w:szCs w:val="20"/>
              </w:rPr>
              <w:t>Energy-Related Environmental Research</w:t>
            </w:r>
          </w:p>
        </w:tc>
        <w:tc>
          <w:tcPr>
            <w:tcW w:w="1170" w:type="dxa"/>
            <w:vAlign w:val="center"/>
          </w:tcPr>
          <w:p w:rsidRPr="00891B71" w:rsidR="004A568A" w:rsidP="00970AC4" w:rsidRDefault="004A568A" w14:paraId="7A77275E" w14:textId="77777777">
            <w:pPr>
              <w:rPr>
                <w:rFonts w:ascii="Palatino Linotype" w:hAnsi="Palatino Linotype"/>
                <w:sz w:val="20"/>
                <w:szCs w:val="20"/>
              </w:rPr>
            </w:pPr>
            <w:r>
              <w:rPr>
                <w:rFonts w:ascii="Palatino Linotype" w:hAnsi="Palatino Linotype"/>
                <w:sz w:val="20"/>
                <w:szCs w:val="20"/>
              </w:rPr>
              <w:t>12/03/2015</w:t>
            </w:r>
          </w:p>
        </w:tc>
        <w:tc>
          <w:tcPr>
            <w:tcW w:w="1530" w:type="dxa"/>
            <w:vAlign w:val="center"/>
          </w:tcPr>
          <w:p w:rsidRPr="00891B71" w:rsidR="004A568A" w:rsidP="00970AC4" w:rsidRDefault="004A568A" w14:paraId="482E3A02" w14:textId="77777777">
            <w:pPr>
              <w:rPr>
                <w:rFonts w:ascii="Palatino Linotype" w:hAnsi="Palatino Linotype"/>
                <w:sz w:val="20"/>
                <w:szCs w:val="20"/>
              </w:rPr>
            </w:pPr>
            <w:r>
              <w:rPr>
                <w:rFonts w:ascii="Palatino Linotype" w:hAnsi="Palatino Linotype"/>
                <w:sz w:val="20"/>
                <w:szCs w:val="20"/>
              </w:rPr>
              <w:t>12/03/2017</w:t>
            </w:r>
          </w:p>
        </w:tc>
        <w:tc>
          <w:tcPr>
            <w:tcW w:w="1380" w:type="dxa"/>
            <w:tcBorders>
              <w:right w:val="single" w:color="auto" w:sz="4" w:space="0"/>
            </w:tcBorders>
            <w:vAlign w:val="center"/>
          </w:tcPr>
          <w:p w:rsidRPr="00891B71" w:rsidR="004A568A" w:rsidP="00970AC4" w:rsidRDefault="004A568A" w14:paraId="3074381E" w14:textId="77777777">
            <w:pPr>
              <w:rPr>
                <w:rFonts w:ascii="Palatino Linotype" w:hAnsi="Palatino Linotype"/>
                <w:sz w:val="20"/>
                <w:szCs w:val="20"/>
              </w:rPr>
            </w:pPr>
            <w:r>
              <w:rPr>
                <w:rFonts w:ascii="Palatino Linotype" w:hAnsi="Palatino Linotype"/>
                <w:sz w:val="20"/>
                <w:szCs w:val="20"/>
              </w:rPr>
              <w:t>12/03/2021</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AB4C000" w14:textId="072C6AC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599A51F" w14:textId="369B66C0">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626E9AF8" w14:textId="6113712A">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2608861" w14:textId="091678E2">
            <w:pPr>
              <w:jc w:val="right"/>
              <w:rPr>
                <w:rFonts w:ascii="Palatino Linotype" w:hAnsi="Palatino Linotype"/>
                <w:sz w:val="20"/>
                <w:szCs w:val="20"/>
              </w:rPr>
            </w:pPr>
            <w:r w:rsidRPr="009E3FA3">
              <w:rPr>
                <w:rFonts w:ascii="Palatino Linotype" w:hAnsi="Palatino Linotype"/>
                <w:sz w:val="20"/>
                <w:szCs w:val="20"/>
              </w:rPr>
              <w:t>188</w:t>
            </w:r>
            <w:r>
              <w:rPr>
                <w:rFonts w:ascii="Palatino Linotype" w:hAnsi="Palatino Linotype"/>
                <w:sz w:val="20"/>
                <w:szCs w:val="20"/>
              </w:rPr>
              <w:t>,</w:t>
            </w:r>
            <w:r w:rsidRPr="009E3FA3">
              <w:rPr>
                <w:rFonts w:ascii="Palatino Linotype" w:hAnsi="Palatino Linotype"/>
                <w:sz w:val="20"/>
                <w:szCs w:val="20"/>
              </w:rPr>
              <w:t>333</w:t>
            </w:r>
          </w:p>
        </w:tc>
      </w:tr>
      <w:tr w:rsidR="004A568A" w:rsidTr="007079D0" w14:paraId="591A9161" w14:textId="77777777">
        <w:tc>
          <w:tcPr>
            <w:tcW w:w="1729" w:type="dxa"/>
            <w:vMerge w:val="restart"/>
          </w:tcPr>
          <w:p w:rsidR="004A568A" w:rsidP="004A568A" w:rsidRDefault="004A568A" w14:paraId="3CD6A7BC" w14:textId="77777777">
            <w:pPr>
              <w:rPr>
                <w:rFonts w:ascii="Palatino Linotype" w:hAnsi="Palatino Linotype"/>
                <w:sz w:val="20"/>
                <w:szCs w:val="20"/>
              </w:rPr>
            </w:pPr>
            <w:r>
              <w:rPr>
                <w:rFonts w:ascii="Palatino Linotype" w:hAnsi="Palatino Linotype"/>
                <w:sz w:val="20"/>
                <w:szCs w:val="20"/>
              </w:rPr>
              <w:t>FY 2016-2017</w:t>
            </w:r>
          </w:p>
        </w:tc>
        <w:tc>
          <w:tcPr>
            <w:tcW w:w="4176" w:type="dxa"/>
            <w:vAlign w:val="center"/>
          </w:tcPr>
          <w:p w:rsidRPr="007422E0" w:rsidR="004A568A" w:rsidP="00970AC4" w:rsidRDefault="004A568A" w14:paraId="11EDA7D9" w14:textId="2CDBB722">
            <w:pPr>
              <w:rPr>
                <w:rFonts w:ascii="Palatino Linotype" w:hAnsi="Palatino Linotype"/>
                <w:sz w:val="20"/>
                <w:szCs w:val="20"/>
              </w:rPr>
            </w:pPr>
            <w:r w:rsidRPr="00563D8D">
              <w:rPr>
                <w:rFonts w:ascii="Palatino Linotype" w:hAnsi="Palatino Linotype"/>
                <w:sz w:val="20"/>
                <w:szCs w:val="20"/>
              </w:rPr>
              <w:t>Energy Efficienc</w:t>
            </w:r>
            <w:r>
              <w:rPr>
                <w:rFonts w:ascii="Palatino Linotype" w:hAnsi="Palatino Linotype"/>
                <w:sz w:val="20"/>
                <w:szCs w:val="20"/>
              </w:rPr>
              <w:t xml:space="preserve">y: </w:t>
            </w:r>
            <w:r w:rsidRPr="00563D8D">
              <w:rPr>
                <w:rFonts w:ascii="Palatino Linotype" w:hAnsi="Palatino Linotype"/>
                <w:sz w:val="20"/>
                <w:szCs w:val="20"/>
              </w:rPr>
              <w:t>Industrial, Agriculture, and Water Efficiency</w:t>
            </w:r>
          </w:p>
        </w:tc>
        <w:tc>
          <w:tcPr>
            <w:tcW w:w="1170" w:type="dxa"/>
            <w:vAlign w:val="center"/>
          </w:tcPr>
          <w:p w:rsidR="004A568A" w:rsidP="00970AC4" w:rsidRDefault="004A568A" w14:paraId="654CED6C" w14:textId="77777777">
            <w:pPr>
              <w:rPr>
                <w:rFonts w:ascii="Palatino Linotype" w:hAnsi="Palatino Linotype"/>
                <w:sz w:val="20"/>
                <w:szCs w:val="20"/>
              </w:rPr>
            </w:pPr>
            <w:r>
              <w:rPr>
                <w:rFonts w:ascii="Palatino Linotype" w:hAnsi="Palatino Linotype"/>
                <w:sz w:val="20"/>
                <w:szCs w:val="20"/>
              </w:rPr>
              <w:t>09/30/2016</w:t>
            </w:r>
          </w:p>
        </w:tc>
        <w:tc>
          <w:tcPr>
            <w:tcW w:w="1530" w:type="dxa"/>
            <w:vAlign w:val="center"/>
          </w:tcPr>
          <w:p w:rsidR="004A568A" w:rsidP="00970AC4" w:rsidRDefault="004A568A" w14:paraId="533D2DE9" w14:textId="77777777">
            <w:pPr>
              <w:rPr>
                <w:rFonts w:ascii="Palatino Linotype" w:hAnsi="Palatino Linotype"/>
                <w:sz w:val="20"/>
                <w:szCs w:val="20"/>
              </w:rPr>
            </w:pPr>
            <w:r>
              <w:rPr>
                <w:rFonts w:ascii="Palatino Linotype" w:hAnsi="Palatino Linotype"/>
                <w:sz w:val="20"/>
                <w:szCs w:val="20"/>
              </w:rPr>
              <w:t>09/30/2018</w:t>
            </w:r>
          </w:p>
        </w:tc>
        <w:tc>
          <w:tcPr>
            <w:tcW w:w="1380" w:type="dxa"/>
            <w:tcBorders>
              <w:right w:val="single" w:color="auto" w:sz="4" w:space="0"/>
            </w:tcBorders>
            <w:vAlign w:val="center"/>
          </w:tcPr>
          <w:p w:rsidR="004A568A" w:rsidP="00970AC4" w:rsidRDefault="004A568A" w14:paraId="6D173023" w14:textId="77777777">
            <w:pPr>
              <w:rPr>
                <w:rFonts w:ascii="Palatino Linotype" w:hAnsi="Palatino Linotype"/>
                <w:sz w:val="20"/>
                <w:szCs w:val="20"/>
              </w:rPr>
            </w:pPr>
            <w:r>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33CFF62" w14:textId="4E0987D2">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D9EAF85" w14:textId="6DCB9837">
            <w:pPr>
              <w:jc w:val="right"/>
              <w:rPr>
                <w:rFonts w:ascii="Palatino Linotype" w:hAnsi="Palatino Linotype"/>
                <w:sz w:val="20"/>
                <w:szCs w:val="20"/>
              </w:rPr>
            </w:pPr>
            <w:r>
              <w:rPr>
                <w:rFonts w:ascii="Palatino Linotype" w:hAnsi="Palatino Linotype"/>
                <w:sz w:val="20"/>
                <w:szCs w:val="20"/>
              </w:rPr>
              <w:t>543,673</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C55C61E" w14:textId="41E95311">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BC03E15" w14:textId="3E2827C8">
            <w:pPr>
              <w:jc w:val="right"/>
              <w:rPr>
                <w:rFonts w:ascii="Palatino Linotype" w:hAnsi="Palatino Linotype"/>
                <w:sz w:val="20"/>
                <w:szCs w:val="20"/>
              </w:rPr>
            </w:pPr>
            <w:r>
              <w:rPr>
                <w:rFonts w:ascii="Palatino Linotype" w:hAnsi="Palatino Linotype"/>
                <w:sz w:val="20"/>
                <w:szCs w:val="20"/>
              </w:rPr>
              <w:t>279,667</w:t>
            </w:r>
          </w:p>
        </w:tc>
      </w:tr>
      <w:tr w:rsidR="004A568A" w:rsidTr="007079D0" w14:paraId="6F5F0EE4" w14:textId="77777777">
        <w:tc>
          <w:tcPr>
            <w:tcW w:w="1729" w:type="dxa"/>
            <w:vMerge/>
          </w:tcPr>
          <w:p w:rsidR="004A568A" w:rsidP="004A568A" w:rsidRDefault="004A568A" w14:paraId="6B4829B3" w14:textId="77777777">
            <w:pPr>
              <w:rPr>
                <w:rFonts w:ascii="Palatino Linotype" w:hAnsi="Palatino Linotype"/>
                <w:sz w:val="20"/>
                <w:szCs w:val="20"/>
              </w:rPr>
            </w:pPr>
          </w:p>
        </w:tc>
        <w:tc>
          <w:tcPr>
            <w:tcW w:w="4176" w:type="dxa"/>
            <w:vAlign w:val="center"/>
          </w:tcPr>
          <w:p w:rsidRPr="007422E0" w:rsidR="004A568A" w:rsidP="00970AC4" w:rsidRDefault="004A568A" w14:paraId="4A74B4B5" w14:textId="77777777">
            <w:pPr>
              <w:rPr>
                <w:rFonts w:ascii="Palatino Linotype" w:hAnsi="Palatino Linotype"/>
                <w:sz w:val="20"/>
                <w:szCs w:val="20"/>
              </w:rPr>
            </w:pPr>
            <w:r w:rsidRPr="00563D8D">
              <w:rPr>
                <w:rFonts w:ascii="Palatino Linotype" w:hAnsi="Palatino Linotype"/>
                <w:sz w:val="20"/>
                <w:szCs w:val="20"/>
              </w:rPr>
              <w:t>Renewable Energy and Advanced Generation</w:t>
            </w:r>
          </w:p>
        </w:tc>
        <w:tc>
          <w:tcPr>
            <w:tcW w:w="1170" w:type="dxa"/>
            <w:vAlign w:val="center"/>
          </w:tcPr>
          <w:p w:rsidR="004A568A" w:rsidP="00970AC4" w:rsidRDefault="004A568A" w14:paraId="7A45672E" w14:textId="77777777">
            <w:pPr>
              <w:rPr>
                <w:rFonts w:ascii="Palatino Linotype" w:hAnsi="Palatino Linotype"/>
                <w:sz w:val="20"/>
                <w:szCs w:val="20"/>
              </w:rPr>
            </w:pPr>
            <w:r>
              <w:rPr>
                <w:rFonts w:ascii="Palatino Linotype" w:hAnsi="Palatino Linotype"/>
                <w:sz w:val="20"/>
                <w:szCs w:val="20"/>
              </w:rPr>
              <w:t>09/30/2016</w:t>
            </w:r>
          </w:p>
        </w:tc>
        <w:tc>
          <w:tcPr>
            <w:tcW w:w="1530" w:type="dxa"/>
            <w:vAlign w:val="center"/>
          </w:tcPr>
          <w:p w:rsidR="004A568A" w:rsidP="00970AC4" w:rsidRDefault="004A568A" w14:paraId="53945156" w14:textId="77777777">
            <w:pPr>
              <w:rPr>
                <w:rFonts w:ascii="Palatino Linotype" w:hAnsi="Palatino Linotype"/>
                <w:sz w:val="20"/>
                <w:szCs w:val="20"/>
              </w:rPr>
            </w:pPr>
            <w:r>
              <w:rPr>
                <w:rFonts w:ascii="Palatino Linotype" w:hAnsi="Palatino Linotype"/>
                <w:sz w:val="20"/>
                <w:szCs w:val="20"/>
              </w:rPr>
              <w:t>09/30/2018</w:t>
            </w:r>
          </w:p>
        </w:tc>
        <w:tc>
          <w:tcPr>
            <w:tcW w:w="1380" w:type="dxa"/>
            <w:tcBorders>
              <w:right w:val="single" w:color="auto" w:sz="4" w:space="0"/>
            </w:tcBorders>
            <w:vAlign w:val="center"/>
          </w:tcPr>
          <w:p w:rsidR="004A568A" w:rsidP="00970AC4" w:rsidRDefault="004A568A" w14:paraId="7C01335E" w14:textId="77777777">
            <w:pPr>
              <w:rPr>
                <w:rFonts w:ascii="Palatino Linotype" w:hAnsi="Palatino Linotype"/>
                <w:sz w:val="20"/>
                <w:szCs w:val="20"/>
              </w:rPr>
            </w:pPr>
            <w:r>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43FFEF8" w14:textId="5EAC653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551CA943" w14:textId="4E42A548">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ED5CD42" w14:textId="2F2481DA">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79662F4" w14:textId="258AE78B">
            <w:pPr>
              <w:jc w:val="right"/>
              <w:rPr>
                <w:rFonts w:ascii="Palatino Linotype" w:hAnsi="Palatino Linotype"/>
                <w:sz w:val="20"/>
                <w:szCs w:val="20"/>
              </w:rPr>
            </w:pPr>
            <w:r>
              <w:rPr>
                <w:rFonts w:ascii="Palatino Linotype" w:hAnsi="Palatino Linotype"/>
                <w:sz w:val="20"/>
                <w:szCs w:val="20"/>
              </w:rPr>
              <w:t>390,680</w:t>
            </w:r>
          </w:p>
        </w:tc>
      </w:tr>
      <w:tr w:rsidR="004A568A" w:rsidTr="007079D0" w14:paraId="5129341C" w14:textId="77777777">
        <w:tc>
          <w:tcPr>
            <w:tcW w:w="1729" w:type="dxa"/>
            <w:vMerge/>
          </w:tcPr>
          <w:p w:rsidR="004A568A" w:rsidP="004A568A" w:rsidRDefault="004A568A" w14:paraId="2CCB4261" w14:textId="77777777">
            <w:pPr>
              <w:rPr>
                <w:rFonts w:ascii="Palatino Linotype" w:hAnsi="Palatino Linotype"/>
                <w:sz w:val="20"/>
                <w:szCs w:val="20"/>
              </w:rPr>
            </w:pPr>
          </w:p>
        </w:tc>
        <w:tc>
          <w:tcPr>
            <w:tcW w:w="4176" w:type="dxa"/>
            <w:vAlign w:val="center"/>
          </w:tcPr>
          <w:p w:rsidRPr="007422E0" w:rsidR="004A568A" w:rsidP="00970AC4" w:rsidRDefault="004A568A" w14:paraId="0CBE5F54" w14:textId="77777777">
            <w:pPr>
              <w:rPr>
                <w:rFonts w:ascii="Palatino Linotype" w:hAnsi="Palatino Linotype"/>
                <w:sz w:val="20"/>
                <w:szCs w:val="20"/>
              </w:rPr>
            </w:pPr>
            <w:r w:rsidRPr="00563D8D">
              <w:rPr>
                <w:rFonts w:ascii="Palatino Linotype" w:hAnsi="Palatino Linotype"/>
                <w:sz w:val="20"/>
                <w:szCs w:val="20"/>
              </w:rPr>
              <w:t>Natural Gas-Related Transportation</w:t>
            </w:r>
          </w:p>
        </w:tc>
        <w:tc>
          <w:tcPr>
            <w:tcW w:w="1170" w:type="dxa"/>
            <w:vAlign w:val="center"/>
          </w:tcPr>
          <w:p w:rsidR="004A568A" w:rsidP="00970AC4" w:rsidRDefault="004A568A" w14:paraId="7E5BD60E" w14:textId="77777777">
            <w:pPr>
              <w:rPr>
                <w:rFonts w:ascii="Palatino Linotype" w:hAnsi="Palatino Linotype"/>
                <w:sz w:val="20"/>
                <w:szCs w:val="20"/>
              </w:rPr>
            </w:pPr>
            <w:r>
              <w:rPr>
                <w:rFonts w:ascii="Palatino Linotype" w:hAnsi="Palatino Linotype"/>
                <w:sz w:val="20"/>
                <w:szCs w:val="20"/>
              </w:rPr>
              <w:t>09/30/2016</w:t>
            </w:r>
          </w:p>
        </w:tc>
        <w:tc>
          <w:tcPr>
            <w:tcW w:w="1530" w:type="dxa"/>
            <w:vAlign w:val="center"/>
          </w:tcPr>
          <w:p w:rsidR="004A568A" w:rsidP="00970AC4" w:rsidRDefault="004A568A" w14:paraId="242FCE4D" w14:textId="77777777">
            <w:pPr>
              <w:rPr>
                <w:rFonts w:ascii="Palatino Linotype" w:hAnsi="Palatino Linotype"/>
                <w:sz w:val="20"/>
                <w:szCs w:val="20"/>
              </w:rPr>
            </w:pPr>
            <w:r>
              <w:rPr>
                <w:rFonts w:ascii="Palatino Linotype" w:hAnsi="Palatino Linotype"/>
                <w:sz w:val="20"/>
                <w:szCs w:val="20"/>
              </w:rPr>
              <w:t>09/30/2018</w:t>
            </w:r>
          </w:p>
        </w:tc>
        <w:tc>
          <w:tcPr>
            <w:tcW w:w="1380" w:type="dxa"/>
            <w:tcBorders>
              <w:right w:val="single" w:color="auto" w:sz="4" w:space="0"/>
            </w:tcBorders>
            <w:vAlign w:val="center"/>
          </w:tcPr>
          <w:p w:rsidR="004A568A" w:rsidP="00970AC4" w:rsidRDefault="004A568A" w14:paraId="590A1326" w14:textId="77777777">
            <w:pPr>
              <w:rPr>
                <w:rFonts w:ascii="Palatino Linotype" w:hAnsi="Palatino Linotype"/>
                <w:sz w:val="20"/>
                <w:szCs w:val="20"/>
              </w:rPr>
            </w:pPr>
            <w:r>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00CA06B" w14:textId="16B3FEB2">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28D74F7" w14:textId="45544E0A">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3006B6E" w14:textId="26965765">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7CD119B" w14:textId="5CE188B3">
            <w:pPr>
              <w:jc w:val="right"/>
              <w:rPr>
                <w:rFonts w:ascii="Palatino Linotype" w:hAnsi="Palatino Linotype"/>
                <w:sz w:val="20"/>
                <w:szCs w:val="20"/>
              </w:rPr>
            </w:pPr>
            <w:r>
              <w:rPr>
                <w:rFonts w:ascii="Palatino Linotype" w:hAnsi="Palatino Linotype"/>
                <w:sz w:val="20"/>
                <w:szCs w:val="20"/>
              </w:rPr>
              <w:t>1,235</w:t>
            </w:r>
          </w:p>
        </w:tc>
      </w:tr>
      <w:tr w:rsidR="004A568A" w:rsidTr="007079D0" w14:paraId="79069C7F" w14:textId="77777777">
        <w:tc>
          <w:tcPr>
            <w:tcW w:w="1729" w:type="dxa"/>
          </w:tcPr>
          <w:p w:rsidR="004A568A" w:rsidP="004A568A" w:rsidRDefault="004A568A" w14:paraId="34C0F6FB" w14:textId="77777777">
            <w:pPr>
              <w:rPr>
                <w:rFonts w:ascii="Palatino Linotype" w:hAnsi="Palatino Linotype"/>
                <w:sz w:val="20"/>
                <w:szCs w:val="20"/>
              </w:rPr>
            </w:pPr>
            <w:r>
              <w:rPr>
                <w:rFonts w:ascii="Palatino Linotype" w:hAnsi="Palatino Linotype"/>
                <w:sz w:val="20"/>
                <w:szCs w:val="20"/>
              </w:rPr>
              <w:t>FY 2016-2017 Supplemental</w:t>
            </w:r>
          </w:p>
        </w:tc>
        <w:tc>
          <w:tcPr>
            <w:tcW w:w="4176" w:type="dxa"/>
            <w:vAlign w:val="center"/>
          </w:tcPr>
          <w:p w:rsidRPr="007422E0" w:rsidR="004A568A" w:rsidP="00970AC4" w:rsidRDefault="004A568A" w14:paraId="69CFC8BB" w14:textId="77777777">
            <w:pPr>
              <w:rPr>
                <w:rFonts w:ascii="Palatino Linotype" w:hAnsi="Palatino Linotype"/>
                <w:sz w:val="20"/>
                <w:szCs w:val="20"/>
              </w:rPr>
            </w:pPr>
            <w:r w:rsidRPr="0049052C">
              <w:rPr>
                <w:rFonts w:ascii="Palatino Linotype" w:hAnsi="Palatino Linotype"/>
                <w:sz w:val="20"/>
                <w:szCs w:val="20"/>
              </w:rPr>
              <w:t>Energy-Related Environmental Research</w:t>
            </w:r>
          </w:p>
        </w:tc>
        <w:tc>
          <w:tcPr>
            <w:tcW w:w="1170" w:type="dxa"/>
            <w:vAlign w:val="center"/>
          </w:tcPr>
          <w:p w:rsidR="004A568A" w:rsidP="00970AC4" w:rsidRDefault="004A568A" w14:paraId="6354AE0F" w14:textId="77777777">
            <w:pPr>
              <w:rPr>
                <w:rFonts w:ascii="Palatino Linotype" w:hAnsi="Palatino Linotype"/>
                <w:sz w:val="20"/>
                <w:szCs w:val="20"/>
              </w:rPr>
            </w:pPr>
            <w:r>
              <w:rPr>
                <w:rFonts w:ascii="Palatino Linotype" w:hAnsi="Palatino Linotype"/>
                <w:sz w:val="20"/>
                <w:szCs w:val="20"/>
              </w:rPr>
              <w:t>04/27/2017</w:t>
            </w:r>
          </w:p>
        </w:tc>
        <w:tc>
          <w:tcPr>
            <w:tcW w:w="1530" w:type="dxa"/>
            <w:vAlign w:val="center"/>
          </w:tcPr>
          <w:p w:rsidR="004A568A" w:rsidP="00970AC4" w:rsidRDefault="004A568A" w14:paraId="42A66684" w14:textId="77777777">
            <w:pPr>
              <w:rPr>
                <w:rFonts w:ascii="Palatino Linotype" w:hAnsi="Palatino Linotype"/>
                <w:sz w:val="20"/>
                <w:szCs w:val="20"/>
              </w:rPr>
            </w:pPr>
            <w:r>
              <w:rPr>
                <w:rFonts w:ascii="Palatino Linotype" w:hAnsi="Palatino Linotype"/>
                <w:sz w:val="20"/>
                <w:szCs w:val="20"/>
              </w:rPr>
              <w:t>04/27/2019</w:t>
            </w:r>
          </w:p>
        </w:tc>
        <w:tc>
          <w:tcPr>
            <w:tcW w:w="1380" w:type="dxa"/>
            <w:tcBorders>
              <w:right w:val="single" w:color="auto" w:sz="4" w:space="0"/>
            </w:tcBorders>
            <w:vAlign w:val="center"/>
          </w:tcPr>
          <w:p w:rsidR="004A568A" w:rsidP="00970AC4" w:rsidRDefault="004A568A" w14:paraId="04B7B378" w14:textId="77777777">
            <w:pPr>
              <w:rPr>
                <w:rFonts w:ascii="Palatino Linotype" w:hAnsi="Palatino Linotype"/>
                <w:sz w:val="20"/>
                <w:szCs w:val="20"/>
              </w:rPr>
            </w:pPr>
            <w:r>
              <w:rPr>
                <w:rFonts w:ascii="Palatino Linotype" w:hAnsi="Palatino Linotype"/>
                <w:sz w:val="20"/>
                <w:szCs w:val="20"/>
              </w:rPr>
              <w:t>04/27/2023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BAE25C9" w14:textId="123EB4FB">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166CAA15" w14:textId="76EEE1AB">
            <w:pPr>
              <w:jc w:val="right"/>
              <w:rPr>
                <w:rFonts w:ascii="Palatino Linotype" w:hAnsi="Palatino Linotype"/>
                <w:sz w:val="20"/>
                <w:szCs w:val="20"/>
              </w:rPr>
            </w:pPr>
            <w:r>
              <w:rPr>
                <w:rFonts w:ascii="Palatino Linotype" w:hAnsi="Palatino Linotype"/>
                <w:sz w:val="20"/>
                <w:szCs w:val="20"/>
              </w:rPr>
              <w:t>22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182819B" w14:textId="70A3974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1C5B6E7" w14:textId="534626A0">
            <w:pPr>
              <w:jc w:val="right"/>
              <w:rPr>
                <w:rFonts w:ascii="Palatino Linotype" w:hAnsi="Palatino Linotype"/>
                <w:sz w:val="20"/>
                <w:szCs w:val="20"/>
              </w:rPr>
            </w:pPr>
            <w:r>
              <w:rPr>
                <w:rFonts w:ascii="Palatino Linotype" w:hAnsi="Palatino Linotype"/>
                <w:sz w:val="20"/>
                <w:szCs w:val="20"/>
              </w:rPr>
              <w:t>44,546</w:t>
            </w:r>
          </w:p>
        </w:tc>
      </w:tr>
      <w:tr w:rsidR="004A568A" w:rsidTr="007079D0" w14:paraId="6A8A4EA1" w14:textId="77777777">
        <w:tc>
          <w:tcPr>
            <w:tcW w:w="1729" w:type="dxa"/>
            <w:vMerge w:val="restart"/>
          </w:tcPr>
          <w:p w:rsidR="004A568A" w:rsidP="004A568A" w:rsidRDefault="004A568A" w14:paraId="0DAEB983" w14:textId="77777777">
            <w:pPr>
              <w:rPr>
                <w:rFonts w:ascii="Palatino Linotype" w:hAnsi="Palatino Linotype"/>
                <w:sz w:val="20"/>
                <w:szCs w:val="20"/>
              </w:rPr>
            </w:pPr>
            <w:r>
              <w:rPr>
                <w:rFonts w:ascii="Palatino Linotype" w:hAnsi="Palatino Linotype"/>
                <w:sz w:val="20"/>
                <w:szCs w:val="20"/>
              </w:rPr>
              <w:t>FY 2017-2018</w:t>
            </w:r>
          </w:p>
        </w:tc>
        <w:tc>
          <w:tcPr>
            <w:tcW w:w="4176" w:type="dxa"/>
            <w:vAlign w:val="center"/>
          </w:tcPr>
          <w:p w:rsidRPr="00B31166" w:rsidR="004A568A" w:rsidP="00970AC4" w:rsidRDefault="004A568A" w14:paraId="030F965C"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0807EAA4"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32C1574B"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3E3EAE2E"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8848858" w14:textId="0AB1AB26">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5ACF26B" w14:textId="74B8F729">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F5EC35F" w14:textId="4EF06E7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56DCAA9E" w14:textId="45449BAC">
            <w:pPr>
              <w:jc w:val="right"/>
              <w:rPr>
                <w:rFonts w:ascii="Palatino Linotype" w:hAnsi="Palatino Linotype"/>
                <w:sz w:val="20"/>
                <w:szCs w:val="20"/>
              </w:rPr>
            </w:pPr>
            <w:r>
              <w:rPr>
                <w:rFonts w:ascii="Palatino Linotype" w:hAnsi="Palatino Linotype"/>
                <w:sz w:val="20"/>
                <w:szCs w:val="20"/>
              </w:rPr>
              <w:t>55,846</w:t>
            </w:r>
          </w:p>
        </w:tc>
      </w:tr>
      <w:tr w:rsidR="004A568A" w:rsidTr="007079D0" w14:paraId="5023ED3B" w14:textId="77777777">
        <w:tc>
          <w:tcPr>
            <w:tcW w:w="1729" w:type="dxa"/>
            <w:vMerge/>
          </w:tcPr>
          <w:p w:rsidR="004A568A" w:rsidP="004A568A" w:rsidRDefault="004A568A" w14:paraId="56F77185" w14:textId="77777777">
            <w:pPr>
              <w:rPr>
                <w:rFonts w:ascii="Palatino Linotype" w:hAnsi="Palatino Linotype"/>
                <w:sz w:val="20"/>
                <w:szCs w:val="20"/>
              </w:rPr>
            </w:pPr>
          </w:p>
        </w:tc>
        <w:tc>
          <w:tcPr>
            <w:tcW w:w="4176" w:type="dxa"/>
            <w:vAlign w:val="center"/>
          </w:tcPr>
          <w:p w:rsidRPr="007422E0" w:rsidR="004A568A" w:rsidP="00970AC4" w:rsidRDefault="004A568A" w14:paraId="6DCADEE5" w14:textId="77777777">
            <w:pPr>
              <w:rPr>
                <w:rFonts w:ascii="Palatino Linotype" w:hAnsi="Palatino Linotype"/>
                <w:sz w:val="20"/>
                <w:szCs w:val="20"/>
              </w:rPr>
            </w:pPr>
            <w:r w:rsidRPr="00B31166">
              <w:rPr>
                <w:rFonts w:ascii="Palatino Linotype" w:hAnsi="Palatino Linotype"/>
                <w:sz w:val="20"/>
                <w:szCs w:val="20"/>
              </w:rPr>
              <w:t>Renewable Energy and Advanced Generation</w:t>
            </w:r>
          </w:p>
        </w:tc>
        <w:tc>
          <w:tcPr>
            <w:tcW w:w="1170" w:type="dxa"/>
            <w:vAlign w:val="center"/>
          </w:tcPr>
          <w:p w:rsidR="004A568A" w:rsidP="00970AC4" w:rsidRDefault="004A568A" w14:paraId="1AD5E065"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1A0E3712"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2E635FBE"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179F365" w14:textId="5CFF797D">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355CCA53" w14:textId="45FC2234">
            <w:pPr>
              <w:jc w:val="right"/>
              <w:rPr>
                <w:rFonts w:ascii="Palatino Linotype" w:hAnsi="Palatino Linotype"/>
                <w:sz w:val="20"/>
                <w:szCs w:val="20"/>
              </w:rPr>
            </w:pPr>
            <w:r>
              <w:rPr>
                <w:rFonts w:ascii="Palatino Linotype" w:hAnsi="Palatino Linotype"/>
                <w:sz w:val="20"/>
                <w:szCs w:val="20"/>
              </w:rPr>
              <w:t>305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6A570C2" w14:textId="78CAB10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3CAA4E0" w14:textId="7414DD43">
            <w:pPr>
              <w:jc w:val="right"/>
              <w:rPr>
                <w:rFonts w:ascii="Palatino Linotype" w:hAnsi="Palatino Linotype"/>
                <w:sz w:val="20"/>
                <w:szCs w:val="20"/>
              </w:rPr>
            </w:pPr>
            <w:r>
              <w:rPr>
                <w:rFonts w:ascii="Palatino Linotype" w:hAnsi="Palatino Linotype"/>
                <w:sz w:val="20"/>
                <w:szCs w:val="20"/>
              </w:rPr>
              <w:t>1</w:t>
            </w:r>
          </w:p>
        </w:tc>
      </w:tr>
      <w:tr w:rsidR="004A568A" w:rsidTr="007079D0" w14:paraId="1C991252" w14:textId="77777777">
        <w:tc>
          <w:tcPr>
            <w:tcW w:w="1729" w:type="dxa"/>
            <w:vMerge/>
          </w:tcPr>
          <w:p w:rsidR="004A568A" w:rsidP="004A568A" w:rsidRDefault="004A568A" w14:paraId="0D50D1B2" w14:textId="77777777">
            <w:pPr>
              <w:rPr>
                <w:rFonts w:ascii="Palatino Linotype" w:hAnsi="Palatino Linotype"/>
                <w:sz w:val="20"/>
                <w:szCs w:val="20"/>
              </w:rPr>
            </w:pPr>
          </w:p>
        </w:tc>
        <w:tc>
          <w:tcPr>
            <w:tcW w:w="4176" w:type="dxa"/>
            <w:vAlign w:val="center"/>
          </w:tcPr>
          <w:p w:rsidRPr="007422E0" w:rsidR="004A568A" w:rsidP="00970AC4" w:rsidRDefault="004A568A" w14:paraId="7089444C" w14:textId="77777777">
            <w:pPr>
              <w:rPr>
                <w:rFonts w:ascii="Palatino Linotype" w:hAnsi="Palatino Linotype"/>
                <w:sz w:val="20"/>
                <w:szCs w:val="20"/>
              </w:rPr>
            </w:pPr>
            <w:r w:rsidRPr="00380A89">
              <w:rPr>
                <w:rFonts w:ascii="Palatino Linotype" w:hAnsi="Palatino Linotype"/>
                <w:sz w:val="20"/>
                <w:szCs w:val="20"/>
              </w:rPr>
              <w:t>Natural Gas-Related Transportation</w:t>
            </w:r>
          </w:p>
        </w:tc>
        <w:tc>
          <w:tcPr>
            <w:tcW w:w="1170" w:type="dxa"/>
            <w:vAlign w:val="center"/>
          </w:tcPr>
          <w:p w:rsidR="004A568A" w:rsidP="00970AC4" w:rsidRDefault="004A568A" w14:paraId="5D0DFF02"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7CFCE30A"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0C9EE561"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9100DF8" w14:textId="4FE4A273">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46D27FB2" w14:textId="0285117A">
            <w:pPr>
              <w:jc w:val="right"/>
              <w:rPr>
                <w:rFonts w:ascii="Palatino Linotype" w:hAnsi="Palatino Linotype"/>
                <w:sz w:val="20"/>
                <w:szCs w:val="20"/>
              </w:rPr>
            </w:pPr>
            <w:r>
              <w:rPr>
                <w:rFonts w:ascii="Palatino Linotype" w:hAnsi="Palatino Linotype"/>
                <w:sz w:val="20"/>
                <w:szCs w:val="20"/>
              </w:rPr>
              <w:t>865,642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13ECD04" w14:textId="12F76086">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479B81E" w14:textId="5F7953FD">
            <w:pPr>
              <w:jc w:val="right"/>
              <w:rPr>
                <w:rFonts w:ascii="Palatino Linotype" w:hAnsi="Palatino Linotype"/>
                <w:sz w:val="20"/>
                <w:szCs w:val="20"/>
              </w:rPr>
            </w:pPr>
            <w:r>
              <w:rPr>
                <w:rFonts w:ascii="Palatino Linotype" w:hAnsi="Palatino Linotype"/>
                <w:sz w:val="20"/>
                <w:szCs w:val="20"/>
              </w:rPr>
              <w:t>17,821</w:t>
            </w:r>
          </w:p>
        </w:tc>
      </w:tr>
      <w:tr w:rsidR="004A568A" w:rsidTr="007079D0" w14:paraId="5CE2715E" w14:textId="77777777">
        <w:tc>
          <w:tcPr>
            <w:tcW w:w="1729" w:type="dxa"/>
            <w:vMerge/>
          </w:tcPr>
          <w:p w:rsidR="004A568A" w:rsidP="004A568A" w:rsidRDefault="004A568A" w14:paraId="376088D7" w14:textId="77777777">
            <w:pPr>
              <w:rPr>
                <w:rFonts w:ascii="Palatino Linotype" w:hAnsi="Palatino Linotype"/>
                <w:sz w:val="20"/>
                <w:szCs w:val="20"/>
              </w:rPr>
            </w:pPr>
          </w:p>
        </w:tc>
        <w:tc>
          <w:tcPr>
            <w:tcW w:w="4176" w:type="dxa"/>
            <w:vAlign w:val="center"/>
          </w:tcPr>
          <w:p w:rsidRPr="007422E0" w:rsidR="004A568A" w:rsidP="00970AC4" w:rsidRDefault="004A568A" w14:paraId="0D6E6AAA" w14:textId="77777777">
            <w:pPr>
              <w:rPr>
                <w:rFonts w:ascii="Palatino Linotype" w:hAnsi="Palatino Linotype"/>
                <w:sz w:val="20"/>
                <w:szCs w:val="20"/>
              </w:rPr>
            </w:pPr>
            <w:r w:rsidRPr="00380A89">
              <w:rPr>
                <w:rFonts w:ascii="Palatino Linotype" w:hAnsi="Palatino Linotype"/>
                <w:sz w:val="20"/>
                <w:szCs w:val="20"/>
              </w:rPr>
              <w:t>Energy-Related Environmental Research</w:t>
            </w:r>
          </w:p>
        </w:tc>
        <w:tc>
          <w:tcPr>
            <w:tcW w:w="1170" w:type="dxa"/>
            <w:vAlign w:val="center"/>
          </w:tcPr>
          <w:p w:rsidR="004A568A" w:rsidP="00970AC4" w:rsidRDefault="004A568A" w14:paraId="5FFEA4F7"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470B9430"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2240C3F7"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AE0F128" w14:textId="0A49B00E">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9AA9BFF" w14:textId="1BE6DBA5">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2194F0B" w14:textId="373EA0AA">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12F4122" w14:textId="4C980C77">
            <w:pPr>
              <w:jc w:val="right"/>
              <w:rPr>
                <w:rFonts w:ascii="Palatino Linotype" w:hAnsi="Palatino Linotype"/>
                <w:sz w:val="20"/>
                <w:szCs w:val="20"/>
              </w:rPr>
            </w:pPr>
            <w:r>
              <w:rPr>
                <w:rFonts w:ascii="Palatino Linotype" w:hAnsi="Palatino Linotype"/>
                <w:sz w:val="20"/>
                <w:szCs w:val="20"/>
              </w:rPr>
              <w:t>36,143</w:t>
            </w:r>
          </w:p>
        </w:tc>
      </w:tr>
      <w:tr w:rsidR="004A568A" w:rsidTr="007079D0" w14:paraId="205A29B0" w14:textId="77777777">
        <w:tc>
          <w:tcPr>
            <w:tcW w:w="1729" w:type="dxa"/>
            <w:vMerge/>
          </w:tcPr>
          <w:p w:rsidR="004A568A" w:rsidP="004A568A" w:rsidRDefault="004A568A" w14:paraId="76240FF1" w14:textId="77777777">
            <w:pPr>
              <w:rPr>
                <w:rFonts w:ascii="Palatino Linotype" w:hAnsi="Palatino Linotype"/>
                <w:sz w:val="20"/>
                <w:szCs w:val="20"/>
              </w:rPr>
            </w:pPr>
          </w:p>
        </w:tc>
        <w:tc>
          <w:tcPr>
            <w:tcW w:w="4176" w:type="dxa"/>
            <w:vAlign w:val="center"/>
          </w:tcPr>
          <w:p w:rsidRPr="007422E0" w:rsidR="004A568A" w:rsidP="00970AC4" w:rsidRDefault="004A568A" w14:paraId="608486DC"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57369EEE" w14:textId="77777777">
            <w:pPr>
              <w:rPr>
                <w:rFonts w:ascii="Palatino Linotype" w:hAnsi="Palatino Linotype"/>
                <w:sz w:val="20"/>
                <w:szCs w:val="20"/>
              </w:rPr>
            </w:pPr>
            <w:r>
              <w:rPr>
                <w:rFonts w:ascii="Palatino Linotype" w:hAnsi="Palatino Linotype"/>
                <w:sz w:val="20"/>
                <w:szCs w:val="20"/>
              </w:rPr>
              <w:t>09/28/2017</w:t>
            </w:r>
          </w:p>
        </w:tc>
        <w:tc>
          <w:tcPr>
            <w:tcW w:w="1530" w:type="dxa"/>
            <w:vAlign w:val="center"/>
          </w:tcPr>
          <w:p w:rsidR="004A568A" w:rsidP="00970AC4" w:rsidRDefault="004A568A" w14:paraId="657BF7B6" w14:textId="77777777">
            <w:pPr>
              <w:rPr>
                <w:rFonts w:ascii="Palatino Linotype" w:hAnsi="Palatino Linotype"/>
                <w:sz w:val="20"/>
                <w:szCs w:val="20"/>
              </w:rPr>
            </w:pPr>
            <w:r>
              <w:rPr>
                <w:rFonts w:ascii="Palatino Linotype" w:hAnsi="Palatino Linotype"/>
                <w:sz w:val="20"/>
                <w:szCs w:val="20"/>
              </w:rPr>
              <w:t>09/28/2019</w:t>
            </w:r>
          </w:p>
        </w:tc>
        <w:tc>
          <w:tcPr>
            <w:tcW w:w="1380" w:type="dxa"/>
            <w:tcBorders>
              <w:right w:val="single" w:color="auto" w:sz="4" w:space="0"/>
            </w:tcBorders>
            <w:vAlign w:val="center"/>
          </w:tcPr>
          <w:p w:rsidR="004A568A" w:rsidP="00970AC4" w:rsidRDefault="004A568A" w14:paraId="5FDAE67E" w14:textId="77777777">
            <w:pPr>
              <w:rPr>
                <w:rFonts w:ascii="Palatino Linotype" w:hAnsi="Palatino Linotype"/>
                <w:sz w:val="20"/>
                <w:szCs w:val="20"/>
              </w:rPr>
            </w:pPr>
            <w:r>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788CD876" w14:textId="47F3B0D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BC966C2" w14:textId="2243BE4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06B6BA0" w14:textId="78A66522">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8780B67" w14:textId="00231F3B">
            <w:pPr>
              <w:jc w:val="right"/>
              <w:rPr>
                <w:rFonts w:ascii="Palatino Linotype" w:hAnsi="Palatino Linotype"/>
                <w:sz w:val="20"/>
                <w:szCs w:val="20"/>
              </w:rPr>
            </w:pPr>
            <w:r>
              <w:rPr>
                <w:rFonts w:ascii="Palatino Linotype" w:hAnsi="Palatino Linotype"/>
                <w:sz w:val="20"/>
                <w:szCs w:val="20"/>
              </w:rPr>
              <w:t>177,764</w:t>
            </w:r>
          </w:p>
        </w:tc>
      </w:tr>
      <w:tr w:rsidR="004A568A" w:rsidTr="007079D0" w14:paraId="3CADA86B" w14:textId="77777777">
        <w:tc>
          <w:tcPr>
            <w:tcW w:w="1729" w:type="dxa"/>
            <w:vMerge w:val="restart"/>
          </w:tcPr>
          <w:p w:rsidR="004A568A" w:rsidP="004A568A" w:rsidRDefault="004A568A" w14:paraId="3DFE126A" w14:textId="77777777">
            <w:pPr>
              <w:rPr>
                <w:rFonts w:ascii="Palatino Linotype" w:hAnsi="Palatino Linotype"/>
                <w:sz w:val="20"/>
                <w:szCs w:val="20"/>
              </w:rPr>
            </w:pPr>
            <w:r>
              <w:rPr>
                <w:rFonts w:ascii="Palatino Linotype" w:hAnsi="Palatino Linotype"/>
                <w:sz w:val="20"/>
                <w:szCs w:val="20"/>
              </w:rPr>
              <w:t>FY 2018-2019</w:t>
            </w:r>
          </w:p>
        </w:tc>
        <w:tc>
          <w:tcPr>
            <w:tcW w:w="4176" w:type="dxa"/>
            <w:vAlign w:val="center"/>
          </w:tcPr>
          <w:p w:rsidRPr="007422E0" w:rsidR="004A568A" w:rsidP="00970AC4" w:rsidRDefault="004A568A" w14:paraId="57153F4D"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652A6229" w14:textId="77777777">
            <w:pPr>
              <w:rPr>
                <w:rFonts w:ascii="Palatino Linotype" w:hAnsi="Palatino Linotype"/>
                <w:sz w:val="20"/>
                <w:szCs w:val="20"/>
              </w:rPr>
            </w:pPr>
            <w:r>
              <w:rPr>
                <w:rFonts w:ascii="Palatino Linotype" w:hAnsi="Palatino Linotype"/>
                <w:sz w:val="20"/>
                <w:szCs w:val="20"/>
              </w:rPr>
              <w:t>01/31/2019</w:t>
            </w:r>
          </w:p>
        </w:tc>
        <w:tc>
          <w:tcPr>
            <w:tcW w:w="1530" w:type="dxa"/>
            <w:vAlign w:val="center"/>
          </w:tcPr>
          <w:p w:rsidR="004A568A" w:rsidP="00970AC4" w:rsidRDefault="004A568A" w14:paraId="26049C08" w14:textId="77777777">
            <w:pPr>
              <w:rPr>
                <w:rFonts w:ascii="Palatino Linotype" w:hAnsi="Palatino Linotype"/>
                <w:sz w:val="20"/>
                <w:szCs w:val="20"/>
              </w:rPr>
            </w:pPr>
            <w:r>
              <w:rPr>
                <w:rFonts w:ascii="Palatino Linotype" w:hAnsi="Palatino Linotype"/>
                <w:sz w:val="20"/>
                <w:szCs w:val="20"/>
              </w:rPr>
              <w:t>01/31/2021</w:t>
            </w:r>
          </w:p>
        </w:tc>
        <w:tc>
          <w:tcPr>
            <w:tcW w:w="1380" w:type="dxa"/>
            <w:tcBorders>
              <w:right w:val="single" w:color="auto" w:sz="4" w:space="0"/>
            </w:tcBorders>
            <w:vAlign w:val="center"/>
          </w:tcPr>
          <w:p w:rsidR="004A568A" w:rsidP="00970AC4" w:rsidRDefault="004A568A" w14:paraId="19E2B048" w14:textId="77777777">
            <w:pPr>
              <w:rPr>
                <w:rFonts w:ascii="Palatino Linotype" w:hAnsi="Palatino Linotype"/>
                <w:sz w:val="20"/>
                <w:szCs w:val="20"/>
              </w:rPr>
            </w:pPr>
            <w:r>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49C40AE1" w14:textId="6AD5462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89177AD" w14:textId="64B8D802">
            <w:pPr>
              <w:jc w:val="right"/>
              <w:rPr>
                <w:rFonts w:ascii="Palatino Linotype" w:hAnsi="Palatino Linotype"/>
                <w:sz w:val="20"/>
                <w:szCs w:val="20"/>
              </w:rPr>
            </w:pPr>
            <w:r>
              <w:rPr>
                <w:rFonts w:ascii="Palatino Linotype" w:hAnsi="Palatino Linotype"/>
                <w:sz w:val="20"/>
                <w:szCs w:val="20"/>
              </w:rPr>
              <w:t>880,430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23596A4C" w14:textId="2282BF3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FA8E031" w14:textId="5E71C06C">
            <w:pPr>
              <w:jc w:val="right"/>
              <w:rPr>
                <w:rFonts w:ascii="Palatino Linotype" w:hAnsi="Palatino Linotype"/>
                <w:sz w:val="20"/>
                <w:szCs w:val="20"/>
              </w:rPr>
            </w:pPr>
            <w:r>
              <w:rPr>
                <w:rFonts w:ascii="Palatino Linotype" w:hAnsi="Palatino Linotype"/>
                <w:sz w:val="20"/>
                <w:szCs w:val="20"/>
              </w:rPr>
              <w:t>1,283,863</w:t>
            </w:r>
          </w:p>
        </w:tc>
      </w:tr>
      <w:tr w:rsidR="004A568A" w:rsidTr="007079D0" w14:paraId="58EA8914" w14:textId="77777777">
        <w:tc>
          <w:tcPr>
            <w:tcW w:w="1729" w:type="dxa"/>
            <w:vMerge/>
          </w:tcPr>
          <w:p w:rsidR="004A568A" w:rsidP="004A568A" w:rsidRDefault="004A568A" w14:paraId="6D22EB02" w14:textId="77777777">
            <w:pPr>
              <w:rPr>
                <w:rFonts w:ascii="Palatino Linotype" w:hAnsi="Palatino Linotype"/>
                <w:sz w:val="20"/>
                <w:szCs w:val="20"/>
              </w:rPr>
            </w:pPr>
          </w:p>
        </w:tc>
        <w:tc>
          <w:tcPr>
            <w:tcW w:w="4176" w:type="dxa"/>
            <w:vAlign w:val="center"/>
          </w:tcPr>
          <w:p w:rsidRPr="007422E0" w:rsidR="004A568A" w:rsidP="00970AC4" w:rsidRDefault="004A568A" w14:paraId="6F9E9945" w14:textId="77777777">
            <w:pPr>
              <w:rPr>
                <w:rFonts w:ascii="Palatino Linotype" w:hAnsi="Palatino Linotype"/>
                <w:sz w:val="20"/>
                <w:szCs w:val="20"/>
              </w:rPr>
            </w:pPr>
            <w:r w:rsidRPr="0049052C">
              <w:rPr>
                <w:rFonts w:ascii="Palatino Linotype" w:hAnsi="Palatino Linotype"/>
                <w:sz w:val="20"/>
                <w:szCs w:val="20"/>
              </w:rPr>
              <w:t>Energy-Related Environmental Research</w:t>
            </w:r>
          </w:p>
        </w:tc>
        <w:tc>
          <w:tcPr>
            <w:tcW w:w="1170" w:type="dxa"/>
            <w:vAlign w:val="center"/>
          </w:tcPr>
          <w:p w:rsidR="004A568A" w:rsidP="00970AC4" w:rsidRDefault="004A568A" w14:paraId="326ADB7C" w14:textId="77777777">
            <w:pPr>
              <w:rPr>
                <w:rFonts w:ascii="Palatino Linotype" w:hAnsi="Palatino Linotype"/>
                <w:sz w:val="20"/>
                <w:szCs w:val="20"/>
              </w:rPr>
            </w:pPr>
            <w:r>
              <w:rPr>
                <w:rFonts w:ascii="Palatino Linotype" w:hAnsi="Palatino Linotype"/>
                <w:sz w:val="20"/>
                <w:szCs w:val="20"/>
              </w:rPr>
              <w:t>01/31/2019</w:t>
            </w:r>
          </w:p>
        </w:tc>
        <w:tc>
          <w:tcPr>
            <w:tcW w:w="1530" w:type="dxa"/>
            <w:vAlign w:val="center"/>
          </w:tcPr>
          <w:p w:rsidR="004A568A" w:rsidP="00970AC4" w:rsidRDefault="004A568A" w14:paraId="487301C8" w14:textId="77777777">
            <w:pPr>
              <w:rPr>
                <w:rFonts w:ascii="Palatino Linotype" w:hAnsi="Palatino Linotype"/>
                <w:sz w:val="20"/>
                <w:szCs w:val="20"/>
              </w:rPr>
            </w:pPr>
            <w:r>
              <w:rPr>
                <w:rFonts w:ascii="Palatino Linotype" w:hAnsi="Palatino Linotype"/>
                <w:sz w:val="20"/>
                <w:szCs w:val="20"/>
              </w:rPr>
              <w:t>01/31/2021</w:t>
            </w:r>
          </w:p>
        </w:tc>
        <w:tc>
          <w:tcPr>
            <w:tcW w:w="1380" w:type="dxa"/>
            <w:tcBorders>
              <w:right w:val="single" w:color="auto" w:sz="4" w:space="0"/>
            </w:tcBorders>
            <w:vAlign w:val="center"/>
          </w:tcPr>
          <w:p w:rsidR="004A568A" w:rsidP="00970AC4" w:rsidRDefault="004A568A" w14:paraId="7F183869" w14:textId="77777777">
            <w:pPr>
              <w:rPr>
                <w:rFonts w:ascii="Palatino Linotype" w:hAnsi="Palatino Linotype"/>
                <w:sz w:val="20"/>
                <w:szCs w:val="20"/>
              </w:rPr>
            </w:pPr>
            <w:r>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E3F1C09" w14:textId="12F162F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5F38FD6B" w14:textId="63F90EC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06BB2D3" w14:textId="0CEE702F">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85ED3A7" w14:textId="4CEFCC99">
            <w:pPr>
              <w:jc w:val="right"/>
              <w:rPr>
                <w:rFonts w:ascii="Palatino Linotype" w:hAnsi="Palatino Linotype"/>
                <w:sz w:val="20"/>
                <w:szCs w:val="20"/>
              </w:rPr>
            </w:pPr>
            <w:r>
              <w:rPr>
                <w:rFonts w:ascii="Palatino Linotype" w:hAnsi="Palatino Linotype"/>
                <w:sz w:val="20"/>
                <w:szCs w:val="20"/>
              </w:rPr>
              <w:t>996,269</w:t>
            </w:r>
          </w:p>
        </w:tc>
      </w:tr>
      <w:tr w:rsidR="004A568A" w:rsidTr="007079D0" w14:paraId="1E0EEA56" w14:textId="77777777">
        <w:tc>
          <w:tcPr>
            <w:tcW w:w="1729" w:type="dxa"/>
            <w:vMerge/>
          </w:tcPr>
          <w:p w:rsidR="004A568A" w:rsidP="004A568A" w:rsidRDefault="004A568A" w14:paraId="3899B52F" w14:textId="77777777">
            <w:pPr>
              <w:rPr>
                <w:rFonts w:ascii="Palatino Linotype" w:hAnsi="Palatino Linotype"/>
                <w:sz w:val="20"/>
                <w:szCs w:val="20"/>
              </w:rPr>
            </w:pPr>
          </w:p>
        </w:tc>
        <w:tc>
          <w:tcPr>
            <w:tcW w:w="4176" w:type="dxa"/>
            <w:vAlign w:val="center"/>
          </w:tcPr>
          <w:p w:rsidRPr="007422E0" w:rsidR="004A568A" w:rsidP="00970AC4" w:rsidRDefault="004A568A" w14:paraId="7BC89BA5"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5A080565" w14:textId="77777777">
            <w:pPr>
              <w:rPr>
                <w:rFonts w:ascii="Palatino Linotype" w:hAnsi="Palatino Linotype"/>
                <w:sz w:val="20"/>
                <w:szCs w:val="20"/>
              </w:rPr>
            </w:pPr>
            <w:r>
              <w:rPr>
                <w:rFonts w:ascii="Palatino Linotype" w:hAnsi="Palatino Linotype"/>
                <w:sz w:val="20"/>
                <w:szCs w:val="20"/>
              </w:rPr>
              <w:t>01/31/2019</w:t>
            </w:r>
          </w:p>
        </w:tc>
        <w:tc>
          <w:tcPr>
            <w:tcW w:w="1530" w:type="dxa"/>
            <w:vAlign w:val="center"/>
          </w:tcPr>
          <w:p w:rsidR="004A568A" w:rsidP="00970AC4" w:rsidRDefault="004A568A" w14:paraId="00C3E8A9" w14:textId="77777777">
            <w:pPr>
              <w:rPr>
                <w:rFonts w:ascii="Palatino Linotype" w:hAnsi="Palatino Linotype"/>
                <w:sz w:val="20"/>
                <w:szCs w:val="20"/>
              </w:rPr>
            </w:pPr>
            <w:r>
              <w:rPr>
                <w:rFonts w:ascii="Palatino Linotype" w:hAnsi="Palatino Linotype"/>
                <w:sz w:val="20"/>
                <w:szCs w:val="20"/>
              </w:rPr>
              <w:t>01/31/2021</w:t>
            </w:r>
          </w:p>
        </w:tc>
        <w:tc>
          <w:tcPr>
            <w:tcW w:w="1380" w:type="dxa"/>
            <w:tcBorders>
              <w:right w:val="single" w:color="auto" w:sz="4" w:space="0"/>
            </w:tcBorders>
            <w:vAlign w:val="center"/>
          </w:tcPr>
          <w:p w:rsidR="004A568A" w:rsidP="00970AC4" w:rsidRDefault="004A568A" w14:paraId="76C13D42" w14:textId="77777777">
            <w:pPr>
              <w:rPr>
                <w:rFonts w:ascii="Palatino Linotype" w:hAnsi="Palatino Linotype"/>
                <w:sz w:val="20"/>
                <w:szCs w:val="20"/>
              </w:rPr>
            </w:pPr>
            <w:r>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47690B5E" w14:textId="516F8ADB">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E581113" w14:textId="7C3A4F1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2BE0D582" w14:textId="32526E54">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393F446" w14:textId="2688D7E2">
            <w:pPr>
              <w:jc w:val="right"/>
              <w:rPr>
                <w:rFonts w:ascii="Palatino Linotype" w:hAnsi="Palatino Linotype"/>
                <w:sz w:val="20"/>
                <w:szCs w:val="20"/>
              </w:rPr>
            </w:pPr>
            <w:r>
              <w:rPr>
                <w:rFonts w:ascii="Palatino Linotype" w:hAnsi="Palatino Linotype"/>
                <w:sz w:val="20"/>
                <w:szCs w:val="20"/>
              </w:rPr>
              <w:t>30,353</w:t>
            </w:r>
          </w:p>
        </w:tc>
      </w:tr>
      <w:tr w:rsidR="004A568A" w:rsidTr="007079D0" w14:paraId="3AB4D340" w14:textId="77777777">
        <w:tc>
          <w:tcPr>
            <w:tcW w:w="1729" w:type="dxa"/>
            <w:vMerge w:val="restart"/>
          </w:tcPr>
          <w:p w:rsidR="004A568A" w:rsidP="004A568A" w:rsidRDefault="004A568A" w14:paraId="3D40B4F7" w14:textId="77777777">
            <w:pPr>
              <w:rPr>
                <w:rFonts w:ascii="Palatino Linotype" w:hAnsi="Palatino Linotype"/>
                <w:sz w:val="20"/>
                <w:szCs w:val="20"/>
              </w:rPr>
            </w:pPr>
            <w:r>
              <w:rPr>
                <w:rFonts w:ascii="Palatino Linotype" w:hAnsi="Palatino Linotype"/>
                <w:sz w:val="20"/>
                <w:szCs w:val="20"/>
              </w:rPr>
              <w:t>FY 2019-2020</w:t>
            </w:r>
          </w:p>
        </w:tc>
        <w:tc>
          <w:tcPr>
            <w:tcW w:w="4176" w:type="dxa"/>
            <w:vAlign w:val="center"/>
          </w:tcPr>
          <w:p w:rsidRPr="007422E0" w:rsidR="004A568A" w:rsidP="00970AC4" w:rsidRDefault="004A568A" w14:paraId="766B4BC2"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0D463E20"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5ACA13C9"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1565EEC6"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23E10AC" w14:textId="3F2ED291">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285D2DD" w14:textId="73BEDD3C">
            <w:pPr>
              <w:jc w:val="right"/>
              <w:rPr>
                <w:rFonts w:ascii="Palatino Linotype" w:hAnsi="Palatino Linotype"/>
                <w:sz w:val="20"/>
                <w:szCs w:val="20"/>
              </w:rPr>
            </w:pPr>
            <w:r>
              <w:rPr>
                <w:rFonts w:ascii="Palatino Linotype" w:hAnsi="Palatino Linotype"/>
                <w:sz w:val="20"/>
                <w:szCs w:val="20"/>
              </w:rPr>
              <w:t>5,992,293</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57A59C8" w14:textId="1F5F494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2F70CD9" w14:textId="6ACECBD2">
            <w:pPr>
              <w:jc w:val="right"/>
              <w:rPr>
                <w:rFonts w:ascii="Palatino Linotype" w:hAnsi="Palatino Linotype"/>
                <w:sz w:val="20"/>
                <w:szCs w:val="20"/>
              </w:rPr>
            </w:pPr>
            <w:r>
              <w:rPr>
                <w:rFonts w:ascii="Palatino Linotype" w:hAnsi="Palatino Linotype"/>
                <w:sz w:val="20"/>
                <w:szCs w:val="20"/>
              </w:rPr>
              <w:t>708,478</w:t>
            </w:r>
          </w:p>
        </w:tc>
      </w:tr>
      <w:tr w:rsidR="004A568A" w:rsidTr="007079D0" w14:paraId="4F468FF9" w14:textId="77777777">
        <w:tc>
          <w:tcPr>
            <w:tcW w:w="1729" w:type="dxa"/>
            <w:vMerge/>
          </w:tcPr>
          <w:p w:rsidR="004A568A" w:rsidP="004A568A" w:rsidRDefault="004A568A" w14:paraId="461916BE" w14:textId="77777777">
            <w:pPr>
              <w:rPr>
                <w:rFonts w:ascii="Palatino Linotype" w:hAnsi="Palatino Linotype"/>
                <w:sz w:val="20"/>
                <w:szCs w:val="20"/>
              </w:rPr>
            </w:pPr>
          </w:p>
        </w:tc>
        <w:tc>
          <w:tcPr>
            <w:tcW w:w="4176" w:type="dxa"/>
            <w:vAlign w:val="center"/>
          </w:tcPr>
          <w:p w:rsidRPr="007422E0" w:rsidR="004A568A" w:rsidP="00970AC4" w:rsidRDefault="004A568A" w14:paraId="4B8A3E5B" w14:textId="77777777">
            <w:pPr>
              <w:rPr>
                <w:rFonts w:ascii="Palatino Linotype" w:hAnsi="Palatino Linotype"/>
                <w:sz w:val="20"/>
                <w:szCs w:val="20"/>
              </w:rPr>
            </w:pPr>
            <w:r w:rsidRPr="00B31166">
              <w:rPr>
                <w:rFonts w:ascii="Palatino Linotype" w:hAnsi="Palatino Linotype"/>
                <w:sz w:val="20"/>
                <w:szCs w:val="20"/>
              </w:rPr>
              <w:t>Renewable Energy and Advanced Generation</w:t>
            </w:r>
          </w:p>
        </w:tc>
        <w:tc>
          <w:tcPr>
            <w:tcW w:w="1170" w:type="dxa"/>
            <w:vAlign w:val="center"/>
          </w:tcPr>
          <w:p w:rsidR="004A568A" w:rsidP="00970AC4" w:rsidRDefault="004A568A" w14:paraId="1186FFE7"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03140867"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329315D6"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D7C915A" w14:textId="0250EAC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4FB971FC" w14:textId="6C7F8930">
            <w:pPr>
              <w:jc w:val="right"/>
              <w:rPr>
                <w:rFonts w:ascii="Palatino Linotype" w:hAnsi="Palatino Linotype"/>
                <w:sz w:val="20"/>
                <w:szCs w:val="20"/>
              </w:rPr>
            </w:pPr>
            <w:r>
              <w:rPr>
                <w:rFonts w:ascii="Palatino Linotype" w:hAnsi="Palatino Linotype"/>
                <w:sz w:val="20"/>
                <w:szCs w:val="20"/>
              </w:rPr>
              <w:t>485,418</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61FE304C" w14:textId="258B34E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856A6B8" w14:textId="1A6E2583">
            <w:pPr>
              <w:jc w:val="right"/>
              <w:rPr>
                <w:rFonts w:ascii="Palatino Linotype" w:hAnsi="Palatino Linotype"/>
                <w:sz w:val="20"/>
                <w:szCs w:val="20"/>
              </w:rPr>
            </w:pPr>
            <w:r>
              <w:rPr>
                <w:rFonts w:ascii="Palatino Linotype" w:hAnsi="Palatino Linotype"/>
                <w:sz w:val="20"/>
                <w:szCs w:val="20"/>
              </w:rPr>
              <w:t>0</w:t>
            </w:r>
          </w:p>
        </w:tc>
      </w:tr>
      <w:tr w:rsidR="004A568A" w:rsidTr="007079D0" w14:paraId="5D4ADA75" w14:textId="77777777">
        <w:tc>
          <w:tcPr>
            <w:tcW w:w="1729" w:type="dxa"/>
            <w:vMerge/>
          </w:tcPr>
          <w:p w:rsidR="004A568A" w:rsidP="004A568A" w:rsidRDefault="004A568A" w14:paraId="610E26F6" w14:textId="77777777">
            <w:pPr>
              <w:rPr>
                <w:rFonts w:ascii="Palatino Linotype" w:hAnsi="Palatino Linotype"/>
                <w:sz w:val="20"/>
                <w:szCs w:val="20"/>
              </w:rPr>
            </w:pPr>
          </w:p>
        </w:tc>
        <w:tc>
          <w:tcPr>
            <w:tcW w:w="4176" w:type="dxa"/>
            <w:vAlign w:val="center"/>
          </w:tcPr>
          <w:p w:rsidRPr="00B31166" w:rsidR="004A568A" w:rsidP="00970AC4" w:rsidRDefault="004A568A" w14:paraId="76F98D98" w14:textId="77777777">
            <w:pPr>
              <w:rPr>
                <w:rFonts w:ascii="Palatino Linotype" w:hAnsi="Palatino Linotype"/>
                <w:sz w:val="20"/>
                <w:szCs w:val="20"/>
              </w:rPr>
            </w:pPr>
            <w:r w:rsidRPr="00380A89">
              <w:rPr>
                <w:rFonts w:ascii="Palatino Linotype" w:hAnsi="Palatino Linotype"/>
                <w:sz w:val="20"/>
                <w:szCs w:val="20"/>
              </w:rPr>
              <w:t xml:space="preserve">Natural Gas-Related Transportation </w:t>
            </w:r>
          </w:p>
        </w:tc>
        <w:tc>
          <w:tcPr>
            <w:tcW w:w="1170" w:type="dxa"/>
            <w:vAlign w:val="center"/>
          </w:tcPr>
          <w:p w:rsidR="004A568A" w:rsidP="00970AC4" w:rsidRDefault="004A568A" w14:paraId="5EBA0571"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216F9865"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51361416"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E9CCEC0" w14:textId="754CAA6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2AD6F14" w14:textId="3A2304E5">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34D76754" w14:textId="68799BB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728B18FF" w14:textId="0EA1CD90">
            <w:pPr>
              <w:jc w:val="right"/>
              <w:rPr>
                <w:rFonts w:ascii="Palatino Linotype" w:hAnsi="Palatino Linotype"/>
                <w:sz w:val="20"/>
                <w:szCs w:val="20"/>
              </w:rPr>
            </w:pPr>
            <w:r>
              <w:rPr>
                <w:rFonts w:ascii="Palatino Linotype" w:hAnsi="Palatino Linotype"/>
                <w:sz w:val="20"/>
                <w:szCs w:val="20"/>
              </w:rPr>
              <w:t>1,476,466</w:t>
            </w:r>
          </w:p>
        </w:tc>
      </w:tr>
      <w:tr w:rsidR="004A568A" w:rsidTr="007079D0" w14:paraId="4DCAE58D" w14:textId="77777777">
        <w:tc>
          <w:tcPr>
            <w:tcW w:w="1729" w:type="dxa"/>
            <w:vMerge/>
          </w:tcPr>
          <w:p w:rsidR="004A568A" w:rsidP="004A568A" w:rsidRDefault="004A568A" w14:paraId="1BABA308" w14:textId="77777777">
            <w:pPr>
              <w:rPr>
                <w:rFonts w:ascii="Palatino Linotype" w:hAnsi="Palatino Linotype"/>
                <w:sz w:val="20"/>
                <w:szCs w:val="20"/>
              </w:rPr>
            </w:pPr>
          </w:p>
        </w:tc>
        <w:tc>
          <w:tcPr>
            <w:tcW w:w="4176" w:type="dxa"/>
            <w:vAlign w:val="center"/>
          </w:tcPr>
          <w:p w:rsidRPr="00380A89" w:rsidR="004A568A" w:rsidP="00970AC4" w:rsidRDefault="004A568A" w14:paraId="229A2C4B"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0FA2108A"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5761490F"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4A3CB6DD"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8F307A8" w14:textId="19328C97">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16402423" w14:textId="334A0809">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1DF5F90" w14:textId="1C58C4B5">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5B7231D" w14:textId="7057BEEA">
            <w:pPr>
              <w:jc w:val="right"/>
              <w:rPr>
                <w:rFonts w:ascii="Palatino Linotype" w:hAnsi="Palatino Linotype"/>
                <w:sz w:val="20"/>
                <w:szCs w:val="20"/>
              </w:rPr>
            </w:pPr>
            <w:r>
              <w:rPr>
                <w:rFonts w:ascii="Palatino Linotype" w:hAnsi="Palatino Linotype"/>
                <w:sz w:val="20"/>
                <w:szCs w:val="20"/>
              </w:rPr>
              <w:t>94,149</w:t>
            </w:r>
          </w:p>
        </w:tc>
      </w:tr>
      <w:tr w:rsidR="004A568A" w:rsidTr="007079D0" w14:paraId="083B47ED" w14:textId="77777777">
        <w:tc>
          <w:tcPr>
            <w:tcW w:w="1729" w:type="dxa"/>
            <w:vMerge/>
          </w:tcPr>
          <w:p w:rsidR="004A568A" w:rsidP="004A568A" w:rsidRDefault="004A568A" w14:paraId="7BD54024" w14:textId="77777777">
            <w:pPr>
              <w:rPr>
                <w:rFonts w:ascii="Palatino Linotype" w:hAnsi="Palatino Linotype"/>
                <w:sz w:val="20"/>
                <w:szCs w:val="20"/>
              </w:rPr>
            </w:pPr>
          </w:p>
        </w:tc>
        <w:tc>
          <w:tcPr>
            <w:tcW w:w="4176" w:type="dxa"/>
            <w:vAlign w:val="center"/>
          </w:tcPr>
          <w:p w:rsidRPr="00380A89" w:rsidR="004A568A" w:rsidP="00970AC4" w:rsidRDefault="004A568A" w14:paraId="3F0A90D3" w14:textId="77777777">
            <w:pPr>
              <w:rPr>
                <w:rFonts w:ascii="Palatino Linotype" w:hAnsi="Palatino Linotype"/>
                <w:sz w:val="20"/>
                <w:szCs w:val="20"/>
              </w:rPr>
            </w:pPr>
            <w:r w:rsidRPr="00335EF5">
              <w:rPr>
                <w:rFonts w:ascii="Palatino Linotype" w:hAnsi="Palatino Linotype"/>
                <w:sz w:val="20"/>
                <w:szCs w:val="20"/>
              </w:rPr>
              <w:t>Natural Gas Strategic Planning Research (Crosscutting)</w:t>
            </w:r>
          </w:p>
        </w:tc>
        <w:tc>
          <w:tcPr>
            <w:tcW w:w="1170" w:type="dxa"/>
            <w:vAlign w:val="center"/>
          </w:tcPr>
          <w:p w:rsidR="004A568A" w:rsidP="00970AC4" w:rsidRDefault="004A568A" w14:paraId="1362D049"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50DD4DFF"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5506026E"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DFA70B7" w14:textId="43482C6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2982B26" w14:textId="122868D2">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6C15F30" w14:textId="147F10D3">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02BC2DF2" w14:textId="7143FA49">
            <w:pPr>
              <w:jc w:val="right"/>
              <w:rPr>
                <w:rFonts w:ascii="Palatino Linotype" w:hAnsi="Palatino Linotype"/>
                <w:sz w:val="20"/>
                <w:szCs w:val="20"/>
              </w:rPr>
            </w:pPr>
            <w:r>
              <w:rPr>
                <w:rFonts w:ascii="Palatino Linotype" w:hAnsi="Palatino Linotype"/>
                <w:sz w:val="20"/>
                <w:szCs w:val="20"/>
              </w:rPr>
              <w:t>3,642</w:t>
            </w:r>
          </w:p>
        </w:tc>
      </w:tr>
      <w:tr w:rsidR="004A568A" w:rsidTr="007079D0" w14:paraId="4448C29F" w14:textId="77777777">
        <w:tc>
          <w:tcPr>
            <w:tcW w:w="1729" w:type="dxa"/>
            <w:vMerge w:val="restart"/>
          </w:tcPr>
          <w:p w:rsidR="004A568A" w:rsidP="004A568A" w:rsidRDefault="004A568A" w14:paraId="65430C9D" w14:textId="77777777">
            <w:pPr>
              <w:rPr>
                <w:rFonts w:ascii="Palatino Linotype" w:hAnsi="Palatino Linotype"/>
                <w:sz w:val="20"/>
                <w:szCs w:val="20"/>
              </w:rPr>
            </w:pPr>
            <w:r>
              <w:rPr>
                <w:rFonts w:ascii="Palatino Linotype" w:hAnsi="Palatino Linotype"/>
                <w:sz w:val="20"/>
                <w:szCs w:val="20"/>
              </w:rPr>
              <w:t>FY 2019-2020 Supplemental</w:t>
            </w:r>
          </w:p>
        </w:tc>
        <w:tc>
          <w:tcPr>
            <w:tcW w:w="4176" w:type="dxa"/>
            <w:vAlign w:val="center"/>
          </w:tcPr>
          <w:p w:rsidRPr="00335EF5" w:rsidR="004A568A" w:rsidP="00970AC4" w:rsidRDefault="004A568A" w14:paraId="5847D8BD" w14:textId="77777777">
            <w:pPr>
              <w:rPr>
                <w:rFonts w:ascii="Palatino Linotype" w:hAnsi="Palatino Linotype"/>
                <w:sz w:val="20"/>
                <w:szCs w:val="20"/>
              </w:rPr>
            </w:pPr>
            <w:r w:rsidRPr="00563D8D">
              <w:rPr>
                <w:rFonts w:ascii="Palatino Linotype" w:hAnsi="Palatino Linotype"/>
                <w:sz w:val="20"/>
                <w:szCs w:val="20"/>
              </w:rPr>
              <w:t>Energy Efficiency</w:t>
            </w:r>
          </w:p>
        </w:tc>
        <w:tc>
          <w:tcPr>
            <w:tcW w:w="1170" w:type="dxa"/>
            <w:vAlign w:val="center"/>
          </w:tcPr>
          <w:p w:rsidR="004A568A" w:rsidP="00970AC4" w:rsidRDefault="004A568A" w14:paraId="5752A2ED"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184136E4"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18E385AC"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6930B9C" w14:textId="42DD8547">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6B8BDDD7" w14:textId="20345187">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4FEA529" w14:textId="69B5238D">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FCA7072" w14:textId="57E5B648">
            <w:pPr>
              <w:jc w:val="right"/>
              <w:rPr>
                <w:rFonts w:ascii="Palatino Linotype" w:hAnsi="Palatino Linotype"/>
                <w:sz w:val="20"/>
                <w:szCs w:val="20"/>
              </w:rPr>
            </w:pPr>
            <w:r>
              <w:rPr>
                <w:rFonts w:ascii="Palatino Linotype" w:hAnsi="Palatino Linotype"/>
                <w:sz w:val="20"/>
                <w:szCs w:val="20"/>
              </w:rPr>
              <w:t>495,355</w:t>
            </w:r>
          </w:p>
        </w:tc>
      </w:tr>
      <w:tr w:rsidR="004A568A" w:rsidTr="007079D0" w14:paraId="1FA6F92C" w14:textId="77777777">
        <w:tc>
          <w:tcPr>
            <w:tcW w:w="1729" w:type="dxa"/>
            <w:vMerge/>
          </w:tcPr>
          <w:p w:rsidR="004A568A" w:rsidP="004A568A" w:rsidRDefault="004A568A" w14:paraId="365F1552" w14:textId="77777777">
            <w:pPr>
              <w:rPr>
                <w:rFonts w:ascii="Palatino Linotype" w:hAnsi="Palatino Linotype"/>
                <w:sz w:val="20"/>
                <w:szCs w:val="20"/>
              </w:rPr>
            </w:pPr>
          </w:p>
        </w:tc>
        <w:tc>
          <w:tcPr>
            <w:tcW w:w="4176" w:type="dxa"/>
            <w:vAlign w:val="center"/>
          </w:tcPr>
          <w:p w:rsidRPr="00335EF5" w:rsidR="004A568A" w:rsidP="00970AC4" w:rsidRDefault="004A568A" w14:paraId="78C1B02B" w14:textId="77777777">
            <w:pPr>
              <w:rPr>
                <w:rFonts w:ascii="Palatino Linotype" w:hAnsi="Palatino Linotype"/>
                <w:sz w:val="20"/>
                <w:szCs w:val="20"/>
              </w:rPr>
            </w:pPr>
            <w:r w:rsidRPr="0049052C">
              <w:rPr>
                <w:rFonts w:ascii="Palatino Linotype" w:hAnsi="Palatino Linotype"/>
                <w:sz w:val="20"/>
                <w:szCs w:val="20"/>
              </w:rPr>
              <w:t>Energy-Related Environmental Research</w:t>
            </w:r>
          </w:p>
        </w:tc>
        <w:tc>
          <w:tcPr>
            <w:tcW w:w="1170" w:type="dxa"/>
            <w:vAlign w:val="center"/>
          </w:tcPr>
          <w:p w:rsidR="004A568A" w:rsidP="00970AC4" w:rsidRDefault="004A568A" w14:paraId="39906978"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742AE034"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2BE83343"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FAA930F" w14:textId="474EBE4C">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6035B4C" w14:textId="33B0C9A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011423D" w14:textId="6521BB33">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9D230CD" w14:textId="228EDA6D">
            <w:pPr>
              <w:jc w:val="right"/>
              <w:rPr>
                <w:rFonts w:ascii="Palatino Linotype" w:hAnsi="Palatino Linotype"/>
                <w:sz w:val="20"/>
                <w:szCs w:val="20"/>
              </w:rPr>
            </w:pPr>
            <w:r>
              <w:rPr>
                <w:rFonts w:ascii="Palatino Linotype" w:hAnsi="Palatino Linotype"/>
                <w:sz w:val="20"/>
                <w:szCs w:val="20"/>
              </w:rPr>
              <w:t>437,949</w:t>
            </w:r>
          </w:p>
        </w:tc>
      </w:tr>
      <w:tr w:rsidR="004A568A" w:rsidTr="007079D0" w14:paraId="21913567" w14:textId="77777777">
        <w:tc>
          <w:tcPr>
            <w:tcW w:w="1729" w:type="dxa"/>
            <w:vMerge/>
          </w:tcPr>
          <w:p w:rsidR="004A568A" w:rsidP="004A568A" w:rsidRDefault="004A568A" w14:paraId="63B1D883" w14:textId="77777777">
            <w:pPr>
              <w:rPr>
                <w:rFonts w:ascii="Palatino Linotype" w:hAnsi="Palatino Linotype"/>
                <w:sz w:val="20"/>
                <w:szCs w:val="20"/>
              </w:rPr>
            </w:pPr>
          </w:p>
        </w:tc>
        <w:tc>
          <w:tcPr>
            <w:tcW w:w="4176" w:type="dxa"/>
            <w:vAlign w:val="center"/>
          </w:tcPr>
          <w:p w:rsidRPr="00335EF5" w:rsidR="004A568A" w:rsidP="00970AC4" w:rsidRDefault="004A568A" w14:paraId="38CBF707" w14:textId="77777777">
            <w:pPr>
              <w:rPr>
                <w:rFonts w:ascii="Palatino Linotype" w:hAnsi="Palatino Linotype"/>
                <w:sz w:val="20"/>
                <w:szCs w:val="20"/>
              </w:rPr>
            </w:pPr>
            <w:r w:rsidRPr="00380A89">
              <w:rPr>
                <w:rFonts w:ascii="Palatino Linotype" w:hAnsi="Palatino Linotype"/>
                <w:sz w:val="20"/>
                <w:szCs w:val="20"/>
              </w:rPr>
              <w:t>Natural Gas Infrastructure Safety and Integrity</w:t>
            </w:r>
          </w:p>
        </w:tc>
        <w:tc>
          <w:tcPr>
            <w:tcW w:w="1170" w:type="dxa"/>
            <w:vAlign w:val="center"/>
          </w:tcPr>
          <w:p w:rsidR="004A568A" w:rsidP="00970AC4" w:rsidRDefault="004A568A" w14:paraId="03D08E6E"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72F4BEFD"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324FF67C"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52468BA" w14:textId="32E74AB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40AFAF37" w14:textId="0104E423">
            <w:pPr>
              <w:jc w:val="right"/>
              <w:rPr>
                <w:rFonts w:ascii="Palatino Linotype" w:hAnsi="Palatino Linotype"/>
                <w:sz w:val="20"/>
                <w:szCs w:val="20"/>
              </w:rPr>
            </w:pPr>
            <w:r>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46A7312" w14:textId="5A1791B5">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2EE1A55A" w14:textId="5D5E3B26">
            <w:pPr>
              <w:jc w:val="right"/>
              <w:rPr>
                <w:rFonts w:ascii="Palatino Linotype" w:hAnsi="Palatino Linotype"/>
                <w:sz w:val="20"/>
                <w:szCs w:val="20"/>
              </w:rPr>
            </w:pPr>
            <w:r>
              <w:rPr>
                <w:rFonts w:ascii="Palatino Linotype" w:hAnsi="Palatino Linotype"/>
                <w:sz w:val="20"/>
                <w:szCs w:val="20"/>
              </w:rPr>
              <w:t>540,553</w:t>
            </w:r>
          </w:p>
        </w:tc>
      </w:tr>
      <w:tr w:rsidR="004A568A" w:rsidTr="007079D0" w14:paraId="0C941EAA" w14:textId="77777777">
        <w:tc>
          <w:tcPr>
            <w:tcW w:w="1729" w:type="dxa"/>
            <w:vMerge/>
          </w:tcPr>
          <w:p w:rsidR="004A568A" w:rsidP="004A568A" w:rsidRDefault="004A568A" w14:paraId="5ABA83BD" w14:textId="77777777">
            <w:pPr>
              <w:rPr>
                <w:rFonts w:ascii="Palatino Linotype" w:hAnsi="Palatino Linotype"/>
                <w:sz w:val="20"/>
                <w:szCs w:val="20"/>
              </w:rPr>
            </w:pPr>
          </w:p>
        </w:tc>
        <w:tc>
          <w:tcPr>
            <w:tcW w:w="4176" w:type="dxa"/>
            <w:vAlign w:val="center"/>
          </w:tcPr>
          <w:p w:rsidRPr="00335EF5" w:rsidR="004A568A" w:rsidP="00970AC4" w:rsidRDefault="004A568A" w14:paraId="405CC2E6" w14:textId="77777777">
            <w:pPr>
              <w:rPr>
                <w:rFonts w:ascii="Palatino Linotype" w:hAnsi="Palatino Linotype"/>
                <w:sz w:val="20"/>
                <w:szCs w:val="20"/>
              </w:rPr>
            </w:pPr>
            <w:r w:rsidRPr="00335EF5">
              <w:rPr>
                <w:rFonts w:ascii="Palatino Linotype" w:hAnsi="Palatino Linotype"/>
                <w:sz w:val="20"/>
                <w:szCs w:val="20"/>
              </w:rPr>
              <w:t>Natural Gas Strategic Planning Research (Crosscutting)</w:t>
            </w:r>
          </w:p>
        </w:tc>
        <w:tc>
          <w:tcPr>
            <w:tcW w:w="1170" w:type="dxa"/>
            <w:vAlign w:val="center"/>
          </w:tcPr>
          <w:p w:rsidR="004A568A" w:rsidP="00970AC4" w:rsidRDefault="004A568A" w14:paraId="41ADD835" w14:textId="77777777">
            <w:pPr>
              <w:rPr>
                <w:rFonts w:ascii="Palatino Linotype" w:hAnsi="Palatino Linotype"/>
                <w:sz w:val="20"/>
                <w:szCs w:val="20"/>
              </w:rPr>
            </w:pPr>
            <w:r>
              <w:rPr>
                <w:rFonts w:ascii="Palatino Linotype" w:hAnsi="Palatino Linotype"/>
                <w:sz w:val="20"/>
                <w:szCs w:val="20"/>
              </w:rPr>
              <w:t>08/01/2019</w:t>
            </w:r>
          </w:p>
        </w:tc>
        <w:tc>
          <w:tcPr>
            <w:tcW w:w="1530" w:type="dxa"/>
            <w:vAlign w:val="center"/>
          </w:tcPr>
          <w:p w:rsidR="004A568A" w:rsidP="00970AC4" w:rsidRDefault="004A568A" w14:paraId="454C3D40" w14:textId="77777777">
            <w:pPr>
              <w:rPr>
                <w:rFonts w:ascii="Palatino Linotype" w:hAnsi="Palatino Linotype"/>
                <w:sz w:val="20"/>
                <w:szCs w:val="20"/>
              </w:rPr>
            </w:pPr>
            <w:r>
              <w:rPr>
                <w:rFonts w:ascii="Palatino Linotype" w:hAnsi="Palatino Linotype"/>
                <w:sz w:val="20"/>
                <w:szCs w:val="20"/>
              </w:rPr>
              <w:t>08/01/2021</w:t>
            </w:r>
          </w:p>
        </w:tc>
        <w:tc>
          <w:tcPr>
            <w:tcW w:w="1380" w:type="dxa"/>
            <w:tcBorders>
              <w:right w:val="single" w:color="auto" w:sz="4" w:space="0"/>
            </w:tcBorders>
            <w:vAlign w:val="center"/>
          </w:tcPr>
          <w:p w:rsidR="004A568A" w:rsidP="00970AC4" w:rsidRDefault="004A568A" w14:paraId="18D68B7B" w14:textId="77777777">
            <w:pPr>
              <w:rPr>
                <w:rFonts w:ascii="Palatino Linotype" w:hAnsi="Palatino Linotype"/>
                <w:sz w:val="20"/>
                <w:szCs w:val="20"/>
              </w:rPr>
            </w:pPr>
            <w:r>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2C8D524" w14:textId="6E2A37E7">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9B1AF3E" w14:textId="5E947978">
            <w:pPr>
              <w:jc w:val="right"/>
              <w:rPr>
                <w:rFonts w:ascii="Palatino Linotype" w:hAnsi="Palatino Linotype"/>
                <w:sz w:val="20"/>
                <w:szCs w:val="20"/>
              </w:rPr>
            </w:pPr>
            <w:r>
              <w:rPr>
                <w:rFonts w:ascii="Palatino Linotype" w:hAnsi="Palatino Linotype"/>
                <w:sz w:val="20"/>
                <w:szCs w:val="20"/>
              </w:rPr>
              <w:t>2,290,000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3530110" w14:textId="553DA219">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309CDB41" w14:textId="030FF973">
            <w:pPr>
              <w:jc w:val="right"/>
              <w:rPr>
                <w:rFonts w:ascii="Palatino Linotype" w:hAnsi="Palatino Linotype"/>
                <w:sz w:val="20"/>
                <w:szCs w:val="20"/>
              </w:rPr>
            </w:pPr>
            <w:r>
              <w:rPr>
                <w:rFonts w:ascii="Palatino Linotype" w:hAnsi="Palatino Linotype"/>
                <w:sz w:val="20"/>
                <w:szCs w:val="20"/>
              </w:rPr>
              <w:t>0</w:t>
            </w:r>
          </w:p>
        </w:tc>
      </w:tr>
      <w:tr w:rsidR="004A568A" w:rsidTr="007079D0" w14:paraId="5C425846" w14:textId="77777777">
        <w:tc>
          <w:tcPr>
            <w:tcW w:w="1729" w:type="dxa"/>
            <w:vMerge w:val="restart"/>
          </w:tcPr>
          <w:p w:rsidR="004A568A" w:rsidP="004A568A" w:rsidRDefault="004A568A" w14:paraId="29690F44" w14:textId="77777777">
            <w:pPr>
              <w:rPr>
                <w:rFonts w:ascii="Palatino Linotype" w:hAnsi="Palatino Linotype"/>
                <w:sz w:val="20"/>
                <w:szCs w:val="20"/>
              </w:rPr>
            </w:pPr>
            <w:r>
              <w:rPr>
                <w:rFonts w:ascii="Palatino Linotype" w:hAnsi="Palatino Linotype"/>
                <w:sz w:val="20"/>
                <w:szCs w:val="20"/>
              </w:rPr>
              <w:t>FY 2020-2021</w:t>
            </w:r>
          </w:p>
        </w:tc>
        <w:tc>
          <w:tcPr>
            <w:tcW w:w="4176" w:type="dxa"/>
            <w:vAlign w:val="center"/>
          </w:tcPr>
          <w:p w:rsidRPr="00335EF5" w:rsidR="004A568A" w:rsidP="00970AC4" w:rsidRDefault="004A568A" w14:paraId="3E7B5D53" w14:textId="77777777">
            <w:pPr>
              <w:rPr>
                <w:rFonts w:ascii="Palatino Linotype" w:hAnsi="Palatino Linotype"/>
                <w:sz w:val="20"/>
                <w:szCs w:val="20"/>
              </w:rPr>
            </w:pPr>
            <w:r w:rsidRPr="00CA6FDF">
              <w:rPr>
                <w:rFonts w:ascii="Palatino Linotype" w:hAnsi="Palatino Linotype"/>
                <w:sz w:val="20"/>
                <w:szCs w:val="20"/>
              </w:rPr>
              <w:t>Transportation</w:t>
            </w:r>
          </w:p>
        </w:tc>
        <w:tc>
          <w:tcPr>
            <w:tcW w:w="1170" w:type="dxa"/>
            <w:vAlign w:val="center"/>
          </w:tcPr>
          <w:p w:rsidR="004A568A" w:rsidP="00970AC4" w:rsidRDefault="004A568A" w14:paraId="1DB806C8" w14:textId="77777777">
            <w:pPr>
              <w:rPr>
                <w:rFonts w:ascii="Palatino Linotype" w:hAnsi="Palatino Linotype"/>
                <w:sz w:val="20"/>
                <w:szCs w:val="20"/>
              </w:rPr>
            </w:pPr>
            <w:r>
              <w:rPr>
                <w:rFonts w:ascii="Palatino Linotype" w:hAnsi="Palatino Linotype"/>
                <w:sz w:val="20"/>
                <w:szCs w:val="20"/>
              </w:rPr>
              <w:t>11/05/2020</w:t>
            </w:r>
          </w:p>
        </w:tc>
        <w:tc>
          <w:tcPr>
            <w:tcW w:w="1530" w:type="dxa"/>
            <w:vAlign w:val="center"/>
          </w:tcPr>
          <w:p w:rsidR="004A568A" w:rsidP="00970AC4" w:rsidRDefault="004A568A" w14:paraId="37E8E107" w14:textId="77777777">
            <w:pPr>
              <w:rPr>
                <w:rFonts w:ascii="Palatino Linotype" w:hAnsi="Palatino Linotype"/>
                <w:sz w:val="20"/>
                <w:szCs w:val="20"/>
              </w:rPr>
            </w:pPr>
            <w:r>
              <w:rPr>
                <w:rFonts w:ascii="Palatino Linotype" w:hAnsi="Palatino Linotype"/>
                <w:sz w:val="20"/>
                <w:szCs w:val="20"/>
              </w:rPr>
              <w:t>11/05/2022</w:t>
            </w:r>
          </w:p>
        </w:tc>
        <w:tc>
          <w:tcPr>
            <w:tcW w:w="1380" w:type="dxa"/>
            <w:tcBorders>
              <w:right w:val="single" w:color="auto" w:sz="4" w:space="0"/>
            </w:tcBorders>
            <w:vAlign w:val="center"/>
          </w:tcPr>
          <w:p w:rsidR="004A568A" w:rsidP="00970AC4" w:rsidRDefault="004A568A" w14:paraId="7C0D901F" w14:textId="77777777">
            <w:pPr>
              <w:rPr>
                <w:rFonts w:ascii="Palatino Linotype" w:hAnsi="Palatino Linotype"/>
                <w:sz w:val="20"/>
                <w:szCs w:val="20"/>
              </w:rPr>
            </w:pPr>
            <w:r>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38503B3F" w14:textId="64AF888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F5EF983" w14:textId="4B282807">
            <w:pPr>
              <w:jc w:val="right"/>
              <w:rPr>
                <w:rFonts w:ascii="Palatino Linotype" w:hAnsi="Palatino Linotype"/>
                <w:sz w:val="20"/>
                <w:szCs w:val="20"/>
              </w:rPr>
            </w:pPr>
            <w:r>
              <w:rPr>
                <w:rFonts w:ascii="Palatino Linotype" w:hAnsi="Palatino Linotype"/>
                <w:sz w:val="20"/>
                <w:szCs w:val="20"/>
              </w:rPr>
              <w:t>333</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895F5F0" w14:textId="38806EA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996E0FE" w14:textId="16E15FAF">
            <w:pPr>
              <w:jc w:val="right"/>
              <w:rPr>
                <w:rFonts w:ascii="Palatino Linotype" w:hAnsi="Palatino Linotype"/>
                <w:sz w:val="20"/>
                <w:szCs w:val="20"/>
              </w:rPr>
            </w:pPr>
            <w:r>
              <w:rPr>
                <w:rFonts w:ascii="Palatino Linotype" w:hAnsi="Palatino Linotype"/>
                <w:sz w:val="20"/>
                <w:szCs w:val="20"/>
              </w:rPr>
              <w:t>0**</w:t>
            </w:r>
          </w:p>
        </w:tc>
      </w:tr>
      <w:tr w:rsidR="004A568A" w:rsidTr="007079D0" w14:paraId="3D5BF4B6" w14:textId="77777777">
        <w:tc>
          <w:tcPr>
            <w:tcW w:w="1729" w:type="dxa"/>
            <w:vMerge/>
          </w:tcPr>
          <w:p w:rsidR="004A568A" w:rsidP="004A568A" w:rsidRDefault="004A568A" w14:paraId="784153C3" w14:textId="77777777">
            <w:pPr>
              <w:rPr>
                <w:rFonts w:ascii="Palatino Linotype" w:hAnsi="Palatino Linotype"/>
                <w:sz w:val="20"/>
                <w:szCs w:val="20"/>
              </w:rPr>
            </w:pPr>
          </w:p>
        </w:tc>
        <w:tc>
          <w:tcPr>
            <w:tcW w:w="4176" w:type="dxa"/>
            <w:vAlign w:val="center"/>
          </w:tcPr>
          <w:p w:rsidRPr="00335EF5" w:rsidR="004A568A" w:rsidP="00970AC4" w:rsidRDefault="004A568A" w14:paraId="7D3753FA" w14:textId="77777777">
            <w:pPr>
              <w:rPr>
                <w:rFonts w:ascii="Palatino Linotype" w:hAnsi="Palatino Linotype"/>
                <w:sz w:val="20"/>
                <w:szCs w:val="20"/>
              </w:rPr>
            </w:pPr>
            <w:r w:rsidRPr="00CA6FDF">
              <w:rPr>
                <w:rFonts w:ascii="Palatino Linotype" w:hAnsi="Palatino Linotype"/>
                <w:sz w:val="20"/>
                <w:szCs w:val="20"/>
              </w:rPr>
              <w:t>Energy-Related Environmental Research</w:t>
            </w:r>
          </w:p>
        </w:tc>
        <w:tc>
          <w:tcPr>
            <w:tcW w:w="1170" w:type="dxa"/>
            <w:vAlign w:val="center"/>
          </w:tcPr>
          <w:p w:rsidR="004A568A" w:rsidP="00970AC4" w:rsidRDefault="004A568A" w14:paraId="4E9D8CA4" w14:textId="77777777">
            <w:pPr>
              <w:rPr>
                <w:rFonts w:ascii="Palatino Linotype" w:hAnsi="Palatino Linotype"/>
                <w:sz w:val="20"/>
                <w:szCs w:val="20"/>
              </w:rPr>
            </w:pPr>
            <w:r>
              <w:rPr>
                <w:rFonts w:ascii="Palatino Linotype" w:hAnsi="Palatino Linotype"/>
                <w:sz w:val="20"/>
                <w:szCs w:val="20"/>
              </w:rPr>
              <w:t>11/05/2020</w:t>
            </w:r>
          </w:p>
        </w:tc>
        <w:tc>
          <w:tcPr>
            <w:tcW w:w="1530" w:type="dxa"/>
            <w:vAlign w:val="center"/>
          </w:tcPr>
          <w:p w:rsidR="004A568A" w:rsidP="00970AC4" w:rsidRDefault="004A568A" w14:paraId="0D293BEF" w14:textId="77777777">
            <w:pPr>
              <w:rPr>
                <w:rFonts w:ascii="Palatino Linotype" w:hAnsi="Palatino Linotype"/>
                <w:sz w:val="20"/>
                <w:szCs w:val="20"/>
              </w:rPr>
            </w:pPr>
            <w:r>
              <w:rPr>
                <w:rFonts w:ascii="Palatino Linotype" w:hAnsi="Palatino Linotype"/>
                <w:sz w:val="20"/>
                <w:szCs w:val="20"/>
              </w:rPr>
              <w:t>11/05/2022</w:t>
            </w:r>
          </w:p>
        </w:tc>
        <w:tc>
          <w:tcPr>
            <w:tcW w:w="1380" w:type="dxa"/>
            <w:tcBorders>
              <w:right w:val="single" w:color="auto" w:sz="4" w:space="0"/>
            </w:tcBorders>
            <w:vAlign w:val="center"/>
          </w:tcPr>
          <w:p w:rsidR="004A568A" w:rsidP="00970AC4" w:rsidRDefault="004A568A" w14:paraId="01ECF6D3" w14:textId="77777777">
            <w:pPr>
              <w:rPr>
                <w:rFonts w:ascii="Palatino Linotype" w:hAnsi="Palatino Linotype"/>
                <w:sz w:val="20"/>
                <w:szCs w:val="20"/>
              </w:rPr>
            </w:pPr>
            <w:r>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5A529EB4" w14:textId="3D16C8AA">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AC5BC90" w14:textId="6B9841FB">
            <w:pPr>
              <w:jc w:val="right"/>
              <w:rPr>
                <w:rFonts w:ascii="Palatino Linotype" w:hAnsi="Palatino Linotype"/>
                <w:sz w:val="20"/>
                <w:szCs w:val="20"/>
              </w:rPr>
            </w:pPr>
            <w:r>
              <w:rPr>
                <w:rFonts w:ascii="Palatino Linotype" w:hAnsi="Palatino Linotype"/>
                <w:sz w:val="20"/>
                <w:szCs w:val="20"/>
              </w:rPr>
              <w:t>725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5BF86BCD" w14:textId="3221C0C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0EDFDE33" w14:textId="5F208B2D">
            <w:pPr>
              <w:jc w:val="right"/>
              <w:rPr>
                <w:rFonts w:ascii="Palatino Linotype" w:hAnsi="Palatino Linotype"/>
                <w:sz w:val="20"/>
                <w:szCs w:val="20"/>
              </w:rPr>
            </w:pPr>
            <w:r>
              <w:rPr>
                <w:rFonts w:ascii="Palatino Linotype" w:hAnsi="Palatino Linotype"/>
                <w:sz w:val="20"/>
                <w:szCs w:val="20"/>
              </w:rPr>
              <w:t>0**</w:t>
            </w:r>
          </w:p>
        </w:tc>
      </w:tr>
      <w:tr w:rsidR="004A568A" w:rsidTr="007079D0" w14:paraId="43900C1F" w14:textId="77777777">
        <w:tc>
          <w:tcPr>
            <w:tcW w:w="1729" w:type="dxa"/>
            <w:vMerge/>
          </w:tcPr>
          <w:p w:rsidR="004A568A" w:rsidP="004A568A" w:rsidRDefault="004A568A" w14:paraId="0BC7CE13" w14:textId="77777777">
            <w:pPr>
              <w:rPr>
                <w:rFonts w:ascii="Palatino Linotype" w:hAnsi="Palatino Linotype"/>
                <w:sz w:val="20"/>
                <w:szCs w:val="20"/>
              </w:rPr>
            </w:pPr>
          </w:p>
        </w:tc>
        <w:tc>
          <w:tcPr>
            <w:tcW w:w="4176" w:type="dxa"/>
            <w:vAlign w:val="center"/>
          </w:tcPr>
          <w:p w:rsidRPr="00335EF5" w:rsidR="004A568A" w:rsidP="00970AC4" w:rsidRDefault="004A568A" w14:paraId="0B396E38" w14:textId="77777777">
            <w:pPr>
              <w:rPr>
                <w:rFonts w:ascii="Palatino Linotype" w:hAnsi="Palatino Linotype"/>
                <w:sz w:val="20"/>
                <w:szCs w:val="20"/>
              </w:rPr>
            </w:pPr>
            <w:r w:rsidRPr="00CA6FDF">
              <w:rPr>
                <w:rFonts w:ascii="Palatino Linotype" w:hAnsi="Palatino Linotype"/>
                <w:sz w:val="20"/>
                <w:szCs w:val="20"/>
              </w:rPr>
              <w:t>Natural Gas Infrastructure Safety and Integrity</w:t>
            </w:r>
          </w:p>
        </w:tc>
        <w:tc>
          <w:tcPr>
            <w:tcW w:w="1170" w:type="dxa"/>
            <w:vAlign w:val="center"/>
          </w:tcPr>
          <w:p w:rsidR="004A568A" w:rsidP="00970AC4" w:rsidRDefault="004A568A" w14:paraId="3546207A" w14:textId="77777777">
            <w:pPr>
              <w:rPr>
                <w:rFonts w:ascii="Palatino Linotype" w:hAnsi="Palatino Linotype"/>
                <w:sz w:val="20"/>
                <w:szCs w:val="20"/>
              </w:rPr>
            </w:pPr>
            <w:r>
              <w:rPr>
                <w:rFonts w:ascii="Palatino Linotype" w:hAnsi="Palatino Linotype"/>
                <w:sz w:val="20"/>
                <w:szCs w:val="20"/>
              </w:rPr>
              <w:t>11/05/2020</w:t>
            </w:r>
          </w:p>
        </w:tc>
        <w:tc>
          <w:tcPr>
            <w:tcW w:w="1530" w:type="dxa"/>
            <w:vAlign w:val="center"/>
          </w:tcPr>
          <w:p w:rsidR="004A568A" w:rsidP="00970AC4" w:rsidRDefault="004A568A" w14:paraId="5E58C2C2" w14:textId="77777777">
            <w:pPr>
              <w:rPr>
                <w:rFonts w:ascii="Palatino Linotype" w:hAnsi="Palatino Linotype"/>
                <w:sz w:val="20"/>
                <w:szCs w:val="20"/>
              </w:rPr>
            </w:pPr>
            <w:r>
              <w:rPr>
                <w:rFonts w:ascii="Palatino Linotype" w:hAnsi="Palatino Linotype"/>
                <w:sz w:val="20"/>
                <w:szCs w:val="20"/>
              </w:rPr>
              <w:t>11/05/2022</w:t>
            </w:r>
          </w:p>
        </w:tc>
        <w:tc>
          <w:tcPr>
            <w:tcW w:w="1380" w:type="dxa"/>
            <w:tcBorders>
              <w:right w:val="single" w:color="auto" w:sz="4" w:space="0"/>
            </w:tcBorders>
            <w:vAlign w:val="center"/>
          </w:tcPr>
          <w:p w:rsidR="004A568A" w:rsidP="00970AC4" w:rsidRDefault="004A568A" w14:paraId="0E346F89" w14:textId="77777777">
            <w:pPr>
              <w:rPr>
                <w:rFonts w:ascii="Palatino Linotype" w:hAnsi="Palatino Linotype"/>
                <w:sz w:val="20"/>
                <w:szCs w:val="20"/>
              </w:rPr>
            </w:pPr>
            <w:r>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7E9620B7" w14:textId="2E1CFF1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0CA79332" w14:textId="478F9D74">
            <w:pPr>
              <w:jc w:val="right"/>
              <w:rPr>
                <w:rFonts w:ascii="Palatino Linotype" w:hAnsi="Palatino Linotype"/>
                <w:sz w:val="20"/>
                <w:szCs w:val="20"/>
              </w:rPr>
            </w:pPr>
            <w:r>
              <w:rPr>
                <w:rFonts w:ascii="Palatino Linotype" w:hAnsi="Palatino Linotype"/>
                <w:sz w:val="20"/>
                <w:szCs w:val="20"/>
              </w:rPr>
              <w:t>72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7D8F095" w14:textId="53ED706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3C69007" w14:textId="7E881C94">
            <w:pPr>
              <w:jc w:val="right"/>
              <w:rPr>
                <w:rFonts w:ascii="Palatino Linotype" w:hAnsi="Palatino Linotype"/>
                <w:sz w:val="20"/>
                <w:szCs w:val="20"/>
              </w:rPr>
            </w:pPr>
            <w:r>
              <w:rPr>
                <w:rFonts w:ascii="Palatino Linotype" w:hAnsi="Palatino Linotype"/>
                <w:sz w:val="20"/>
                <w:szCs w:val="20"/>
              </w:rPr>
              <w:t>0**</w:t>
            </w:r>
          </w:p>
        </w:tc>
      </w:tr>
      <w:tr w:rsidR="004A568A" w:rsidTr="007079D0" w14:paraId="3653B249" w14:textId="77777777">
        <w:tc>
          <w:tcPr>
            <w:tcW w:w="1729" w:type="dxa"/>
          </w:tcPr>
          <w:p w:rsidR="004A568A" w:rsidP="004A568A" w:rsidRDefault="004A568A" w14:paraId="082DE838" w14:textId="77777777">
            <w:pPr>
              <w:rPr>
                <w:rFonts w:ascii="Palatino Linotype" w:hAnsi="Palatino Linotype"/>
                <w:sz w:val="20"/>
                <w:szCs w:val="20"/>
              </w:rPr>
            </w:pPr>
            <w:r>
              <w:rPr>
                <w:rFonts w:ascii="Palatino Linotype" w:hAnsi="Palatino Linotype"/>
                <w:sz w:val="20"/>
                <w:szCs w:val="20"/>
              </w:rPr>
              <w:t>FY 2021-2022</w:t>
            </w:r>
          </w:p>
        </w:tc>
        <w:tc>
          <w:tcPr>
            <w:tcW w:w="4176" w:type="dxa"/>
            <w:vAlign w:val="center"/>
          </w:tcPr>
          <w:p w:rsidRPr="00335EF5" w:rsidR="004A568A" w:rsidP="00970AC4" w:rsidRDefault="004A568A" w14:paraId="64324F7C" w14:textId="77777777">
            <w:pPr>
              <w:rPr>
                <w:rFonts w:ascii="Palatino Linotype" w:hAnsi="Palatino Linotype"/>
                <w:sz w:val="20"/>
                <w:szCs w:val="20"/>
              </w:rPr>
            </w:pPr>
            <w:r w:rsidRPr="002E08FC">
              <w:rPr>
                <w:rFonts w:ascii="Palatino Linotype" w:hAnsi="Palatino Linotype"/>
                <w:sz w:val="20"/>
                <w:szCs w:val="20"/>
              </w:rPr>
              <w:t>Energy-Related Environmental Research</w:t>
            </w:r>
          </w:p>
        </w:tc>
        <w:tc>
          <w:tcPr>
            <w:tcW w:w="1170" w:type="dxa"/>
            <w:vAlign w:val="center"/>
          </w:tcPr>
          <w:p w:rsidR="004A568A" w:rsidP="00970AC4" w:rsidRDefault="004A568A" w14:paraId="79202927" w14:textId="77777777">
            <w:pPr>
              <w:rPr>
                <w:rFonts w:ascii="Palatino Linotype" w:hAnsi="Palatino Linotype"/>
                <w:sz w:val="20"/>
                <w:szCs w:val="20"/>
              </w:rPr>
            </w:pPr>
            <w:r>
              <w:rPr>
                <w:rFonts w:ascii="Palatino Linotype" w:hAnsi="Palatino Linotype"/>
                <w:sz w:val="20"/>
                <w:szCs w:val="20"/>
              </w:rPr>
              <w:t>09/23/2021</w:t>
            </w:r>
          </w:p>
        </w:tc>
        <w:tc>
          <w:tcPr>
            <w:tcW w:w="1530" w:type="dxa"/>
            <w:vAlign w:val="center"/>
          </w:tcPr>
          <w:p w:rsidR="004A568A" w:rsidP="00970AC4" w:rsidRDefault="004A568A" w14:paraId="61D7A697" w14:textId="77777777">
            <w:pPr>
              <w:rPr>
                <w:rFonts w:ascii="Palatino Linotype" w:hAnsi="Palatino Linotype"/>
                <w:sz w:val="20"/>
                <w:szCs w:val="20"/>
              </w:rPr>
            </w:pPr>
            <w:r>
              <w:rPr>
                <w:rFonts w:ascii="Palatino Linotype" w:hAnsi="Palatino Linotype"/>
                <w:sz w:val="20"/>
                <w:szCs w:val="20"/>
              </w:rPr>
              <w:t>09/23/2023</w:t>
            </w:r>
          </w:p>
        </w:tc>
        <w:tc>
          <w:tcPr>
            <w:tcW w:w="1380" w:type="dxa"/>
            <w:tcBorders>
              <w:right w:val="single" w:color="auto" w:sz="4" w:space="0"/>
            </w:tcBorders>
            <w:vAlign w:val="center"/>
          </w:tcPr>
          <w:p w:rsidR="004A568A" w:rsidP="00970AC4" w:rsidRDefault="004A568A" w14:paraId="291EDE93" w14:textId="77777777">
            <w:pPr>
              <w:rPr>
                <w:rFonts w:ascii="Palatino Linotype" w:hAnsi="Palatino Linotype"/>
                <w:sz w:val="20"/>
                <w:szCs w:val="20"/>
              </w:rPr>
            </w:pPr>
            <w:r>
              <w:rPr>
                <w:rFonts w:ascii="Palatino Linotype" w:hAnsi="Palatino Linotype"/>
                <w:sz w:val="20"/>
                <w:szCs w:val="20"/>
              </w:rPr>
              <w:t>09/23/2027</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D4AC099" w14:textId="2974082D">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04D8093" w14:textId="4A4EAEAA">
            <w:pPr>
              <w:jc w:val="right"/>
              <w:rPr>
                <w:rFonts w:ascii="Palatino Linotype" w:hAnsi="Palatino Linotype"/>
                <w:sz w:val="20"/>
                <w:szCs w:val="20"/>
              </w:rPr>
            </w:pPr>
            <w:r>
              <w:rPr>
                <w:rFonts w:ascii="Palatino Linotype" w:hAnsi="Palatino Linotype"/>
                <w:sz w:val="20"/>
                <w:szCs w:val="20"/>
              </w:rPr>
              <w:t>600,864</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E5C7B70" w14:textId="56FDFEA7">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584A52B4" w14:textId="46BD54CC">
            <w:pPr>
              <w:jc w:val="right"/>
              <w:rPr>
                <w:rFonts w:ascii="Palatino Linotype" w:hAnsi="Palatino Linotype"/>
                <w:sz w:val="20"/>
                <w:szCs w:val="20"/>
              </w:rPr>
            </w:pPr>
            <w:r>
              <w:rPr>
                <w:rFonts w:ascii="Palatino Linotype" w:hAnsi="Palatino Linotype"/>
                <w:sz w:val="20"/>
                <w:szCs w:val="20"/>
              </w:rPr>
              <w:t>0**</w:t>
            </w:r>
          </w:p>
        </w:tc>
      </w:tr>
      <w:tr w:rsidR="004A568A" w:rsidTr="007079D0" w14:paraId="31C5ABB9" w14:textId="77777777">
        <w:tc>
          <w:tcPr>
            <w:tcW w:w="1729" w:type="dxa"/>
            <w:vMerge w:val="restart"/>
          </w:tcPr>
          <w:p w:rsidR="004A568A" w:rsidP="004A568A" w:rsidRDefault="004A568A" w14:paraId="43EB6DC4" w14:textId="77777777">
            <w:pPr>
              <w:rPr>
                <w:rFonts w:ascii="Palatino Linotype" w:hAnsi="Palatino Linotype"/>
                <w:sz w:val="20"/>
                <w:szCs w:val="20"/>
              </w:rPr>
            </w:pPr>
            <w:r>
              <w:rPr>
                <w:rFonts w:ascii="Palatino Linotype" w:hAnsi="Palatino Linotype"/>
                <w:sz w:val="20"/>
                <w:szCs w:val="20"/>
              </w:rPr>
              <w:t>FY 2022-2023</w:t>
            </w:r>
          </w:p>
        </w:tc>
        <w:tc>
          <w:tcPr>
            <w:tcW w:w="4176" w:type="dxa"/>
            <w:vAlign w:val="center"/>
          </w:tcPr>
          <w:p w:rsidRPr="002E08FC" w:rsidR="004A568A" w:rsidP="00970AC4" w:rsidRDefault="004A568A" w14:paraId="39DECA7A" w14:textId="77777777">
            <w:pPr>
              <w:rPr>
                <w:rFonts w:ascii="Palatino Linotype" w:hAnsi="Palatino Linotype"/>
                <w:sz w:val="20"/>
                <w:szCs w:val="20"/>
              </w:rPr>
            </w:pPr>
            <w:r w:rsidRPr="00622E95">
              <w:rPr>
                <w:rFonts w:ascii="Palatino Linotype" w:hAnsi="Palatino Linotype"/>
                <w:sz w:val="20"/>
                <w:szCs w:val="20"/>
              </w:rPr>
              <w:t>Decarbonization of Gas End Uses</w:t>
            </w:r>
          </w:p>
        </w:tc>
        <w:tc>
          <w:tcPr>
            <w:tcW w:w="1170" w:type="dxa"/>
            <w:vAlign w:val="center"/>
          </w:tcPr>
          <w:p w:rsidR="004A568A" w:rsidP="00970AC4" w:rsidRDefault="004A568A" w14:paraId="330A6EBB" w14:textId="77777777">
            <w:pPr>
              <w:rPr>
                <w:rFonts w:ascii="Palatino Linotype" w:hAnsi="Palatino Linotype"/>
                <w:sz w:val="20"/>
                <w:szCs w:val="20"/>
              </w:rPr>
            </w:pPr>
            <w:r>
              <w:rPr>
                <w:rFonts w:ascii="Palatino Linotype" w:hAnsi="Palatino Linotype"/>
                <w:sz w:val="20"/>
                <w:szCs w:val="20"/>
              </w:rPr>
              <w:t>03/16/2023</w:t>
            </w:r>
          </w:p>
        </w:tc>
        <w:tc>
          <w:tcPr>
            <w:tcW w:w="1530" w:type="dxa"/>
            <w:vAlign w:val="center"/>
          </w:tcPr>
          <w:p w:rsidR="004A568A" w:rsidP="00970AC4" w:rsidRDefault="004A568A" w14:paraId="3246CF8E" w14:textId="77777777">
            <w:pPr>
              <w:rPr>
                <w:rFonts w:ascii="Palatino Linotype" w:hAnsi="Palatino Linotype"/>
                <w:sz w:val="20"/>
                <w:szCs w:val="20"/>
              </w:rPr>
            </w:pPr>
            <w:r>
              <w:rPr>
                <w:rFonts w:ascii="Palatino Linotype" w:hAnsi="Palatino Linotype"/>
                <w:sz w:val="20"/>
                <w:szCs w:val="20"/>
              </w:rPr>
              <w:t>03/16/2025</w:t>
            </w:r>
          </w:p>
        </w:tc>
        <w:tc>
          <w:tcPr>
            <w:tcW w:w="1380" w:type="dxa"/>
            <w:tcBorders>
              <w:right w:val="single" w:color="auto" w:sz="4" w:space="0"/>
            </w:tcBorders>
            <w:vAlign w:val="center"/>
          </w:tcPr>
          <w:p w:rsidR="004A568A" w:rsidP="00970AC4" w:rsidRDefault="004A568A" w14:paraId="61954955" w14:textId="77777777">
            <w:pPr>
              <w:rPr>
                <w:rFonts w:ascii="Palatino Linotype" w:hAnsi="Palatino Linotype"/>
                <w:sz w:val="20"/>
                <w:szCs w:val="20"/>
              </w:rPr>
            </w:pPr>
            <w:r>
              <w:rPr>
                <w:rFonts w:ascii="Palatino Linotype" w:hAnsi="Palatino Linotype"/>
                <w:sz w:val="20"/>
                <w:szCs w:val="20"/>
              </w:rPr>
              <w:t>03/16/2029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6CDD2B95" w14:textId="636A7DDD">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372B3E69" w14:textId="6473D210">
            <w:pPr>
              <w:jc w:val="right"/>
              <w:rPr>
                <w:rFonts w:ascii="Palatino Linotype" w:hAnsi="Palatino Linotype"/>
                <w:sz w:val="20"/>
                <w:szCs w:val="20"/>
              </w:rPr>
            </w:pPr>
            <w:r>
              <w:rPr>
                <w:rFonts w:ascii="Palatino Linotype" w:hAnsi="Palatino Linotype"/>
                <w:sz w:val="20"/>
                <w:szCs w:val="20"/>
              </w:rPr>
              <w:t>3,175,645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774E4980" w14:textId="691F2156">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10617A4" w14:textId="686AF9D6">
            <w:pPr>
              <w:jc w:val="right"/>
              <w:rPr>
                <w:rFonts w:ascii="Palatino Linotype" w:hAnsi="Palatino Linotype"/>
                <w:sz w:val="20"/>
                <w:szCs w:val="20"/>
              </w:rPr>
            </w:pPr>
            <w:r>
              <w:rPr>
                <w:rFonts w:ascii="Palatino Linotype" w:hAnsi="Palatino Linotype"/>
                <w:sz w:val="20"/>
                <w:szCs w:val="20"/>
              </w:rPr>
              <w:t>0**</w:t>
            </w:r>
          </w:p>
        </w:tc>
      </w:tr>
      <w:tr w:rsidR="004A568A" w:rsidTr="007079D0" w14:paraId="4BBF4B39" w14:textId="77777777">
        <w:tc>
          <w:tcPr>
            <w:tcW w:w="1729" w:type="dxa"/>
            <w:vMerge/>
          </w:tcPr>
          <w:p w:rsidR="004A568A" w:rsidP="004A568A" w:rsidRDefault="004A568A" w14:paraId="07599414" w14:textId="77777777">
            <w:pPr>
              <w:rPr>
                <w:rFonts w:ascii="Palatino Linotype" w:hAnsi="Palatino Linotype"/>
                <w:sz w:val="20"/>
                <w:szCs w:val="20"/>
              </w:rPr>
            </w:pPr>
          </w:p>
        </w:tc>
        <w:tc>
          <w:tcPr>
            <w:tcW w:w="4176" w:type="dxa"/>
            <w:vAlign w:val="center"/>
          </w:tcPr>
          <w:p w:rsidRPr="002E08FC" w:rsidR="004A568A" w:rsidP="00970AC4" w:rsidRDefault="004A568A" w14:paraId="12927BC4" w14:textId="77777777">
            <w:pPr>
              <w:rPr>
                <w:rFonts w:ascii="Palatino Linotype" w:hAnsi="Palatino Linotype"/>
                <w:sz w:val="20"/>
                <w:szCs w:val="20"/>
              </w:rPr>
            </w:pPr>
            <w:r w:rsidRPr="00622E95">
              <w:rPr>
                <w:rFonts w:ascii="Palatino Linotype" w:hAnsi="Palatino Linotype"/>
                <w:sz w:val="20"/>
                <w:szCs w:val="20"/>
              </w:rPr>
              <w:t>Energy Efficiency</w:t>
            </w:r>
          </w:p>
        </w:tc>
        <w:tc>
          <w:tcPr>
            <w:tcW w:w="1170" w:type="dxa"/>
            <w:vAlign w:val="center"/>
          </w:tcPr>
          <w:p w:rsidR="004A568A" w:rsidP="00970AC4" w:rsidRDefault="004A568A" w14:paraId="18A2C008" w14:textId="77777777">
            <w:pPr>
              <w:rPr>
                <w:rFonts w:ascii="Palatino Linotype" w:hAnsi="Palatino Linotype"/>
                <w:sz w:val="20"/>
                <w:szCs w:val="20"/>
              </w:rPr>
            </w:pPr>
            <w:r>
              <w:rPr>
                <w:rFonts w:ascii="Palatino Linotype" w:hAnsi="Palatino Linotype"/>
                <w:sz w:val="20"/>
                <w:szCs w:val="20"/>
              </w:rPr>
              <w:t>03/16/2023</w:t>
            </w:r>
          </w:p>
        </w:tc>
        <w:tc>
          <w:tcPr>
            <w:tcW w:w="1530" w:type="dxa"/>
            <w:vAlign w:val="center"/>
          </w:tcPr>
          <w:p w:rsidR="004A568A" w:rsidP="00970AC4" w:rsidRDefault="004A568A" w14:paraId="36ADC4BB" w14:textId="77777777">
            <w:pPr>
              <w:rPr>
                <w:rFonts w:ascii="Palatino Linotype" w:hAnsi="Palatino Linotype"/>
                <w:sz w:val="20"/>
                <w:szCs w:val="20"/>
              </w:rPr>
            </w:pPr>
            <w:r>
              <w:rPr>
                <w:rFonts w:ascii="Palatino Linotype" w:hAnsi="Palatino Linotype"/>
                <w:sz w:val="20"/>
                <w:szCs w:val="20"/>
              </w:rPr>
              <w:t>03/16/2025</w:t>
            </w:r>
          </w:p>
        </w:tc>
        <w:tc>
          <w:tcPr>
            <w:tcW w:w="1380" w:type="dxa"/>
            <w:tcBorders>
              <w:right w:val="single" w:color="auto" w:sz="4" w:space="0"/>
            </w:tcBorders>
            <w:vAlign w:val="center"/>
          </w:tcPr>
          <w:p w:rsidR="004A568A" w:rsidP="00970AC4" w:rsidRDefault="004A568A" w14:paraId="4360FAE6" w14:textId="77777777">
            <w:pPr>
              <w:rPr>
                <w:rFonts w:ascii="Palatino Linotype" w:hAnsi="Palatino Linotype"/>
                <w:sz w:val="20"/>
                <w:szCs w:val="20"/>
              </w:rPr>
            </w:pPr>
            <w:r>
              <w:rPr>
                <w:rFonts w:ascii="Palatino Linotype" w:hAnsi="Palatino Linotype"/>
                <w:sz w:val="20"/>
                <w:szCs w:val="20"/>
              </w:rPr>
              <w:t>03/16/2029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AAAED2D" w14:textId="076B671F">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A860F89" w14:textId="1CB84676">
            <w:pPr>
              <w:jc w:val="right"/>
              <w:rPr>
                <w:rFonts w:ascii="Palatino Linotype" w:hAnsi="Palatino Linotype"/>
                <w:sz w:val="20"/>
                <w:szCs w:val="20"/>
              </w:rPr>
            </w:pPr>
            <w:r>
              <w:rPr>
                <w:rFonts w:ascii="Palatino Linotype" w:hAnsi="Palatino Linotype"/>
                <w:sz w:val="20"/>
                <w:szCs w:val="20"/>
              </w:rPr>
              <w:t>1,500,000</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1F52FBD8" w14:textId="6A4EC3D2">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040EEDA3" w14:textId="6AFF7DE0">
            <w:pPr>
              <w:jc w:val="right"/>
              <w:rPr>
                <w:rFonts w:ascii="Palatino Linotype" w:hAnsi="Palatino Linotype"/>
                <w:sz w:val="20"/>
                <w:szCs w:val="20"/>
              </w:rPr>
            </w:pPr>
            <w:r>
              <w:rPr>
                <w:rFonts w:ascii="Palatino Linotype" w:hAnsi="Palatino Linotype"/>
                <w:sz w:val="20"/>
                <w:szCs w:val="20"/>
              </w:rPr>
              <w:t>0**</w:t>
            </w:r>
          </w:p>
        </w:tc>
      </w:tr>
      <w:tr w:rsidR="004A568A" w:rsidTr="007079D0" w14:paraId="2C6E7195" w14:textId="77777777">
        <w:tc>
          <w:tcPr>
            <w:tcW w:w="1729" w:type="dxa"/>
            <w:vMerge/>
          </w:tcPr>
          <w:p w:rsidR="004A568A" w:rsidP="004A568A" w:rsidRDefault="004A568A" w14:paraId="04B5AEB7" w14:textId="77777777">
            <w:pPr>
              <w:rPr>
                <w:rFonts w:ascii="Palatino Linotype" w:hAnsi="Palatino Linotype"/>
                <w:sz w:val="20"/>
                <w:szCs w:val="20"/>
              </w:rPr>
            </w:pPr>
          </w:p>
        </w:tc>
        <w:tc>
          <w:tcPr>
            <w:tcW w:w="4176" w:type="dxa"/>
            <w:vAlign w:val="center"/>
          </w:tcPr>
          <w:p w:rsidRPr="00622E95" w:rsidR="004A568A" w:rsidP="00970AC4" w:rsidRDefault="004A568A" w14:paraId="48FC5043" w14:textId="77777777">
            <w:pPr>
              <w:rPr>
                <w:rFonts w:ascii="Palatino Linotype" w:hAnsi="Palatino Linotype"/>
                <w:sz w:val="20"/>
                <w:szCs w:val="20"/>
              </w:rPr>
            </w:pPr>
            <w:r w:rsidRPr="00C63B66">
              <w:rPr>
                <w:rFonts w:ascii="Palatino Linotype" w:hAnsi="Palatino Linotype"/>
                <w:sz w:val="20"/>
                <w:szCs w:val="20"/>
              </w:rPr>
              <w:t>Gas Pipeline Safety and Integrity</w:t>
            </w:r>
          </w:p>
        </w:tc>
        <w:tc>
          <w:tcPr>
            <w:tcW w:w="1170" w:type="dxa"/>
            <w:vAlign w:val="center"/>
          </w:tcPr>
          <w:p w:rsidR="004A568A" w:rsidP="00970AC4" w:rsidRDefault="004A568A" w14:paraId="129FF382" w14:textId="77777777">
            <w:pPr>
              <w:rPr>
                <w:rFonts w:ascii="Palatino Linotype" w:hAnsi="Palatino Linotype"/>
                <w:sz w:val="20"/>
                <w:szCs w:val="20"/>
              </w:rPr>
            </w:pPr>
            <w:r>
              <w:rPr>
                <w:rFonts w:ascii="Palatino Linotype" w:hAnsi="Palatino Linotype"/>
                <w:sz w:val="20"/>
                <w:szCs w:val="20"/>
              </w:rPr>
              <w:t>06/06/2023</w:t>
            </w:r>
          </w:p>
        </w:tc>
        <w:tc>
          <w:tcPr>
            <w:tcW w:w="1530" w:type="dxa"/>
            <w:vAlign w:val="center"/>
          </w:tcPr>
          <w:p w:rsidR="004A568A" w:rsidP="00970AC4" w:rsidRDefault="004A568A" w14:paraId="1D4D7B8D" w14:textId="77777777">
            <w:pPr>
              <w:rPr>
                <w:rFonts w:ascii="Palatino Linotype" w:hAnsi="Palatino Linotype"/>
                <w:sz w:val="20"/>
                <w:szCs w:val="20"/>
              </w:rPr>
            </w:pPr>
            <w:r>
              <w:rPr>
                <w:rFonts w:ascii="Palatino Linotype" w:hAnsi="Palatino Linotype"/>
                <w:sz w:val="20"/>
                <w:szCs w:val="20"/>
              </w:rPr>
              <w:t>06/06/2025</w:t>
            </w:r>
          </w:p>
        </w:tc>
        <w:tc>
          <w:tcPr>
            <w:tcW w:w="1380" w:type="dxa"/>
            <w:tcBorders>
              <w:right w:val="single" w:color="auto" w:sz="4" w:space="0"/>
            </w:tcBorders>
            <w:vAlign w:val="center"/>
          </w:tcPr>
          <w:p w:rsidR="004A568A" w:rsidP="00970AC4" w:rsidRDefault="004A568A" w14:paraId="408981FA" w14:textId="77777777">
            <w:pPr>
              <w:rPr>
                <w:rFonts w:ascii="Palatino Linotype" w:hAnsi="Palatino Linotype"/>
                <w:sz w:val="20"/>
                <w:szCs w:val="20"/>
              </w:rPr>
            </w:pPr>
            <w:r>
              <w:rPr>
                <w:rFonts w:ascii="Palatino Linotype" w:hAnsi="Palatino Linotype"/>
                <w:sz w:val="20"/>
                <w:szCs w:val="20"/>
              </w:rPr>
              <w:t>06/06/2029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0C4BF3E6" w14:textId="7CB98640">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764C1EAC" w14:textId="6851946F">
            <w:pPr>
              <w:jc w:val="right"/>
              <w:rPr>
                <w:rFonts w:ascii="Palatino Linotype" w:hAnsi="Palatino Linotype"/>
                <w:sz w:val="20"/>
                <w:szCs w:val="20"/>
              </w:rPr>
            </w:pPr>
            <w:r>
              <w:rPr>
                <w:rFonts w:ascii="Palatino Linotype" w:hAnsi="Palatino Linotype"/>
                <w:sz w:val="20"/>
                <w:szCs w:val="20"/>
              </w:rPr>
              <w:t>7,772</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A39AFF1" w14:textId="6ABB387C">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614197EE" w14:textId="668CF33B">
            <w:pPr>
              <w:jc w:val="right"/>
              <w:rPr>
                <w:rFonts w:ascii="Palatino Linotype" w:hAnsi="Palatino Linotype"/>
                <w:sz w:val="20"/>
                <w:szCs w:val="20"/>
              </w:rPr>
            </w:pPr>
            <w:r>
              <w:rPr>
                <w:rFonts w:ascii="Palatino Linotype" w:hAnsi="Palatino Linotype"/>
                <w:sz w:val="20"/>
                <w:szCs w:val="20"/>
              </w:rPr>
              <w:t>0**</w:t>
            </w:r>
          </w:p>
        </w:tc>
      </w:tr>
      <w:tr w:rsidR="004A568A" w:rsidTr="007079D0" w14:paraId="2D2DB286" w14:textId="77777777">
        <w:tc>
          <w:tcPr>
            <w:tcW w:w="1729" w:type="dxa"/>
            <w:vMerge/>
          </w:tcPr>
          <w:p w:rsidR="004A568A" w:rsidP="004A568A" w:rsidRDefault="004A568A" w14:paraId="24083F17" w14:textId="77777777">
            <w:pPr>
              <w:rPr>
                <w:rFonts w:ascii="Palatino Linotype" w:hAnsi="Palatino Linotype"/>
                <w:sz w:val="20"/>
                <w:szCs w:val="20"/>
              </w:rPr>
            </w:pPr>
          </w:p>
        </w:tc>
        <w:tc>
          <w:tcPr>
            <w:tcW w:w="4176" w:type="dxa"/>
            <w:vAlign w:val="center"/>
          </w:tcPr>
          <w:p w:rsidRPr="00622E95" w:rsidR="004A568A" w:rsidP="00970AC4" w:rsidRDefault="004A568A" w14:paraId="6B6926A6" w14:textId="77777777">
            <w:pPr>
              <w:rPr>
                <w:rFonts w:ascii="Palatino Linotype" w:hAnsi="Palatino Linotype"/>
                <w:sz w:val="20"/>
                <w:szCs w:val="20"/>
              </w:rPr>
            </w:pPr>
            <w:r w:rsidRPr="00C63B66">
              <w:rPr>
                <w:rFonts w:ascii="Palatino Linotype" w:hAnsi="Palatino Linotype"/>
                <w:sz w:val="20"/>
                <w:szCs w:val="20"/>
              </w:rPr>
              <w:t>Targeted Gas System Decommissioning</w:t>
            </w:r>
          </w:p>
        </w:tc>
        <w:tc>
          <w:tcPr>
            <w:tcW w:w="1170" w:type="dxa"/>
            <w:vAlign w:val="center"/>
          </w:tcPr>
          <w:p w:rsidR="004A568A" w:rsidP="00970AC4" w:rsidRDefault="004A568A" w14:paraId="3BFCB194" w14:textId="77777777">
            <w:pPr>
              <w:rPr>
                <w:rFonts w:ascii="Palatino Linotype" w:hAnsi="Palatino Linotype"/>
                <w:sz w:val="20"/>
                <w:szCs w:val="20"/>
              </w:rPr>
            </w:pPr>
            <w:r>
              <w:rPr>
                <w:rFonts w:ascii="Palatino Linotype" w:hAnsi="Palatino Linotype"/>
                <w:sz w:val="20"/>
                <w:szCs w:val="20"/>
              </w:rPr>
              <w:t>06/06/2023</w:t>
            </w:r>
          </w:p>
        </w:tc>
        <w:tc>
          <w:tcPr>
            <w:tcW w:w="1530" w:type="dxa"/>
            <w:vAlign w:val="center"/>
          </w:tcPr>
          <w:p w:rsidR="004A568A" w:rsidP="00970AC4" w:rsidRDefault="004A568A" w14:paraId="68355D98" w14:textId="77777777">
            <w:pPr>
              <w:rPr>
                <w:rFonts w:ascii="Palatino Linotype" w:hAnsi="Palatino Linotype"/>
                <w:sz w:val="20"/>
                <w:szCs w:val="20"/>
              </w:rPr>
            </w:pPr>
            <w:r>
              <w:rPr>
                <w:rFonts w:ascii="Palatino Linotype" w:hAnsi="Palatino Linotype"/>
                <w:sz w:val="20"/>
                <w:szCs w:val="20"/>
              </w:rPr>
              <w:t>06/06/2025</w:t>
            </w:r>
          </w:p>
        </w:tc>
        <w:tc>
          <w:tcPr>
            <w:tcW w:w="1380" w:type="dxa"/>
            <w:tcBorders>
              <w:right w:val="single" w:color="auto" w:sz="4" w:space="0"/>
            </w:tcBorders>
            <w:vAlign w:val="center"/>
          </w:tcPr>
          <w:p w:rsidR="004A568A" w:rsidP="00970AC4" w:rsidRDefault="004A568A" w14:paraId="62548076" w14:textId="77777777">
            <w:pPr>
              <w:rPr>
                <w:rFonts w:ascii="Palatino Linotype" w:hAnsi="Palatino Linotype"/>
                <w:sz w:val="20"/>
                <w:szCs w:val="20"/>
              </w:rPr>
            </w:pPr>
            <w:r>
              <w:rPr>
                <w:rFonts w:ascii="Palatino Linotype" w:hAnsi="Palatino Linotype"/>
                <w:sz w:val="20"/>
                <w:szCs w:val="20"/>
              </w:rPr>
              <w:t>06/06/2029</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165C2DB9" w14:textId="2955C75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5ED10C73" w14:textId="6EE87EB3">
            <w:pPr>
              <w:jc w:val="right"/>
              <w:rPr>
                <w:rFonts w:ascii="Palatino Linotype" w:hAnsi="Palatino Linotype"/>
                <w:sz w:val="20"/>
                <w:szCs w:val="20"/>
              </w:rPr>
            </w:pPr>
            <w:r>
              <w:rPr>
                <w:rFonts w:ascii="Palatino Linotype" w:hAnsi="Palatino Linotype"/>
                <w:sz w:val="20"/>
                <w:szCs w:val="20"/>
              </w:rPr>
              <w:t>2,000,315</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45DB327C" w14:textId="2B72EE26">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14D792F6" w14:textId="485C1E30">
            <w:pPr>
              <w:jc w:val="right"/>
              <w:rPr>
                <w:rFonts w:ascii="Palatino Linotype" w:hAnsi="Palatino Linotype"/>
                <w:sz w:val="20"/>
                <w:szCs w:val="20"/>
              </w:rPr>
            </w:pPr>
            <w:r>
              <w:rPr>
                <w:rFonts w:ascii="Palatino Linotype" w:hAnsi="Palatino Linotype"/>
                <w:sz w:val="20"/>
                <w:szCs w:val="20"/>
              </w:rPr>
              <w:t>0**</w:t>
            </w:r>
          </w:p>
        </w:tc>
      </w:tr>
      <w:tr w:rsidR="004A568A" w:rsidTr="007079D0" w14:paraId="62230E61" w14:textId="77777777">
        <w:tc>
          <w:tcPr>
            <w:tcW w:w="1729" w:type="dxa"/>
          </w:tcPr>
          <w:p w:rsidR="004A568A" w:rsidP="004A568A" w:rsidRDefault="004A568A" w14:paraId="4D267946" w14:textId="77777777">
            <w:pPr>
              <w:rPr>
                <w:rFonts w:ascii="Palatino Linotype" w:hAnsi="Palatino Linotype"/>
                <w:sz w:val="20"/>
                <w:szCs w:val="20"/>
              </w:rPr>
            </w:pPr>
            <w:r>
              <w:rPr>
                <w:rFonts w:ascii="Palatino Linotype" w:hAnsi="Palatino Linotype"/>
                <w:sz w:val="20"/>
                <w:szCs w:val="20"/>
              </w:rPr>
              <w:t>FY 2023-2024</w:t>
            </w:r>
          </w:p>
        </w:tc>
        <w:tc>
          <w:tcPr>
            <w:tcW w:w="4176" w:type="dxa"/>
            <w:vAlign w:val="center"/>
          </w:tcPr>
          <w:p w:rsidRPr="00C63B66" w:rsidR="004A568A" w:rsidP="00970AC4" w:rsidRDefault="004A568A" w14:paraId="58074DEA" w14:textId="77777777">
            <w:pPr>
              <w:rPr>
                <w:rFonts w:ascii="Palatino Linotype" w:hAnsi="Palatino Linotype"/>
                <w:sz w:val="20"/>
                <w:szCs w:val="20"/>
              </w:rPr>
            </w:pPr>
            <w:r w:rsidRPr="00F83F9A">
              <w:rPr>
                <w:rFonts w:ascii="Palatino Linotype" w:hAnsi="Palatino Linotype"/>
                <w:sz w:val="20"/>
                <w:szCs w:val="20"/>
              </w:rPr>
              <w:t>Air Pollutant Exposure Assessment in California Residences</w:t>
            </w:r>
          </w:p>
        </w:tc>
        <w:tc>
          <w:tcPr>
            <w:tcW w:w="1170" w:type="dxa"/>
            <w:vAlign w:val="center"/>
          </w:tcPr>
          <w:p w:rsidR="004A568A" w:rsidP="00970AC4" w:rsidRDefault="004A568A" w14:paraId="2B4501E5" w14:textId="77777777">
            <w:pPr>
              <w:rPr>
                <w:rFonts w:ascii="Palatino Linotype" w:hAnsi="Palatino Linotype"/>
                <w:sz w:val="20"/>
                <w:szCs w:val="20"/>
              </w:rPr>
            </w:pPr>
            <w:r>
              <w:rPr>
                <w:rFonts w:ascii="Palatino Linotype" w:hAnsi="Palatino Linotype"/>
                <w:sz w:val="20"/>
                <w:szCs w:val="20"/>
              </w:rPr>
              <w:t>05/09/2024</w:t>
            </w:r>
          </w:p>
        </w:tc>
        <w:tc>
          <w:tcPr>
            <w:tcW w:w="1530" w:type="dxa"/>
            <w:vAlign w:val="center"/>
          </w:tcPr>
          <w:p w:rsidR="004A568A" w:rsidP="00970AC4" w:rsidRDefault="004A568A" w14:paraId="116679A6" w14:textId="77777777">
            <w:pPr>
              <w:rPr>
                <w:rFonts w:ascii="Palatino Linotype" w:hAnsi="Palatino Linotype"/>
                <w:sz w:val="20"/>
                <w:szCs w:val="20"/>
              </w:rPr>
            </w:pPr>
            <w:r>
              <w:rPr>
                <w:rFonts w:ascii="Palatino Linotype" w:hAnsi="Palatino Linotype"/>
                <w:sz w:val="20"/>
                <w:szCs w:val="20"/>
              </w:rPr>
              <w:t>05/09/2026</w:t>
            </w:r>
          </w:p>
        </w:tc>
        <w:tc>
          <w:tcPr>
            <w:tcW w:w="1380" w:type="dxa"/>
            <w:tcBorders>
              <w:right w:val="single" w:color="auto" w:sz="4" w:space="0"/>
            </w:tcBorders>
            <w:vAlign w:val="center"/>
          </w:tcPr>
          <w:p w:rsidR="004A568A" w:rsidP="00970AC4" w:rsidRDefault="004A568A" w14:paraId="23558569" w14:textId="77777777">
            <w:pPr>
              <w:rPr>
                <w:rFonts w:ascii="Palatino Linotype" w:hAnsi="Palatino Linotype"/>
                <w:sz w:val="20"/>
                <w:szCs w:val="20"/>
              </w:rPr>
            </w:pPr>
            <w:r>
              <w:rPr>
                <w:rFonts w:ascii="Palatino Linotype" w:hAnsi="Palatino Linotype"/>
                <w:sz w:val="20"/>
                <w:szCs w:val="20"/>
              </w:rPr>
              <w:t>05/09/2030</w:t>
            </w:r>
          </w:p>
        </w:tc>
        <w:tc>
          <w:tcPr>
            <w:tcW w:w="296" w:type="dxa"/>
            <w:gridSpan w:val="2"/>
            <w:tcBorders>
              <w:top w:val="single" w:color="auto" w:sz="4" w:space="0"/>
              <w:left w:val="single" w:color="auto" w:sz="4" w:space="0"/>
              <w:bottom w:val="single" w:color="auto" w:sz="4" w:space="0"/>
              <w:right w:val="nil"/>
            </w:tcBorders>
            <w:vAlign w:val="center"/>
          </w:tcPr>
          <w:p w:rsidR="004A568A" w:rsidP="00970AC4" w:rsidRDefault="004A568A" w14:paraId="27C86ED7" w14:textId="5ACD4838">
            <w:pPr>
              <w:rPr>
                <w:rFonts w:ascii="Palatino Linotype" w:hAnsi="Palatino Linotype"/>
                <w:sz w:val="20"/>
                <w:szCs w:val="20"/>
              </w:rPr>
            </w:pPr>
            <w:r>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004A568A" w:rsidP="004A568A" w:rsidRDefault="004A568A" w14:paraId="22EBD826" w14:textId="76F9F993">
            <w:pPr>
              <w:jc w:val="right"/>
              <w:rPr>
                <w:rFonts w:ascii="Palatino Linotype" w:hAnsi="Palatino Linotype"/>
                <w:sz w:val="20"/>
                <w:szCs w:val="20"/>
              </w:rPr>
            </w:pPr>
            <w:r>
              <w:rPr>
                <w:rFonts w:ascii="Palatino Linotype" w:hAnsi="Palatino Linotype"/>
                <w:sz w:val="20"/>
                <w:szCs w:val="20"/>
              </w:rPr>
              <w:t>5,000,016</w:t>
            </w:r>
          </w:p>
        </w:tc>
        <w:tc>
          <w:tcPr>
            <w:tcW w:w="236" w:type="dxa"/>
            <w:tcBorders>
              <w:top w:val="single" w:color="auto" w:sz="4" w:space="0"/>
              <w:left w:val="single" w:color="auto" w:sz="4" w:space="0"/>
              <w:bottom w:val="single" w:color="auto" w:sz="4" w:space="0"/>
              <w:right w:val="nil"/>
            </w:tcBorders>
            <w:vAlign w:val="center"/>
          </w:tcPr>
          <w:p w:rsidR="004A568A" w:rsidP="00970AC4" w:rsidRDefault="004A568A" w14:paraId="02D57080" w14:textId="7327005E">
            <w:pPr>
              <w:rPr>
                <w:rFonts w:ascii="Palatino Linotype" w:hAnsi="Palatino Linotype"/>
                <w:sz w:val="20"/>
                <w:szCs w:val="20"/>
              </w:rPr>
            </w:pPr>
            <w:r>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004A568A" w:rsidP="00970AC4" w:rsidRDefault="004A568A" w14:paraId="4CCFFCD3" w14:textId="10FEE5AA">
            <w:pPr>
              <w:jc w:val="right"/>
              <w:rPr>
                <w:rFonts w:ascii="Palatino Linotype" w:hAnsi="Palatino Linotype"/>
                <w:sz w:val="20"/>
                <w:szCs w:val="20"/>
              </w:rPr>
            </w:pPr>
            <w:r>
              <w:rPr>
                <w:rFonts w:ascii="Palatino Linotype" w:hAnsi="Palatino Linotype"/>
                <w:sz w:val="20"/>
                <w:szCs w:val="20"/>
              </w:rPr>
              <w:t>0**</w:t>
            </w:r>
          </w:p>
        </w:tc>
      </w:tr>
      <w:tr w:rsidR="003F491C" w:rsidTr="003F491C" w14:paraId="5F6B9824" w14:textId="3A460AD0">
        <w:tc>
          <w:tcPr>
            <w:tcW w:w="9985" w:type="dxa"/>
            <w:gridSpan w:val="5"/>
            <w:tcBorders>
              <w:right w:val="single" w:color="auto" w:sz="4" w:space="0"/>
            </w:tcBorders>
            <w:vAlign w:val="center"/>
          </w:tcPr>
          <w:p w:rsidR="003F491C" w:rsidP="004A568A" w:rsidRDefault="003F491C" w14:paraId="2BF6F587" w14:textId="77777777">
            <w:pPr>
              <w:jc w:val="right"/>
              <w:rPr>
                <w:rFonts w:ascii="Palatino Linotype" w:hAnsi="Palatino Linotype"/>
                <w:sz w:val="20"/>
                <w:szCs w:val="20"/>
              </w:rPr>
            </w:pPr>
            <w:r w:rsidRPr="009E3FA3">
              <w:rPr>
                <w:rFonts w:ascii="Palatino Linotype" w:hAnsi="Palatino Linotype"/>
                <w:sz w:val="20"/>
                <w:szCs w:val="20"/>
              </w:rPr>
              <w:t>TOTAL:</w:t>
            </w:r>
          </w:p>
        </w:tc>
        <w:tc>
          <w:tcPr>
            <w:tcW w:w="630" w:type="dxa"/>
            <w:gridSpan w:val="3"/>
            <w:tcBorders>
              <w:top w:val="single" w:color="auto" w:sz="4" w:space="0"/>
              <w:left w:val="single" w:color="auto" w:sz="4" w:space="0"/>
              <w:bottom w:val="single" w:color="auto" w:sz="4" w:space="0"/>
              <w:right w:val="nil"/>
            </w:tcBorders>
            <w:vAlign w:val="center"/>
          </w:tcPr>
          <w:p w:rsidR="003F491C" w:rsidP="00970AC4" w:rsidRDefault="003F491C" w14:paraId="293F1536" w14:textId="3411DA78">
            <w:pPr>
              <w:rPr>
                <w:rFonts w:ascii="Palatino Linotype" w:hAnsi="Palatino Linotype"/>
                <w:sz w:val="20"/>
                <w:szCs w:val="20"/>
              </w:rPr>
            </w:pPr>
            <w:r>
              <w:rPr>
                <w:rFonts w:ascii="Palatino Linotype" w:hAnsi="Palatino Linotype"/>
                <w:sz w:val="20"/>
                <w:szCs w:val="20"/>
              </w:rPr>
              <w:t>$</w:t>
            </w:r>
          </w:p>
        </w:tc>
        <w:tc>
          <w:tcPr>
            <w:tcW w:w="1260" w:type="dxa"/>
            <w:tcBorders>
              <w:top w:val="single" w:color="auto" w:sz="4" w:space="0"/>
              <w:left w:val="nil"/>
              <w:bottom w:val="single" w:color="auto" w:sz="4" w:space="0"/>
              <w:right w:val="single" w:color="auto" w:sz="4" w:space="0"/>
            </w:tcBorders>
            <w:vAlign w:val="center"/>
          </w:tcPr>
          <w:p w:rsidR="003F491C" w:rsidP="004A568A" w:rsidRDefault="003F491C" w14:paraId="21C4C2D8" w14:textId="47C69B42">
            <w:pPr>
              <w:jc w:val="right"/>
              <w:rPr>
                <w:rFonts w:ascii="Palatino Linotype" w:hAnsi="Palatino Linotype"/>
                <w:sz w:val="20"/>
                <w:szCs w:val="20"/>
              </w:rPr>
            </w:pPr>
            <w:r>
              <w:rPr>
                <w:rFonts w:ascii="Palatino Linotype" w:hAnsi="Palatino Linotype"/>
                <w:sz w:val="20"/>
                <w:szCs w:val="20"/>
              </w:rPr>
              <w:t>23,343,525</w:t>
            </w:r>
          </w:p>
        </w:tc>
        <w:tc>
          <w:tcPr>
            <w:tcW w:w="540" w:type="dxa"/>
            <w:gridSpan w:val="2"/>
            <w:tcBorders>
              <w:top w:val="single" w:color="auto" w:sz="4" w:space="0"/>
              <w:left w:val="single" w:color="auto" w:sz="4" w:space="0"/>
              <w:bottom w:val="single" w:color="auto" w:sz="4" w:space="0"/>
              <w:right w:val="nil"/>
            </w:tcBorders>
            <w:vAlign w:val="center"/>
          </w:tcPr>
          <w:p w:rsidR="003F491C" w:rsidP="00970AC4" w:rsidRDefault="003F491C" w14:paraId="051D8FE2" w14:textId="0CDD52F9">
            <w:pPr>
              <w:rPr>
                <w:rFonts w:ascii="Palatino Linotype" w:hAnsi="Palatino Linotype"/>
                <w:sz w:val="20"/>
                <w:szCs w:val="20"/>
              </w:rPr>
            </w:pPr>
            <w:r>
              <w:rPr>
                <w:rFonts w:ascii="Palatino Linotype" w:hAnsi="Palatino Linotype"/>
                <w:sz w:val="20"/>
                <w:szCs w:val="20"/>
              </w:rPr>
              <w:t>$</w:t>
            </w:r>
          </w:p>
        </w:tc>
        <w:tc>
          <w:tcPr>
            <w:tcW w:w="1710" w:type="dxa"/>
            <w:tcBorders>
              <w:top w:val="single" w:color="auto" w:sz="4" w:space="0"/>
              <w:left w:val="nil"/>
              <w:bottom w:val="single" w:color="auto" w:sz="4" w:space="0"/>
              <w:right w:val="single" w:color="auto" w:sz="4" w:space="0"/>
            </w:tcBorders>
            <w:vAlign w:val="center"/>
          </w:tcPr>
          <w:p w:rsidR="003F491C" w:rsidP="00970AC4" w:rsidRDefault="003F491C" w14:paraId="518E2606" w14:textId="1DBD7683">
            <w:pPr>
              <w:jc w:val="right"/>
            </w:pPr>
            <w:r>
              <w:rPr>
                <w:rFonts w:ascii="Palatino Linotype" w:hAnsi="Palatino Linotype"/>
                <w:sz w:val="20"/>
                <w:szCs w:val="20"/>
              </w:rPr>
              <w:t>7,733,165</w:t>
            </w:r>
          </w:p>
        </w:tc>
      </w:tr>
      <w:tr w:rsidR="003F491C" w:rsidTr="007079D0" w14:paraId="5CE86EF5" w14:textId="77777777">
        <w:tc>
          <w:tcPr>
            <w:tcW w:w="9985" w:type="dxa"/>
            <w:gridSpan w:val="5"/>
            <w:tcBorders>
              <w:top w:val="single" w:color="auto" w:sz="4" w:space="0"/>
              <w:right w:val="single" w:color="auto" w:sz="4" w:space="0"/>
            </w:tcBorders>
            <w:vAlign w:val="center"/>
          </w:tcPr>
          <w:p w:rsidR="003F491C" w:rsidP="004A568A" w:rsidRDefault="003F491C" w14:paraId="3DB88F32" w14:textId="2E99FAA3">
            <w:pPr>
              <w:jc w:val="right"/>
              <w:rPr>
                <w:rFonts w:ascii="Palatino Linotype" w:hAnsi="Palatino Linotype"/>
                <w:sz w:val="20"/>
                <w:szCs w:val="20"/>
              </w:rPr>
            </w:pPr>
            <w:r w:rsidRPr="005E4979">
              <w:rPr>
                <w:rFonts w:ascii="Palatino Linotype" w:hAnsi="Palatino Linotype"/>
                <w:b/>
                <w:bCs/>
                <w:color w:val="000000" w:themeColor="text1"/>
                <w:sz w:val="20"/>
                <w:szCs w:val="20"/>
              </w:rPr>
              <w:t xml:space="preserve">TOTAL </w:t>
            </w:r>
            <w:r w:rsidRPr="005E4979">
              <w:rPr>
                <w:rFonts w:ascii="Palatino Linotype" w:hAnsi="Palatino Linotype"/>
                <w:b/>
                <w:color w:val="000000" w:themeColor="text1"/>
                <w:sz w:val="20"/>
                <w:szCs w:val="20"/>
              </w:rPr>
              <w:t xml:space="preserve">APPLICABLE UNSPENT </w:t>
            </w:r>
            <w:r w:rsidRPr="009E3FA3">
              <w:rPr>
                <w:rFonts w:ascii="Palatino Linotype" w:hAnsi="Palatino Linotype"/>
                <w:b/>
                <w:bCs/>
                <w:sz w:val="20"/>
                <w:szCs w:val="20"/>
              </w:rPr>
              <w:t>FUNDS:</w:t>
            </w:r>
          </w:p>
        </w:tc>
        <w:tc>
          <w:tcPr>
            <w:tcW w:w="270" w:type="dxa"/>
            <w:tcBorders>
              <w:top w:val="single" w:color="auto" w:sz="4" w:space="0"/>
              <w:left w:val="single" w:color="auto" w:sz="4" w:space="0"/>
              <w:bottom w:val="single" w:color="auto" w:sz="4" w:space="0"/>
              <w:right w:val="nil"/>
            </w:tcBorders>
            <w:vAlign w:val="center"/>
          </w:tcPr>
          <w:p w:rsidRPr="007E0140" w:rsidR="003F491C" w:rsidP="00970AC4" w:rsidRDefault="003F491C" w14:paraId="7A324C54" w14:textId="08784B92">
            <w:pPr>
              <w:rPr>
                <w:rFonts w:ascii="Palatino Linotype" w:hAnsi="Palatino Linotype"/>
                <w:b/>
                <w:bCs/>
                <w:sz w:val="20"/>
                <w:szCs w:val="20"/>
              </w:rPr>
            </w:pPr>
            <w:r>
              <w:rPr>
                <w:rFonts w:ascii="Palatino Linotype" w:hAnsi="Palatino Linotype"/>
                <w:b/>
                <w:bCs/>
                <w:sz w:val="20"/>
                <w:szCs w:val="20"/>
              </w:rPr>
              <w:t>$</w:t>
            </w:r>
          </w:p>
        </w:tc>
        <w:tc>
          <w:tcPr>
            <w:tcW w:w="3870" w:type="dxa"/>
            <w:gridSpan w:val="6"/>
            <w:tcBorders>
              <w:top w:val="single" w:color="auto" w:sz="4" w:space="0"/>
              <w:left w:val="nil"/>
              <w:bottom w:val="single" w:color="auto" w:sz="4" w:space="0"/>
              <w:right w:val="single" w:color="auto" w:sz="4" w:space="0"/>
            </w:tcBorders>
            <w:vAlign w:val="center"/>
          </w:tcPr>
          <w:p w:rsidRPr="007E0140" w:rsidR="003F491C" w:rsidP="00970AC4" w:rsidRDefault="003F491C" w14:paraId="6C5A3D24" w14:textId="77777777">
            <w:pPr>
              <w:jc w:val="center"/>
              <w:rPr>
                <w:rFonts w:ascii="Palatino Linotype" w:hAnsi="Palatino Linotype"/>
                <w:b/>
                <w:bCs/>
                <w:sz w:val="20"/>
                <w:szCs w:val="20"/>
              </w:rPr>
            </w:pPr>
            <w:r w:rsidRPr="007E0140">
              <w:rPr>
                <w:rFonts w:ascii="Palatino Linotype" w:hAnsi="Palatino Linotype"/>
                <w:b/>
                <w:bCs/>
                <w:sz w:val="20"/>
                <w:szCs w:val="20"/>
              </w:rPr>
              <w:t>$31,076,691</w:t>
            </w:r>
          </w:p>
        </w:tc>
      </w:tr>
    </w:tbl>
    <w:p w:rsidR="005E4979" w:rsidP="005E4979" w:rsidRDefault="005E4979" w14:paraId="5FC7E835" w14:textId="610BC07D">
      <w:pPr>
        <w:spacing w:before="240" w:after="0"/>
        <w:rPr>
          <w:rFonts w:ascii="Palatino Linotype" w:hAnsi="Palatino Linotype"/>
          <w:bCs/>
          <w:i/>
          <w:iCs/>
          <w:sz w:val="20"/>
          <w:szCs w:val="20"/>
        </w:rPr>
      </w:pPr>
      <w:r>
        <w:rPr>
          <w:rFonts w:ascii="Palatino Linotype" w:hAnsi="Palatino Linotype"/>
          <w:bCs/>
          <w:i/>
          <w:iCs/>
          <w:sz w:val="20"/>
          <w:szCs w:val="20"/>
        </w:rPr>
        <w:t xml:space="preserve">*Information in indicated columns are pulled from CEC’s </w:t>
      </w:r>
      <w:r w:rsidR="0056763F">
        <w:rPr>
          <w:rFonts w:ascii="Palatino Linotype" w:hAnsi="Palatino Linotype"/>
          <w:bCs/>
          <w:i/>
          <w:iCs/>
          <w:sz w:val="20"/>
          <w:szCs w:val="20"/>
        </w:rPr>
        <w:t>d</w:t>
      </w:r>
      <w:r>
        <w:rPr>
          <w:rFonts w:ascii="Palatino Linotype" w:hAnsi="Palatino Linotype"/>
          <w:bCs/>
          <w:i/>
          <w:iCs/>
          <w:sz w:val="20"/>
          <w:szCs w:val="20"/>
        </w:rPr>
        <w:t xml:space="preserve">ata </w:t>
      </w:r>
      <w:r w:rsidR="0056763F">
        <w:rPr>
          <w:rFonts w:ascii="Palatino Linotype" w:hAnsi="Palatino Linotype"/>
          <w:bCs/>
          <w:i/>
          <w:iCs/>
          <w:sz w:val="20"/>
          <w:szCs w:val="20"/>
        </w:rPr>
        <w:t>r</w:t>
      </w:r>
      <w:r>
        <w:rPr>
          <w:rFonts w:ascii="Palatino Linotype" w:hAnsi="Palatino Linotype"/>
          <w:bCs/>
          <w:i/>
          <w:iCs/>
          <w:sz w:val="20"/>
          <w:szCs w:val="20"/>
        </w:rPr>
        <w:t xml:space="preserve">equest </w:t>
      </w:r>
      <w:r w:rsidR="00BC7BF1">
        <w:rPr>
          <w:rFonts w:ascii="Palatino Linotype" w:hAnsi="Palatino Linotype"/>
          <w:bCs/>
          <w:i/>
          <w:iCs/>
          <w:sz w:val="20"/>
          <w:szCs w:val="20"/>
        </w:rPr>
        <w:t>r</w:t>
      </w:r>
      <w:r>
        <w:rPr>
          <w:rFonts w:ascii="Palatino Linotype" w:hAnsi="Palatino Linotype"/>
          <w:bCs/>
          <w:i/>
          <w:iCs/>
          <w:sz w:val="20"/>
          <w:szCs w:val="20"/>
        </w:rPr>
        <w:t>esponse provided April 30, 2026.</w:t>
      </w:r>
    </w:p>
    <w:p w:rsidR="000E341C" w:rsidP="005E4979" w:rsidRDefault="002F78F4" w14:paraId="50E7A309" w14:textId="77777777">
      <w:pPr>
        <w:rPr>
          <w:rFonts w:ascii="Palatino Linotype" w:hAnsi="Palatino Linotype"/>
          <w:bCs/>
          <w:i/>
          <w:iCs/>
          <w:sz w:val="20"/>
          <w:szCs w:val="20"/>
        </w:rPr>
        <w:sectPr w:rsidR="000E341C" w:rsidSect="006A4170">
          <w:footerReference w:type="default" r:id="rId70"/>
          <w:pgSz w:w="15840" w:h="12240" w:orient="landscape"/>
          <w:pgMar w:top="720" w:right="720" w:bottom="720" w:left="720" w:header="720" w:footer="720" w:gutter="0"/>
          <w:pgNumType w:start="1"/>
          <w:cols w:space="720"/>
          <w:docGrid w:linePitch="360"/>
        </w:sectPr>
      </w:pPr>
      <w:r w:rsidRPr="005525DC">
        <w:rPr>
          <w:rFonts w:ascii="Palatino Linotype" w:hAnsi="Palatino Linotype"/>
          <w:bCs/>
          <w:i/>
          <w:iCs/>
          <w:sz w:val="20"/>
          <w:szCs w:val="20"/>
        </w:rPr>
        <w:t>*</w:t>
      </w:r>
      <w:r w:rsidR="005E4979">
        <w:rPr>
          <w:rFonts w:ascii="Palatino Linotype" w:hAnsi="Palatino Linotype"/>
          <w:bCs/>
          <w:i/>
          <w:iCs/>
          <w:sz w:val="20"/>
          <w:szCs w:val="20"/>
        </w:rPr>
        <w:t>*</w:t>
      </w:r>
      <w:r>
        <w:rPr>
          <w:rFonts w:ascii="Palatino Linotype" w:hAnsi="Palatino Linotype"/>
          <w:bCs/>
          <w:i/>
          <w:iCs/>
          <w:sz w:val="20"/>
          <w:szCs w:val="20"/>
        </w:rPr>
        <w:t>Unspent Encumbered Funds balance is not $0</w:t>
      </w:r>
      <w:r w:rsidR="00BC7BF1">
        <w:rPr>
          <w:rFonts w:ascii="Palatino Linotype" w:hAnsi="Palatino Linotype"/>
          <w:bCs/>
          <w:i/>
          <w:iCs/>
          <w:sz w:val="20"/>
          <w:szCs w:val="20"/>
        </w:rPr>
        <w:t>,</w:t>
      </w:r>
      <w:r>
        <w:rPr>
          <w:rFonts w:ascii="Palatino Linotype" w:hAnsi="Palatino Linotype"/>
          <w:bCs/>
          <w:i/>
          <w:iCs/>
          <w:sz w:val="20"/>
          <w:szCs w:val="20"/>
        </w:rPr>
        <w:t xml:space="preserve"> but the spending </w:t>
      </w:r>
      <w:r w:rsidR="009B61BB">
        <w:rPr>
          <w:rFonts w:ascii="Palatino Linotype" w:hAnsi="Palatino Linotype"/>
          <w:bCs/>
          <w:i/>
          <w:iCs/>
          <w:sz w:val="20"/>
          <w:szCs w:val="20"/>
        </w:rPr>
        <w:t>window</w:t>
      </w:r>
      <w:r>
        <w:rPr>
          <w:rFonts w:ascii="Palatino Linotype" w:hAnsi="Palatino Linotype"/>
          <w:bCs/>
          <w:i/>
          <w:iCs/>
          <w:sz w:val="20"/>
          <w:szCs w:val="20"/>
        </w:rPr>
        <w:t xml:space="preserve"> has not </w:t>
      </w:r>
      <w:r w:rsidR="009B61BB">
        <w:rPr>
          <w:rFonts w:ascii="Palatino Linotype" w:hAnsi="Palatino Linotype"/>
          <w:bCs/>
          <w:i/>
          <w:iCs/>
          <w:sz w:val="20"/>
          <w:szCs w:val="20"/>
        </w:rPr>
        <w:t>closed.</w:t>
      </w:r>
      <w:r w:rsidRPr="005525DC">
        <w:rPr>
          <w:rFonts w:ascii="Palatino Linotype" w:hAnsi="Palatino Linotype"/>
          <w:bCs/>
          <w:i/>
          <w:iCs/>
          <w:sz w:val="20"/>
          <w:szCs w:val="20"/>
        </w:rPr>
        <w:t xml:space="preserve"> </w:t>
      </w:r>
      <w:r w:rsidR="00D36239">
        <w:rPr>
          <w:rFonts w:ascii="Palatino Linotype" w:hAnsi="Palatino Linotype"/>
          <w:bCs/>
          <w:i/>
          <w:iCs/>
          <w:sz w:val="20"/>
          <w:szCs w:val="20"/>
        </w:rPr>
        <w:t xml:space="preserve">Note: CEC’s reported balance of </w:t>
      </w:r>
      <w:r w:rsidR="00E435AA">
        <w:rPr>
          <w:rFonts w:ascii="Palatino Linotype" w:hAnsi="Palatino Linotype"/>
          <w:bCs/>
          <w:i/>
          <w:iCs/>
          <w:sz w:val="20"/>
          <w:szCs w:val="20"/>
        </w:rPr>
        <w:t>approved funds within encumbrance and spending windows is $53,603,242.</w:t>
      </w:r>
    </w:p>
    <w:p w:rsidRPr="00224034" w:rsidR="002F78F4" w:rsidP="005E4979" w:rsidRDefault="002F78F4" w14:paraId="5BF5A7F6" w14:textId="18D57EF9">
      <w:pPr>
        <w:rPr>
          <w:rFonts w:ascii="Palatino Linotype" w:hAnsi="Palatino Linotype"/>
          <w:bCs/>
          <w:i/>
          <w:iCs/>
          <w:sz w:val="20"/>
          <w:szCs w:val="20"/>
        </w:rPr>
      </w:pPr>
    </w:p>
    <w:p w:rsidR="00E96408" w:rsidP="00EB64CC" w:rsidRDefault="00E96408" w14:paraId="26B3F36A" w14:textId="77777777">
      <w:pPr>
        <w:spacing w:line="240" w:lineRule="auto"/>
        <w:rPr>
          <w:rFonts w:ascii="Palatino Linotype" w:hAnsi="Palatino Linotype"/>
          <w:b/>
        </w:rPr>
      </w:pPr>
    </w:p>
    <w:p w:rsidR="00E96408" w:rsidP="00EB64CC" w:rsidRDefault="00E96408" w14:paraId="314F269C" w14:textId="77777777">
      <w:pPr>
        <w:spacing w:line="240" w:lineRule="auto"/>
        <w:rPr>
          <w:rFonts w:ascii="Palatino Linotype" w:hAnsi="Palatino Linotype"/>
          <w:b/>
        </w:rPr>
      </w:pPr>
    </w:p>
    <w:p w:rsidR="00E96408" w:rsidP="00EB64CC" w:rsidRDefault="00E96408" w14:paraId="590CB045" w14:textId="77777777">
      <w:pPr>
        <w:spacing w:line="240" w:lineRule="auto"/>
        <w:rPr>
          <w:rFonts w:ascii="Palatino Linotype" w:hAnsi="Palatino Linotype"/>
          <w:b/>
        </w:rPr>
      </w:pPr>
    </w:p>
    <w:p w:rsidRPr="00C35674" w:rsidR="00E96408" w:rsidP="00C35674" w:rsidRDefault="00C35674" w14:paraId="7BD05F64" w14:textId="67A73000">
      <w:pPr>
        <w:spacing w:line="240" w:lineRule="auto"/>
        <w:jc w:val="center"/>
        <w:rPr>
          <w:rFonts w:ascii="Palatino Linotype" w:hAnsi="Palatino Linotype"/>
          <w:b/>
          <w:sz w:val="48"/>
          <w:szCs w:val="48"/>
        </w:rPr>
      </w:pPr>
      <w:r w:rsidRPr="00C35674">
        <w:rPr>
          <w:rFonts w:ascii="Palatino Linotype" w:hAnsi="Palatino Linotype"/>
          <w:b/>
          <w:sz w:val="48"/>
          <w:szCs w:val="48"/>
        </w:rPr>
        <w:t>APPENDIX G</w:t>
      </w:r>
    </w:p>
    <w:p w:rsidR="00E96408" w:rsidP="00EB64CC" w:rsidRDefault="00E96408" w14:paraId="08774155" w14:textId="77777777">
      <w:pPr>
        <w:spacing w:line="240" w:lineRule="auto"/>
        <w:rPr>
          <w:rFonts w:ascii="Palatino Linotype" w:hAnsi="Palatino Linotype"/>
          <w:b/>
        </w:rPr>
      </w:pPr>
    </w:p>
    <w:p w:rsidR="00C35674" w:rsidP="00EB64CC" w:rsidRDefault="00C35674" w14:paraId="15C6BF65" w14:textId="77777777">
      <w:pPr>
        <w:spacing w:line="240" w:lineRule="auto"/>
        <w:rPr>
          <w:rFonts w:ascii="Palatino Linotype" w:hAnsi="Palatino Linotype"/>
          <w:b/>
        </w:rPr>
      </w:pPr>
    </w:p>
    <w:p w:rsidR="00C35674" w:rsidRDefault="00C35674" w14:paraId="6B36B5F6" w14:textId="2CEFA0AB">
      <w:pPr>
        <w:rPr>
          <w:rFonts w:ascii="Palatino Linotype" w:hAnsi="Palatino Linotype"/>
          <w:b/>
        </w:rPr>
      </w:pPr>
      <w:r>
        <w:rPr>
          <w:rFonts w:ascii="Palatino Linotype" w:hAnsi="Palatino Linotype"/>
          <w:b/>
        </w:rPr>
        <w:br w:type="page"/>
      </w:r>
    </w:p>
    <w:p w:rsidRPr="00471E99" w:rsidR="002F78F4" w:rsidP="00EB64CC" w:rsidRDefault="002F78F4" w14:paraId="7A3964FA" w14:textId="6B5B1EFA">
      <w:pPr>
        <w:spacing w:line="240" w:lineRule="auto"/>
        <w:rPr>
          <w:rFonts w:ascii="Palatino Linotype" w:hAnsi="Palatino Linotype"/>
          <w:b/>
          <w:bCs/>
        </w:rPr>
      </w:pPr>
      <w:r w:rsidRPr="00A679D3">
        <w:rPr>
          <w:rFonts w:ascii="Palatino Linotype" w:hAnsi="Palatino Linotype"/>
          <w:b/>
        </w:rPr>
        <w:lastRenderedPageBreak/>
        <w:t>APPENDIX</w:t>
      </w:r>
      <w:r>
        <w:rPr>
          <w:rFonts w:ascii="Palatino Linotype" w:hAnsi="Palatino Linotype"/>
          <w:b/>
        </w:rPr>
        <w:t xml:space="preserve"> </w:t>
      </w:r>
      <w:r w:rsidR="000E0EBD">
        <w:rPr>
          <w:rFonts w:ascii="Palatino Linotype" w:hAnsi="Palatino Linotype"/>
          <w:b/>
        </w:rPr>
        <w:t>G</w:t>
      </w:r>
      <w:r>
        <w:rPr>
          <w:rFonts w:ascii="Palatino Linotype" w:hAnsi="Palatino Linotype"/>
          <w:b/>
        </w:rPr>
        <w:t xml:space="preserve">: </w:t>
      </w:r>
      <w:r w:rsidRPr="00A679D3">
        <w:rPr>
          <w:rFonts w:ascii="Palatino Linotype" w:hAnsi="Palatino Linotype"/>
          <w:b/>
        </w:rPr>
        <w:t>Compliance Assessment of A</w:t>
      </w:r>
      <w:r>
        <w:rPr>
          <w:rFonts w:ascii="Palatino Linotype" w:hAnsi="Palatino Linotype"/>
          <w:b/>
        </w:rPr>
        <w:t>dvice Letter</w:t>
      </w:r>
      <w:r w:rsidRPr="00A679D3">
        <w:rPr>
          <w:rFonts w:ascii="Palatino Linotype" w:hAnsi="Palatino Linotype"/>
          <w:b/>
        </w:rPr>
        <w:t xml:space="preserve"> </w:t>
      </w:r>
      <w:r>
        <w:rPr>
          <w:rFonts w:ascii="Palatino Linotype" w:hAnsi="Palatino Linotype"/>
          <w:b/>
        </w:rPr>
        <w:t>12-G – 2024 Plan</w:t>
      </w:r>
    </w:p>
    <w:tbl>
      <w:tblPr>
        <w:tblStyle w:val="TableGrid"/>
        <w:tblW w:w="0" w:type="auto"/>
        <w:tblLook w:val="04A0" w:firstRow="1" w:lastRow="0" w:firstColumn="1" w:lastColumn="0" w:noHBand="0" w:noVBand="1"/>
      </w:tblPr>
      <w:tblGrid>
        <w:gridCol w:w="3145"/>
        <w:gridCol w:w="7920"/>
        <w:gridCol w:w="3240"/>
      </w:tblGrid>
      <w:tr w:rsidR="002F78F4" w:rsidTr="00C254F7" w14:paraId="3C565983" w14:textId="77777777">
        <w:trPr>
          <w:trHeight w:val="340"/>
          <w:tblHeader/>
        </w:trPr>
        <w:tc>
          <w:tcPr>
            <w:tcW w:w="3145" w:type="dxa"/>
            <w:vAlign w:val="center"/>
          </w:tcPr>
          <w:p w:rsidRPr="00E7529D" w:rsidR="002F78F4" w:rsidP="00BB366A" w:rsidRDefault="002F78F4" w14:paraId="06E3B825" w14:textId="77777777">
            <w:pPr>
              <w:rPr>
                <w:rFonts w:ascii="Palatino Linotype" w:hAnsi="Palatino Linotype"/>
                <w:b/>
                <w:bCs/>
                <w:sz w:val="20"/>
                <w:szCs w:val="20"/>
              </w:rPr>
            </w:pPr>
            <w:r w:rsidRPr="00E7529D">
              <w:rPr>
                <w:rFonts w:ascii="Palatino Linotype" w:hAnsi="Palatino Linotype"/>
                <w:b/>
                <w:sz w:val="20"/>
                <w:szCs w:val="20"/>
              </w:rPr>
              <w:t>CPUC Requirement</w:t>
            </w:r>
          </w:p>
        </w:tc>
        <w:tc>
          <w:tcPr>
            <w:tcW w:w="7920" w:type="dxa"/>
            <w:vAlign w:val="center"/>
          </w:tcPr>
          <w:p w:rsidRPr="00E7529D" w:rsidR="002F78F4" w:rsidP="00BB366A" w:rsidRDefault="002F78F4" w14:paraId="691C1784" w14:textId="77777777">
            <w:pPr>
              <w:rPr>
                <w:rFonts w:ascii="Palatino Linotype" w:hAnsi="Palatino Linotype"/>
                <w:b/>
                <w:bCs/>
                <w:sz w:val="20"/>
                <w:szCs w:val="20"/>
              </w:rPr>
            </w:pPr>
            <w:r w:rsidRPr="00E7529D">
              <w:rPr>
                <w:rFonts w:ascii="Palatino Linotype" w:hAnsi="Palatino Linotype"/>
                <w:b/>
                <w:sz w:val="20"/>
                <w:szCs w:val="20"/>
              </w:rPr>
              <w:t>CEC Response in AL 12-G</w:t>
            </w:r>
          </w:p>
        </w:tc>
        <w:tc>
          <w:tcPr>
            <w:tcW w:w="3240" w:type="dxa"/>
            <w:vAlign w:val="center"/>
          </w:tcPr>
          <w:p w:rsidRPr="00E7529D" w:rsidR="002F78F4" w:rsidP="00BB366A" w:rsidRDefault="002F78F4" w14:paraId="75BF0601" w14:textId="77777777">
            <w:pPr>
              <w:rPr>
                <w:rFonts w:ascii="Palatino Linotype" w:hAnsi="Palatino Linotype"/>
                <w:b/>
                <w:bCs/>
                <w:color w:val="EE0000"/>
                <w:sz w:val="20"/>
                <w:szCs w:val="20"/>
              </w:rPr>
            </w:pPr>
            <w:r w:rsidRPr="00E7529D">
              <w:rPr>
                <w:rFonts w:ascii="Palatino Linotype" w:hAnsi="Palatino Linotype"/>
                <w:b/>
                <w:sz w:val="20"/>
                <w:szCs w:val="20"/>
              </w:rPr>
              <w:t>Compliance Assessment</w:t>
            </w:r>
          </w:p>
        </w:tc>
      </w:tr>
      <w:tr w:rsidR="002F78F4" w:rsidTr="00C254F7" w14:paraId="401C3732" w14:textId="77777777">
        <w:trPr>
          <w:trHeight w:val="655"/>
        </w:trPr>
        <w:tc>
          <w:tcPr>
            <w:tcW w:w="3145" w:type="dxa"/>
          </w:tcPr>
          <w:p w:rsidRPr="00E7529D" w:rsidR="002F78F4" w:rsidP="00BB366A" w:rsidRDefault="002F78F4" w14:paraId="57B4C7E3" w14:textId="77777777">
            <w:pPr>
              <w:rPr>
                <w:rFonts w:ascii="Palatino Linotype" w:hAnsi="Palatino Linotype"/>
                <w:i/>
                <w:iCs/>
                <w:sz w:val="20"/>
                <w:szCs w:val="20"/>
              </w:rPr>
            </w:pPr>
            <w:r w:rsidRPr="009459B9">
              <w:rPr>
                <w:rFonts w:ascii="Palatino Linotype" w:hAnsi="Palatino Linotype"/>
                <w:b/>
                <w:bCs/>
                <w:sz w:val="20"/>
                <w:szCs w:val="20"/>
              </w:rPr>
              <w:t>Public Utilities Code 740.1</w:t>
            </w:r>
            <w:r w:rsidRPr="009459B9">
              <w:rPr>
                <w:rFonts w:ascii="Palatino Linotype" w:hAnsi="Palatino Linotype"/>
                <w:sz w:val="20"/>
                <w:szCs w:val="20"/>
              </w:rPr>
              <w:t xml:space="preserve"> at </w:t>
            </w:r>
            <w:r w:rsidRPr="009459B9">
              <w:rPr>
                <w:rFonts w:ascii="Palatino Linotype" w:hAnsi="Palatino Linotype" w:eastAsia="Palatino Linotype" w:cs="Times New Roman"/>
                <w:bCs/>
                <w:color w:val="000000" w:themeColor="text1"/>
                <w:kern w:val="0"/>
                <w:sz w:val="20"/>
                <w:szCs w:val="20"/>
                <w14:ligatures w14:val="none"/>
              </w:rPr>
              <w:t>(d)</w:t>
            </w:r>
            <w:r w:rsidRPr="00E7529D">
              <w:rPr>
                <w:rFonts w:ascii="Palatino Linotype" w:hAnsi="Palatino Linotype" w:eastAsia="Palatino Linotype" w:cs="Times New Roman"/>
                <w:bCs/>
                <w:i/>
                <w:iCs/>
                <w:color w:val="000000" w:themeColor="text1"/>
                <w:kern w:val="0"/>
                <w:sz w:val="20"/>
                <w:szCs w:val="20"/>
                <w14:ligatures w14:val="none"/>
              </w:rPr>
              <w:t xml:space="preserve"> Projects should not unnecessarily duplicate research currently, previously, or imminently undertaken by other electrical or gas corporations or research organizations.</w:t>
            </w:r>
          </w:p>
        </w:tc>
        <w:tc>
          <w:tcPr>
            <w:tcW w:w="7920" w:type="dxa"/>
          </w:tcPr>
          <w:p w:rsidR="002F78F4" w:rsidP="00BB366A" w:rsidRDefault="002F78F4" w14:paraId="4D652C60" w14:textId="3BEB3157">
            <w:pPr>
              <w:rPr>
                <w:rFonts w:ascii="Palatino Linotype" w:hAnsi="Palatino Linotype"/>
                <w:bCs/>
                <w:color w:val="000000" w:themeColor="text1"/>
                <w:sz w:val="20"/>
                <w:szCs w:val="20"/>
              </w:rPr>
            </w:pPr>
            <w:r w:rsidRPr="00BB4E33">
              <w:rPr>
                <w:rFonts w:ascii="Palatino Linotype" w:hAnsi="Palatino Linotype"/>
                <w:b/>
                <w:color w:val="000000" w:themeColor="text1"/>
                <w:sz w:val="20"/>
                <w:szCs w:val="20"/>
              </w:rPr>
              <w:t xml:space="preserve">    </w:t>
            </w:r>
            <w:r w:rsidRPr="00F56023">
              <w:rPr>
                <w:rFonts w:ascii="Palatino Linotype" w:hAnsi="Palatino Linotype"/>
                <w:b/>
                <w:color w:val="000000" w:themeColor="text1"/>
                <w:sz w:val="20"/>
                <w:szCs w:val="20"/>
              </w:rPr>
              <w:t>1.</w:t>
            </w:r>
            <w:r>
              <w:rPr>
                <w:rFonts w:ascii="Palatino Linotype" w:hAnsi="Palatino Linotype"/>
                <w:bCs/>
                <w:color w:val="000000" w:themeColor="text1"/>
                <w:sz w:val="20"/>
                <w:szCs w:val="20"/>
              </w:rPr>
              <w:t xml:space="preserve"> </w:t>
            </w:r>
            <w:r w:rsidRPr="00A12BB7">
              <w:rPr>
                <w:rFonts w:ascii="Palatino Linotype" w:hAnsi="Palatino Linotype"/>
                <w:bCs/>
                <w:color w:val="000000" w:themeColor="text1"/>
                <w:sz w:val="20"/>
                <w:szCs w:val="20"/>
              </w:rPr>
              <w:t xml:space="preserve">Support Equitable, Safe, and Cost-Effective Decarbonization of California’s Gas System: </w:t>
            </w:r>
            <w:r w:rsidR="00D159FC">
              <w:rPr>
                <w:rFonts w:ascii="Palatino Linotype" w:hAnsi="Palatino Linotype"/>
                <w:bCs/>
                <w:color w:val="000000" w:themeColor="text1"/>
                <w:sz w:val="20"/>
                <w:szCs w:val="20"/>
              </w:rPr>
              <w:t xml:space="preserve">The </w:t>
            </w:r>
            <w:r w:rsidRPr="00A12BB7">
              <w:rPr>
                <w:rFonts w:ascii="Palatino Linotype" w:hAnsi="Palatino Linotype"/>
                <w:bCs/>
                <w:color w:val="000000" w:themeColor="text1"/>
                <w:sz w:val="20"/>
                <w:szCs w:val="20"/>
              </w:rPr>
              <w:t>CEC states that "[p]rojects funded by earlier Gas R&amp;D decommissioning initiatives are continuing to make progress in compiling infrastructure and other geospatial data in guiding planning, assessing air quality impacts of reducing fossil gas use, and analyzing location-specific data to identify promising candidate pilot sites for infrastructure decommissioning."</w:t>
            </w:r>
            <w:r w:rsidRPr="00A12BB7">
              <w:rPr>
                <w:rStyle w:val="FootnoteReference"/>
                <w:rFonts w:ascii="Palatino Linotype" w:hAnsi="Palatino Linotype"/>
                <w:bCs/>
                <w:color w:val="000000" w:themeColor="text1"/>
                <w:sz w:val="20"/>
                <w:szCs w:val="20"/>
              </w:rPr>
              <w:footnoteReference w:id="145"/>
            </w:r>
            <w:r w:rsidRPr="00A12BB7">
              <w:rPr>
                <w:rFonts w:ascii="Palatino Linotype" w:hAnsi="Palatino Linotype"/>
                <w:bCs/>
                <w:color w:val="000000" w:themeColor="text1"/>
                <w:sz w:val="20"/>
                <w:szCs w:val="20"/>
              </w:rPr>
              <w:t xml:space="preserve"> </w:t>
            </w:r>
            <w:r w:rsidRPr="00133527">
              <w:rPr>
                <w:rFonts w:ascii="Palatino Linotype" w:hAnsi="Palatino Linotype"/>
                <w:bCs/>
                <w:color w:val="000000" w:themeColor="text1"/>
                <w:sz w:val="20"/>
                <w:szCs w:val="20"/>
              </w:rPr>
              <w:t xml:space="preserve">Under Expected Initiative Outcomes, </w:t>
            </w:r>
            <w:r w:rsidR="00D159FC">
              <w:rPr>
                <w:rFonts w:ascii="Palatino Linotype" w:hAnsi="Palatino Linotype"/>
                <w:bCs/>
                <w:color w:val="000000" w:themeColor="text1"/>
                <w:sz w:val="20"/>
                <w:szCs w:val="20"/>
              </w:rPr>
              <w:t xml:space="preserve">the </w:t>
            </w:r>
            <w:r w:rsidRPr="00133527">
              <w:rPr>
                <w:rFonts w:ascii="Palatino Linotype" w:hAnsi="Palatino Linotype"/>
                <w:bCs/>
                <w:color w:val="000000" w:themeColor="text1"/>
                <w:sz w:val="20"/>
                <w:szCs w:val="20"/>
              </w:rPr>
              <w:t>CEC lists "[s]ynthesizing and communicating evidence of air quality impacts, health implications, and other costs and benefits from converting from fossil gas, including attention to the distribution of these impacts. This work could draw data from a variety of existing resources, e.g., measured data on air exchange rates in homes along with house square footage as collected during home energy upgrade programs, and pollutant concentration data from indoor air quality research. It could then use a combination of data to model impacts."</w:t>
            </w:r>
            <w:r>
              <w:rPr>
                <w:rStyle w:val="FootnoteReference"/>
                <w:rFonts w:ascii="Palatino Linotype" w:hAnsi="Palatino Linotype"/>
                <w:bCs/>
                <w:color w:val="000000" w:themeColor="text1"/>
                <w:sz w:val="20"/>
                <w:szCs w:val="20"/>
              </w:rPr>
              <w:footnoteReference w:id="146"/>
            </w:r>
            <w:r w:rsidRPr="00133527">
              <w:rPr>
                <w:rFonts w:ascii="Palatino Linotype" w:hAnsi="Palatino Linotype"/>
                <w:bCs/>
                <w:color w:val="000000" w:themeColor="text1"/>
                <w:sz w:val="20"/>
                <w:szCs w:val="20"/>
              </w:rPr>
              <w:t xml:space="preserve"> In Appendix D: List of 2023 Gas R&amp;D Events, CEC lists (1) a Pre-Application Workshop: Quantifying Exposures to Indoor Air Pollutants in Multifamily Homes that Cook with Gas or Alternatives (GFO-23-501) in November 2023 and (2) Meeting of the California Energy Commission’s Healthy, Equitable Energy Transition (HEET) Working Group, covering the theme “Understanding Air Quality and Equity Impacts of Clean Energy Interventions Using Models and Measurements” in December 2023.</w:t>
            </w:r>
          </w:p>
          <w:p w:rsidR="002F78F4" w:rsidP="00BB366A" w:rsidRDefault="002F78F4" w14:paraId="3D6441B5" w14:textId="69DBC37C">
            <w:pPr>
              <w:rPr>
                <w:rFonts w:ascii="Palatino Linotype" w:hAnsi="Palatino Linotype"/>
                <w:bCs/>
                <w:color w:val="A6A6A6" w:themeColor="background1" w:themeShade="A6"/>
                <w:sz w:val="20"/>
                <w:szCs w:val="20"/>
              </w:rPr>
            </w:pPr>
            <w:r w:rsidRPr="00BB4E33">
              <w:rPr>
                <w:rFonts w:ascii="Palatino Linotype" w:hAnsi="Palatino Linotype"/>
                <w:b/>
                <w:color w:val="000000" w:themeColor="text1"/>
                <w:sz w:val="20"/>
                <w:szCs w:val="20"/>
              </w:rPr>
              <w:t xml:space="preserve">    </w:t>
            </w:r>
            <w:r w:rsidRPr="00F56023">
              <w:rPr>
                <w:rFonts w:ascii="Palatino Linotype" w:hAnsi="Palatino Linotype"/>
                <w:b/>
                <w:color w:val="000000" w:themeColor="text1"/>
                <w:sz w:val="20"/>
                <w:szCs w:val="20"/>
              </w:rPr>
              <w:t>2.</w:t>
            </w:r>
            <w:r w:rsidRPr="00F56023">
              <w:rPr>
                <w:rFonts w:ascii="Palatino Linotype" w:hAnsi="Palatino Linotype"/>
                <w:bCs/>
                <w:color w:val="000000" w:themeColor="text1"/>
                <w:sz w:val="20"/>
                <w:szCs w:val="20"/>
              </w:rPr>
              <w:t xml:space="preserve"> Innovations</w:t>
            </w:r>
            <w:r w:rsidRPr="00BB4E33">
              <w:rPr>
                <w:rFonts w:ascii="Palatino Linotype" w:hAnsi="Palatino Linotype"/>
                <w:bCs/>
                <w:color w:val="000000" w:themeColor="text1"/>
                <w:sz w:val="20"/>
                <w:szCs w:val="20"/>
              </w:rPr>
              <w:t xml:space="preserve"> for Cost-Effective Operation and Maintenance of Critical Infrastructure During the Gas Transition: See: </w:t>
            </w:r>
            <w:r w:rsidR="00D159FC">
              <w:rPr>
                <w:rFonts w:ascii="Palatino Linotype" w:hAnsi="Palatino Linotype"/>
                <w:bCs/>
                <w:color w:val="000000" w:themeColor="text1"/>
                <w:sz w:val="20"/>
                <w:szCs w:val="20"/>
              </w:rPr>
              <w:t xml:space="preserve">The </w:t>
            </w:r>
            <w:r w:rsidRPr="007220BB">
              <w:rPr>
                <w:rFonts w:ascii="Palatino Linotype" w:hAnsi="Palatino Linotype"/>
                <w:bCs/>
                <w:sz w:val="20"/>
                <w:szCs w:val="20"/>
              </w:rPr>
              <w:t>C</w:t>
            </w:r>
            <w:r>
              <w:rPr>
                <w:rFonts w:ascii="Palatino Linotype" w:hAnsi="Palatino Linotype"/>
                <w:bCs/>
                <w:sz w:val="20"/>
                <w:szCs w:val="20"/>
              </w:rPr>
              <w:t>EC Response in AL 12-G</w:t>
            </w:r>
            <w:r w:rsidRPr="007220BB">
              <w:rPr>
                <w:rFonts w:ascii="Palatino Linotype" w:hAnsi="Palatino Linotype"/>
                <w:bCs/>
                <w:sz w:val="20"/>
                <w:szCs w:val="20"/>
              </w:rPr>
              <w:t xml:space="preserve"> </w:t>
            </w:r>
            <w:r>
              <w:rPr>
                <w:rFonts w:ascii="Palatino Linotype" w:hAnsi="Palatino Linotype"/>
                <w:bCs/>
                <w:sz w:val="20"/>
                <w:szCs w:val="20"/>
              </w:rPr>
              <w:t>to</w:t>
            </w:r>
            <w:r w:rsidRPr="007220BB">
              <w:rPr>
                <w:rFonts w:ascii="Palatino Linotype" w:hAnsi="Palatino Linotype"/>
                <w:bCs/>
                <w:sz w:val="20"/>
                <w:szCs w:val="20"/>
              </w:rPr>
              <w:t xml:space="preserve"> </w:t>
            </w:r>
            <w:hyperlink w:history="1" r:id="rId71">
              <w:r w:rsidRPr="007220BB">
                <w:rPr>
                  <w:rStyle w:val="Hyperlink"/>
                  <w:rFonts w:ascii="Palatino Linotype" w:hAnsi="Palatino Linotype"/>
                  <w:bCs/>
                  <w:sz w:val="20"/>
                  <w:szCs w:val="20"/>
                </w:rPr>
                <w:t>Resolution G-3603</w:t>
              </w:r>
            </w:hyperlink>
            <w:r w:rsidRPr="007220BB">
              <w:rPr>
                <w:rFonts w:ascii="Palatino Linotype" w:hAnsi="Palatino Linotype"/>
                <w:bCs/>
                <w:sz w:val="20"/>
                <w:szCs w:val="20"/>
              </w:rPr>
              <w:t xml:space="preserve"> (2024) at OP 4.</w:t>
            </w:r>
          </w:p>
          <w:p w:rsidRPr="00876032" w:rsidR="002F78F4" w:rsidP="00BB366A" w:rsidRDefault="002F78F4" w14:paraId="4A3986A2" w14:textId="7D0FBB8B">
            <w:pPr>
              <w:rPr>
                <w:rFonts w:ascii="Palatino Linotype" w:hAnsi="Palatino Linotype"/>
                <w:bCs/>
                <w:color w:val="A6A6A6" w:themeColor="background1" w:themeShade="A6"/>
                <w:sz w:val="20"/>
                <w:szCs w:val="20"/>
              </w:rPr>
            </w:pPr>
            <w:r w:rsidRPr="007753E8">
              <w:rPr>
                <w:rFonts w:ascii="Palatino Linotype" w:hAnsi="Palatino Linotype"/>
                <w:b/>
                <w:color w:val="000000" w:themeColor="text1"/>
                <w:sz w:val="20"/>
                <w:szCs w:val="20"/>
              </w:rPr>
              <w:t xml:space="preserve">    3.</w:t>
            </w:r>
            <w:r w:rsidRPr="007753E8">
              <w:rPr>
                <w:rFonts w:ascii="Palatino Linotype" w:hAnsi="Palatino Linotype"/>
                <w:bCs/>
                <w:color w:val="000000" w:themeColor="text1"/>
                <w:sz w:val="20"/>
                <w:szCs w:val="20"/>
              </w:rPr>
              <w:t xml:space="preserve"> Fuel-Flexible Distributed Power Generation: </w:t>
            </w:r>
            <w:r w:rsidR="00D159FC">
              <w:rPr>
                <w:rFonts w:ascii="Palatino Linotype" w:hAnsi="Palatino Linotype"/>
                <w:bCs/>
                <w:color w:val="000000" w:themeColor="text1"/>
                <w:sz w:val="20"/>
                <w:szCs w:val="20"/>
              </w:rPr>
              <w:t xml:space="preserve">The </w:t>
            </w:r>
            <w:r w:rsidRPr="00BE73E4">
              <w:rPr>
                <w:rFonts w:ascii="Palatino Linotype" w:hAnsi="Palatino Linotype"/>
                <w:bCs/>
                <w:color w:val="000000" w:themeColor="text1"/>
                <w:sz w:val="20"/>
                <w:szCs w:val="20"/>
              </w:rPr>
              <w:t xml:space="preserve">CEC states it has "collaborated on and co-funded several Gas R&amp;D projects in the past and further collaboration is expected in the future" and that this Initiative "could also leverage other state programs such as those funded through CPUC including the SoCalGas FY 2022-2023 </w:t>
            </w:r>
            <w:r w:rsidRPr="00BE73E4">
              <w:rPr>
                <w:rFonts w:ascii="Palatino Linotype" w:hAnsi="Palatino Linotype"/>
                <w:bCs/>
                <w:color w:val="000000" w:themeColor="text1"/>
                <w:sz w:val="20"/>
                <w:szCs w:val="20"/>
              </w:rPr>
              <w:lastRenderedPageBreak/>
              <w:t>R&amp;D Budget Plan</w:t>
            </w:r>
            <w:r w:rsidR="007E2D81">
              <w:rPr>
                <w:rFonts w:ascii="Palatino Linotype" w:hAnsi="Palatino Linotype"/>
                <w:bCs/>
                <w:color w:val="000000" w:themeColor="text1"/>
                <w:sz w:val="20"/>
                <w:szCs w:val="20"/>
              </w:rPr>
              <w:t>,</w:t>
            </w:r>
            <w:r w:rsidRPr="00BE73E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47"/>
            </w:r>
            <w:r w:rsidRPr="00BE73E4">
              <w:rPr>
                <w:rFonts w:ascii="Palatino Linotype" w:hAnsi="Palatino Linotype"/>
                <w:bCs/>
                <w:color w:val="000000" w:themeColor="text1"/>
                <w:sz w:val="20"/>
                <w:szCs w:val="20"/>
              </w:rPr>
              <w:t xml:space="preserve"> listing several of S</w:t>
            </w:r>
            <w:r w:rsidR="00D86396">
              <w:rPr>
                <w:rFonts w:ascii="Palatino Linotype" w:hAnsi="Palatino Linotype"/>
                <w:bCs/>
                <w:color w:val="000000" w:themeColor="text1"/>
                <w:sz w:val="20"/>
                <w:szCs w:val="20"/>
              </w:rPr>
              <w:t>oCalGas</w:t>
            </w:r>
            <w:r w:rsidRPr="00BE73E4">
              <w:rPr>
                <w:rFonts w:ascii="Palatino Linotype" w:hAnsi="Palatino Linotype"/>
                <w:bCs/>
                <w:color w:val="000000" w:themeColor="text1"/>
                <w:sz w:val="20"/>
                <w:szCs w:val="20"/>
              </w:rPr>
              <w:t>' "synergistic and non-duplicative R&amp;D initiatives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48"/>
            </w:r>
          </w:p>
        </w:tc>
        <w:tc>
          <w:tcPr>
            <w:tcW w:w="3240" w:type="dxa"/>
          </w:tcPr>
          <w:p w:rsidRPr="005E4979" w:rsidR="002F78F4" w:rsidP="00BB366A" w:rsidRDefault="002F78F4" w14:paraId="1BEED271" w14:textId="08F2A7A9">
            <w:pPr>
              <w:rPr>
                <w:rFonts w:ascii="Palatino Linotype" w:hAnsi="Palatino Linotype"/>
                <w:b/>
                <w:sz w:val="20"/>
                <w:szCs w:val="20"/>
              </w:rPr>
            </w:pPr>
            <w:r>
              <w:rPr>
                <w:rFonts w:ascii="Palatino Linotype" w:hAnsi="Palatino Linotype"/>
                <w:b/>
                <w:sz w:val="20"/>
                <w:szCs w:val="20"/>
              </w:rPr>
              <w:lastRenderedPageBreak/>
              <w:t xml:space="preserve">    </w:t>
            </w:r>
            <w:r w:rsidRPr="00AE56E7">
              <w:rPr>
                <w:rFonts w:ascii="Palatino Linotype" w:hAnsi="Palatino Linotype"/>
                <w:b/>
                <w:sz w:val="20"/>
                <w:szCs w:val="20"/>
              </w:rPr>
              <w:t>1</w:t>
            </w:r>
            <w:r>
              <w:rPr>
                <w:rFonts w:ascii="Palatino Linotype" w:hAnsi="Palatino Linotype"/>
                <w:bCs/>
                <w:sz w:val="20"/>
                <w:szCs w:val="20"/>
              </w:rPr>
              <w:t xml:space="preserve">. </w:t>
            </w:r>
            <w:r w:rsidR="00E556F2">
              <w:rPr>
                <w:rFonts w:ascii="Palatino Linotype" w:hAnsi="Palatino Linotype"/>
                <w:bCs/>
                <w:sz w:val="20"/>
                <w:szCs w:val="20"/>
              </w:rPr>
              <w:t xml:space="preserve">The </w:t>
            </w:r>
            <w:r w:rsidRPr="00975DD9">
              <w:rPr>
                <w:rFonts w:ascii="Palatino Linotype" w:hAnsi="Palatino Linotype"/>
                <w:bCs/>
                <w:sz w:val="20"/>
                <w:szCs w:val="20"/>
              </w:rPr>
              <w:t>CEC must provide greater detail to demonstrate that outputs and impacts will be targeted and utilized to promote complementary rather than duplicative efforts.</w:t>
            </w:r>
            <w:r>
              <w:rPr>
                <w:rFonts w:ascii="Palatino Linotype" w:hAnsi="Palatino Linotype"/>
                <w:bCs/>
                <w:sz w:val="20"/>
                <w:szCs w:val="20"/>
              </w:rPr>
              <w:t xml:space="preserve"> </w:t>
            </w:r>
            <w:r w:rsidRPr="00427C89">
              <w:rPr>
                <w:rFonts w:ascii="Palatino Linotype" w:hAnsi="Palatino Linotype"/>
                <w:bCs/>
                <w:sz w:val="20"/>
                <w:szCs w:val="20"/>
              </w:rPr>
              <w:t xml:space="preserve">In </w:t>
            </w:r>
            <w:r w:rsidR="00E556F2">
              <w:rPr>
                <w:rFonts w:ascii="Palatino Linotype" w:hAnsi="Palatino Linotype"/>
                <w:bCs/>
                <w:sz w:val="20"/>
                <w:szCs w:val="20"/>
              </w:rPr>
              <w:t xml:space="preserve">the </w:t>
            </w:r>
            <w:r w:rsidRPr="00427C89">
              <w:rPr>
                <w:rFonts w:ascii="Palatino Linotype" w:hAnsi="Palatino Linotype"/>
                <w:bCs/>
                <w:sz w:val="20"/>
                <w:szCs w:val="20"/>
              </w:rPr>
              <w:t xml:space="preserve">CEC's FY 2023-2024 Plan, it describes how </w:t>
            </w:r>
            <w:r>
              <w:rPr>
                <w:rFonts w:ascii="Palatino Linotype" w:hAnsi="Palatino Linotype"/>
                <w:bCs/>
                <w:sz w:val="20"/>
                <w:szCs w:val="20"/>
              </w:rPr>
              <w:t>this Initiative “</w:t>
            </w:r>
            <w:r w:rsidRPr="00427C89">
              <w:rPr>
                <w:rFonts w:ascii="Palatino Linotype" w:hAnsi="Palatino Linotype"/>
                <w:bCs/>
                <w:sz w:val="20"/>
                <w:szCs w:val="20"/>
              </w:rPr>
              <w:t>advances the [CEC's] Gas R&amp;D Program’s decommissioning portfolio by filling a key gap between prior work and future planned efforts" and proceeds to list Initiatives and projects funded via previous CEC Gas RD&amp;D Plans as well as this proposed FY 2024-2025 Initiative under "Gas decommissioning planning tools and frameworks</w:t>
            </w:r>
            <w:r>
              <w:rPr>
                <w:rFonts w:ascii="Palatino Linotype" w:hAnsi="Palatino Linotype"/>
                <w:bCs/>
                <w:sz w:val="20"/>
                <w:szCs w:val="20"/>
              </w:rPr>
              <w:t>.</w:t>
            </w:r>
            <w:r w:rsidRPr="00427C89">
              <w:rPr>
                <w:rFonts w:ascii="Palatino Linotype" w:hAnsi="Palatino Linotype"/>
                <w:bCs/>
                <w:sz w:val="20"/>
                <w:szCs w:val="20"/>
              </w:rPr>
              <w:t>"</w:t>
            </w:r>
            <w:r>
              <w:rPr>
                <w:rStyle w:val="FootnoteReference"/>
                <w:rFonts w:ascii="Palatino Linotype" w:hAnsi="Palatino Linotype"/>
                <w:bCs/>
                <w:sz w:val="20"/>
                <w:szCs w:val="20"/>
              </w:rPr>
              <w:footnoteReference w:id="149"/>
            </w:r>
            <w:r>
              <w:rPr>
                <w:rFonts w:ascii="Palatino Linotype" w:hAnsi="Palatino Linotype"/>
                <w:bCs/>
                <w:sz w:val="20"/>
                <w:szCs w:val="20"/>
              </w:rPr>
              <w:t xml:space="preserve"> </w:t>
            </w:r>
            <w:r w:rsidR="006A06EC">
              <w:rPr>
                <w:rFonts w:ascii="Palatino Linotype" w:hAnsi="Palatino Linotype"/>
                <w:bCs/>
                <w:sz w:val="20"/>
                <w:szCs w:val="20"/>
              </w:rPr>
              <w:t xml:space="preserve">The </w:t>
            </w:r>
            <w:r w:rsidRPr="00975DD9">
              <w:rPr>
                <w:rFonts w:ascii="Palatino Linotype" w:hAnsi="Palatino Linotype"/>
                <w:bCs/>
                <w:sz w:val="20"/>
                <w:szCs w:val="20"/>
              </w:rPr>
              <w:t xml:space="preserve">CEC </w:t>
            </w:r>
            <w:r w:rsidR="00915DCF">
              <w:rPr>
                <w:rFonts w:ascii="Palatino Linotype" w:hAnsi="Palatino Linotype"/>
                <w:bCs/>
                <w:sz w:val="20"/>
                <w:szCs w:val="20"/>
              </w:rPr>
              <w:t>must</w:t>
            </w:r>
            <w:r w:rsidRPr="00975DD9">
              <w:rPr>
                <w:rFonts w:ascii="Palatino Linotype" w:hAnsi="Palatino Linotype"/>
                <w:bCs/>
                <w:sz w:val="20"/>
                <w:szCs w:val="20"/>
              </w:rPr>
              <w:t xml:space="preserve"> model the thorough accounting of previous investments included in its FY 2023-2024 </w:t>
            </w:r>
            <w:r>
              <w:rPr>
                <w:rFonts w:ascii="Palatino Linotype" w:hAnsi="Palatino Linotype"/>
                <w:bCs/>
                <w:sz w:val="20"/>
                <w:szCs w:val="20"/>
              </w:rPr>
              <w:t xml:space="preserve">and FY 2025-2026 </w:t>
            </w:r>
            <w:r w:rsidRPr="00975DD9">
              <w:rPr>
                <w:rFonts w:ascii="Palatino Linotype" w:hAnsi="Palatino Linotype"/>
                <w:bCs/>
                <w:sz w:val="20"/>
                <w:szCs w:val="20"/>
              </w:rPr>
              <w:t>Plan</w:t>
            </w:r>
            <w:r>
              <w:rPr>
                <w:rFonts w:ascii="Palatino Linotype" w:hAnsi="Palatino Linotype"/>
                <w:bCs/>
                <w:sz w:val="20"/>
                <w:szCs w:val="20"/>
              </w:rPr>
              <w:t>s</w:t>
            </w:r>
            <w:r w:rsidRPr="00975DD9">
              <w:rPr>
                <w:rFonts w:ascii="Palatino Linotype" w:hAnsi="Palatino Linotype"/>
                <w:bCs/>
                <w:sz w:val="20"/>
                <w:szCs w:val="20"/>
              </w:rPr>
              <w:t xml:space="preserve">, including correlating this Initiative with direct activities related to </w:t>
            </w:r>
            <w:r>
              <w:rPr>
                <w:rFonts w:ascii="Palatino Linotype" w:hAnsi="Palatino Linotype"/>
                <w:bCs/>
                <w:sz w:val="20"/>
                <w:szCs w:val="20"/>
              </w:rPr>
              <w:t>“</w:t>
            </w:r>
            <w:r w:rsidRPr="00975DD9">
              <w:rPr>
                <w:rFonts w:ascii="Palatino Linotype" w:hAnsi="Palatino Linotype"/>
                <w:bCs/>
                <w:sz w:val="20"/>
                <w:szCs w:val="20"/>
              </w:rPr>
              <w:t xml:space="preserve">Quantifying Exposures to Indoor Air </w:t>
            </w:r>
            <w:r w:rsidRPr="00975DD9">
              <w:rPr>
                <w:rFonts w:ascii="Palatino Linotype" w:hAnsi="Palatino Linotype"/>
                <w:bCs/>
                <w:sz w:val="20"/>
                <w:szCs w:val="20"/>
              </w:rPr>
              <w:lastRenderedPageBreak/>
              <w:t xml:space="preserve">Pollutants in Multifamily Homes that Cook with Gas or </w:t>
            </w:r>
            <w:r w:rsidRPr="005E4979">
              <w:rPr>
                <w:rFonts w:ascii="Palatino Linotype" w:hAnsi="Palatino Linotype"/>
                <w:bCs/>
                <w:sz w:val="20"/>
                <w:szCs w:val="20"/>
              </w:rPr>
              <w:t xml:space="preserve">Alternatives.” </w:t>
            </w:r>
            <w:r w:rsidRPr="00D159FC" w:rsidR="00D159FC">
              <w:rPr>
                <w:rFonts w:ascii="Palatino Linotype" w:hAnsi="Palatino Linotype"/>
                <w:b/>
                <w:sz w:val="20"/>
                <w:szCs w:val="20"/>
              </w:rPr>
              <w:t xml:space="preserve">The </w:t>
            </w:r>
            <w:r w:rsidRPr="005E4979">
              <w:rPr>
                <w:rFonts w:ascii="Palatino Linotype" w:hAnsi="Palatino Linotype"/>
                <w:b/>
                <w:sz w:val="20"/>
                <w:szCs w:val="20"/>
              </w:rPr>
              <w:t xml:space="preserve">CEC is </w:t>
            </w:r>
            <w:r w:rsidRPr="005E4979">
              <w:rPr>
                <w:rFonts w:ascii="Palatino Linotype" w:hAnsi="Palatino Linotype"/>
                <w:b/>
                <w:i/>
                <w:iCs/>
                <w:sz w:val="20"/>
                <w:szCs w:val="20"/>
              </w:rPr>
              <w:t xml:space="preserve">not </w:t>
            </w:r>
            <w:r w:rsidRPr="005E4979">
              <w:rPr>
                <w:rFonts w:ascii="Palatino Linotype" w:hAnsi="Palatino Linotype"/>
                <w:b/>
                <w:sz w:val="20"/>
                <w:szCs w:val="20"/>
              </w:rPr>
              <w:t>compliant with this requirement.</w:t>
            </w:r>
          </w:p>
          <w:p w:rsidR="002F78F4" w:rsidP="00BB366A" w:rsidRDefault="002F78F4" w14:paraId="340BE782" w14:textId="355854C3">
            <w:pPr>
              <w:rPr>
                <w:rFonts w:ascii="Palatino Linotype" w:hAnsi="Palatino Linotype"/>
                <w:bCs/>
                <w:sz w:val="20"/>
                <w:szCs w:val="20"/>
              </w:rPr>
            </w:pPr>
            <w:r w:rsidRPr="005E4979">
              <w:rPr>
                <w:rFonts w:ascii="Palatino Linotype" w:hAnsi="Palatino Linotype"/>
                <w:b/>
                <w:sz w:val="20"/>
                <w:szCs w:val="20"/>
              </w:rPr>
              <w:t xml:space="preserve">    2. </w:t>
            </w:r>
            <w:r w:rsidRPr="005E4979">
              <w:rPr>
                <w:rFonts w:ascii="Palatino Linotype" w:hAnsi="Palatino Linotype"/>
                <w:bCs/>
                <w:sz w:val="20"/>
                <w:szCs w:val="20"/>
              </w:rPr>
              <w:t xml:space="preserve">See: Compliance Assessment of </w:t>
            </w:r>
            <w:hyperlink w:history="1" r:id="rId72">
              <w:r w:rsidRPr="005E4979">
                <w:rPr>
                  <w:rStyle w:val="Hyperlink"/>
                  <w:rFonts w:ascii="Palatino Linotype" w:hAnsi="Palatino Linotype"/>
                  <w:bCs/>
                  <w:sz w:val="20"/>
                  <w:szCs w:val="20"/>
                </w:rPr>
                <w:t>Resolution G-3603</w:t>
              </w:r>
            </w:hyperlink>
            <w:r w:rsidRPr="005E4979">
              <w:rPr>
                <w:rFonts w:ascii="Palatino Linotype" w:hAnsi="Palatino Linotype"/>
                <w:bCs/>
                <w:sz w:val="20"/>
                <w:szCs w:val="20"/>
              </w:rPr>
              <w:t xml:space="preserve"> (2024) at OP 4. </w:t>
            </w:r>
            <w:r w:rsidRPr="00D159FC" w:rsidR="00D159FC">
              <w:rPr>
                <w:rFonts w:ascii="Palatino Linotype" w:hAnsi="Palatino Linotype"/>
                <w:b/>
                <w:sz w:val="20"/>
                <w:szCs w:val="20"/>
              </w:rPr>
              <w:t xml:space="preserve">The </w:t>
            </w:r>
            <w:r w:rsidRPr="005E4979">
              <w:rPr>
                <w:rFonts w:ascii="Palatino Linotype" w:hAnsi="Palatino Linotype"/>
                <w:b/>
                <w:sz w:val="20"/>
                <w:szCs w:val="20"/>
              </w:rPr>
              <w:t xml:space="preserve">CEC is </w:t>
            </w:r>
            <w:r w:rsidRPr="005E4979">
              <w:rPr>
                <w:rFonts w:ascii="Palatino Linotype" w:hAnsi="Palatino Linotype"/>
                <w:b/>
                <w:i/>
                <w:iCs/>
                <w:sz w:val="20"/>
                <w:szCs w:val="20"/>
              </w:rPr>
              <w:t xml:space="preserve">not </w:t>
            </w:r>
            <w:r w:rsidRPr="005E4979">
              <w:rPr>
                <w:rFonts w:ascii="Palatino Linotype" w:hAnsi="Palatino Linotype"/>
                <w:b/>
                <w:sz w:val="20"/>
                <w:szCs w:val="20"/>
              </w:rPr>
              <w:t>compliant with this requirement.</w:t>
            </w:r>
          </w:p>
          <w:p w:rsidRPr="0073208D" w:rsidR="002F78F4" w:rsidP="00BB366A" w:rsidRDefault="002F78F4" w14:paraId="47BD3161" w14:textId="1E47ABE1">
            <w:pPr>
              <w:rPr>
                <w:rFonts w:ascii="Palatino Linotype" w:hAnsi="Palatino Linotype"/>
                <w:bCs/>
                <w:sz w:val="20"/>
                <w:szCs w:val="20"/>
              </w:rPr>
            </w:pPr>
            <w:r>
              <w:rPr>
                <w:rFonts w:ascii="Palatino Linotype" w:hAnsi="Palatino Linotype"/>
                <w:bCs/>
                <w:sz w:val="20"/>
                <w:szCs w:val="20"/>
              </w:rPr>
              <w:t xml:space="preserve">   </w:t>
            </w:r>
            <w:r w:rsidRPr="00BB4E33">
              <w:rPr>
                <w:rFonts w:ascii="Palatino Linotype" w:hAnsi="Palatino Linotype"/>
                <w:b/>
                <w:sz w:val="20"/>
                <w:szCs w:val="20"/>
              </w:rPr>
              <w:t xml:space="preserve"> 3</w:t>
            </w:r>
            <w:r>
              <w:rPr>
                <w:rFonts w:ascii="Palatino Linotype" w:hAnsi="Palatino Linotype"/>
                <w:bCs/>
                <w:sz w:val="20"/>
                <w:szCs w:val="20"/>
              </w:rPr>
              <w:t xml:space="preserve">. </w:t>
            </w:r>
            <w:r w:rsidR="00D159FC">
              <w:rPr>
                <w:rFonts w:ascii="Palatino Linotype" w:hAnsi="Palatino Linotype"/>
                <w:bCs/>
                <w:sz w:val="20"/>
                <w:szCs w:val="20"/>
              </w:rPr>
              <w:t xml:space="preserve">The </w:t>
            </w:r>
            <w:r w:rsidRPr="002928D6">
              <w:rPr>
                <w:rFonts w:ascii="Palatino Linotype" w:hAnsi="Palatino Linotype"/>
                <w:bCs/>
                <w:sz w:val="20"/>
                <w:szCs w:val="20"/>
              </w:rPr>
              <w:t>CEC sufficiently details and contrasts similar RD&amp;D Initiatives and activities conducted by S</w:t>
            </w:r>
            <w:r w:rsidR="00D86396">
              <w:rPr>
                <w:rFonts w:ascii="Palatino Linotype" w:hAnsi="Palatino Linotype"/>
                <w:bCs/>
                <w:sz w:val="20"/>
                <w:szCs w:val="20"/>
              </w:rPr>
              <w:t>oCalGas</w:t>
            </w:r>
            <w:r w:rsidRPr="002928D6">
              <w:rPr>
                <w:rFonts w:ascii="Palatino Linotype" w:hAnsi="Palatino Linotype"/>
                <w:bCs/>
                <w:sz w:val="20"/>
                <w:szCs w:val="20"/>
              </w:rPr>
              <w:t>.</w:t>
            </w:r>
            <w:r w:rsidRPr="002928D6">
              <w:rPr>
                <w:rFonts w:ascii="Palatino Linotype" w:hAnsi="Palatino Linotype"/>
                <w:b/>
                <w:sz w:val="20"/>
                <w:szCs w:val="20"/>
              </w:rPr>
              <w:t xml:space="preserve"> </w:t>
            </w:r>
            <w:r w:rsidR="00D159FC">
              <w:rPr>
                <w:rFonts w:ascii="Palatino Linotype" w:hAnsi="Palatino Linotype"/>
                <w:b/>
                <w:sz w:val="20"/>
                <w:szCs w:val="20"/>
              </w:rPr>
              <w:t xml:space="preserve">The </w:t>
            </w:r>
            <w:r w:rsidRPr="002928D6">
              <w:rPr>
                <w:rFonts w:ascii="Palatino Linotype" w:hAnsi="Palatino Linotype"/>
                <w:b/>
                <w:sz w:val="20"/>
                <w:szCs w:val="20"/>
              </w:rPr>
              <w:t>CEC is compliant with this requirement.</w:t>
            </w:r>
          </w:p>
        </w:tc>
      </w:tr>
      <w:tr w:rsidR="002F78F4" w:rsidTr="00C254F7" w14:paraId="1174BDA8" w14:textId="77777777">
        <w:trPr>
          <w:trHeight w:val="638"/>
        </w:trPr>
        <w:tc>
          <w:tcPr>
            <w:tcW w:w="3145" w:type="dxa"/>
          </w:tcPr>
          <w:p w:rsidRPr="00E7529D" w:rsidR="002F78F4" w:rsidP="00BB366A" w:rsidRDefault="002F78F4" w14:paraId="157E54A8" w14:textId="77777777">
            <w:pPr>
              <w:rPr>
                <w:rFonts w:ascii="Palatino Linotype" w:hAnsi="Palatino Linotype"/>
                <w:i/>
                <w:iCs/>
                <w:sz w:val="20"/>
                <w:szCs w:val="20"/>
              </w:rPr>
            </w:pPr>
            <w:r w:rsidRPr="009459B9">
              <w:rPr>
                <w:rFonts w:ascii="Palatino Linotype" w:hAnsi="Palatino Linotype"/>
                <w:b/>
                <w:bCs/>
                <w:sz w:val="20"/>
                <w:szCs w:val="20"/>
              </w:rPr>
              <w:lastRenderedPageBreak/>
              <w:t>Public Utilities Code 740.1</w:t>
            </w:r>
            <w:r w:rsidRPr="009459B9">
              <w:rPr>
                <w:rFonts w:ascii="Palatino Linotype" w:hAnsi="Palatino Linotype"/>
                <w:sz w:val="20"/>
                <w:szCs w:val="20"/>
              </w:rPr>
              <w:t xml:space="preserve"> at </w:t>
            </w:r>
            <w:r w:rsidRPr="009459B9">
              <w:rPr>
                <w:rFonts w:ascii="Palatino Linotype" w:hAnsi="Palatino Linotype"/>
                <w:bCs/>
                <w:sz w:val="20"/>
                <w:szCs w:val="20"/>
              </w:rPr>
              <w:t>(e)</w:t>
            </w:r>
            <w:r w:rsidRPr="00E7529D">
              <w:rPr>
                <w:rFonts w:ascii="Palatino Linotype" w:hAnsi="Palatino Linotype"/>
                <w:bCs/>
                <w:i/>
                <w:iCs/>
                <w:sz w:val="20"/>
                <w:szCs w:val="20"/>
              </w:rPr>
              <w:t xml:space="preserve"> Each project should also support one or more of the following objectives:</w:t>
            </w:r>
          </w:p>
          <w:p w:rsidRPr="00E7529D" w:rsidR="002F78F4" w:rsidP="003B475F" w:rsidRDefault="002F78F4" w14:paraId="2A825C31"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Environmental improvement.</w:t>
            </w:r>
          </w:p>
          <w:p w:rsidRPr="00E7529D" w:rsidR="002F78F4" w:rsidP="003B475F" w:rsidRDefault="002F78F4" w14:paraId="66178F40"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Public and employee safety.</w:t>
            </w:r>
          </w:p>
          <w:p w:rsidRPr="00E7529D" w:rsidR="002F78F4" w:rsidP="003B475F" w:rsidRDefault="002F78F4" w14:paraId="30DF8715"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Conservation by efficient resource use or by reducing or shifting system load.</w:t>
            </w:r>
          </w:p>
          <w:p w:rsidRPr="00E7529D" w:rsidR="002F78F4" w:rsidP="003B475F" w:rsidRDefault="002F78F4" w14:paraId="0A4DFBA3"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lastRenderedPageBreak/>
              <w:t>Development of new resources and processes, particularly renewable resources and processes which further supply technologies.</w:t>
            </w:r>
          </w:p>
          <w:p w:rsidRPr="00E7529D" w:rsidR="002F78F4" w:rsidP="003B475F" w:rsidRDefault="002F78F4" w14:paraId="6CBB48DF" w14:textId="77777777">
            <w:pPr>
              <w:pStyle w:val="ListParagraph"/>
              <w:numPr>
                <w:ilvl w:val="0"/>
                <w:numId w:val="21"/>
              </w:numPr>
              <w:rPr>
                <w:rFonts w:ascii="Palatino Linotype" w:hAnsi="Palatino Linotype"/>
                <w:bCs/>
                <w:i/>
                <w:iCs/>
                <w:sz w:val="20"/>
                <w:szCs w:val="20"/>
              </w:rPr>
            </w:pPr>
            <w:r w:rsidRPr="00E7529D">
              <w:rPr>
                <w:rFonts w:ascii="Palatino Linotype" w:hAnsi="Palatino Linotype"/>
                <w:bCs/>
                <w:i/>
                <w:iCs/>
                <w:sz w:val="20"/>
                <w:szCs w:val="20"/>
              </w:rPr>
              <w:t>Improve operating efficiency and reliability or otherwise reduce operating costs.</w:t>
            </w:r>
          </w:p>
        </w:tc>
        <w:tc>
          <w:tcPr>
            <w:tcW w:w="7920" w:type="dxa"/>
          </w:tcPr>
          <w:p w:rsidR="002F78F4" w:rsidP="00BB366A" w:rsidRDefault="00D159FC" w14:paraId="67E776BD" w14:textId="16640097">
            <w:pPr>
              <w:rPr>
                <w:rFonts w:ascii="Palatino Linotype" w:hAnsi="Palatino Linotype"/>
                <w:bCs/>
                <w:sz w:val="20"/>
                <w:szCs w:val="20"/>
              </w:rPr>
            </w:pPr>
            <w:r>
              <w:rPr>
                <w:rFonts w:ascii="Palatino Linotype" w:hAnsi="Palatino Linotype"/>
                <w:bCs/>
                <w:sz w:val="20"/>
                <w:szCs w:val="20"/>
              </w:rPr>
              <w:lastRenderedPageBreak/>
              <w:t xml:space="preserve">The </w:t>
            </w:r>
            <w:r w:rsidRPr="00535496" w:rsidR="002F78F4">
              <w:rPr>
                <w:rFonts w:ascii="Palatino Linotype" w:hAnsi="Palatino Linotype"/>
                <w:bCs/>
                <w:sz w:val="20"/>
                <w:szCs w:val="20"/>
              </w:rPr>
              <w:t>CEC</w:t>
            </w:r>
            <w:r w:rsidR="002F78F4">
              <w:rPr>
                <w:rFonts w:ascii="Palatino Linotype" w:hAnsi="Palatino Linotype"/>
                <w:bCs/>
                <w:sz w:val="20"/>
                <w:szCs w:val="20"/>
              </w:rPr>
              <w:t xml:space="preserve"> proposes budget allocations broken down by Initiatives within Investment Themes as follows: </w:t>
            </w:r>
          </w:p>
          <w:p w:rsidR="002F78F4" w:rsidP="00BB366A" w:rsidRDefault="002F78F4" w14:paraId="35C327DF" w14:textId="77777777">
            <w:pPr>
              <w:pStyle w:val="ListParagraph"/>
              <w:rPr>
                <w:rFonts w:ascii="Palatino Linotype" w:hAnsi="Palatino Linotype"/>
                <w:bCs/>
                <w:sz w:val="20"/>
                <w:szCs w:val="20"/>
              </w:rPr>
            </w:pPr>
            <w:r w:rsidRPr="008D7E99">
              <w:rPr>
                <w:rFonts w:ascii="Palatino Linotype" w:hAnsi="Palatino Linotype"/>
                <w:sz w:val="20"/>
                <w:szCs w:val="20"/>
              </w:rPr>
              <w:t>Gas System Safety</w:t>
            </w:r>
            <w:r w:rsidRPr="008D7E99">
              <w:rPr>
                <w:rFonts w:ascii="Palatino Linotype" w:hAnsi="Palatino Linotype"/>
                <w:bCs/>
                <w:sz w:val="20"/>
                <w:szCs w:val="20"/>
              </w:rPr>
              <w:t xml:space="preserve">: </w:t>
            </w:r>
          </w:p>
          <w:p w:rsidRPr="008D7E99" w:rsidR="002F78F4" w:rsidP="00BB366A" w:rsidRDefault="002F78F4" w14:paraId="1ADD6F7B" w14:textId="77777777">
            <w:pPr>
              <w:pStyle w:val="ListParagraph"/>
              <w:ind w:left="1440"/>
              <w:rPr>
                <w:rFonts w:ascii="Palatino Linotype" w:hAnsi="Palatino Linotype"/>
                <w:bCs/>
                <w:sz w:val="20"/>
                <w:szCs w:val="20"/>
              </w:rPr>
            </w:pPr>
            <w:r w:rsidRPr="008D7E99">
              <w:rPr>
                <w:rFonts w:ascii="Palatino Linotype" w:hAnsi="Palatino Linotype"/>
                <w:b/>
                <w:sz w:val="20"/>
                <w:szCs w:val="20"/>
              </w:rPr>
              <w:t>1</w:t>
            </w:r>
            <w:r>
              <w:rPr>
                <w:rFonts w:ascii="Palatino Linotype" w:hAnsi="Palatino Linotype"/>
                <w:bCs/>
                <w:sz w:val="20"/>
                <w:szCs w:val="20"/>
              </w:rPr>
              <w:t xml:space="preserve">. </w:t>
            </w:r>
            <w:r w:rsidRPr="008D7E99">
              <w:rPr>
                <w:rFonts w:ascii="Palatino Linotype" w:hAnsi="Palatino Linotype"/>
                <w:bCs/>
                <w:sz w:val="20"/>
                <w:szCs w:val="20"/>
              </w:rPr>
              <w:t>Innovations for Cost-Effective Operation and Maintenance of Critical Infrastructure During the Gas Transition.</w:t>
            </w:r>
            <w:r w:rsidRPr="008D7E99">
              <w:rPr>
                <w:rStyle w:val="FootnoteReference"/>
                <w:rFonts w:ascii="Palatino Linotype" w:hAnsi="Palatino Linotype"/>
                <w:bCs/>
                <w:sz w:val="20"/>
                <w:szCs w:val="20"/>
              </w:rPr>
              <w:footnoteReference w:id="150"/>
            </w:r>
          </w:p>
          <w:p w:rsidR="002F78F4" w:rsidP="00BB366A" w:rsidRDefault="002F78F4" w14:paraId="3C0A7084" w14:textId="77777777">
            <w:pPr>
              <w:pStyle w:val="ListParagraph"/>
              <w:rPr>
                <w:rFonts w:ascii="Palatino Linotype" w:hAnsi="Palatino Linotype"/>
                <w:bCs/>
                <w:sz w:val="20"/>
                <w:szCs w:val="20"/>
              </w:rPr>
            </w:pPr>
            <w:r w:rsidRPr="008D7E99">
              <w:rPr>
                <w:rFonts w:ascii="Palatino Linotype" w:hAnsi="Palatino Linotype"/>
                <w:sz w:val="20"/>
                <w:szCs w:val="20"/>
              </w:rPr>
              <w:t>Gas Decommissioning</w:t>
            </w:r>
            <w:r w:rsidRPr="008D7E99">
              <w:rPr>
                <w:rFonts w:ascii="Palatino Linotype" w:hAnsi="Palatino Linotype"/>
                <w:bCs/>
                <w:sz w:val="20"/>
                <w:szCs w:val="20"/>
              </w:rPr>
              <w:t xml:space="preserve">: </w:t>
            </w:r>
          </w:p>
          <w:p w:rsidRPr="008D7E99" w:rsidR="002F78F4" w:rsidP="00BB366A" w:rsidRDefault="002F78F4" w14:paraId="778B3F95" w14:textId="77777777">
            <w:pPr>
              <w:pStyle w:val="ListParagraph"/>
              <w:ind w:left="1440"/>
              <w:rPr>
                <w:rFonts w:ascii="Palatino Linotype" w:hAnsi="Palatino Linotype"/>
                <w:bCs/>
                <w:sz w:val="20"/>
                <w:szCs w:val="20"/>
              </w:rPr>
            </w:pPr>
            <w:r w:rsidRPr="008D7E99">
              <w:rPr>
                <w:rFonts w:ascii="Palatino Linotype" w:hAnsi="Palatino Linotype"/>
                <w:b/>
                <w:sz w:val="20"/>
                <w:szCs w:val="20"/>
              </w:rPr>
              <w:t>2</w:t>
            </w:r>
            <w:r>
              <w:rPr>
                <w:rFonts w:ascii="Palatino Linotype" w:hAnsi="Palatino Linotype"/>
                <w:bCs/>
                <w:sz w:val="20"/>
                <w:szCs w:val="20"/>
              </w:rPr>
              <w:t xml:space="preserve">. </w:t>
            </w:r>
            <w:r w:rsidRPr="008D7E99">
              <w:rPr>
                <w:rFonts w:ascii="Palatino Linotype" w:hAnsi="Palatino Linotype"/>
                <w:bCs/>
                <w:sz w:val="20"/>
                <w:szCs w:val="20"/>
              </w:rPr>
              <w:t>Support Equitable, Safe, and Cost-Effective Decarbonization of California’s Gas System.</w:t>
            </w:r>
            <w:r w:rsidRPr="008D7E99">
              <w:rPr>
                <w:rStyle w:val="FootnoteReference"/>
                <w:rFonts w:ascii="Palatino Linotype" w:hAnsi="Palatino Linotype"/>
                <w:bCs/>
                <w:sz w:val="20"/>
                <w:szCs w:val="20"/>
              </w:rPr>
              <w:footnoteReference w:id="151"/>
            </w:r>
          </w:p>
          <w:p w:rsidR="002F78F4" w:rsidP="00BB366A" w:rsidRDefault="002F78F4" w14:paraId="341329D8" w14:textId="77777777">
            <w:pPr>
              <w:pStyle w:val="ListParagraph"/>
              <w:rPr>
                <w:rFonts w:ascii="Palatino Linotype" w:hAnsi="Palatino Linotype"/>
                <w:bCs/>
                <w:sz w:val="20"/>
                <w:szCs w:val="20"/>
              </w:rPr>
            </w:pPr>
            <w:r w:rsidRPr="008D7E99">
              <w:rPr>
                <w:rFonts w:ascii="Palatino Linotype" w:hAnsi="Palatino Linotype"/>
                <w:sz w:val="20"/>
                <w:szCs w:val="20"/>
              </w:rPr>
              <w:t>Renewable Generation</w:t>
            </w:r>
            <w:r w:rsidRPr="008D7E99">
              <w:rPr>
                <w:rFonts w:ascii="Palatino Linotype" w:hAnsi="Palatino Linotype"/>
                <w:bCs/>
                <w:sz w:val="20"/>
                <w:szCs w:val="20"/>
              </w:rPr>
              <w:t xml:space="preserve">: </w:t>
            </w:r>
          </w:p>
          <w:p w:rsidRPr="004E2A0D" w:rsidR="002F78F4" w:rsidP="00BB366A" w:rsidRDefault="002F78F4" w14:paraId="5E3920E7" w14:textId="77777777">
            <w:pPr>
              <w:pStyle w:val="ListParagraph"/>
              <w:ind w:left="1440"/>
              <w:rPr>
                <w:rFonts w:ascii="Palatino Linotype" w:hAnsi="Palatino Linotype"/>
                <w:bCs/>
                <w:sz w:val="20"/>
                <w:szCs w:val="20"/>
              </w:rPr>
            </w:pPr>
            <w:r w:rsidRPr="008D7E99">
              <w:rPr>
                <w:rFonts w:ascii="Palatino Linotype" w:hAnsi="Palatino Linotype"/>
                <w:b/>
                <w:sz w:val="20"/>
                <w:szCs w:val="20"/>
              </w:rPr>
              <w:t>3.</w:t>
            </w:r>
            <w:r>
              <w:rPr>
                <w:rFonts w:ascii="Palatino Linotype" w:hAnsi="Palatino Linotype"/>
                <w:bCs/>
                <w:sz w:val="20"/>
                <w:szCs w:val="20"/>
              </w:rPr>
              <w:t xml:space="preserve"> </w:t>
            </w:r>
            <w:r w:rsidRPr="008D7E99">
              <w:rPr>
                <w:rFonts w:ascii="Palatino Linotype" w:hAnsi="Palatino Linotype"/>
                <w:bCs/>
                <w:sz w:val="20"/>
                <w:szCs w:val="20"/>
              </w:rPr>
              <w:t>Fuel-Flexible Distributed Power Generation.</w:t>
            </w:r>
            <w:r w:rsidRPr="008D7E99">
              <w:rPr>
                <w:rStyle w:val="FootnoteReference"/>
                <w:rFonts w:ascii="Palatino Linotype" w:hAnsi="Palatino Linotype"/>
                <w:bCs/>
                <w:sz w:val="20"/>
                <w:szCs w:val="20"/>
              </w:rPr>
              <w:footnoteReference w:id="152"/>
            </w:r>
          </w:p>
        </w:tc>
        <w:tc>
          <w:tcPr>
            <w:tcW w:w="3240" w:type="dxa"/>
          </w:tcPr>
          <w:p w:rsidRPr="00535496" w:rsidR="002F78F4" w:rsidP="00BB366A" w:rsidRDefault="002F78F4" w14:paraId="50B02B2A" w14:textId="125BA8B8">
            <w:pPr>
              <w:rPr>
                <w:rFonts w:ascii="Palatino Linotype" w:hAnsi="Palatino Linotype"/>
                <w:bCs/>
                <w:sz w:val="20"/>
                <w:szCs w:val="20"/>
              </w:rPr>
            </w:pPr>
            <w:r w:rsidRPr="00535496">
              <w:rPr>
                <w:rFonts w:ascii="Palatino Linotype" w:hAnsi="Palatino Linotype"/>
                <w:bCs/>
                <w:sz w:val="20"/>
                <w:szCs w:val="20"/>
              </w:rPr>
              <w:t xml:space="preserve">Each of </w:t>
            </w:r>
            <w:r w:rsidR="00E85EF5">
              <w:rPr>
                <w:rFonts w:ascii="Palatino Linotype" w:hAnsi="Palatino Linotype"/>
                <w:bCs/>
                <w:sz w:val="20"/>
                <w:szCs w:val="20"/>
              </w:rPr>
              <w:t xml:space="preserve">the </w:t>
            </w:r>
            <w:r w:rsidRPr="00535496">
              <w:rPr>
                <w:rFonts w:ascii="Palatino Linotype" w:hAnsi="Palatino Linotype"/>
                <w:bCs/>
                <w:sz w:val="20"/>
                <w:szCs w:val="20"/>
              </w:rPr>
              <w:t>CEC’s proposed</w:t>
            </w:r>
            <w:r>
              <w:rPr>
                <w:rFonts w:ascii="Palatino Linotype" w:hAnsi="Palatino Linotype"/>
                <w:bCs/>
                <w:sz w:val="20"/>
                <w:szCs w:val="20"/>
              </w:rPr>
              <w:t xml:space="preserve"> </w:t>
            </w:r>
            <w:r w:rsidRPr="00535496">
              <w:rPr>
                <w:rFonts w:ascii="Palatino Linotype" w:hAnsi="Palatino Linotype"/>
                <w:bCs/>
                <w:sz w:val="20"/>
                <w:szCs w:val="20"/>
              </w:rPr>
              <w:t>Initiatives</w:t>
            </w:r>
            <w:r>
              <w:rPr>
                <w:rFonts w:ascii="Palatino Linotype" w:hAnsi="Palatino Linotype"/>
                <w:bCs/>
                <w:sz w:val="20"/>
                <w:szCs w:val="20"/>
              </w:rPr>
              <w:t xml:space="preserve"> </w:t>
            </w:r>
            <w:r w:rsidRPr="00535496">
              <w:rPr>
                <w:rFonts w:ascii="Palatino Linotype" w:hAnsi="Palatino Linotype"/>
                <w:bCs/>
                <w:sz w:val="20"/>
                <w:szCs w:val="20"/>
              </w:rPr>
              <w:t>supports one or more of the required</w:t>
            </w:r>
            <w:r>
              <w:rPr>
                <w:rFonts w:ascii="Palatino Linotype" w:hAnsi="Palatino Linotype"/>
                <w:bCs/>
                <w:sz w:val="20"/>
                <w:szCs w:val="20"/>
              </w:rPr>
              <w:t xml:space="preserve"> </w:t>
            </w:r>
            <w:r w:rsidRPr="00535496">
              <w:rPr>
                <w:rFonts w:ascii="Palatino Linotype" w:hAnsi="Palatino Linotype"/>
                <w:bCs/>
                <w:sz w:val="20"/>
                <w:szCs w:val="20"/>
              </w:rPr>
              <w:t xml:space="preserve">objectives. </w:t>
            </w:r>
            <w:r w:rsidRPr="00D159FC" w:rsidR="00D159FC">
              <w:rPr>
                <w:rFonts w:ascii="Palatino Linotype" w:hAnsi="Palatino Linotype"/>
                <w:b/>
                <w:sz w:val="20"/>
                <w:szCs w:val="20"/>
              </w:rPr>
              <w:t>The</w:t>
            </w:r>
            <w:r w:rsidR="00D159FC">
              <w:rPr>
                <w:rFonts w:ascii="Palatino Linotype" w:hAnsi="Palatino Linotype"/>
                <w:bCs/>
                <w:sz w:val="20"/>
                <w:szCs w:val="20"/>
              </w:rPr>
              <w:t xml:space="preserve"> </w:t>
            </w:r>
            <w:r w:rsidRPr="0059169E">
              <w:rPr>
                <w:rFonts w:ascii="Palatino Linotype" w:hAnsi="Palatino Linotype"/>
                <w:b/>
                <w:sz w:val="20"/>
                <w:szCs w:val="20"/>
              </w:rPr>
              <w:t>CEC is compliant with this requirement.</w:t>
            </w:r>
          </w:p>
        </w:tc>
      </w:tr>
      <w:tr w:rsidR="002F78F4" w:rsidTr="00C254F7" w14:paraId="09261C87" w14:textId="77777777">
        <w:trPr>
          <w:trHeight w:val="638"/>
        </w:trPr>
        <w:tc>
          <w:tcPr>
            <w:tcW w:w="3145" w:type="dxa"/>
          </w:tcPr>
          <w:p w:rsidRPr="00BE5A24" w:rsidR="002F78F4" w:rsidP="00BB366A" w:rsidRDefault="002F78F4" w14:paraId="469C8FE0" w14:textId="77777777">
            <w:pPr>
              <w:rPr>
                <w:rFonts w:ascii="Palatino Linotype" w:hAnsi="Palatino Linotype"/>
                <w:bCs/>
                <w:sz w:val="20"/>
                <w:szCs w:val="20"/>
              </w:rPr>
            </w:pPr>
            <w:hyperlink w:history="1" r:id="rId73">
              <w:r w:rsidRPr="009459B9">
                <w:rPr>
                  <w:rStyle w:val="Hyperlink"/>
                  <w:rFonts w:ascii="Palatino Linotype" w:hAnsi="Palatino Linotype"/>
                  <w:b/>
                  <w:sz w:val="20"/>
                  <w:szCs w:val="20"/>
                </w:rPr>
                <w:t>D.04-08-010</w:t>
              </w:r>
            </w:hyperlink>
            <w:r w:rsidRPr="009459B9">
              <w:rPr>
                <w:rFonts w:ascii="Palatino Linotype" w:hAnsi="Palatino Linotype"/>
                <w:bCs/>
                <w:sz w:val="20"/>
                <w:szCs w:val="20"/>
              </w:rPr>
              <w:t xml:space="preserve"> at p. 28.</w:t>
            </w:r>
            <w:r w:rsidRPr="00E7529D">
              <w:rPr>
                <w:rFonts w:ascii="Palatino Linotype" w:hAnsi="Palatino Linotype"/>
                <w:bCs/>
                <w:sz w:val="20"/>
                <w:szCs w:val="20"/>
              </w:rPr>
              <w:t xml:space="preserve"> </w:t>
            </w:r>
            <w:r w:rsidRPr="00BE5A24">
              <w:rPr>
                <w:rFonts w:ascii="Palatino Linotype" w:hAnsi="Palatino Linotype"/>
                <w:bCs/>
                <w:i/>
                <w:iCs/>
                <w:sz w:val="20"/>
                <w:szCs w:val="20"/>
              </w:rPr>
              <w:t>Support State Energy policy.</w:t>
            </w:r>
          </w:p>
        </w:tc>
        <w:tc>
          <w:tcPr>
            <w:tcW w:w="7920" w:type="dxa"/>
          </w:tcPr>
          <w:p w:rsidRPr="008477B4" w:rsidR="002F78F4" w:rsidP="00BB366A" w:rsidRDefault="00D159FC" w14:paraId="7F4866E7" w14:textId="553373C4">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002F78F4">
              <w:rPr>
                <w:rFonts w:ascii="Palatino Linotype" w:hAnsi="Palatino Linotype"/>
                <w:bCs/>
                <w:color w:val="000000" w:themeColor="text1"/>
                <w:sz w:val="20"/>
                <w:szCs w:val="20"/>
              </w:rPr>
              <w:t>CEC states that “</w:t>
            </w:r>
            <w:r w:rsidRPr="006237E2" w:rsidR="002F78F4">
              <w:rPr>
                <w:rFonts w:ascii="Palatino Linotype" w:hAnsi="Palatino Linotype"/>
                <w:bCs/>
                <w:color w:val="000000" w:themeColor="text1"/>
                <w:sz w:val="20"/>
                <w:szCs w:val="20"/>
              </w:rPr>
              <w:t>the Gas R&amp;D Program supports state energy policies and goals, such as achieving economywide carbon neutrality by 2045 (Executive Order B-55-18 and AB 1279, Muratsuchi, Chapter 337, Statutes of 2022) and doubling energy efficiency by 2030 (SB 350, De León, Chapter 547, Statutes of 2015)</w:t>
            </w:r>
            <w:r w:rsidR="002F78F4">
              <w:rPr>
                <w:rFonts w:ascii="Palatino Linotype" w:hAnsi="Palatino Linotype"/>
                <w:bCs/>
                <w:color w:val="000000" w:themeColor="text1"/>
                <w:sz w:val="20"/>
                <w:szCs w:val="20"/>
              </w:rPr>
              <w:t>” among “several other ley energy and climate policies and goals.”</w:t>
            </w:r>
            <w:r w:rsidR="002F78F4">
              <w:rPr>
                <w:rStyle w:val="FootnoteReference"/>
                <w:rFonts w:ascii="Palatino Linotype" w:hAnsi="Palatino Linotype"/>
                <w:bCs/>
                <w:color w:val="000000" w:themeColor="text1"/>
                <w:sz w:val="20"/>
                <w:szCs w:val="20"/>
              </w:rPr>
              <w:footnoteReference w:id="153"/>
            </w:r>
            <w:r w:rsidR="002F78F4">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The </w:t>
            </w:r>
            <w:r w:rsidR="002F78F4">
              <w:rPr>
                <w:rFonts w:ascii="Palatino Linotype" w:hAnsi="Palatino Linotype"/>
                <w:bCs/>
                <w:color w:val="000000" w:themeColor="text1"/>
                <w:sz w:val="20"/>
                <w:szCs w:val="20"/>
              </w:rPr>
              <w:t xml:space="preserve">CEC provides additional information on policies relevant to each Initiative in Appendix A. </w:t>
            </w:r>
          </w:p>
        </w:tc>
        <w:tc>
          <w:tcPr>
            <w:tcW w:w="3240" w:type="dxa"/>
          </w:tcPr>
          <w:p w:rsidRPr="004B2C74" w:rsidR="002F78F4" w:rsidP="00BB366A" w:rsidRDefault="00D159FC" w14:paraId="17A0A6A7" w14:textId="70933ABB">
            <w:pPr>
              <w:rPr>
                <w:rFonts w:ascii="Palatino Linotype" w:hAnsi="Palatino Linotype"/>
                <w:bCs/>
                <w:sz w:val="20"/>
                <w:szCs w:val="20"/>
              </w:rPr>
            </w:pPr>
            <w:r>
              <w:rPr>
                <w:rFonts w:ascii="Palatino Linotype" w:hAnsi="Palatino Linotype"/>
                <w:bCs/>
                <w:sz w:val="20"/>
                <w:szCs w:val="20"/>
              </w:rPr>
              <w:t xml:space="preserve">The </w:t>
            </w:r>
            <w:r w:rsidRPr="004B2C74" w:rsidR="002F78F4">
              <w:rPr>
                <w:rFonts w:ascii="Palatino Linotype" w:hAnsi="Palatino Linotype"/>
                <w:bCs/>
                <w:sz w:val="20"/>
                <w:szCs w:val="20"/>
              </w:rPr>
              <w:t>CEC discusses several</w:t>
            </w:r>
            <w:r w:rsidR="002F78F4">
              <w:rPr>
                <w:rFonts w:ascii="Palatino Linotype" w:hAnsi="Palatino Linotype"/>
                <w:bCs/>
                <w:sz w:val="20"/>
                <w:szCs w:val="20"/>
              </w:rPr>
              <w:t xml:space="preserve"> State Energy policies which its program supports. </w:t>
            </w:r>
            <w:r w:rsidRPr="00D159FC">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p>
        </w:tc>
      </w:tr>
      <w:tr w:rsidR="002F78F4" w:rsidTr="00C254F7" w14:paraId="746D0E05" w14:textId="77777777">
        <w:trPr>
          <w:trHeight w:val="638"/>
        </w:trPr>
        <w:tc>
          <w:tcPr>
            <w:tcW w:w="3145" w:type="dxa"/>
          </w:tcPr>
          <w:p w:rsidR="002F78F4" w:rsidP="00BB366A" w:rsidRDefault="002F78F4" w14:paraId="162121F1" w14:textId="77777777">
            <w:pPr>
              <w:rPr>
                <w:rFonts w:ascii="Palatino Linotype" w:hAnsi="Palatino Linotype"/>
                <w:bCs/>
                <w:sz w:val="20"/>
                <w:szCs w:val="20"/>
              </w:rPr>
            </w:pPr>
            <w:hyperlink w:history="1" r:id="rId74">
              <w:r w:rsidRPr="009459B9">
                <w:rPr>
                  <w:rStyle w:val="Hyperlink"/>
                  <w:rFonts w:ascii="Palatino Linotype" w:hAnsi="Palatino Linotype"/>
                  <w:b/>
                  <w:sz w:val="20"/>
                  <w:szCs w:val="20"/>
                </w:rPr>
                <w:t>D.04-08-010</w:t>
              </w:r>
            </w:hyperlink>
            <w:r>
              <w:rPr>
                <w:rFonts w:ascii="Palatino Linotype" w:hAnsi="Palatino Linotype"/>
                <w:bCs/>
                <w:sz w:val="20"/>
                <w:szCs w:val="20"/>
              </w:rPr>
              <w:t>:</w:t>
            </w:r>
          </w:p>
          <w:p w:rsidR="002F78F4" w:rsidP="00BB366A" w:rsidRDefault="002F78F4" w14:paraId="101FC530" w14:textId="77777777">
            <w:pPr>
              <w:rPr>
                <w:rFonts w:ascii="Palatino Linotype" w:hAnsi="Palatino Linotype"/>
                <w:i/>
                <w:iCs/>
                <w:sz w:val="20"/>
                <w:szCs w:val="20"/>
              </w:rPr>
            </w:pPr>
            <w:r>
              <w:rPr>
                <w:rFonts w:ascii="Palatino Linotype" w:hAnsi="Palatino Linotype"/>
                <w:bCs/>
                <w:sz w:val="20"/>
                <w:szCs w:val="20"/>
              </w:rPr>
              <w:t xml:space="preserve"> </w:t>
            </w:r>
            <w:r w:rsidRPr="00BD0614">
              <w:rPr>
                <w:rFonts w:ascii="Palatino Linotype" w:hAnsi="Palatino Linotype"/>
                <w:i/>
                <w:iCs/>
                <w:sz w:val="20"/>
                <w:szCs w:val="20"/>
              </w:rPr>
              <w:t>[The Gas RD&amp;D program shall have] a maximum cap of $24 million after four years; these amounts shall include all necessary R&amp;D administrative costs</w:t>
            </w:r>
            <w:r>
              <w:rPr>
                <w:rFonts w:ascii="Palatino Linotype" w:hAnsi="Palatino Linotype"/>
                <w:i/>
                <w:iCs/>
                <w:sz w:val="20"/>
                <w:szCs w:val="20"/>
              </w:rPr>
              <w:t xml:space="preserve"> </w:t>
            </w:r>
            <w:r w:rsidRPr="0072033B">
              <w:rPr>
                <w:rFonts w:ascii="Palatino Linotype" w:hAnsi="Palatino Linotype"/>
                <w:sz w:val="20"/>
                <w:szCs w:val="20"/>
              </w:rPr>
              <w:t>(p. 38).</w:t>
            </w:r>
          </w:p>
          <w:p w:rsidRPr="00060D35" w:rsidR="002F78F4" w:rsidP="00BB366A" w:rsidRDefault="002F78F4" w14:paraId="2DDC837A" w14:textId="77777777">
            <w:pPr>
              <w:spacing w:before="240"/>
              <w:rPr>
                <w:rFonts w:ascii="Palatino Linotype" w:hAnsi="Palatino Linotype"/>
                <w:color w:val="0070C0"/>
                <w:sz w:val="20"/>
                <w:szCs w:val="20"/>
              </w:rPr>
            </w:pPr>
            <w:r w:rsidRPr="00072867">
              <w:rPr>
                <w:rFonts w:ascii="Palatino Linotype" w:hAnsi="Palatino Linotype"/>
                <w:i/>
                <w:iCs/>
                <w:color w:val="000000" w:themeColor="text1"/>
                <w:sz w:val="20"/>
                <w:szCs w:val="20"/>
              </w:rPr>
              <w:t>Disbursements from the Fund to the R&amp;D administrator shall not exceed the adopted zero-based R&amp;D budget (p.</w:t>
            </w:r>
            <w:r w:rsidRPr="00072867">
              <w:rPr>
                <w:rFonts w:ascii="Palatino Linotype" w:hAnsi="Palatino Linotype"/>
                <w:color w:val="000000" w:themeColor="text1"/>
                <w:sz w:val="20"/>
                <w:szCs w:val="20"/>
              </w:rPr>
              <w:t xml:space="preserve"> 41-42).</w:t>
            </w:r>
          </w:p>
        </w:tc>
        <w:tc>
          <w:tcPr>
            <w:tcW w:w="7920" w:type="dxa"/>
          </w:tcPr>
          <w:p w:rsidRPr="00E7529D" w:rsidR="002F78F4" w:rsidP="00BB366A" w:rsidRDefault="00D159FC" w14:paraId="7FACAC45" w14:textId="6AC0AE76">
            <w:pPr>
              <w:rPr>
                <w:rFonts w:ascii="Palatino Linotype" w:hAnsi="Palatino Linotype"/>
                <w:bCs/>
                <w:color w:val="A6A6A6" w:themeColor="background1" w:themeShade="A6"/>
                <w:sz w:val="20"/>
                <w:szCs w:val="20"/>
              </w:rPr>
            </w:pPr>
            <w:r>
              <w:rPr>
                <w:rFonts w:ascii="Palatino Linotype" w:hAnsi="Palatino Linotype"/>
                <w:bCs/>
                <w:sz w:val="20"/>
                <w:szCs w:val="20"/>
              </w:rPr>
              <w:t>The</w:t>
            </w:r>
            <w:r w:rsidRPr="007E2219">
              <w:rPr>
                <w:rFonts w:ascii="Palatino Linotype" w:hAnsi="Palatino Linotype"/>
                <w:bCs/>
                <w:color w:val="000000" w:themeColor="text1"/>
                <w:sz w:val="20"/>
                <w:szCs w:val="20"/>
              </w:rPr>
              <w:t xml:space="preserve"> </w:t>
            </w:r>
            <w:r w:rsidRPr="007E2219" w:rsidR="002F78F4">
              <w:rPr>
                <w:rFonts w:ascii="Palatino Linotype" w:hAnsi="Palatino Linotype"/>
                <w:bCs/>
                <w:color w:val="000000" w:themeColor="text1"/>
                <w:sz w:val="20"/>
                <w:szCs w:val="20"/>
              </w:rPr>
              <w:t>CEC proposes a total FY2024-2025 Plan budget of $24 million, including Program Administration costs.</w:t>
            </w:r>
            <w:r w:rsidR="002F78F4">
              <w:rPr>
                <w:rStyle w:val="FootnoteReference"/>
                <w:rFonts w:ascii="Palatino Linotype" w:hAnsi="Palatino Linotype"/>
                <w:bCs/>
                <w:color w:val="000000" w:themeColor="text1"/>
                <w:sz w:val="20"/>
                <w:szCs w:val="20"/>
              </w:rPr>
              <w:footnoteReference w:id="154"/>
            </w:r>
          </w:p>
        </w:tc>
        <w:tc>
          <w:tcPr>
            <w:tcW w:w="3240" w:type="dxa"/>
          </w:tcPr>
          <w:p w:rsidRPr="00A33888" w:rsidR="002F78F4" w:rsidP="00BB366A" w:rsidRDefault="00D159FC" w14:paraId="1E59C1D0" w14:textId="6789D8AA">
            <w:pPr>
              <w:rPr>
                <w:rFonts w:ascii="Palatino Linotype" w:hAnsi="Palatino Linotype"/>
                <w:color w:val="000000" w:themeColor="text1"/>
                <w:sz w:val="20"/>
                <w:szCs w:val="20"/>
              </w:rPr>
            </w:pPr>
            <w:r>
              <w:rPr>
                <w:rFonts w:ascii="Palatino Linotype" w:hAnsi="Palatino Linotype"/>
                <w:bCs/>
                <w:sz w:val="20"/>
                <w:szCs w:val="20"/>
              </w:rPr>
              <w:t>The</w:t>
            </w:r>
            <w:r w:rsidRPr="00157B1E">
              <w:rPr>
                <w:rFonts w:ascii="Palatino Linotype" w:hAnsi="Palatino Linotype"/>
                <w:bCs/>
                <w:sz w:val="20"/>
                <w:szCs w:val="20"/>
              </w:rPr>
              <w:t xml:space="preserve"> </w:t>
            </w:r>
            <w:r w:rsidRPr="00157B1E" w:rsidR="002F78F4">
              <w:rPr>
                <w:rFonts w:ascii="Palatino Linotype" w:hAnsi="Palatino Linotype"/>
                <w:bCs/>
                <w:sz w:val="20"/>
                <w:szCs w:val="20"/>
              </w:rPr>
              <w:t>CEC’s proposed budget, including all necessary RD&amp;D administrative costs, complies with the $24M annual cap.</w:t>
            </w:r>
            <w:r w:rsidRPr="00D159FC" w:rsidR="002F78F4">
              <w:rPr>
                <w:rFonts w:ascii="Palatino Linotype" w:hAnsi="Palatino Linotype"/>
                <w:b/>
                <w:sz w:val="20"/>
                <w:szCs w:val="20"/>
              </w:rPr>
              <w:t xml:space="preserve"> </w:t>
            </w:r>
            <w:r w:rsidRPr="00D159FC">
              <w:rPr>
                <w:rFonts w:ascii="Palatino Linotype" w:hAnsi="Palatino Linotype"/>
                <w:b/>
                <w:sz w:val="20"/>
                <w:szCs w:val="20"/>
              </w:rPr>
              <w:t>The</w:t>
            </w:r>
            <w:r w:rsidRPr="0059169E">
              <w:rPr>
                <w:rFonts w:ascii="Palatino Linotype" w:hAnsi="Palatino Linotype"/>
                <w:b/>
                <w:sz w:val="20"/>
                <w:szCs w:val="20"/>
              </w:rPr>
              <w:t xml:space="preserve"> </w:t>
            </w:r>
            <w:r w:rsidRPr="0059169E" w:rsidR="002F78F4">
              <w:rPr>
                <w:rFonts w:ascii="Palatino Linotype" w:hAnsi="Palatino Linotype"/>
                <w:b/>
                <w:sz w:val="20"/>
                <w:szCs w:val="20"/>
              </w:rPr>
              <w:t>CEC is compliant with this requirement</w:t>
            </w:r>
            <w:r w:rsidRPr="00072867" w:rsidR="002F78F4">
              <w:rPr>
                <w:rFonts w:ascii="Palatino Linotype" w:hAnsi="Palatino Linotype"/>
                <w:b/>
                <w:color w:val="000000" w:themeColor="text1"/>
                <w:sz w:val="20"/>
                <w:szCs w:val="20"/>
              </w:rPr>
              <w:t xml:space="preserve">. </w:t>
            </w:r>
            <w:r w:rsidRPr="00072867" w:rsidR="002F78F4">
              <w:rPr>
                <w:rFonts w:ascii="Palatino Linotype" w:hAnsi="Palatino Linotype"/>
                <w:bCs/>
                <w:color w:val="000000" w:themeColor="text1"/>
                <w:sz w:val="20"/>
                <w:szCs w:val="20"/>
              </w:rPr>
              <w:t xml:space="preserve">However, </w:t>
            </w:r>
            <w:r>
              <w:rPr>
                <w:rFonts w:ascii="Palatino Linotype" w:hAnsi="Palatino Linotype"/>
                <w:bCs/>
                <w:color w:val="000000" w:themeColor="text1"/>
                <w:sz w:val="20"/>
                <w:szCs w:val="20"/>
              </w:rPr>
              <w:t>t</w:t>
            </w:r>
            <w:r>
              <w:rPr>
                <w:rFonts w:ascii="Palatino Linotype" w:hAnsi="Palatino Linotype"/>
                <w:bCs/>
                <w:sz w:val="20"/>
                <w:szCs w:val="20"/>
              </w:rPr>
              <w:t>he</w:t>
            </w:r>
            <w:r w:rsidRPr="004627A0">
              <w:rPr>
                <w:rFonts w:ascii="Palatino Linotype" w:hAnsi="Palatino Linotype"/>
                <w:color w:val="000000" w:themeColor="text1"/>
                <w:sz w:val="20"/>
                <w:szCs w:val="20"/>
              </w:rPr>
              <w:t xml:space="preserve"> </w:t>
            </w:r>
            <w:r w:rsidRPr="004627A0" w:rsidR="002F78F4">
              <w:rPr>
                <w:rFonts w:ascii="Palatino Linotype" w:hAnsi="Palatino Linotype"/>
                <w:color w:val="000000" w:themeColor="text1"/>
                <w:sz w:val="20"/>
                <w:szCs w:val="20"/>
              </w:rPr>
              <w:t xml:space="preserve">CEC </w:t>
            </w:r>
            <w:r w:rsidR="00391AF7">
              <w:rPr>
                <w:rFonts w:ascii="Palatino Linotype" w:hAnsi="Palatino Linotype"/>
                <w:color w:val="000000" w:themeColor="text1"/>
                <w:sz w:val="20"/>
                <w:szCs w:val="20"/>
              </w:rPr>
              <w:t>shall first utilize unspent funds prior to any new ratepayer funds for its 2024 Plan as described in this Resolution.</w:t>
            </w:r>
          </w:p>
        </w:tc>
      </w:tr>
      <w:tr w:rsidR="002F78F4" w:rsidTr="00C254F7" w14:paraId="104CD535" w14:textId="77777777">
        <w:trPr>
          <w:trHeight w:val="638"/>
        </w:trPr>
        <w:tc>
          <w:tcPr>
            <w:tcW w:w="3145" w:type="dxa"/>
          </w:tcPr>
          <w:p w:rsidR="002F78F4" w:rsidP="00BB366A" w:rsidRDefault="002F78F4" w14:paraId="16BFBE45" w14:textId="77777777">
            <w:hyperlink w:history="1" r:id="rId75">
              <w:r w:rsidRPr="009459B9">
                <w:rPr>
                  <w:rStyle w:val="Hyperlink"/>
                  <w:rFonts w:ascii="Palatino Linotype" w:hAnsi="Palatino Linotype"/>
                  <w:b/>
                  <w:sz w:val="20"/>
                  <w:szCs w:val="20"/>
                </w:rPr>
                <w:t>D.04-08-010</w:t>
              </w:r>
            </w:hyperlink>
            <w:r w:rsidRPr="009459B9">
              <w:rPr>
                <w:rFonts w:ascii="Palatino Linotype" w:hAnsi="Palatino Linotype"/>
                <w:bCs/>
                <w:sz w:val="20"/>
                <w:szCs w:val="20"/>
              </w:rPr>
              <w:t xml:space="preserve"> at p. 42.</w:t>
            </w:r>
            <w:r>
              <w:rPr>
                <w:rFonts w:ascii="Palatino Linotype" w:hAnsi="Palatino Linotype"/>
                <w:bCs/>
                <w:sz w:val="20"/>
                <w:szCs w:val="20"/>
              </w:rPr>
              <w:t xml:space="preserve"> </w:t>
            </w:r>
            <w:r w:rsidRPr="002611EB">
              <w:rPr>
                <w:rFonts w:ascii="Palatino Linotype" w:hAnsi="Palatino Linotype"/>
                <w:bCs/>
                <w:i/>
                <w:iCs/>
                <w:sz w:val="20"/>
                <w:szCs w:val="20"/>
              </w:rPr>
              <w:t xml:space="preserve">[W]e expect the administrator to inform the Energy Division if and when any </w:t>
            </w:r>
            <w:r w:rsidRPr="002611EB">
              <w:rPr>
                <w:rFonts w:ascii="Palatino Linotype" w:hAnsi="Palatino Linotype"/>
                <w:bCs/>
                <w:i/>
                <w:iCs/>
                <w:sz w:val="20"/>
                <w:szCs w:val="20"/>
              </w:rPr>
              <w:lastRenderedPageBreak/>
              <w:t>commercial benefits result from the gas R&amp;D projects funded through the gas surcharge. Commercial benefits may be used to offset future R&amp;D costs, reduce the gas surcharge, or be returned to ratepayers, upon determination of the Commission.</w:t>
            </w:r>
          </w:p>
        </w:tc>
        <w:tc>
          <w:tcPr>
            <w:tcW w:w="7920" w:type="dxa"/>
          </w:tcPr>
          <w:p w:rsidRPr="00E7529D" w:rsidR="002F78F4" w:rsidP="00BB366A" w:rsidRDefault="00D159FC" w14:paraId="54F318A2" w14:textId="6BE3B86B">
            <w:pPr>
              <w:rPr>
                <w:rFonts w:ascii="Palatino Linotype" w:hAnsi="Palatino Linotype"/>
                <w:bCs/>
                <w:color w:val="A6A6A6" w:themeColor="background1" w:themeShade="A6"/>
                <w:sz w:val="20"/>
                <w:szCs w:val="20"/>
              </w:rPr>
            </w:pPr>
            <w:r>
              <w:rPr>
                <w:rFonts w:ascii="Palatino Linotype" w:hAnsi="Palatino Linotype"/>
                <w:bCs/>
                <w:sz w:val="20"/>
                <w:szCs w:val="20"/>
              </w:rPr>
              <w:lastRenderedPageBreak/>
              <w:t>The</w:t>
            </w:r>
            <w:r w:rsidRPr="004F0CC6">
              <w:rPr>
                <w:rFonts w:ascii="Palatino Linotype" w:hAnsi="Palatino Linotype"/>
                <w:bCs/>
                <w:color w:val="000000" w:themeColor="text1"/>
                <w:sz w:val="20"/>
                <w:szCs w:val="20"/>
              </w:rPr>
              <w:t xml:space="preserve"> </w:t>
            </w:r>
            <w:r w:rsidRPr="004F0CC6" w:rsidR="002F78F4">
              <w:rPr>
                <w:rFonts w:ascii="Palatino Linotype" w:hAnsi="Palatino Linotype"/>
                <w:bCs/>
                <w:color w:val="000000" w:themeColor="text1"/>
                <w:sz w:val="20"/>
                <w:szCs w:val="20"/>
              </w:rPr>
              <w:t xml:space="preserve">CEC does not discuss commercial benefits that may have resulted from Gas RD&amp;D investment. </w:t>
            </w:r>
          </w:p>
        </w:tc>
        <w:tc>
          <w:tcPr>
            <w:tcW w:w="3240" w:type="dxa"/>
          </w:tcPr>
          <w:p w:rsidRPr="005E4979" w:rsidR="002F78F4" w:rsidP="00BB366A" w:rsidRDefault="00D159FC" w14:paraId="0D04E834" w14:textId="78A928FC">
            <w:pPr>
              <w:rPr>
                <w:rFonts w:ascii="Palatino Linotype" w:hAnsi="Palatino Linotype"/>
                <w:bCs/>
                <w:color w:val="000000" w:themeColor="text1"/>
                <w:sz w:val="20"/>
                <w:szCs w:val="20"/>
              </w:rPr>
            </w:pPr>
            <w:r w:rsidRPr="00D159FC">
              <w:rPr>
                <w:rFonts w:ascii="Palatino Linotype" w:hAnsi="Palatino Linotype"/>
                <w:b/>
                <w:sz w:val="20"/>
                <w:szCs w:val="20"/>
              </w:rPr>
              <w:t>The</w:t>
            </w:r>
            <w:r w:rsidRPr="005E4979">
              <w:rPr>
                <w:rFonts w:ascii="Palatino Linotype" w:hAnsi="Palatino Linotype"/>
                <w:b/>
                <w:color w:val="000000" w:themeColor="text1"/>
                <w:sz w:val="20"/>
                <w:szCs w:val="20"/>
              </w:rPr>
              <w:t xml:space="preserve"> </w:t>
            </w:r>
            <w:r w:rsidRPr="005E4979" w:rsidR="002F78F4">
              <w:rPr>
                <w:rFonts w:ascii="Palatino Linotype" w:hAnsi="Palatino Linotype"/>
                <w:b/>
                <w:color w:val="000000" w:themeColor="text1"/>
                <w:sz w:val="20"/>
                <w:szCs w:val="20"/>
              </w:rPr>
              <w:t xml:space="preserve">CEC </w:t>
            </w:r>
            <w:r w:rsidR="00B83C9F">
              <w:rPr>
                <w:rFonts w:ascii="Palatino Linotype" w:hAnsi="Palatino Linotype"/>
                <w:b/>
                <w:color w:val="000000" w:themeColor="text1"/>
                <w:sz w:val="20"/>
                <w:szCs w:val="20"/>
              </w:rPr>
              <w:t xml:space="preserve">does </w:t>
            </w:r>
            <w:r w:rsidRPr="00F455FC" w:rsidR="00B83C9F">
              <w:rPr>
                <w:rFonts w:ascii="Palatino Linotype" w:hAnsi="Palatino Linotype"/>
                <w:b/>
                <w:i/>
                <w:color w:val="000000" w:themeColor="text1"/>
                <w:sz w:val="20"/>
                <w:szCs w:val="20"/>
              </w:rPr>
              <w:t>not</w:t>
            </w:r>
            <w:r w:rsidR="00B83C9F">
              <w:rPr>
                <w:rFonts w:ascii="Palatino Linotype" w:hAnsi="Palatino Linotype"/>
                <w:b/>
                <w:color w:val="000000" w:themeColor="text1"/>
                <w:sz w:val="20"/>
                <w:szCs w:val="20"/>
              </w:rPr>
              <w:t xml:space="preserve"> demonstrate</w:t>
            </w:r>
            <w:r w:rsidRPr="005E4979" w:rsidR="002F78F4">
              <w:rPr>
                <w:rFonts w:ascii="Palatino Linotype" w:hAnsi="Palatino Linotype"/>
                <w:b/>
                <w:i/>
                <w:iCs/>
                <w:color w:val="000000" w:themeColor="text1"/>
                <w:sz w:val="20"/>
                <w:szCs w:val="20"/>
              </w:rPr>
              <w:t xml:space="preserve"> </w:t>
            </w:r>
            <w:r w:rsidRPr="005E4979" w:rsidR="002F78F4">
              <w:rPr>
                <w:rFonts w:ascii="Palatino Linotype" w:hAnsi="Palatino Linotype"/>
                <w:b/>
                <w:color w:val="000000" w:themeColor="text1"/>
                <w:sz w:val="20"/>
                <w:szCs w:val="20"/>
              </w:rPr>
              <w:t>complian</w:t>
            </w:r>
            <w:r w:rsidR="00B83C9F">
              <w:rPr>
                <w:rFonts w:ascii="Palatino Linotype" w:hAnsi="Palatino Linotype"/>
                <w:b/>
                <w:color w:val="000000" w:themeColor="text1"/>
                <w:sz w:val="20"/>
                <w:szCs w:val="20"/>
              </w:rPr>
              <w:t xml:space="preserve">ce </w:t>
            </w:r>
            <w:r w:rsidRPr="005E4979" w:rsidR="002F78F4">
              <w:rPr>
                <w:rFonts w:ascii="Palatino Linotype" w:hAnsi="Palatino Linotype"/>
                <w:b/>
                <w:color w:val="000000" w:themeColor="text1"/>
                <w:sz w:val="20"/>
                <w:szCs w:val="20"/>
              </w:rPr>
              <w:t>with this requirement.</w:t>
            </w:r>
            <w:r w:rsidRPr="005E4979" w:rsidR="002F78F4">
              <w:rPr>
                <w:rFonts w:ascii="Palatino Linotype" w:hAnsi="Palatino Linotype"/>
                <w:bCs/>
                <w:sz w:val="20"/>
                <w:szCs w:val="20"/>
              </w:rPr>
              <w:t xml:space="preserve"> </w:t>
            </w:r>
            <w:r w:rsidR="00B83C9F">
              <w:rPr>
                <w:rFonts w:ascii="Palatino Linotype" w:hAnsi="Palatino Linotype"/>
                <w:bCs/>
                <w:sz w:val="20"/>
                <w:szCs w:val="20"/>
              </w:rPr>
              <w:t xml:space="preserve">In Annual Plans, </w:t>
            </w:r>
            <w:r w:rsidR="00B83C9F">
              <w:rPr>
                <w:rFonts w:ascii="Palatino Linotype" w:hAnsi="Palatino Linotype"/>
                <w:bCs/>
                <w:sz w:val="20"/>
                <w:szCs w:val="20"/>
              </w:rPr>
              <w:lastRenderedPageBreak/>
              <w:t>t</w:t>
            </w:r>
            <w:r>
              <w:rPr>
                <w:rFonts w:ascii="Palatino Linotype" w:hAnsi="Palatino Linotype"/>
                <w:bCs/>
                <w:sz w:val="20"/>
                <w:szCs w:val="20"/>
              </w:rPr>
              <w:t>he</w:t>
            </w:r>
            <w:r w:rsidRPr="005E4979">
              <w:rPr>
                <w:rFonts w:ascii="Palatino Linotype" w:hAnsi="Palatino Linotype"/>
                <w:bCs/>
                <w:sz w:val="20"/>
                <w:szCs w:val="20"/>
              </w:rPr>
              <w:t xml:space="preserve"> </w:t>
            </w:r>
            <w:r w:rsidRPr="005E4979" w:rsidR="002F78F4">
              <w:rPr>
                <w:rFonts w:ascii="Palatino Linotype" w:hAnsi="Palatino Linotype"/>
                <w:bCs/>
                <w:sz w:val="20"/>
                <w:szCs w:val="20"/>
              </w:rPr>
              <w:t>CEC shall disclose all potential</w:t>
            </w:r>
            <w:r w:rsidRPr="005E4979" w:rsidR="002F78F4">
              <w:rPr>
                <w:rFonts w:ascii="Palatino Linotype" w:hAnsi="Palatino Linotype"/>
                <w:b/>
                <w:sz w:val="20"/>
                <w:szCs w:val="20"/>
              </w:rPr>
              <w:t xml:space="preserve"> </w:t>
            </w:r>
            <w:r w:rsidRPr="005E4979" w:rsidR="002F78F4">
              <w:rPr>
                <w:rFonts w:ascii="Palatino Linotype" w:hAnsi="Palatino Linotype"/>
                <w:bCs/>
                <w:color w:val="000000" w:themeColor="text1"/>
                <w:sz w:val="20"/>
                <w:szCs w:val="20"/>
              </w:rPr>
              <w:t>commercial benefits that may result from Gas RD&amp;D investment and demonstrate they are used to offset ratepayer costs for new Plans or otherwise state that none have accrued.</w:t>
            </w:r>
          </w:p>
        </w:tc>
      </w:tr>
      <w:tr w:rsidR="002F78F4" w:rsidTr="00C254F7" w14:paraId="3DFB8672" w14:textId="77777777">
        <w:trPr>
          <w:trHeight w:val="638"/>
        </w:trPr>
        <w:tc>
          <w:tcPr>
            <w:tcW w:w="3145" w:type="dxa"/>
          </w:tcPr>
          <w:p w:rsidRPr="002147AE" w:rsidR="002F78F4" w:rsidP="00BB366A" w:rsidRDefault="002F78F4" w14:paraId="6E9BFC36" w14:textId="77777777">
            <w:pPr>
              <w:rPr>
                <w:rFonts w:ascii="Palatino Linotype" w:hAnsi="Palatino Linotype"/>
                <w:bCs/>
                <w:i/>
                <w:iCs/>
                <w:color w:val="000000" w:themeColor="text1"/>
                <w:sz w:val="20"/>
                <w:szCs w:val="20"/>
              </w:rPr>
            </w:pPr>
            <w:hyperlink w:history="1" r:id="rId76">
              <w:r w:rsidRPr="002147AE">
                <w:rPr>
                  <w:rStyle w:val="Hyperlink"/>
                  <w:rFonts w:ascii="Palatino Linotype" w:hAnsi="Palatino Linotype"/>
                  <w:b/>
                  <w:sz w:val="20"/>
                  <w:szCs w:val="20"/>
                </w:rPr>
                <w:t>D.04-08-010</w:t>
              </w:r>
            </w:hyperlink>
            <w:r w:rsidRPr="002147AE">
              <w:rPr>
                <w:rFonts w:ascii="Palatino Linotype" w:hAnsi="Palatino Linotype"/>
                <w:bCs/>
                <w:color w:val="000000" w:themeColor="text1"/>
                <w:sz w:val="20"/>
                <w:szCs w:val="20"/>
              </w:rPr>
              <w:t xml:space="preserve"> at FOF 9. </w:t>
            </w:r>
            <w:r w:rsidRPr="002147AE">
              <w:rPr>
                <w:rFonts w:ascii="Palatino Linotype" w:hAnsi="Palatino Linotype"/>
                <w:bCs/>
                <w:i/>
                <w:iCs/>
                <w:color w:val="000000" w:themeColor="text1"/>
                <w:sz w:val="20"/>
                <w:szCs w:val="20"/>
              </w:rPr>
              <w:t>Ratepayers should receive interest on deposited amounts in balancing accounts held by utilities.</w:t>
            </w:r>
          </w:p>
        </w:tc>
        <w:tc>
          <w:tcPr>
            <w:tcW w:w="7920" w:type="dxa"/>
          </w:tcPr>
          <w:p w:rsidRPr="002147AE" w:rsidR="002F78F4" w:rsidP="00BB366A" w:rsidRDefault="00B83C9F" w14:paraId="71279907" w14:textId="7C271F07">
            <w:pPr>
              <w:rPr>
                <w:rFonts w:ascii="Palatino Linotype" w:hAnsi="Palatino Linotype"/>
                <w:bCs/>
                <w:color w:val="000000" w:themeColor="text1"/>
                <w:sz w:val="20"/>
                <w:szCs w:val="20"/>
              </w:rPr>
            </w:pPr>
            <w:r>
              <w:rPr>
                <w:rFonts w:ascii="Palatino Linotype" w:hAnsi="Palatino Linotype"/>
                <w:bCs/>
                <w:sz w:val="20"/>
                <w:szCs w:val="20"/>
              </w:rPr>
              <w:t>The</w:t>
            </w:r>
            <w:r w:rsidRPr="002147AE">
              <w:rPr>
                <w:rFonts w:ascii="Palatino Linotype" w:hAnsi="Palatino Linotype"/>
                <w:bCs/>
                <w:color w:val="000000" w:themeColor="text1"/>
                <w:sz w:val="20"/>
                <w:szCs w:val="20"/>
              </w:rPr>
              <w:t xml:space="preserve"> </w:t>
            </w:r>
            <w:r w:rsidRPr="002147AE" w:rsidR="002F78F4">
              <w:rPr>
                <w:rFonts w:ascii="Palatino Linotype" w:hAnsi="Palatino Linotype"/>
                <w:bCs/>
                <w:color w:val="000000" w:themeColor="text1"/>
                <w:sz w:val="20"/>
                <w:szCs w:val="20"/>
              </w:rPr>
              <w:t>CEC does not discuss interest that has accrued on deposited amounts in balancing accounts held by utilities.</w:t>
            </w:r>
          </w:p>
        </w:tc>
        <w:tc>
          <w:tcPr>
            <w:tcW w:w="3240" w:type="dxa"/>
          </w:tcPr>
          <w:p w:rsidRPr="005E4979" w:rsidR="002F78F4" w:rsidP="00BB366A" w:rsidRDefault="00B83C9F" w14:paraId="172693A9" w14:textId="041EF8E1">
            <w:pPr>
              <w:rPr>
                <w:rFonts w:ascii="Palatino Linotype" w:hAnsi="Palatino Linotype"/>
                <w:b/>
                <w:color w:val="000000" w:themeColor="text1"/>
                <w:sz w:val="20"/>
                <w:szCs w:val="20"/>
              </w:rPr>
            </w:pPr>
            <w:r w:rsidRPr="00B83C9F">
              <w:rPr>
                <w:rFonts w:ascii="Palatino Linotype" w:hAnsi="Palatino Linotype"/>
                <w:b/>
                <w:sz w:val="20"/>
                <w:szCs w:val="20"/>
              </w:rPr>
              <w:t>The</w:t>
            </w:r>
            <w:r w:rsidRPr="00B83C9F">
              <w:rPr>
                <w:rFonts w:ascii="Palatino Linotype" w:hAnsi="Palatino Linotype"/>
                <w:b/>
                <w:color w:val="000000" w:themeColor="text1"/>
                <w:sz w:val="20"/>
                <w:szCs w:val="20"/>
              </w:rPr>
              <w:t xml:space="preserve"> </w:t>
            </w:r>
            <w:r w:rsidRPr="005E4979" w:rsidR="002F78F4">
              <w:rPr>
                <w:rFonts w:ascii="Palatino Linotype" w:hAnsi="Palatino Linotype"/>
                <w:b/>
                <w:color w:val="000000" w:themeColor="text1"/>
                <w:sz w:val="20"/>
                <w:szCs w:val="20"/>
              </w:rPr>
              <w:t xml:space="preserve">CEC </w:t>
            </w:r>
            <w:r>
              <w:rPr>
                <w:rFonts w:ascii="Palatino Linotype" w:hAnsi="Palatino Linotype"/>
                <w:b/>
                <w:color w:val="000000" w:themeColor="text1"/>
                <w:sz w:val="20"/>
                <w:szCs w:val="20"/>
              </w:rPr>
              <w:t xml:space="preserve">does </w:t>
            </w:r>
            <w:r w:rsidRPr="00082286">
              <w:rPr>
                <w:rFonts w:ascii="Palatino Linotype" w:hAnsi="Palatino Linotype"/>
                <w:b/>
                <w:i/>
                <w:color w:val="000000" w:themeColor="text1"/>
                <w:sz w:val="20"/>
                <w:szCs w:val="20"/>
              </w:rPr>
              <w:t>not</w:t>
            </w:r>
            <w:r>
              <w:rPr>
                <w:rFonts w:ascii="Palatino Linotype" w:hAnsi="Palatino Linotype"/>
                <w:b/>
                <w:color w:val="000000" w:themeColor="text1"/>
                <w:sz w:val="20"/>
                <w:szCs w:val="20"/>
              </w:rPr>
              <w:t xml:space="preserve"> demonstrate</w:t>
            </w:r>
            <w:r w:rsidRPr="005E4979" w:rsidR="002F78F4">
              <w:rPr>
                <w:rFonts w:ascii="Palatino Linotype" w:hAnsi="Palatino Linotype"/>
                <w:b/>
                <w:i/>
                <w:iCs/>
                <w:color w:val="000000" w:themeColor="text1"/>
                <w:sz w:val="20"/>
                <w:szCs w:val="20"/>
              </w:rPr>
              <w:t xml:space="preserve"> </w:t>
            </w:r>
            <w:r w:rsidRPr="005E4979" w:rsidR="002F78F4">
              <w:rPr>
                <w:rFonts w:ascii="Palatino Linotype" w:hAnsi="Palatino Linotype"/>
                <w:b/>
                <w:color w:val="000000" w:themeColor="text1"/>
                <w:sz w:val="20"/>
                <w:szCs w:val="20"/>
              </w:rPr>
              <w:t>complian</w:t>
            </w:r>
            <w:r>
              <w:rPr>
                <w:rFonts w:ascii="Palatino Linotype" w:hAnsi="Palatino Linotype"/>
                <w:b/>
                <w:color w:val="000000" w:themeColor="text1"/>
                <w:sz w:val="20"/>
                <w:szCs w:val="20"/>
              </w:rPr>
              <w:t>ce</w:t>
            </w:r>
            <w:r w:rsidRPr="005E4979" w:rsidR="002F78F4">
              <w:rPr>
                <w:rFonts w:ascii="Palatino Linotype" w:hAnsi="Palatino Linotype"/>
                <w:b/>
                <w:color w:val="000000" w:themeColor="text1"/>
                <w:sz w:val="20"/>
                <w:szCs w:val="20"/>
              </w:rPr>
              <w:t xml:space="preserve"> with this requirement.</w:t>
            </w:r>
            <w:r w:rsidRPr="005E4979" w:rsidR="002F78F4">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In Annual Plans, the </w:t>
            </w:r>
            <w:r w:rsidRPr="005E4979" w:rsidR="002F78F4">
              <w:rPr>
                <w:rFonts w:ascii="Palatino Linotype" w:hAnsi="Palatino Linotype"/>
                <w:bCs/>
                <w:color w:val="000000" w:themeColor="text1"/>
                <w:sz w:val="20"/>
                <w:szCs w:val="20"/>
              </w:rPr>
              <w:t>CEC shall disclose all interest that accrues on deposited amounts in balancing accounts held by utilities</w:t>
            </w:r>
            <w:r w:rsidRPr="005E4979" w:rsidR="002F78F4">
              <w:rPr>
                <w:rFonts w:ascii="Palatino Linotype" w:hAnsi="Palatino Linotype"/>
                <w:color w:val="000000" w:themeColor="text1"/>
                <w:sz w:val="20"/>
                <w:szCs w:val="20"/>
              </w:rPr>
              <w:t xml:space="preserve"> and </w:t>
            </w:r>
            <w:r w:rsidRPr="005E4979" w:rsidR="002F78F4">
              <w:rPr>
                <w:rFonts w:ascii="Palatino Linotype" w:hAnsi="Palatino Linotype"/>
                <w:bCs/>
                <w:color w:val="000000" w:themeColor="text1"/>
                <w:sz w:val="20"/>
                <w:szCs w:val="20"/>
              </w:rPr>
              <w:t>demonstrate it is used to offset ratepayer costs for new Plans.</w:t>
            </w:r>
          </w:p>
        </w:tc>
      </w:tr>
      <w:tr w:rsidR="002F78F4" w:rsidTr="00C254F7" w14:paraId="75448BA8" w14:textId="77777777">
        <w:trPr>
          <w:trHeight w:val="638"/>
        </w:trPr>
        <w:tc>
          <w:tcPr>
            <w:tcW w:w="3145" w:type="dxa"/>
          </w:tcPr>
          <w:p w:rsidRPr="00E7529D" w:rsidR="002F78F4" w:rsidP="00BB366A" w:rsidRDefault="002F78F4" w14:paraId="7561AB43" w14:textId="27371ECF">
            <w:pPr>
              <w:rPr>
                <w:rFonts w:ascii="Palatino Linotype" w:hAnsi="Palatino Linotype" w:eastAsia="Palatino Linotype" w:cs="Times New Roman"/>
                <w:bCs/>
                <w:i/>
                <w:iCs/>
                <w:kern w:val="0"/>
                <w:sz w:val="20"/>
                <w:szCs w:val="20"/>
                <w14:ligatures w14:val="none"/>
              </w:rPr>
            </w:pPr>
            <w:hyperlink w:history="1" r:id="rId77">
              <w:r w:rsidRPr="009459B9">
                <w:rPr>
                  <w:rStyle w:val="Hyperlink"/>
                  <w:rFonts w:ascii="Palatino Linotype" w:hAnsi="Palatino Linotype" w:eastAsia="Palatino Linotype" w:cs="Times New Roman"/>
                  <w:b/>
                  <w:kern w:val="0"/>
                  <w:sz w:val="20"/>
                  <w:szCs w:val="20"/>
                  <w14:ligatures w14:val="none"/>
                </w:rPr>
                <w:t>Resolution G-3394</w:t>
              </w:r>
            </w:hyperlink>
            <w:r w:rsidRPr="009459B9">
              <w:rPr>
                <w:rFonts w:ascii="Palatino Linotype" w:hAnsi="Palatino Linotype" w:eastAsia="Palatino Linotype" w:cs="Times New Roman"/>
                <w:b/>
                <w:kern w:val="0"/>
                <w:sz w:val="20"/>
                <w:szCs w:val="20"/>
                <w14:ligatures w14:val="none"/>
              </w:rPr>
              <w:t xml:space="preserve"> </w:t>
            </w:r>
            <w:r w:rsidRPr="009459B9">
              <w:rPr>
                <w:rFonts w:ascii="Palatino Linotype" w:hAnsi="Palatino Linotype" w:eastAsia="Palatino Linotype" w:cs="Times New Roman"/>
                <w:bCs/>
                <w:kern w:val="0"/>
                <w:sz w:val="20"/>
                <w:szCs w:val="20"/>
                <w14:ligatures w14:val="none"/>
              </w:rPr>
              <w:t>(2006) at OP 2.</w:t>
            </w:r>
            <w:r w:rsidRPr="00E7529D">
              <w:rPr>
                <w:rFonts w:ascii="Palatino Linotype" w:hAnsi="Palatino Linotype" w:eastAsia="Palatino Linotype" w:cs="Times New Roman"/>
                <w:bCs/>
                <w:i/>
                <w:iCs/>
                <w:kern w:val="0"/>
                <w:sz w:val="20"/>
                <w:szCs w:val="20"/>
                <w14:ligatures w14:val="none"/>
              </w:rPr>
              <w:t xml:space="preserve"> The CEC shall submit</w:t>
            </w:r>
            <w:r w:rsidR="00173266">
              <w:rPr>
                <w:rFonts w:ascii="Palatino Linotype" w:hAnsi="Palatino Linotype" w:eastAsia="Palatino Linotype" w:cs="Times New Roman"/>
                <w:bCs/>
                <w:i/>
                <w:iCs/>
                <w:kern w:val="0"/>
                <w:sz w:val="20"/>
                <w:szCs w:val="20"/>
                <w14:ligatures w14:val="none"/>
              </w:rPr>
              <w:t>…</w:t>
            </w:r>
            <w:r w:rsidRPr="00E7529D">
              <w:rPr>
                <w:rFonts w:ascii="Palatino Linotype" w:hAnsi="Palatino Linotype" w:eastAsia="Palatino Linotype" w:cs="Times New Roman"/>
                <w:bCs/>
                <w:i/>
                <w:iCs/>
                <w:kern w:val="0"/>
                <w:sz w:val="20"/>
                <w:szCs w:val="20"/>
                <w14:ligatures w14:val="none"/>
              </w:rPr>
              <w:t xml:space="preserve"> its Annual </w:t>
            </w:r>
            <w:r>
              <w:rPr>
                <w:rFonts w:ascii="Palatino Linotype" w:hAnsi="Palatino Linotype" w:eastAsia="Palatino Linotype" w:cs="Times New Roman"/>
                <w:bCs/>
                <w:i/>
                <w:iCs/>
                <w:kern w:val="0"/>
                <w:sz w:val="20"/>
                <w:szCs w:val="20"/>
                <w14:ligatures w14:val="none"/>
              </w:rPr>
              <w:t xml:space="preserve">[Report] </w:t>
            </w:r>
            <w:r w:rsidRPr="00E7529D">
              <w:rPr>
                <w:rFonts w:ascii="Palatino Linotype" w:hAnsi="Palatino Linotype" w:eastAsia="Palatino Linotype" w:cs="Times New Roman"/>
                <w:bCs/>
                <w:i/>
                <w:iCs/>
                <w:kern w:val="0"/>
                <w:sz w:val="20"/>
                <w:szCs w:val="20"/>
                <w14:ligatures w14:val="none"/>
              </w:rPr>
              <w:t>by October 31st, beginning in 2008.</w:t>
            </w:r>
          </w:p>
        </w:tc>
        <w:tc>
          <w:tcPr>
            <w:tcW w:w="7920" w:type="dxa"/>
          </w:tcPr>
          <w:p w:rsidRPr="008477B4" w:rsidR="002F78F4" w:rsidP="00BB366A" w:rsidRDefault="00B83C9F" w14:paraId="3EF4201A" w14:textId="000BC8DB">
            <w:pPr>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CEC provided a draft FY</w:t>
            </w:r>
            <w:r w:rsidR="00113C33">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2023-2024 Annual Report to Energy Division on October 25, 2024, and received an extension to submit its final FY</w:t>
            </w:r>
            <w:r w:rsidR="00113C33">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2023-2024 Annual Report in March 2025.</w:t>
            </w:r>
          </w:p>
        </w:tc>
        <w:tc>
          <w:tcPr>
            <w:tcW w:w="3240" w:type="dxa"/>
          </w:tcPr>
          <w:p w:rsidRPr="00E7529D" w:rsidR="002F78F4" w:rsidP="00BB366A" w:rsidRDefault="00B83C9F" w14:paraId="36805B8A" w14:textId="1F457321">
            <w:pPr>
              <w:rPr>
                <w:rFonts w:ascii="Palatino Linotype" w:hAnsi="Palatino Linotype"/>
                <w:b/>
                <w:sz w:val="20"/>
                <w:szCs w:val="20"/>
              </w:rPr>
            </w:pPr>
            <w:r w:rsidRPr="00B83C9F">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r w:rsidR="002F78F4">
              <w:rPr>
                <w:rFonts w:ascii="Palatino Linotype" w:hAnsi="Palatino Linotype"/>
                <w:b/>
                <w:sz w:val="20"/>
                <w:szCs w:val="20"/>
              </w:rPr>
              <w:t xml:space="preserve"> </w:t>
            </w:r>
            <w:r w:rsidRPr="00F71455" w:rsidR="002F78F4">
              <w:rPr>
                <w:rFonts w:ascii="Palatino Linotype" w:hAnsi="Palatino Linotype"/>
                <w:bCs/>
                <w:sz w:val="20"/>
                <w:szCs w:val="20"/>
              </w:rPr>
              <w:t xml:space="preserve">However, </w:t>
            </w:r>
            <w:r>
              <w:rPr>
                <w:rFonts w:ascii="Palatino Linotype" w:hAnsi="Palatino Linotype"/>
                <w:bCs/>
                <w:sz w:val="20"/>
                <w:szCs w:val="20"/>
              </w:rPr>
              <w:t>the</w:t>
            </w:r>
            <w:r w:rsidRPr="00F71455">
              <w:rPr>
                <w:rFonts w:ascii="Palatino Linotype" w:hAnsi="Palatino Linotype"/>
                <w:bCs/>
                <w:sz w:val="20"/>
                <w:szCs w:val="20"/>
              </w:rPr>
              <w:t xml:space="preserve"> </w:t>
            </w:r>
            <w:r w:rsidRPr="00F71455" w:rsidR="002F78F4">
              <w:rPr>
                <w:rFonts w:ascii="Palatino Linotype" w:hAnsi="Palatino Linotype"/>
                <w:bCs/>
                <w:sz w:val="20"/>
                <w:szCs w:val="20"/>
              </w:rPr>
              <w:t>CEC shall strive to provide its final Annual Report by the deadline.</w:t>
            </w:r>
          </w:p>
        </w:tc>
      </w:tr>
      <w:tr w:rsidR="002F78F4" w:rsidTr="00C254F7" w14:paraId="386A5179" w14:textId="77777777">
        <w:trPr>
          <w:trHeight w:val="638"/>
        </w:trPr>
        <w:tc>
          <w:tcPr>
            <w:tcW w:w="3145" w:type="dxa"/>
          </w:tcPr>
          <w:p w:rsidR="002F78F4" w:rsidP="00BB366A" w:rsidRDefault="002F78F4" w14:paraId="61AE93A8" w14:textId="77777777">
            <w:hyperlink r:id="rId78">
              <w:r w:rsidRPr="009459B9">
                <w:rPr>
                  <w:rStyle w:val="Hyperlink"/>
                  <w:rFonts w:ascii="Palatino Linotype" w:hAnsi="Palatino Linotype" w:eastAsia="Palatino Linotype" w:cs="Palatino Linotype"/>
                  <w:b/>
                  <w:bCs/>
                  <w:sz w:val="20"/>
                  <w:szCs w:val="20"/>
                </w:rPr>
                <w:t>Resolution G-3484</w:t>
              </w:r>
            </w:hyperlink>
            <w:r w:rsidRPr="009459B9">
              <w:rPr>
                <w:rFonts w:ascii="Palatino Linotype" w:hAnsi="Palatino Linotype" w:eastAsia="Palatino Linotype" w:cs="Palatino Linotype"/>
                <w:b/>
                <w:bCs/>
                <w:color w:val="000000" w:themeColor="text1"/>
                <w:sz w:val="20"/>
                <w:szCs w:val="20"/>
              </w:rPr>
              <w:t xml:space="preserve"> </w:t>
            </w:r>
            <w:r w:rsidRPr="009459B9">
              <w:rPr>
                <w:rFonts w:ascii="Palatino Linotype" w:hAnsi="Palatino Linotype" w:eastAsia="Palatino Linotype" w:cs="Palatino Linotype"/>
                <w:color w:val="000000" w:themeColor="text1"/>
                <w:sz w:val="20"/>
                <w:szCs w:val="20"/>
              </w:rPr>
              <w:t>(2013) at p. 5-6:</w:t>
            </w:r>
            <w:r w:rsidRPr="3F09D30F">
              <w:rPr>
                <w:rFonts w:ascii="Palatino Linotype" w:hAnsi="Palatino Linotype" w:eastAsia="Palatino Linotype" w:cs="Palatino Linotype"/>
                <w:color w:val="000000" w:themeColor="text1"/>
                <w:sz w:val="20"/>
                <w:szCs w:val="20"/>
              </w:rPr>
              <w:t xml:space="preserve"> </w:t>
            </w:r>
            <w:r w:rsidRPr="3F09D30F">
              <w:rPr>
                <w:rFonts w:ascii="Palatino Linotype" w:hAnsi="Palatino Linotype" w:eastAsia="Palatino Linotype" w:cs="Palatino Linotype"/>
                <w:i/>
                <w:iCs/>
                <w:color w:val="000000" w:themeColor="text1"/>
                <w:sz w:val="20"/>
                <w:szCs w:val="20"/>
              </w:rPr>
              <w:t xml:space="preserve">In the interest of transparency, the CEC shall give an accounting of unspent PIER Natural Gas R&amp;D funds in each future year proposed budget, beginning with the proposed budget for Fiscal Year 2014-2015. </w:t>
            </w:r>
            <w:r w:rsidRPr="008477B4">
              <w:rPr>
                <w:rFonts w:ascii="Palatino Linotype" w:hAnsi="Palatino Linotype" w:eastAsia="Palatino Linotype" w:cs="Palatino Linotype"/>
                <w:i/>
                <w:iCs/>
                <w:color w:val="000000" w:themeColor="text1"/>
                <w:sz w:val="20"/>
                <w:szCs w:val="20"/>
              </w:rPr>
              <w:t xml:space="preserve">The CPUC understands that the CEC has two years to encumber PIER Natural Gas R&amp;D </w:t>
            </w:r>
            <w:r w:rsidRPr="008477B4">
              <w:rPr>
                <w:rFonts w:ascii="Palatino Linotype" w:hAnsi="Palatino Linotype" w:eastAsia="Palatino Linotype" w:cs="Palatino Linotype"/>
                <w:i/>
                <w:iCs/>
                <w:color w:val="000000" w:themeColor="text1"/>
                <w:sz w:val="20"/>
                <w:szCs w:val="20"/>
              </w:rPr>
              <w:lastRenderedPageBreak/>
              <w:t>funds with projects and an additional four years before such funds expire.</w:t>
            </w:r>
            <w:r>
              <w:rPr>
                <w:rStyle w:val="FootnoteReference"/>
                <w:rFonts w:ascii="Palatino Linotype" w:hAnsi="Palatino Linotype" w:eastAsia="Palatino Linotype" w:cs="Palatino Linotype"/>
                <w:i/>
                <w:iCs/>
                <w:color w:val="000000" w:themeColor="text1"/>
                <w:sz w:val="20"/>
                <w:szCs w:val="20"/>
              </w:rPr>
              <w:footnoteReference w:id="155"/>
            </w:r>
            <w:r w:rsidRPr="008477B4">
              <w:rPr>
                <w:rFonts w:ascii="Palatino Linotype" w:hAnsi="Palatino Linotype" w:eastAsia="Palatino Linotype" w:cs="Palatino Linotype"/>
                <w:i/>
                <w:iCs/>
                <w:color w:val="000000" w:themeColor="text1"/>
                <w:sz w:val="20"/>
                <w:szCs w:val="20"/>
              </w:rPr>
              <w:t xml:space="preserve"> Beginning with the Fiscal Year 2014-2015 proposed budget, the CEC shall include in its proposed budget an account, by research area, of then-current unspent funds in the PIER Natural Gas R&amp;D program, including encumbrances and </w:t>
            </w:r>
            <w:r w:rsidRPr="00E50633">
              <w:rPr>
                <w:rFonts w:ascii="Palatino Linotype" w:hAnsi="Palatino Linotype" w:eastAsia="Palatino Linotype" w:cs="Palatino Linotype"/>
                <w:i/>
                <w:color w:val="000000" w:themeColor="text1"/>
                <w:sz w:val="20"/>
                <w:szCs w:val="20"/>
              </w:rPr>
              <w:t>expiration dates</w:t>
            </w:r>
            <w:r w:rsidRPr="008477B4">
              <w:rPr>
                <w:rFonts w:ascii="Palatino Linotype" w:hAnsi="Palatino Linotype" w:eastAsia="Palatino Linotype" w:cs="Palatino Linotype"/>
                <w:i/>
                <w:iCs/>
                <w:color w:val="000000" w:themeColor="text1"/>
                <w:sz w:val="20"/>
                <w:szCs w:val="20"/>
              </w:rPr>
              <w:t>.</w:t>
            </w:r>
            <w:r w:rsidRPr="00DB7A25">
              <w:rPr>
                <w:rFonts w:ascii="Palatino Linotype" w:hAnsi="Palatino Linotype" w:eastAsia="Palatino Linotype" w:cs="Palatino Linotype"/>
                <w:i/>
                <w:iCs/>
                <w:color w:val="000000" w:themeColor="text1"/>
                <w:sz w:val="20"/>
                <w:szCs w:val="20"/>
              </w:rPr>
              <w:t xml:space="preserve"> The intent of this requirement is to show that the CEC has spent </w:t>
            </w:r>
            <w:r w:rsidRPr="3F09D30F">
              <w:rPr>
                <w:rFonts w:ascii="Palatino Linotype" w:hAnsi="Palatino Linotype" w:eastAsia="Palatino Linotype" w:cs="Palatino Linotype"/>
                <w:i/>
                <w:iCs/>
                <w:color w:val="000000" w:themeColor="text1"/>
                <w:sz w:val="20"/>
                <w:szCs w:val="20"/>
              </w:rPr>
              <w:t>its cumulative authorized budgets in the areas in which the money was authorized and to provide an accounting of the status of cumulative unspent funds. This requirement shall remain in place for each fiscal year’s proposed budget, until otherwise directed by the CPUC</w:t>
            </w:r>
            <w:r w:rsidRPr="3F09D30F">
              <w:rPr>
                <w:rFonts w:ascii="Palatino Linotype" w:hAnsi="Palatino Linotype" w:eastAsia="Palatino Linotype" w:cs="Palatino Linotype"/>
                <w:color w:val="000000" w:themeColor="text1"/>
                <w:sz w:val="20"/>
                <w:szCs w:val="20"/>
              </w:rPr>
              <w:t xml:space="preserve">.  </w:t>
            </w:r>
          </w:p>
        </w:tc>
        <w:tc>
          <w:tcPr>
            <w:tcW w:w="7920" w:type="dxa"/>
          </w:tcPr>
          <w:p w:rsidR="002F78F4" w:rsidP="00BB366A" w:rsidRDefault="00B83C9F" w14:paraId="016375F7" w14:textId="1B5FE0AD">
            <w:pPr>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ED51DF">
              <w:rPr>
                <w:rFonts w:ascii="Palatino Linotype" w:hAnsi="Palatino Linotype"/>
                <w:bCs/>
                <w:color w:val="000000" w:themeColor="text1"/>
                <w:sz w:val="20"/>
                <w:szCs w:val="20"/>
              </w:rPr>
              <w:t xml:space="preserve"> </w:t>
            </w:r>
            <w:r w:rsidRPr="00ED51DF" w:rsidR="002F78F4">
              <w:rPr>
                <w:rFonts w:ascii="Palatino Linotype" w:hAnsi="Palatino Linotype"/>
                <w:bCs/>
                <w:color w:val="000000" w:themeColor="text1"/>
                <w:sz w:val="20"/>
                <w:szCs w:val="20"/>
              </w:rPr>
              <w:t>CEC provides balances of encumbered and unspent funds from CEC’s Plans from FY 2014-2015 through FY 2023-2024 as of January 2025 in Appendix B</w:t>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states that </w:t>
            </w:r>
            <w:r w:rsidRPr="00D66C1F" w:rsidR="002F78F4">
              <w:rPr>
                <w:rFonts w:ascii="Palatino Linotype" w:hAnsi="Palatino Linotype"/>
                <w:bCs/>
                <w:color w:val="000000" w:themeColor="text1"/>
                <w:sz w:val="20"/>
                <w:szCs w:val="20"/>
              </w:rPr>
              <w:t>“</w:t>
            </w:r>
            <w:r w:rsidR="002F78F4">
              <w:rPr>
                <w:rFonts w:ascii="Palatino Linotype" w:hAnsi="Palatino Linotype"/>
                <w:bCs/>
                <w:color w:val="000000" w:themeColor="text1"/>
                <w:sz w:val="20"/>
                <w:szCs w:val="20"/>
              </w:rPr>
              <w:t>F</w:t>
            </w:r>
            <w:r w:rsidRPr="00D66C1F" w:rsidR="002F78F4">
              <w:rPr>
                <w:rFonts w:ascii="Palatino Linotype" w:hAnsi="Palatino Linotype"/>
                <w:bCs/>
                <w:color w:val="000000" w:themeColor="text1"/>
                <w:sz w:val="20"/>
                <w:szCs w:val="20"/>
              </w:rPr>
              <w:t>unds Unspent refers to funds that have not been encumbered to an executed agreement (contract or grant), or previously encumbered funds that become unencumbered because the agreement has been canceled or due to other reasons.</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56"/>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sidRPr="00213993">
              <w:rPr>
                <w:rFonts w:ascii="Palatino Linotype" w:hAnsi="Palatino Linotype"/>
                <w:bCs/>
                <w:color w:val="000000" w:themeColor="text1"/>
                <w:sz w:val="20"/>
                <w:szCs w:val="20"/>
              </w:rPr>
              <w:t xml:space="preserve"> </w:t>
            </w:r>
            <w:r w:rsidRPr="00213993" w:rsidR="002F78F4">
              <w:rPr>
                <w:rFonts w:ascii="Palatino Linotype" w:hAnsi="Palatino Linotype"/>
                <w:bCs/>
                <w:color w:val="000000" w:themeColor="text1"/>
                <w:sz w:val="20"/>
                <w:szCs w:val="20"/>
              </w:rPr>
              <w:t xml:space="preserve">CEC reports $26.14M in unspent funds from its FY 2023-2024 Plan and details that, for this Plan, the CPUC approved reallocations amounting to $1.23M from its FY 2020-2021 Plan; $3.81 from its FY 2016-2017 Plan; and $1.5M from its FY 2015-2016 Plan in previously unspent funds.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does </w:t>
            </w:r>
            <w:r w:rsidRPr="00DB3015" w:rsidR="002F78F4">
              <w:rPr>
                <w:rFonts w:ascii="Palatino Linotype" w:hAnsi="Palatino Linotype"/>
                <w:bCs/>
                <w:color w:val="000000" w:themeColor="text1"/>
                <w:sz w:val="20"/>
                <w:szCs w:val="20"/>
              </w:rPr>
              <w:t>not request to use unspent funds for any new projects</w:t>
            </w:r>
            <w:r w:rsidR="002F78F4">
              <w:rPr>
                <w:rFonts w:ascii="Palatino Linotype" w:hAnsi="Palatino Linotype"/>
                <w:bCs/>
                <w:color w:val="000000" w:themeColor="text1"/>
                <w:sz w:val="20"/>
                <w:szCs w:val="20"/>
              </w:rPr>
              <w:t xml:space="preserve"> in its FY 2024-2025 Plan, but states that it “</w:t>
            </w:r>
            <w:r w:rsidRPr="00D66C1F" w:rsidR="002F78F4">
              <w:rPr>
                <w:rFonts w:ascii="Palatino Linotype" w:hAnsi="Palatino Linotype"/>
                <w:bCs/>
                <w:color w:val="000000" w:themeColor="text1"/>
                <w:sz w:val="20"/>
                <w:szCs w:val="20"/>
              </w:rPr>
              <w:t xml:space="preserve">will ensure that for any use of </w:t>
            </w:r>
            <w:r w:rsidRPr="00D66C1F" w:rsidR="002F78F4">
              <w:rPr>
                <w:rFonts w:ascii="Palatino Linotype" w:hAnsi="Palatino Linotype"/>
                <w:bCs/>
                <w:color w:val="000000" w:themeColor="text1"/>
                <w:sz w:val="20"/>
                <w:szCs w:val="20"/>
              </w:rPr>
              <w:lastRenderedPageBreak/>
              <w:t xml:space="preserve">encumbered and unspent funds that the CEC requests for new projects, the request will identify the respective research areas for which the CPUC originally </w:t>
            </w:r>
            <w:r w:rsidRPr="00E63F63" w:rsidR="002F78F4">
              <w:rPr>
                <w:rFonts w:ascii="Palatino Linotype" w:hAnsi="Palatino Linotype"/>
                <w:bCs/>
                <w:color w:val="000000" w:themeColor="text1"/>
                <w:sz w:val="20"/>
                <w:szCs w:val="20"/>
              </w:rPr>
              <w:t>authorized the funding.”</w:t>
            </w:r>
            <w:r w:rsidRPr="00E63F63" w:rsidR="002F78F4">
              <w:rPr>
                <w:rStyle w:val="FootnoteReference"/>
                <w:rFonts w:ascii="Palatino Linotype" w:hAnsi="Palatino Linotype"/>
                <w:bCs/>
                <w:color w:val="000000" w:themeColor="text1"/>
                <w:sz w:val="20"/>
                <w:szCs w:val="20"/>
              </w:rPr>
              <w:footnoteReference w:id="157"/>
            </w:r>
            <w:r w:rsidR="002F78F4">
              <w:rPr>
                <w:rFonts w:ascii="Palatino Linotype" w:hAnsi="Palatino Linotype"/>
                <w:bCs/>
                <w:color w:val="000000" w:themeColor="text1"/>
                <w:sz w:val="20"/>
                <w:szCs w:val="20"/>
              </w:rPr>
              <w:t xml:space="preserve"> </w:t>
            </w:r>
          </w:p>
          <w:p w:rsidR="002F78F4" w:rsidP="00BB366A" w:rsidRDefault="002F78F4" w14:paraId="5FB147B7" w14:textId="77777777">
            <w:pPr>
              <w:rPr>
                <w:rFonts w:ascii="Palatino Linotype" w:hAnsi="Palatino Linotype"/>
                <w:bCs/>
                <w:color w:val="000000" w:themeColor="text1"/>
                <w:sz w:val="20"/>
                <w:szCs w:val="20"/>
              </w:rPr>
            </w:pPr>
          </w:p>
          <w:p w:rsidR="002F78F4" w:rsidP="00BB366A" w:rsidRDefault="002F78F4" w14:paraId="2F192028" w14:textId="5BCFFF40">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B83C9F">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 xml:space="preserve">responded to a Spring 2026 CPUC </w:t>
            </w:r>
            <w:r w:rsidR="0056763F">
              <w:rPr>
                <w:rFonts w:ascii="Palatino Linotype" w:hAnsi="Palatino Linotype"/>
                <w:bCs/>
                <w:color w:val="000000" w:themeColor="text1"/>
                <w:sz w:val="20"/>
                <w:szCs w:val="20"/>
              </w:rPr>
              <w:t>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w:t>
            </w:r>
            <w:r w:rsidR="005545C8">
              <w:rPr>
                <w:rFonts w:ascii="Palatino Linotype" w:hAnsi="Palatino Linotype"/>
                <w:bCs/>
                <w:sz w:val="20"/>
                <w:szCs w:val="20"/>
              </w:rPr>
              <w:t>The</w:t>
            </w:r>
            <w:r w:rsidR="005545C8">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reports a total of $31,076,691 in Unspent Encumbered Funds and Unencumbered </w:t>
            </w:r>
            <w:r w:rsidRPr="005E4979">
              <w:rPr>
                <w:rFonts w:ascii="Palatino Linotype" w:hAnsi="Palatino Linotype"/>
                <w:bCs/>
                <w:color w:val="000000" w:themeColor="text1"/>
                <w:sz w:val="20"/>
                <w:szCs w:val="20"/>
              </w:rPr>
              <w:t xml:space="preserve">Funds </w:t>
            </w:r>
            <w:r w:rsidRPr="005E4979" w:rsidR="00E50633">
              <w:rPr>
                <w:rFonts w:ascii="Palatino Linotype" w:hAnsi="Palatino Linotype"/>
                <w:bCs/>
                <w:color w:val="000000" w:themeColor="text1"/>
                <w:sz w:val="20"/>
                <w:szCs w:val="20"/>
              </w:rPr>
              <w:t>outside of encumbrance and spending windows</w:t>
            </w:r>
            <w:r w:rsidRPr="005E4979">
              <w:rPr>
                <w:rFonts w:ascii="Palatino Linotype" w:hAnsi="Palatino Linotype"/>
                <w:color w:val="000000" w:themeColor="text1"/>
                <w:sz w:val="20"/>
                <w:szCs w:val="20"/>
              </w:rPr>
              <w:t xml:space="preserve"> </w:t>
            </w:r>
            <w:r>
              <w:rPr>
                <w:rFonts w:ascii="Palatino Linotype" w:hAnsi="Palatino Linotype"/>
                <w:bCs/>
                <w:color w:val="000000" w:themeColor="text1"/>
                <w:sz w:val="20"/>
                <w:szCs w:val="20"/>
              </w:rPr>
              <w:t xml:space="preserve">per this requirement: </w:t>
            </w:r>
            <w:r w:rsidRPr="00635844">
              <w:rPr>
                <w:rFonts w:ascii="Palatino Linotype" w:hAnsi="Palatino Linotype"/>
                <w:sz w:val="20"/>
                <w:szCs w:val="20"/>
              </w:rPr>
              <w:t>See Resolution G-</w:t>
            </w:r>
            <w:r w:rsidRPr="002E0702" w:rsidR="002E0702">
              <w:rPr>
                <w:rFonts w:ascii="Palatino Linotype" w:hAnsi="Palatino Linotype"/>
                <w:color w:val="000000" w:themeColor="text1"/>
                <w:sz w:val="20"/>
                <w:szCs w:val="20"/>
              </w:rPr>
              <w:t xml:space="preserve">3622 </w:t>
            </w:r>
            <w:r w:rsidRPr="00635844">
              <w:rPr>
                <w:rFonts w:ascii="Palatino Linotype" w:hAnsi="Palatino Linotype"/>
                <w:sz w:val="20"/>
                <w:szCs w:val="20"/>
              </w:rPr>
              <w:t xml:space="preserve">at Appendix </w:t>
            </w:r>
            <w:r w:rsidR="00037C5F">
              <w:rPr>
                <w:rFonts w:ascii="Palatino Linotype" w:hAnsi="Palatino Linotype"/>
                <w:sz w:val="20"/>
                <w:szCs w:val="20"/>
              </w:rPr>
              <w:t>F</w:t>
            </w:r>
            <w:r w:rsidRPr="00635844">
              <w:rPr>
                <w:rFonts w:ascii="Palatino Linotype" w:hAnsi="Palatino Linotype"/>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002F78F4" w:rsidP="00BB366A" w:rsidRDefault="002F78F4" w14:paraId="71F37A51" w14:textId="77777777">
            <w:pPr>
              <w:rPr>
                <w:rFonts w:ascii="Palatino Linotype" w:hAnsi="Palatino Linotype"/>
                <w:bCs/>
                <w:color w:val="000000" w:themeColor="text1"/>
                <w:sz w:val="20"/>
                <w:szCs w:val="20"/>
              </w:rPr>
            </w:pPr>
          </w:p>
          <w:p w:rsidRPr="00886EFB" w:rsidR="002F78F4" w:rsidP="00BB366A" w:rsidRDefault="002F78F4" w14:paraId="24A862D3" w14:textId="77777777">
            <w:pPr>
              <w:pStyle w:val="ListParagraph"/>
              <w:ind w:left="1080"/>
              <w:rPr>
                <w:rFonts w:ascii="Palatino Linotype" w:hAnsi="Palatino Linotype"/>
                <w:bCs/>
                <w:color w:val="000000" w:themeColor="text1"/>
                <w:sz w:val="20"/>
                <w:szCs w:val="20"/>
              </w:rPr>
            </w:pPr>
          </w:p>
          <w:p w:rsidRPr="001F1493" w:rsidR="002F78F4" w:rsidP="00BB366A" w:rsidRDefault="002F78F4" w14:paraId="6AE3F39E" w14:textId="77777777">
            <w:pPr>
              <w:rPr>
                <w:rFonts w:ascii="Palatino Linotype" w:hAnsi="Palatino Linotype"/>
                <w:bCs/>
                <w:color w:val="000000" w:themeColor="text1"/>
                <w:sz w:val="20"/>
                <w:szCs w:val="20"/>
              </w:rPr>
            </w:pPr>
          </w:p>
        </w:tc>
        <w:tc>
          <w:tcPr>
            <w:tcW w:w="3240" w:type="dxa"/>
          </w:tcPr>
          <w:p w:rsidRPr="008815F6" w:rsidR="002F78F4" w:rsidP="00BB366A" w:rsidRDefault="002F78F4" w14:paraId="4605F2BA" w14:textId="1AD8BE35">
            <w:pPr>
              <w:rPr>
                <w:rFonts w:ascii="Palatino Linotype" w:hAnsi="Palatino Linotype"/>
                <w:bCs/>
                <w:sz w:val="20"/>
                <w:szCs w:val="20"/>
              </w:rPr>
            </w:pPr>
            <w:r w:rsidRPr="000A4806">
              <w:rPr>
                <w:rFonts w:ascii="Palatino Linotype" w:hAnsi="Palatino Linotype"/>
                <w:bCs/>
                <w:color w:val="000000" w:themeColor="text1"/>
                <w:sz w:val="20"/>
                <w:szCs w:val="20"/>
              </w:rPr>
              <w:lastRenderedPageBreak/>
              <w:t xml:space="preserve">Though </w:t>
            </w:r>
            <w:r w:rsidR="00B83C9F">
              <w:rPr>
                <w:rFonts w:ascii="Palatino Linotype" w:hAnsi="Palatino Linotype"/>
                <w:bCs/>
                <w:color w:val="000000" w:themeColor="text1"/>
                <w:sz w:val="20"/>
                <w:szCs w:val="20"/>
              </w:rPr>
              <w:t>t</w:t>
            </w:r>
            <w:r w:rsidR="00B83C9F">
              <w:rPr>
                <w:rFonts w:ascii="Palatino Linotype" w:hAnsi="Palatino Linotype"/>
                <w:bCs/>
                <w:sz w:val="20"/>
                <w:szCs w:val="20"/>
              </w:rPr>
              <w:t>he</w:t>
            </w:r>
            <w:r w:rsidRPr="000A4806" w:rsidR="00B83C9F">
              <w:rPr>
                <w:rFonts w:ascii="Palatino Linotype" w:hAnsi="Palatino Linotype"/>
                <w:bCs/>
                <w:color w:val="000000" w:themeColor="text1"/>
                <w:sz w:val="20"/>
                <w:szCs w:val="20"/>
              </w:rPr>
              <w:t xml:space="preserve"> </w:t>
            </w:r>
            <w:r w:rsidRPr="000A4806">
              <w:rPr>
                <w:rFonts w:ascii="Palatino Linotype" w:hAnsi="Palatino Linotype"/>
                <w:bCs/>
                <w:color w:val="000000" w:themeColor="text1"/>
                <w:sz w:val="20"/>
                <w:szCs w:val="20"/>
              </w:rPr>
              <w:t>CEC reports unspent and encumbered funds</w:t>
            </w:r>
            <w:r>
              <w:rPr>
                <w:rFonts w:ascii="Palatino Linotype" w:hAnsi="Palatino Linotype"/>
                <w:bCs/>
                <w:color w:val="000000" w:themeColor="text1"/>
                <w:sz w:val="20"/>
                <w:szCs w:val="20"/>
              </w:rPr>
              <w:t xml:space="preserve">, </w:t>
            </w:r>
            <w:r w:rsidR="00B83C9F">
              <w:rPr>
                <w:rFonts w:ascii="Palatino Linotype" w:hAnsi="Palatino Linotype"/>
                <w:bCs/>
                <w:color w:val="000000" w:themeColor="text1"/>
                <w:sz w:val="20"/>
                <w:szCs w:val="20"/>
              </w:rPr>
              <w:t>t</w:t>
            </w:r>
            <w:r w:rsidR="00B83C9F">
              <w:rPr>
                <w:rFonts w:ascii="Palatino Linotype" w:hAnsi="Palatino Linotype"/>
                <w:bCs/>
                <w:sz w:val="20"/>
                <w:szCs w:val="20"/>
              </w:rPr>
              <w:t>he</w:t>
            </w:r>
            <w:r w:rsidRPr="0075596A" w:rsidR="00B83C9F">
              <w:rPr>
                <w:rFonts w:ascii="Palatino Linotype" w:hAnsi="Palatino Linotype"/>
                <w:bCs/>
                <w:color w:val="000000" w:themeColor="text1"/>
                <w:sz w:val="20"/>
                <w:szCs w:val="20"/>
              </w:rPr>
              <w:t xml:space="preserve"> </w:t>
            </w:r>
            <w:r w:rsidRPr="0075596A">
              <w:rPr>
                <w:rFonts w:ascii="Palatino Linotype" w:hAnsi="Palatino Linotype"/>
                <w:bCs/>
                <w:color w:val="000000" w:themeColor="text1"/>
                <w:sz w:val="20"/>
                <w:szCs w:val="20"/>
              </w:rPr>
              <w:t xml:space="preserve">CEC does not detail </w:t>
            </w:r>
            <w:r w:rsidR="00E50633">
              <w:rPr>
                <w:rFonts w:ascii="Palatino Linotype" w:hAnsi="Palatino Linotype"/>
                <w:bCs/>
                <w:color w:val="000000" w:themeColor="text1"/>
                <w:sz w:val="20"/>
                <w:szCs w:val="20"/>
              </w:rPr>
              <w:t>encumbrance and spending windows</w:t>
            </w:r>
            <w:r w:rsidRPr="0075596A">
              <w:rPr>
                <w:rFonts w:ascii="Palatino Linotype" w:hAnsi="Palatino Linotype"/>
                <w:bCs/>
                <w:color w:val="000000" w:themeColor="text1"/>
                <w:sz w:val="20"/>
                <w:szCs w:val="20"/>
              </w:rPr>
              <w:t xml:space="preserve"> to demonstrate compliance.</w:t>
            </w:r>
            <w:r>
              <w:rPr>
                <w:rFonts w:ascii="Palatino Linotype" w:hAnsi="Palatino Linotype"/>
                <w:bCs/>
                <w:color w:val="000000" w:themeColor="text1"/>
                <w:sz w:val="20"/>
                <w:szCs w:val="20"/>
              </w:rPr>
              <w:t xml:space="preserve"> </w:t>
            </w:r>
            <w:r w:rsidR="00B83C9F">
              <w:rPr>
                <w:rFonts w:ascii="Palatino Linotype" w:hAnsi="Palatino Linotype"/>
                <w:bCs/>
                <w:sz w:val="20"/>
                <w:szCs w:val="20"/>
              </w:rPr>
              <w:t>The</w:t>
            </w:r>
            <w:r w:rsidR="00B83C9F">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CEC also does not p</w:t>
            </w:r>
            <w:r>
              <w:rPr>
                <w:rFonts w:ascii="Palatino Linotype" w:hAnsi="Palatino Linotype"/>
                <w:bCs/>
                <w:sz w:val="20"/>
                <w:szCs w:val="20"/>
              </w:rPr>
              <w:t>rovide information on the spending of program administrative costs. The information provided</w:t>
            </w:r>
            <w:r w:rsidRPr="008815F6">
              <w:rPr>
                <w:rFonts w:ascii="Palatino Linotype" w:hAnsi="Palatino Linotype"/>
                <w:bCs/>
                <w:sz w:val="20"/>
                <w:szCs w:val="20"/>
              </w:rPr>
              <w:t xml:space="preserve"> does not </w:t>
            </w:r>
            <w:r w:rsidRPr="008815F6">
              <w:rPr>
                <w:rFonts w:ascii="Palatino Linotype" w:hAnsi="Palatino Linotype"/>
                <w:sz w:val="20"/>
                <w:szCs w:val="20"/>
              </w:rPr>
              <w:t>demonstrate</w:t>
            </w:r>
            <w:r w:rsidRPr="008815F6">
              <w:rPr>
                <w:rFonts w:ascii="Palatino Linotype" w:hAnsi="Palatino Linotype" w:eastAsia="Palatino Linotype" w:cs="Palatino Linotype"/>
                <w:color w:val="000000" w:themeColor="text1"/>
                <w:sz w:val="20"/>
                <w:szCs w:val="20"/>
              </w:rPr>
              <w:t xml:space="preserve"> that</w:t>
            </w:r>
            <w:r w:rsidR="00B83C9F">
              <w:rPr>
                <w:rFonts w:ascii="Palatino Linotype" w:hAnsi="Palatino Linotype" w:eastAsia="Palatino Linotype" w:cs="Palatino Linotype"/>
                <w:color w:val="000000" w:themeColor="text1"/>
                <w:sz w:val="20"/>
                <w:szCs w:val="20"/>
              </w:rPr>
              <w:t xml:space="preserve"> t</w:t>
            </w:r>
            <w:r w:rsidR="00B83C9F">
              <w:rPr>
                <w:rFonts w:ascii="Palatino Linotype" w:hAnsi="Palatino Linotype"/>
                <w:bCs/>
                <w:sz w:val="20"/>
                <w:szCs w:val="20"/>
              </w:rPr>
              <w:t>he</w:t>
            </w:r>
            <w:r w:rsidRPr="008815F6">
              <w:rPr>
                <w:rFonts w:ascii="Palatino Linotype" w:hAnsi="Palatino Linotype" w:eastAsia="Palatino Linotype" w:cs="Palatino Linotype"/>
                <w:color w:val="000000" w:themeColor="text1"/>
                <w:sz w:val="20"/>
                <w:szCs w:val="20"/>
              </w:rPr>
              <w:t xml:space="preserve"> </w:t>
            </w:r>
            <w:r>
              <w:rPr>
                <w:rFonts w:ascii="Palatino Linotype" w:hAnsi="Palatino Linotype" w:eastAsia="Palatino Linotype" w:cs="Palatino Linotype"/>
                <w:color w:val="000000" w:themeColor="text1"/>
                <w:sz w:val="20"/>
                <w:szCs w:val="20"/>
              </w:rPr>
              <w:t>CEC</w:t>
            </w:r>
            <w:r w:rsidRPr="008815F6">
              <w:rPr>
                <w:rFonts w:ascii="Palatino Linotype" w:hAnsi="Palatino Linotype" w:eastAsia="Palatino Linotype" w:cs="Palatino Linotype"/>
                <w:color w:val="000000" w:themeColor="text1"/>
                <w:sz w:val="20"/>
                <w:szCs w:val="20"/>
              </w:rPr>
              <w:t xml:space="preserve"> has </w:t>
            </w:r>
            <w:r w:rsidRPr="008815F6">
              <w:rPr>
                <w:rFonts w:ascii="Palatino Linotype" w:hAnsi="Palatino Linotype" w:eastAsia="Palatino Linotype" w:cs="Palatino Linotype"/>
                <w:color w:val="000000" w:themeColor="text1"/>
                <w:sz w:val="20"/>
                <w:szCs w:val="20"/>
              </w:rPr>
              <w:lastRenderedPageBreak/>
              <w:t xml:space="preserve">spent its cumulative authorized budgets in the areas in which the money was authorized nor provide </w:t>
            </w:r>
            <w:r>
              <w:rPr>
                <w:rFonts w:ascii="Palatino Linotype" w:hAnsi="Palatino Linotype" w:eastAsia="Palatino Linotype" w:cs="Palatino Linotype"/>
                <w:color w:val="000000" w:themeColor="text1"/>
                <w:sz w:val="20"/>
                <w:szCs w:val="20"/>
              </w:rPr>
              <w:t>sufficient</w:t>
            </w:r>
            <w:r w:rsidRPr="008815F6">
              <w:rPr>
                <w:rFonts w:ascii="Palatino Linotype" w:hAnsi="Palatino Linotype" w:eastAsia="Palatino Linotype" w:cs="Palatino Linotype"/>
                <w:color w:val="000000" w:themeColor="text1"/>
                <w:sz w:val="20"/>
                <w:szCs w:val="20"/>
              </w:rPr>
              <w:t xml:space="preserve"> accounting o</w:t>
            </w:r>
            <w:r>
              <w:rPr>
                <w:rFonts w:ascii="Palatino Linotype" w:hAnsi="Palatino Linotype" w:eastAsia="Palatino Linotype" w:cs="Palatino Linotype"/>
                <w:color w:val="000000" w:themeColor="text1"/>
                <w:sz w:val="20"/>
                <w:szCs w:val="20"/>
              </w:rPr>
              <w:t>n</w:t>
            </w:r>
            <w:r w:rsidRPr="008815F6">
              <w:rPr>
                <w:rFonts w:ascii="Palatino Linotype" w:hAnsi="Palatino Linotype" w:eastAsia="Palatino Linotype" w:cs="Palatino Linotype"/>
                <w:color w:val="000000" w:themeColor="text1"/>
                <w:sz w:val="20"/>
                <w:szCs w:val="20"/>
              </w:rPr>
              <w:t xml:space="preserve"> the status of cumulative unspent funds</w:t>
            </w:r>
            <w:r>
              <w:rPr>
                <w:rFonts w:ascii="Palatino Linotype" w:hAnsi="Palatino Linotype" w:eastAsia="Palatino Linotype" w:cs="Palatino Linotype"/>
                <w:color w:val="000000" w:themeColor="text1"/>
                <w:sz w:val="20"/>
                <w:szCs w:val="20"/>
              </w:rPr>
              <w:t>.</w:t>
            </w:r>
            <w:r>
              <w:rPr>
                <w:rFonts w:ascii="Palatino Linotype" w:hAnsi="Palatino Linotype"/>
                <w:bCs/>
                <w:sz w:val="20"/>
                <w:szCs w:val="20"/>
              </w:rPr>
              <w:t xml:space="preserve"> </w:t>
            </w:r>
            <w:r w:rsidRPr="00B83C9F" w:rsidR="00B83C9F">
              <w:rPr>
                <w:rFonts w:ascii="Palatino Linotype" w:hAnsi="Palatino Linotype"/>
                <w:b/>
                <w:sz w:val="20"/>
                <w:szCs w:val="20"/>
              </w:rPr>
              <w:t>The</w:t>
            </w:r>
            <w:r w:rsidRPr="00B83C9F" w:rsidR="00B83C9F">
              <w:rPr>
                <w:rFonts w:ascii="Palatino Linotype" w:hAnsi="Palatino Linotype"/>
                <w:b/>
                <w:color w:val="000000" w:themeColor="text1"/>
                <w:sz w:val="20"/>
                <w:szCs w:val="20"/>
              </w:rPr>
              <w:t xml:space="preserve"> </w:t>
            </w:r>
            <w:r w:rsidRPr="005E4979">
              <w:rPr>
                <w:rFonts w:ascii="Palatino Linotype" w:hAnsi="Palatino Linotype"/>
                <w:b/>
                <w:color w:val="000000" w:themeColor="text1"/>
                <w:sz w:val="20"/>
                <w:szCs w:val="20"/>
              </w:rPr>
              <w:t xml:space="preserve">CEC is </w:t>
            </w:r>
            <w:r w:rsidRPr="005E4979">
              <w:rPr>
                <w:rFonts w:ascii="Palatino Linotype" w:hAnsi="Palatino Linotype"/>
                <w:b/>
                <w:i/>
                <w:iCs/>
                <w:color w:val="000000" w:themeColor="text1"/>
                <w:sz w:val="20"/>
                <w:szCs w:val="20"/>
              </w:rPr>
              <w:t>not</w:t>
            </w:r>
            <w:r w:rsidRPr="005E4979">
              <w:rPr>
                <w:rFonts w:ascii="Palatino Linotype" w:hAnsi="Palatino Linotype"/>
                <w:b/>
                <w:color w:val="000000" w:themeColor="text1"/>
                <w:sz w:val="20"/>
                <w:szCs w:val="20"/>
              </w:rPr>
              <w:t xml:space="preserve"> compliant with this requirement.</w:t>
            </w:r>
            <w:r w:rsidRPr="00386C66">
              <w:rPr>
                <w:rFonts w:ascii="Palatino Linotype" w:hAnsi="Palatino Linotype"/>
                <w:b/>
                <w:color w:val="000000" w:themeColor="text1"/>
                <w:sz w:val="20"/>
                <w:szCs w:val="20"/>
              </w:rPr>
              <w:t xml:space="preserve">  </w:t>
            </w:r>
          </w:p>
          <w:p w:rsidR="002F78F4" w:rsidP="00BB366A" w:rsidRDefault="002F78F4" w14:paraId="6D3DACFF" w14:textId="77777777">
            <w:pPr>
              <w:rPr>
                <w:rFonts w:ascii="Palatino Linotype" w:hAnsi="Palatino Linotype"/>
                <w:b/>
                <w:color w:val="FF0000"/>
                <w:sz w:val="20"/>
                <w:szCs w:val="20"/>
              </w:rPr>
            </w:pPr>
          </w:p>
          <w:p w:rsidRPr="00971EA2" w:rsidR="002F78F4" w:rsidP="00BB366A" w:rsidRDefault="002F78F4" w14:paraId="7222B443" w14:textId="24BF1142">
            <w:pPr>
              <w:rPr>
                <w:rFonts w:ascii="Palatino Linotype" w:hAnsi="Palatino Linotype"/>
                <w:sz w:val="20"/>
                <w:szCs w:val="20"/>
              </w:rPr>
            </w:pPr>
            <w:r>
              <w:rPr>
                <w:rFonts w:ascii="Palatino Linotype" w:hAnsi="Palatino Linotype"/>
                <w:sz w:val="20"/>
                <w:szCs w:val="20"/>
              </w:rPr>
              <w:t xml:space="preserve">To clearly demonstrate compliance with reporting requirements, the CEC shall utilize </w:t>
            </w:r>
            <w:r w:rsidR="00B715E5">
              <w:rPr>
                <w:rFonts w:ascii="Palatino Linotype" w:hAnsi="Palatino Linotype"/>
                <w:sz w:val="20"/>
                <w:szCs w:val="20"/>
              </w:rPr>
              <w:t xml:space="preserve">the standardized </w:t>
            </w:r>
            <w:r w:rsidR="00EE285F">
              <w:rPr>
                <w:rFonts w:ascii="Palatino Linotype" w:hAnsi="Palatino Linotype"/>
                <w:sz w:val="20"/>
                <w:szCs w:val="20"/>
              </w:rPr>
              <w:t xml:space="preserve">template provided by Energy Division for its </w:t>
            </w:r>
            <w:r w:rsidR="00971EA2">
              <w:rPr>
                <w:rFonts w:ascii="Palatino Linotype" w:hAnsi="Palatino Linotype"/>
                <w:sz w:val="20"/>
                <w:szCs w:val="20"/>
              </w:rPr>
              <w:t>Annual Report.</w:t>
            </w:r>
          </w:p>
        </w:tc>
      </w:tr>
      <w:tr w:rsidR="002F78F4" w:rsidTr="00C254F7" w14:paraId="47621959" w14:textId="77777777">
        <w:trPr>
          <w:trHeight w:val="638"/>
        </w:trPr>
        <w:tc>
          <w:tcPr>
            <w:tcW w:w="3145" w:type="dxa"/>
          </w:tcPr>
          <w:p w:rsidRPr="00E7529D" w:rsidR="002F78F4" w:rsidP="00BB366A" w:rsidRDefault="002F78F4" w14:paraId="61C44E6B" w14:textId="77777777">
            <w:pPr>
              <w:rPr>
                <w:rFonts w:ascii="Palatino Linotype" w:hAnsi="Palatino Linotype"/>
                <w:bCs/>
                <w:i/>
                <w:iCs/>
                <w:sz w:val="20"/>
                <w:szCs w:val="20"/>
              </w:rPr>
            </w:pPr>
            <w:hyperlink w:history="1" r:id="rId79">
              <w:r w:rsidRPr="009459B9">
                <w:rPr>
                  <w:rStyle w:val="Hyperlink"/>
                  <w:rFonts w:ascii="Palatino Linotype" w:hAnsi="Palatino Linotype"/>
                  <w:b/>
                  <w:sz w:val="20"/>
                  <w:szCs w:val="20"/>
                </w:rPr>
                <w:t>Resolution G-3571</w:t>
              </w:r>
            </w:hyperlink>
            <w:r w:rsidRPr="009459B9">
              <w:rPr>
                <w:rFonts w:ascii="Palatino Linotype" w:hAnsi="Palatino Linotype"/>
                <w:bCs/>
                <w:sz w:val="20"/>
                <w:szCs w:val="20"/>
              </w:rPr>
              <w:t xml:space="preserve"> (2020) at OP 5.</w:t>
            </w:r>
            <w:r w:rsidRPr="00E7529D">
              <w:rPr>
                <w:rFonts w:ascii="Palatino Linotype" w:hAnsi="Palatino Linotype"/>
                <w:bCs/>
                <w:i/>
                <w:iCs/>
                <w:sz w:val="20"/>
                <w:szCs w:val="20"/>
              </w:rPr>
              <w:t xml:space="preserve"> In developing all future Natural Gas R&amp;D Plans, the CPUC requests that the CEC:</w:t>
            </w:r>
            <w:r>
              <w:rPr>
                <w:rStyle w:val="FootnoteReference"/>
                <w:rFonts w:ascii="Palatino Linotype" w:hAnsi="Palatino Linotype"/>
                <w:bCs/>
                <w:i/>
                <w:iCs/>
                <w:sz w:val="20"/>
                <w:szCs w:val="20"/>
              </w:rPr>
              <w:footnoteReference w:id="158"/>
            </w:r>
            <w:r w:rsidRPr="00E7529D">
              <w:rPr>
                <w:rFonts w:ascii="Palatino Linotype" w:hAnsi="Palatino Linotype"/>
                <w:bCs/>
                <w:i/>
                <w:iCs/>
                <w:sz w:val="20"/>
                <w:szCs w:val="20"/>
              </w:rPr>
              <w:t xml:space="preserve"> </w:t>
            </w:r>
          </w:p>
          <w:p w:rsidR="002F78F4" w:rsidP="003B475F" w:rsidRDefault="002F78F4" w14:paraId="4301594E"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bCs/>
                <w:i/>
                <w:iCs/>
                <w:sz w:val="20"/>
                <w:szCs w:val="20"/>
              </w:rPr>
              <w:t xml:space="preserve">Post the Natural Gas Research and Development </w:t>
            </w:r>
            <w:r w:rsidRPr="003C5F64">
              <w:rPr>
                <w:rFonts w:ascii="Palatino Linotype" w:hAnsi="Palatino Linotype"/>
                <w:bCs/>
                <w:i/>
                <w:iCs/>
                <w:sz w:val="20"/>
                <w:szCs w:val="20"/>
              </w:rPr>
              <w:lastRenderedPageBreak/>
              <w:t xml:space="preserve">Program: Proposed Budget Plan publicly on their website and notify CPUC of the web address when requesting approval of the plan.  </w:t>
            </w:r>
          </w:p>
          <w:p w:rsidR="002F78F4" w:rsidP="003B475F" w:rsidRDefault="002F78F4" w14:paraId="25CBD789"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bCs/>
                <w:i/>
                <w:i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3C5F64" w:rsidR="002F78F4" w:rsidP="003B475F" w:rsidRDefault="002F78F4" w14:paraId="18186037"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i/>
                <w:iCs/>
                <w:sz w:val="20"/>
                <w:szCs w:val="20"/>
              </w:rPr>
              <w:t>Consult with Energy Division staff on which CPUC listservs from ongoing CPUC proceedings the CEC should notice their proposed plan to.</w:t>
            </w:r>
          </w:p>
          <w:p w:rsidRPr="003C5F64" w:rsidR="002F78F4" w:rsidP="003B475F" w:rsidRDefault="002F78F4" w14:paraId="7A2FCF5B" w14:textId="77777777">
            <w:pPr>
              <w:pStyle w:val="ListParagraph"/>
              <w:numPr>
                <w:ilvl w:val="0"/>
                <w:numId w:val="25"/>
              </w:numPr>
              <w:rPr>
                <w:rFonts w:ascii="Palatino Linotype" w:hAnsi="Palatino Linotype"/>
                <w:bCs/>
                <w:i/>
                <w:iCs/>
                <w:sz w:val="20"/>
                <w:szCs w:val="20"/>
              </w:rPr>
            </w:pPr>
            <w:r w:rsidRPr="003C5F64">
              <w:rPr>
                <w:rFonts w:ascii="Palatino Linotype" w:hAnsi="Palatino Linotype"/>
                <w:i/>
                <w:iCs/>
                <w:sz w:val="20"/>
                <w:szCs w:val="20"/>
              </w:rPr>
              <w:t xml:space="preserve">Consult with CPUC staff to allow for the option of presenting the Natural Gas Research and Development Program: Proposed Budget Plan to the CPUC Commissioners during a </w:t>
            </w:r>
            <w:r w:rsidRPr="003C5F64">
              <w:rPr>
                <w:rFonts w:ascii="Palatino Linotype" w:hAnsi="Palatino Linotype"/>
                <w:i/>
                <w:iCs/>
                <w:sz w:val="20"/>
                <w:szCs w:val="20"/>
              </w:rPr>
              <w:lastRenderedPageBreak/>
              <w:t>CPUC Commissioner Committee Meeting.</w:t>
            </w:r>
          </w:p>
        </w:tc>
        <w:tc>
          <w:tcPr>
            <w:tcW w:w="7920" w:type="dxa"/>
          </w:tcPr>
          <w:p w:rsidR="002F78F4" w:rsidP="00BB366A" w:rsidRDefault="002F78F4" w14:paraId="1732CACD" w14:textId="2A7DFC53">
            <w:pPr>
              <w:ind w:left="720"/>
              <w:rPr>
                <w:rFonts w:ascii="Palatino Linotype" w:hAnsi="Palatino Linotype"/>
                <w:sz w:val="20"/>
                <w:szCs w:val="20"/>
              </w:rPr>
            </w:pPr>
            <w:r w:rsidRPr="00C62D4D">
              <w:rPr>
                <w:rFonts w:ascii="Palatino Linotype" w:hAnsi="Palatino Linotype"/>
                <w:sz w:val="20"/>
                <w:szCs w:val="20"/>
              </w:rPr>
              <w:lastRenderedPageBreak/>
              <w:t xml:space="preserve">b) </w:t>
            </w:r>
            <w:r w:rsidR="005545C8">
              <w:rPr>
                <w:rFonts w:ascii="Palatino Linotype" w:hAnsi="Palatino Linotype"/>
                <w:bCs/>
                <w:sz w:val="20"/>
                <w:szCs w:val="20"/>
              </w:rPr>
              <w:t>The</w:t>
            </w:r>
            <w:r w:rsidR="005545C8">
              <w:rPr>
                <w:rFonts w:ascii="Palatino Linotype" w:hAnsi="Palatino Linotype"/>
                <w:sz w:val="20"/>
                <w:szCs w:val="20"/>
              </w:rPr>
              <w:t xml:space="preserve"> </w:t>
            </w:r>
            <w:r>
              <w:rPr>
                <w:rFonts w:ascii="Palatino Linotype" w:hAnsi="Palatino Linotype"/>
                <w:sz w:val="20"/>
                <w:szCs w:val="20"/>
              </w:rPr>
              <w:t>CEC states that it posts proposed Plans on “</w:t>
            </w:r>
            <w:r w:rsidRPr="00B50BE2">
              <w:rPr>
                <w:rFonts w:ascii="Palatino Linotype" w:hAnsi="Palatino Linotype"/>
                <w:sz w:val="20"/>
                <w:szCs w:val="20"/>
              </w:rPr>
              <w:t>CEC’s website on the page for CEC Energy Research and Development investment plans and annual reports</w:t>
            </w:r>
            <w:r>
              <w:rPr>
                <w:rFonts w:ascii="Palatino Linotype" w:hAnsi="Palatino Linotype"/>
                <w:sz w:val="20"/>
                <w:szCs w:val="20"/>
              </w:rPr>
              <w:t>”,</w:t>
            </w:r>
            <w:r>
              <w:rPr>
                <w:rStyle w:val="FootnoteReference"/>
                <w:rFonts w:ascii="Palatino Linotype" w:hAnsi="Palatino Linotype"/>
                <w:sz w:val="20"/>
                <w:szCs w:val="20"/>
              </w:rPr>
              <w:footnoteReference w:id="159"/>
            </w:r>
            <w:r>
              <w:rPr>
                <w:rFonts w:ascii="Palatino Linotype" w:hAnsi="Palatino Linotype"/>
                <w:sz w:val="20"/>
                <w:szCs w:val="20"/>
              </w:rPr>
              <w:t xml:space="preserve"> citing </w:t>
            </w:r>
            <w:r w:rsidRPr="00F244B7">
              <w:rPr>
                <w:rFonts w:ascii="Palatino Linotype" w:hAnsi="Palatino Linotype"/>
                <w:sz w:val="20"/>
                <w:szCs w:val="20"/>
              </w:rPr>
              <w:t xml:space="preserve">California Energy </w:t>
            </w:r>
            <w:r w:rsidRPr="0907C22E">
              <w:rPr>
                <w:rFonts w:ascii="Palatino Linotype" w:hAnsi="Palatino Linotype"/>
                <w:sz w:val="20"/>
                <w:szCs w:val="20"/>
              </w:rPr>
              <w:t xml:space="preserve">Commission. “Annual Report,” </w:t>
            </w:r>
            <w:hyperlink r:id="rId80">
              <w:r w:rsidRPr="0907C22E">
                <w:rPr>
                  <w:rStyle w:val="Hyperlink"/>
                  <w:rFonts w:ascii="Palatino Linotype" w:hAnsi="Palatino Linotype"/>
                  <w:sz w:val="20"/>
                  <w:szCs w:val="20"/>
                </w:rPr>
                <w:t>https://www.energy.ca.gov/data-reports/reports/energy-research-and-development-investment-plans-and-annual-reports.</w:t>
              </w:r>
            </w:hyperlink>
            <w:r w:rsidRPr="0907C22E">
              <w:rPr>
                <w:rFonts w:ascii="Palatino Linotype" w:hAnsi="Palatino Linotype"/>
                <w:sz w:val="20"/>
                <w:szCs w:val="20"/>
              </w:rPr>
              <w:t xml:space="preserve"> </w:t>
            </w:r>
          </w:p>
          <w:p w:rsidR="002F78F4" w:rsidP="00BB366A" w:rsidRDefault="002F78F4" w14:paraId="129ACDF4" w14:textId="156C22C3">
            <w:pPr>
              <w:ind w:left="720"/>
              <w:rPr>
                <w:rFonts w:ascii="Palatino Linotype" w:hAnsi="Palatino Linotype"/>
                <w:sz w:val="20"/>
                <w:szCs w:val="20"/>
              </w:rPr>
            </w:pPr>
            <w:r>
              <w:rPr>
                <w:rFonts w:ascii="Palatino Linotype" w:hAnsi="Palatino Linotype"/>
                <w:sz w:val="20"/>
                <w:szCs w:val="20"/>
              </w:rPr>
              <w:t xml:space="preserve">c) &amp; d) </w:t>
            </w:r>
            <w:r w:rsidR="005545C8">
              <w:rPr>
                <w:rFonts w:ascii="Palatino Linotype" w:hAnsi="Palatino Linotype"/>
                <w:bCs/>
                <w:sz w:val="20"/>
                <w:szCs w:val="20"/>
              </w:rPr>
              <w:t>The</w:t>
            </w:r>
            <w:r w:rsidR="005545C8">
              <w:rPr>
                <w:rFonts w:ascii="Palatino Linotype" w:hAnsi="Palatino Linotype"/>
                <w:sz w:val="20"/>
                <w:szCs w:val="20"/>
              </w:rPr>
              <w:t xml:space="preserve"> </w:t>
            </w:r>
            <w:r>
              <w:rPr>
                <w:rFonts w:ascii="Palatino Linotype" w:hAnsi="Palatino Linotype"/>
                <w:sz w:val="20"/>
                <w:szCs w:val="20"/>
              </w:rPr>
              <w:t>CEC details the noticed CEC lists and CPUC listservs.</w:t>
            </w:r>
            <w:r>
              <w:rPr>
                <w:rStyle w:val="FootnoteReference"/>
                <w:rFonts w:ascii="Palatino Linotype" w:hAnsi="Palatino Linotype"/>
                <w:sz w:val="20"/>
                <w:szCs w:val="20"/>
              </w:rPr>
              <w:footnoteReference w:id="160"/>
            </w:r>
            <w:r>
              <w:rPr>
                <w:rFonts w:ascii="Palatino Linotype" w:hAnsi="Palatino Linotype"/>
                <w:sz w:val="20"/>
                <w:szCs w:val="20"/>
              </w:rPr>
              <w:t xml:space="preserve"> </w:t>
            </w:r>
          </w:p>
          <w:p w:rsidRPr="00C62D4D" w:rsidR="002F78F4" w:rsidP="00BB366A" w:rsidRDefault="002F78F4" w14:paraId="57DBB4F3" w14:textId="39BDC7AE">
            <w:pPr>
              <w:ind w:left="720"/>
              <w:rPr>
                <w:rFonts w:ascii="Palatino Linotype" w:hAnsi="Palatino Linotype"/>
                <w:sz w:val="20"/>
                <w:szCs w:val="20"/>
              </w:rPr>
            </w:pPr>
            <w:r>
              <w:rPr>
                <w:rFonts w:ascii="Palatino Linotype" w:hAnsi="Palatino Linotype"/>
                <w:sz w:val="20"/>
                <w:szCs w:val="20"/>
              </w:rPr>
              <w:lastRenderedPageBreak/>
              <w:t xml:space="preserve">e) </w:t>
            </w:r>
            <w:r w:rsidR="005545C8">
              <w:rPr>
                <w:rFonts w:ascii="Palatino Linotype" w:hAnsi="Palatino Linotype"/>
                <w:bCs/>
                <w:sz w:val="20"/>
                <w:szCs w:val="20"/>
              </w:rPr>
              <w:t>The</w:t>
            </w:r>
            <w:r w:rsidR="005545C8">
              <w:rPr>
                <w:rFonts w:ascii="Palatino Linotype" w:hAnsi="Palatino Linotype"/>
                <w:sz w:val="20"/>
                <w:szCs w:val="20"/>
              </w:rPr>
              <w:t xml:space="preserve"> </w:t>
            </w:r>
            <w:r>
              <w:rPr>
                <w:rFonts w:ascii="Palatino Linotype" w:hAnsi="Palatino Linotype"/>
                <w:sz w:val="20"/>
                <w:szCs w:val="20"/>
              </w:rPr>
              <w:t>CEC states that its “</w:t>
            </w:r>
            <w:r w:rsidRPr="00BF170A">
              <w:rPr>
                <w:rFonts w:ascii="Palatino Linotype" w:hAnsi="Palatino Linotype"/>
                <w:sz w:val="20"/>
                <w:szCs w:val="20"/>
              </w:rPr>
              <w:t>offer to present the proposed budget plan was sent to Energy Division staff on January 25, 2024</w:t>
            </w:r>
            <w:r>
              <w:rPr>
                <w:rFonts w:ascii="Palatino Linotype" w:hAnsi="Palatino Linotype"/>
                <w:sz w:val="20"/>
                <w:szCs w:val="20"/>
              </w:rPr>
              <w:t>”.</w:t>
            </w:r>
            <w:r>
              <w:rPr>
                <w:rStyle w:val="FootnoteReference"/>
                <w:rFonts w:ascii="Palatino Linotype" w:hAnsi="Palatino Linotype"/>
                <w:sz w:val="20"/>
                <w:szCs w:val="20"/>
              </w:rPr>
              <w:footnoteReference w:id="161"/>
            </w:r>
            <w:r>
              <w:rPr>
                <w:rFonts w:ascii="Palatino Linotype" w:hAnsi="Palatino Linotype"/>
                <w:sz w:val="20"/>
                <w:szCs w:val="20"/>
              </w:rPr>
              <w:t xml:space="preserve"> </w:t>
            </w:r>
          </w:p>
        </w:tc>
        <w:tc>
          <w:tcPr>
            <w:tcW w:w="3240" w:type="dxa"/>
          </w:tcPr>
          <w:p w:rsidRPr="00E7529D" w:rsidR="002F78F4" w:rsidP="00BB366A" w:rsidRDefault="005545C8" w14:paraId="22B9A7AB" w14:textId="153C9291">
            <w:pPr>
              <w:rPr>
                <w:rFonts w:ascii="Palatino Linotype" w:hAnsi="Palatino Linotype"/>
                <w:b/>
                <w:sz w:val="20"/>
                <w:szCs w:val="20"/>
              </w:rPr>
            </w:pPr>
            <w:r>
              <w:rPr>
                <w:rFonts w:ascii="Palatino Linotype" w:hAnsi="Palatino Linotype"/>
                <w:bCs/>
                <w:sz w:val="20"/>
                <w:szCs w:val="20"/>
              </w:rPr>
              <w:lastRenderedPageBreak/>
              <w:t>The</w:t>
            </w:r>
            <w:r w:rsidRPr="005B2330">
              <w:rPr>
                <w:rFonts w:ascii="Palatino Linotype" w:hAnsi="Palatino Linotype"/>
                <w:bCs/>
                <w:sz w:val="20"/>
                <w:szCs w:val="20"/>
              </w:rPr>
              <w:t xml:space="preserve"> </w:t>
            </w:r>
            <w:r w:rsidRPr="005B2330" w:rsidR="002F78F4">
              <w:rPr>
                <w:rFonts w:ascii="Palatino Linotype" w:hAnsi="Palatino Linotype"/>
                <w:bCs/>
                <w:sz w:val="20"/>
                <w:szCs w:val="20"/>
              </w:rPr>
              <w:t>CEC posted its Plan publicly and accessibly; distributed on listservs; and offered to present to CPUC Commissioners.</w:t>
            </w:r>
            <w:r w:rsidR="002F78F4">
              <w:rPr>
                <w:rFonts w:ascii="Palatino Linotype" w:hAnsi="Palatino Linotype"/>
                <w:b/>
                <w:sz w:val="20"/>
                <w:szCs w:val="20"/>
              </w:rPr>
              <w:t xml:space="preserve"> </w:t>
            </w:r>
            <w:r w:rsidRPr="005545C8">
              <w:rPr>
                <w:rFonts w:ascii="Palatino Linotype" w:hAnsi="Palatino Linotype"/>
                <w:b/>
                <w:sz w:val="20"/>
                <w:szCs w:val="20"/>
              </w:rPr>
              <w:t>The</w:t>
            </w:r>
            <w:r w:rsidRPr="0059169E">
              <w:rPr>
                <w:rFonts w:ascii="Palatino Linotype" w:hAnsi="Palatino Linotype"/>
                <w:b/>
                <w:sz w:val="20"/>
                <w:szCs w:val="20"/>
              </w:rPr>
              <w:t xml:space="preserve"> </w:t>
            </w:r>
            <w:r w:rsidRPr="0059169E" w:rsidR="002F78F4">
              <w:rPr>
                <w:rFonts w:ascii="Palatino Linotype" w:hAnsi="Palatino Linotype"/>
                <w:b/>
                <w:sz w:val="20"/>
                <w:szCs w:val="20"/>
              </w:rPr>
              <w:t>CEC is compliant with this requirement.</w:t>
            </w:r>
          </w:p>
        </w:tc>
      </w:tr>
      <w:tr w:rsidR="002F78F4" w:rsidTr="00C254F7" w14:paraId="0AB10F6B" w14:textId="77777777">
        <w:trPr>
          <w:trHeight w:val="638"/>
        </w:trPr>
        <w:tc>
          <w:tcPr>
            <w:tcW w:w="3145" w:type="dxa"/>
          </w:tcPr>
          <w:p w:rsidRPr="00E7529D" w:rsidR="002F78F4" w:rsidP="00BB366A" w:rsidRDefault="002F78F4" w14:paraId="19733716" w14:textId="77777777">
            <w:pPr>
              <w:rPr>
                <w:rFonts w:ascii="Palatino Linotype" w:hAnsi="Palatino Linotype"/>
                <w:b/>
                <w:i/>
                <w:iCs/>
                <w:sz w:val="20"/>
                <w:szCs w:val="20"/>
              </w:rPr>
            </w:pPr>
            <w:hyperlink w:history="1" r:id="rId81">
              <w:r w:rsidRPr="009459B9">
                <w:rPr>
                  <w:rStyle w:val="Hyperlink"/>
                  <w:rFonts w:ascii="Palatino Linotype" w:hAnsi="Palatino Linotype"/>
                  <w:b/>
                  <w:sz w:val="20"/>
                  <w:szCs w:val="20"/>
                </w:rPr>
                <w:t>Resolution G-3571</w:t>
              </w:r>
            </w:hyperlink>
            <w:r w:rsidRPr="009459B9">
              <w:rPr>
                <w:rFonts w:ascii="Palatino Linotype" w:hAnsi="Palatino Linotype"/>
                <w:bCs/>
                <w:sz w:val="20"/>
                <w:szCs w:val="20"/>
              </w:rPr>
              <w:t xml:space="preserve"> (2020) at OP 6.</w:t>
            </w:r>
            <w:r w:rsidRPr="00E7529D">
              <w:rPr>
                <w:rFonts w:ascii="Palatino Linotype" w:hAnsi="Palatino Linotype"/>
                <w:bCs/>
                <w:i/>
                <w:iCs/>
                <w:sz w:val="20"/>
                <w:szCs w:val="20"/>
              </w:rPr>
              <w:t xml:space="preserve"> In developing the future Natural Gas R&amp;D Plans, the CPUC requests that the CEC submit future Natural Gas R&amp;D Plans via the Tier 3 Advice Letter/business letter process.</w:t>
            </w:r>
          </w:p>
        </w:tc>
        <w:tc>
          <w:tcPr>
            <w:tcW w:w="7920" w:type="dxa"/>
          </w:tcPr>
          <w:p w:rsidRPr="00812338" w:rsidR="002F78F4" w:rsidP="00BB366A" w:rsidRDefault="0048367C" w14:paraId="741512F7" w14:textId="6030EE9F">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Pr="002C64FB" w:rsidR="00173266">
              <w:rPr>
                <w:rFonts w:ascii="Palatino Linotype" w:hAnsi="Palatino Linotype"/>
                <w:bCs/>
                <w:color w:val="000000" w:themeColor="text1"/>
                <w:sz w:val="20"/>
                <w:szCs w:val="20"/>
              </w:rPr>
              <w:t>CEC submitted its FY</w:t>
            </w:r>
            <w:r>
              <w:rPr>
                <w:rFonts w:ascii="Palatino Linotype" w:hAnsi="Palatino Linotype"/>
                <w:bCs/>
                <w:color w:val="000000" w:themeColor="text1"/>
                <w:sz w:val="20"/>
                <w:szCs w:val="20"/>
              </w:rPr>
              <w:t xml:space="preserve"> </w:t>
            </w:r>
            <w:r w:rsidRPr="002C64FB" w:rsidR="00173266">
              <w:rPr>
                <w:rFonts w:ascii="Palatino Linotype" w:hAnsi="Palatino Linotype"/>
                <w:bCs/>
                <w:color w:val="000000" w:themeColor="text1"/>
                <w:sz w:val="20"/>
                <w:szCs w:val="20"/>
              </w:rPr>
              <w:t>2024-2025 Gas RD&amp;D Investment Plan Tier 3 Advice Letter (AL) (6-G) on March 27, 2024; submitted a supplement</w:t>
            </w:r>
            <w:r w:rsidR="00173266">
              <w:rPr>
                <w:rFonts w:ascii="Palatino Linotype" w:hAnsi="Palatino Linotype"/>
                <w:bCs/>
                <w:color w:val="000000" w:themeColor="text1"/>
                <w:sz w:val="20"/>
                <w:szCs w:val="20"/>
              </w:rPr>
              <w:t>al</w:t>
            </w:r>
            <w:r w:rsidRPr="002C64FB" w:rsidR="00173266">
              <w:rPr>
                <w:rFonts w:ascii="Palatino Linotype" w:hAnsi="Palatino Linotype"/>
                <w:bCs/>
                <w:color w:val="000000" w:themeColor="text1"/>
                <w:sz w:val="20"/>
                <w:szCs w:val="20"/>
              </w:rPr>
              <w:t xml:space="preserve"> Tier 3 AL (6-G-A) on November 11, 2024; withdrew the supplement on February 13, 2025; and resubmitted a Tier 3 AL (12-G) on August 8, 2025.</w:t>
            </w:r>
          </w:p>
        </w:tc>
        <w:tc>
          <w:tcPr>
            <w:tcW w:w="3240" w:type="dxa"/>
          </w:tcPr>
          <w:p w:rsidRPr="00E7529D" w:rsidR="002F78F4" w:rsidP="00BB366A" w:rsidRDefault="005545C8" w14:paraId="678594F9" w14:textId="28E670DD">
            <w:pPr>
              <w:rPr>
                <w:rFonts w:ascii="Palatino Linotype" w:hAnsi="Palatino Linotype"/>
                <w:b/>
                <w:sz w:val="20"/>
                <w:szCs w:val="20"/>
              </w:rPr>
            </w:pPr>
            <w:r>
              <w:rPr>
                <w:rFonts w:ascii="Palatino Linotype" w:hAnsi="Palatino Linotype"/>
                <w:bCs/>
                <w:sz w:val="20"/>
                <w:szCs w:val="20"/>
              </w:rPr>
              <w:t>The</w:t>
            </w:r>
            <w:r w:rsidRPr="007372B5">
              <w:rPr>
                <w:rFonts w:ascii="Palatino Linotype" w:hAnsi="Palatino Linotype"/>
                <w:bCs/>
                <w:sz w:val="20"/>
                <w:szCs w:val="20"/>
              </w:rPr>
              <w:t xml:space="preserve"> </w:t>
            </w:r>
            <w:r w:rsidRPr="007372B5" w:rsidR="002F78F4">
              <w:rPr>
                <w:rFonts w:ascii="Palatino Linotype" w:hAnsi="Palatino Linotype"/>
                <w:bCs/>
                <w:sz w:val="20"/>
                <w:szCs w:val="20"/>
              </w:rPr>
              <w:t>CEC submitted its proposed FY 2024-2025 Gas RD&amp;D Plan via Tier 3 AL.</w:t>
            </w:r>
            <w:r w:rsidR="002F78F4">
              <w:rPr>
                <w:rFonts w:ascii="Palatino Linotype" w:hAnsi="Palatino Linotype"/>
                <w:b/>
                <w:sz w:val="20"/>
                <w:szCs w:val="20"/>
              </w:rPr>
              <w:t xml:space="preserve"> </w:t>
            </w:r>
            <w:r w:rsidRPr="005545C8">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p>
        </w:tc>
      </w:tr>
      <w:tr w:rsidR="002F78F4" w:rsidTr="00C254F7" w14:paraId="580AB1CF" w14:textId="77777777">
        <w:trPr>
          <w:trHeight w:val="638"/>
        </w:trPr>
        <w:tc>
          <w:tcPr>
            <w:tcW w:w="3145" w:type="dxa"/>
          </w:tcPr>
          <w:p w:rsidRPr="008456D6" w:rsidR="002F78F4" w:rsidP="00BB366A" w:rsidRDefault="002F78F4" w14:paraId="45A9321F" w14:textId="77777777">
            <w:pPr>
              <w:rPr>
                <w:sz w:val="20"/>
                <w:szCs w:val="20"/>
              </w:rPr>
            </w:pPr>
            <w:hyperlink w:tgtFrame="_blank" w:history="1" r:id="rId82">
              <w:r w:rsidRPr="009459B9">
                <w:rPr>
                  <w:rStyle w:val="Hyperlink"/>
                  <w:rFonts w:ascii="Palatino Linotype" w:hAnsi="Palatino Linotype"/>
                  <w:b/>
                  <w:bCs/>
                  <w:sz w:val="20"/>
                  <w:szCs w:val="20"/>
                </w:rPr>
                <w:t>Resolution G-3584</w:t>
              </w:r>
            </w:hyperlink>
            <w:r w:rsidRPr="009459B9">
              <w:rPr>
                <w:rFonts w:ascii="Palatino Linotype" w:hAnsi="Palatino Linotype"/>
                <w:sz w:val="20"/>
                <w:szCs w:val="20"/>
              </w:rPr>
              <w:t xml:space="preserve"> (202</w:t>
            </w:r>
            <w:r>
              <w:rPr>
                <w:rFonts w:ascii="Palatino Linotype" w:hAnsi="Palatino Linotype"/>
                <w:sz w:val="20"/>
                <w:szCs w:val="20"/>
              </w:rPr>
              <w:t>1</w:t>
            </w:r>
            <w:r w:rsidRPr="009459B9">
              <w:rPr>
                <w:rFonts w:ascii="Palatino Linotype" w:hAnsi="Palatino Linotype"/>
                <w:sz w:val="20"/>
                <w:szCs w:val="20"/>
              </w:rPr>
              <w:t>) at OP 5.</w:t>
            </w:r>
            <w:r w:rsidRPr="008456D6">
              <w:rPr>
                <w:rFonts w:ascii="Palatino Linotype" w:hAnsi="Palatino Linotype"/>
                <w:sz w:val="20"/>
                <w:szCs w:val="20"/>
              </w:rPr>
              <w:t xml:space="preserve"> </w:t>
            </w:r>
            <w:r w:rsidRPr="008456D6">
              <w:rPr>
                <w:rFonts w:ascii="Palatino Linotype" w:hAnsi="Palatino Linotype"/>
                <w:i/>
                <w:iCs/>
                <w:sz w:val="20"/>
                <w:szCs w:val="20"/>
              </w:rPr>
              <w:t>In developing the Fiscal Year 2022-2023 Gas R&amp;D Plan, the CEC shall: a) Consider the Assembly Bill 3232 (Friedman, 2018) report.</w:t>
            </w:r>
            <w:r>
              <w:rPr>
                <w:rStyle w:val="FootnoteReference"/>
                <w:rFonts w:ascii="Palatino Linotype" w:hAnsi="Palatino Linotype"/>
                <w:i/>
                <w:iCs/>
                <w:sz w:val="20"/>
                <w:szCs w:val="20"/>
              </w:rPr>
              <w:footnoteReference w:id="162"/>
            </w:r>
            <w:r w:rsidRPr="008456D6">
              <w:rPr>
                <w:rFonts w:ascii="Palatino Linotype" w:hAnsi="Palatino Linotype"/>
                <w:sz w:val="20"/>
                <w:szCs w:val="20"/>
              </w:rPr>
              <w:t xml:space="preserve">  </w:t>
            </w:r>
          </w:p>
        </w:tc>
        <w:tc>
          <w:tcPr>
            <w:tcW w:w="7920" w:type="dxa"/>
          </w:tcPr>
          <w:p w:rsidRPr="00687BCD" w:rsidR="002F78F4" w:rsidP="00BB366A" w:rsidRDefault="00A3038F" w14:paraId="06F49639" w14:textId="65004461">
            <w:pPr>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CEC states that it “</w:t>
            </w:r>
            <w:r w:rsidRPr="00670B76" w:rsidR="002F78F4">
              <w:rPr>
                <w:rFonts w:ascii="Palatino Linotype" w:hAnsi="Palatino Linotype"/>
                <w:bCs/>
                <w:color w:val="000000" w:themeColor="text1"/>
                <w:sz w:val="20"/>
                <w:szCs w:val="20"/>
              </w:rPr>
              <w:t>considered the AB 3232 (Friedman, Chapter 373, Statutes of 2018) report in developing the Gas R&amp;D Budget Plan, specifically the seven key strategies to decarbonize residential and commercial buildings</w:t>
            </w:r>
            <w:r w:rsidR="002F78F4">
              <w:rPr>
                <w:rFonts w:ascii="Palatino Linotype" w:hAnsi="Palatino Linotype"/>
                <w:bCs/>
                <w:color w:val="000000" w:themeColor="text1"/>
                <w:sz w:val="20"/>
                <w:szCs w:val="20"/>
              </w:rPr>
              <w:t xml:space="preserve"> </w:t>
            </w:r>
            <w:r w:rsidRPr="00687BCD" w:rsidR="002F78F4">
              <w:rPr>
                <w:rFonts w:ascii="Palatino Linotype" w:hAnsi="Palatino Linotype"/>
                <w:bCs/>
                <w:color w:val="000000" w:themeColor="text1"/>
                <w:sz w:val="20"/>
                <w:szCs w:val="20"/>
              </w:rPr>
              <w:t>outlined in the 2021 report California Building Decarbonization Assessment. The initiatives in this FY 2024–2025 Gas R&amp;D Budget Plan support several of the recommended strategies[:]</w:t>
            </w:r>
          </w:p>
          <w:p w:rsidR="002F78F4" w:rsidP="003B475F" w:rsidRDefault="002F78F4" w14:paraId="7033BCB4" w14:textId="77777777">
            <w:pPr>
              <w:pStyle w:val="ListParagraph"/>
              <w:numPr>
                <w:ilvl w:val="0"/>
                <w:numId w:val="22"/>
              </w:numPr>
              <w:rPr>
                <w:rFonts w:ascii="Palatino Linotype" w:hAnsi="Palatino Linotype"/>
                <w:bCs/>
                <w:color w:val="000000" w:themeColor="text1"/>
                <w:sz w:val="20"/>
                <w:szCs w:val="20"/>
              </w:rPr>
            </w:pPr>
            <w:r w:rsidRPr="00687BCD">
              <w:rPr>
                <w:rFonts w:ascii="Palatino Linotype" w:hAnsi="Palatino Linotype"/>
                <w:bCs/>
                <w:color w:val="000000" w:themeColor="text1"/>
                <w:sz w:val="20"/>
                <w:szCs w:val="20"/>
              </w:rPr>
              <w:t>The ‘Fuel-Flexible Distributed Power Generation’ research initiative supports the second strategy detailed in the report for ‘Decarbonizing the Electricity Generation System.’ The initiative proposes using different types and qualities of renewable fuels, such as hydrogen, biomethane, or ammonia, in distributed generation technologies to enable them to be fuel-flexible. The initiative will take a technology-neutral approach that encompasses a range of strategies, from cutting combustion system emissions to expanding the operability of non-combustion systems. This approach seeks to modify or develop energy conversion systems like generators to operate on one or more renewable fuels, thereby expanding the suite of strategies to achieve a cleaner generation system.</w:t>
            </w:r>
          </w:p>
          <w:p w:rsidRPr="00BD5DC6" w:rsidR="002F78F4" w:rsidP="003B475F" w:rsidRDefault="002F78F4" w14:paraId="0BDB47D8" w14:textId="77777777">
            <w:pPr>
              <w:pStyle w:val="ListParagraph"/>
              <w:numPr>
                <w:ilvl w:val="0"/>
                <w:numId w:val="22"/>
              </w:numPr>
              <w:rPr>
                <w:rFonts w:ascii="Palatino Linotype" w:hAnsi="Palatino Linotype"/>
                <w:bCs/>
                <w:color w:val="000000" w:themeColor="text1"/>
                <w:sz w:val="20"/>
                <w:szCs w:val="20"/>
              </w:rPr>
            </w:pPr>
            <w:r w:rsidRPr="00BD5DC6">
              <w:rPr>
                <w:rFonts w:ascii="Palatino Linotype" w:hAnsi="Palatino Linotype"/>
                <w:bCs/>
                <w:color w:val="000000" w:themeColor="text1"/>
                <w:sz w:val="20"/>
                <w:szCs w:val="20"/>
              </w:rPr>
              <w:t xml:space="preserve">The report also includes a strategy referred to as ‘Decarbonizing the Gas System.’ While the CEC originally considered a Clean Renewable Hydrogen Distribution research initiative to study the role of hydrogen separation technologies to understand whether and how hydrogen should be used to displace fossil gas in the existing gas system, the CEC ultimately decided not </w:t>
            </w:r>
            <w:r w:rsidRPr="00BD5DC6">
              <w:rPr>
                <w:rFonts w:ascii="Palatino Linotype" w:hAnsi="Palatino Linotype"/>
                <w:bCs/>
                <w:color w:val="000000" w:themeColor="text1"/>
                <w:sz w:val="20"/>
                <w:szCs w:val="20"/>
              </w:rPr>
              <w:lastRenderedPageBreak/>
              <w:t>to include this initiative in the FY 2024–2025 Proposed Budget Plan. This decision was based largely on CPUC and public feedback, as summarized in Appendix C.”</w:t>
            </w:r>
            <w:r w:rsidRPr="00687BCD">
              <w:rPr>
                <w:rStyle w:val="FootnoteReference"/>
                <w:rFonts w:ascii="Palatino Linotype" w:hAnsi="Palatino Linotype"/>
                <w:bCs/>
                <w:color w:val="000000" w:themeColor="text1"/>
                <w:sz w:val="20"/>
                <w:szCs w:val="20"/>
              </w:rPr>
              <w:footnoteReference w:id="163"/>
            </w:r>
          </w:p>
        </w:tc>
        <w:tc>
          <w:tcPr>
            <w:tcW w:w="3240" w:type="dxa"/>
          </w:tcPr>
          <w:p w:rsidRPr="00E7529D" w:rsidR="002F78F4" w:rsidP="00BB366A" w:rsidRDefault="00A3038F" w14:paraId="765FE615" w14:textId="6CFCA5C1">
            <w:pPr>
              <w:rPr>
                <w:rFonts w:ascii="Palatino Linotype" w:hAnsi="Palatino Linotype"/>
                <w:b/>
                <w:sz w:val="20"/>
                <w:szCs w:val="20"/>
              </w:rPr>
            </w:pPr>
            <w:r>
              <w:rPr>
                <w:rFonts w:ascii="Palatino Linotype" w:hAnsi="Palatino Linotype"/>
                <w:bCs/>
                <w:sz w:val="20"/>
                <w:szCs w:val="20"/>
              </w:rPr>
              <w:lastRenderedPageBreak/>
              <w:t>The</w:t>
            </w:r>
            <w:r w:rsidRPr="00CB3CBF">
              <w:rPr>
                <w:rFonts w:ascii="Palatino Linotype" w:hAnsi="Palatino Linotype"/>
                <w:bCs/>
                <w:sz w:val="20"/>
                <w:szCs w:val="20"/>
              </w:rPr>
              <w:t xml:space="preserve"> </w:t>
            </w:r>
            <w:r w:rsidRPr="00CB3CBF" w:rsidR="002F78F4">
              <w:rPr>
                <w:rFonts w:ascii="Palatino Linotype" w:hAnsi="Palatino Linotype"/>
                <w:bCs/>
                <w:sz w:val="20"/>
                <w:szCs w:val="20"/>
              </w:rPr>
              <w:t>CEC demonstrates that it</w:t>
            </w:r>
            <w:r w:rsidR="002F78F4">
              <w:rPr>
                <w:rFonts w:ascii="Palatino Linotype" w:hAnsi="Palatino Linotype"/>
                <w:bCs/>
                <w:sz w:val="20"/>
                <w:szCs w:val="20"/>
              </w:rPr>
              <w:t xml:space="preserve"> </w:t>
            </w:r>
            <w:r w:rsidRPr="00CB3CBF" w:rsidR="002F78F4">
              <w:rPr>
                <w:rFonts w:ascii="Palatino Linotype" w:hAnsi="Palatino Linotype"/>
                <w:bCs/>
                <w:sz w:val="20"/>
                <w:szCs w:val="20"/>
              </w:rPr>
              <w:t>considered the Assembly Bill 3232 report in developing its proposed FY 2024-2025 Plan Initiatives.</w:t>
            </w:r>
            <w:r w:rsidR="002F78F4">
              <w:rPr>
                <w:rFonts w:ascii="Palatino Linotype" w:hAnsi="Palatino Linotype"/>
                <w:b/>
                <w:sz w:val="20"/>
                <w:szCs w:val="20"/>
              </w:rPr>
              <w:t xml:space="preserve"> </w:t>
            </w:r>
            <w:r w:rsidRPr="00A3038F">
              <w:rPr>
                <w:rFonts w:ascii="Palatino Linotype" w:hAnsi="Palatino Linotype"/>
                <w:b/>
                <w:sz w:val="20"/>
                <w:szCs w:val="20"/>
              </w:rPr>
              <w:t>The</w:t>
            </w:r>
            <w:r>
              <w:rPr>
                <w:rFonts w:ascii="Palatino Linotype" w:hAnsi="Palatino Linotype"/>
                <w:b/>
                <w:sz w:val="20"/>
                <w:szCs w:val="20"/>
              </w:rPr>
              <w:t xml:space="preserve"> </w:t>
            </w:r>
            <w:r w:rsidR="002F78F4">
              <w:rPr>
                <w:rFonts w:ascii="Palatino Linotype" w:hAnsi="Palatino Linotype"/>
                <w:b/>
                <w:sz w:val="20"/>
                <w:szCs w:val="20"/>
              </w:rPr>
              <w:t>CEC is compliant with this requirement.</w:t>
            </w:r>
          </w:p>
        </w:tc>
      </w:tr>
      <w:tr w:rsidR="002F78F4" w:rsidTr="00C254F7" w14:paraId="79951BA0" w14:textId="77777777">
        <w:trPr>
          <w:trHeight w:val="638"/>
        </w:trPr>
        <w:tc>
          <w:tcPr>
            <w:tcW w:w="3145" w:type="dxa"/>
          </w:tcPr>
          <w:p w:rsidRPr="001D5AE2" w:rsidR="002F78F4" w:rsidP="00BB366A" w:rsidRDefault="002F78F4" w14:paraId="2D54278B" w14:textId="77777777">
            <w:pPr>
              <w:rPr>
                <w:rFonts w:ascii="Palatino Linotype" w:hAnsi="Palatino Linotype"/>
                <w:sz w:val="20"/>
                <w:szCs w:val="20"/>
              </w:rPr>
            </w:pPr>
            <w:hyperlink w:tgtFrame="_blank" w:history="1" r:id="rId83">
              <w:r w:rsidRPr="009459B9">
                <w:rPr>
                  <w:rStyle w:val="Hyperlink"/>
                  <w:rFonts w:ascii="Palatino Linotype" w:hAnsi="Palatino Linotype"/>
                  <w:b/>
                  <w:bCs/>
                  <w:sz w:val="20"/>
                  <w:szCs w:val="20"/>
                </w:rPr>
                <w:t>Resolution G-3584</w:t>
              </w:r>
            </w:hyperlink>
            <w:r w:rsidRPr="009459B9">
              <w:rPr>
                <w:rFonts w:ascii="Palatino Linotype" w:hAnsi="Palatino Linotype"/>
                <w:sz w:val="20"/>
                <w:szCs w:val="20"/>
              </w:rPr>
              <w:t xml:space="preserve"> (202</w:t>
            </w:r>
            <w:r>
              <w:rPr>
                <w:rFonts w:ascii="Palatino Linotype" w:hAnsi="Palatino Linotype"/>
                <w:sz w:val="20"/>
                <w:szCs w:val="20"/>
              </w:rPr>
              <w:t>1</w:t>
            </w:r>
            <w:r w:rsidRPr="009459B9">
              <w:rPr>
                <w:rFonts w:ascii="Palatino Linotype" w:hAnsi="Palatino Linotype"/>
                <w:sz w:val="20"/>
                <w:szCs w:val="20"/>
              </w:rPr>
              <w:t>) at OP 6.</w:t>
            </w:r>
            <w:r w:rsidRPr="001D476B">
              <w:rPr>
                <w:rFonts w:ascii="Palatino Linotype" w:hAnsi="Palatino Linotype"/>
                <w:sz w:val="20"/>
                <w:szCs w:val="20"/>
              </w:rPr>
              <w:t xml:space="preserve"> </w:t>
            </w:r>
            <w:r w:rsidRPr="001D476B">
              <w:rPr>
                <w:rFonts w:ascii="Palatino Linotype" w:hAnsi="Palatino Linotype"/>
                <w:i/>
                <w:iCs/>
                <w:sz w:val="20"/>
                <w:szCs w:val="20"/>
              </w:rPr>
              <w:t>In developing future Gas R&amp;D plans, the CEC shall: a) Consider the Long-Term Technological Development Strategy to Meet Aggressive Statewide Decarbonization Goals as it becomes available.</w:t>
            </w:r>
          </w:p>
        </w:tc>
        <w:tc>
          <w:tcPr>
            <w:tcW w:w="7920" w:type="dxa"/>
          </w:tcPr>
          <w:p w:rsidRPr="007D4C21" w:rsidR="002F78F4" w:rsidP="00BB366A" w:rsidRDefault="00087B78" w14:paraId="107DD511" w14:textId="106F42CB">
            <w:pPr>
              <w:rPr>
                <w:rFonts w:ascii="Palatino Linotype" w:hAnsi="Palatino Linotype"/>
                <w:bCs/>
                <w:color w:val="000000" w:themeColor="text1"/>
                <w:sz w:val="20"/>
                <w:szCs w:val="20"/>
              </w:rPr>
            </w:pPr>
            <w:r>
              <w:rPr>
                <w:rFonts w:ascii="Palatino Linotype" w:hAnsi="Palatino Linotype"/>
                <w:bCs/>
                <w:sz w:val="20"/>
                <w:szCs w:val="20"/>
              </w:rPr>
              <w:t>The</w:t>
            </w:r>
            <w:r w:rsidRPr="00CB3CBF">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w:t>
            </w:r>
            <w:r w:rsidRPr="00CB3CBF" w:rsidR="002F78F4">
              <w:rPr>
                <w:rFonts w:ascii="Palatino Linotype" w:hAnsi="Palatino Linotype"/>
                <w:bCs/>
                <w:color w:val="000000" w:themeColor="text1"/>
                <w:sz w:val="20"/>
                <w:szCs w:val="20"/>
              </w:rPr>
              <w:t>EC</w:t>
            </w:r>
            <w:r w:rsidR="002F78F4">
              <w:rPr>
                <w:rFonts w:ascii="Palatino Linotype" w:hAnsi="Palatino Linotype"/>
                <w:bCs/>
                <w:color w:val="000000" w:themeColor="text1"/>
                <w:sz w:val="20"/>
                <w:szCs w:val="20"/>
              </w:rPr>
              <w:t xml:space="preserve"> that it considered </w:t>
            </w:r>
            <w:r w:rsidRPr="008275E6" w:rsidR="002F78F4">
              <w:rPr>
                <w:rFonts w:ascii="Palatino Linotype" w:hAnsi="Palatino Linotype"/>
                <w:bCs/>
                <w:color w:val="000000" w:themeColor="text1"/>
                <w:sz w:val="20"/>
                <w:szCs w:val="20"/>
              </w:rPr>
              <w:t>the Long-Term Gas Research Roadmap, titled Recommendations for the Long-Term Gas Research Strategy to Achieve Aggressive Statewide Carbon Neutrality Goals</w:t>
            </w:r>
            <w:r w:rsidR="002F78F4">
              <w:rPr>
                <w:rFonts w:ascii="Palatino Linotype" w:hAnsi="Palatino Linotype"/>
                <w:bCs/>
                <w:color w:val="000000" w:themeColor="text1"/>
                <w:sz w:val="20"/>
                <w:szCs w:val="20"/>
              </w:rPr>
              <w:t>: “</w:t>
            </w:r>
            <w:r w:rsidRPr="003D2171" w:rsidR="002F78F4">
              <w:rPr>
                <w:rFonts w:ascii="Palatino Linotype" w:hAnsi="Palatino Linotype"/>
                <w:bCs/>
                <w:color w:val="000000" w:themeColor="text1"/>
                <w:sz w:val="20"/>
                <w:szCs w:val="20"/>
              </w:rPr>
              <w:t xml:space="preserve">The roadmap includes recommendations, which are organized around 11 initiatives pertaining to communities, equity, and environment; gas end use; and gas supply chain, including production, transport, and storage. These recommendations have helped guide </w:t>
            </w:r>
            <w:r>
              <w:rPr>
                <w:rFonts w:ascii="Palatino Linotype" w:hAnsi="Palatino Linotype"/>
                <w:bCs/>
                <w:color w:val="000000" w:themeColor="text1"/>
                <w:sz w:val="20"/>
                <w:szCs w:val="20"/>
              </w:rPr>
              <w:t xml:space="preserve">the </w:t>
            </w:r>
            <w:r w:rsidRPr="003D2171" w:rsidR="002F78F4">
              <w:rPr>
                <w:rFonts w:ascii="Palatino Linotype" w:hAnsi="Palatino Linotype"/>
                <w:bCs/>
                <w:color w:val="000000" w:themeColor="text1"/>
                <w:sz w:val="20"/>
                <w:szCs w:val="20"/>
              </w:rPr>
              <w:t>CEC’s Gas R&amp;D planning and inform the investments identified in this budget plan</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64"/>
            </w:r>
          </w:p>
        </w:tc>
        <w:tc>
          <w:tcPr>
            <w:tcW w:w="3240" w:type="dxa"/>
          </w:tcPr>
          <w:p w:rsidRPr="00E7529D" w:rsidR="002F78F4" w:rsidP="00BB366A" w:rsidRDefault="00087B78" w14:paraId="4663B149" w14:textId="66A2634D">
            <w:pPr>
              <w:rPr>
                <w:rFonts w:ascii="Palatino Linotype" w:hAnsi="Palatino Linotype"/>
                <w:b/>
                <w:sz w:val="20"/>
                <w:szCs w:val="20"/>
              </w:rPr>
            </w:pPr>
            <w:r>
              <w:rPr>
                <w:rFonts w:ascii="Palatino Linotype" w:hAnsi="Palatino Linotype"/>
                <w:bCs/>
                <w:sz w:val="20"/>
                <w:szCs w:val="20"/>
              </w:rPr>
              <w:t>The</w:t>
            </w:r>
            <w:r w:rsidRPr="003D2171">
              <w:rPr>
                <w:rFonts w:ascii="Palatino Linotype" w:hAnsi="Palatino Linotype"/>
                <w:bCs/>
                <w:sz w:val="20"/>
                <w:szCs w:val="20"/>
              </w:rPr>
              <w:t xml:space="preserve"> </w:t>
            </w:r>
            <w:r w:rsidRPr="003D2171" w:rsidR="002F78F4">
              <w:rPr>
                <w:rFonts w:ascii="Palatino Linotype" w:hAnsi="Palatino Linotype"/>
                <w:bCs/>
                <w:sz w:val="20"/>
                <w:szCs w:val="20"/>
              </w:rPr>
              <w:t>CEC demonstrate</w:t>
            </w:r>
            <w:r w:rsidR="00433F7D">
              <w:rPr>
                <w:rFonts w:ascii="Palatino Linotype" w:hAnsi="Palatino Linotype"/>
                <w:bCs/>
                <w:sz w:val="20"/>
                <w:szCs w:val="20"/>
              </w:rPr>
              <w:t>s</w:t>
            </w:r>
            <w:r w:rsidRPr="003D2171" w:rsidR="002F78F4">
              <w:rPr>
                <w:rFonts w:ascii="Palatino Linotype" w:hAnsi="Palatino Linotype"/>
                <w:bCs/>
                <w:sz w:val="20"/>
                <w:szCs w:val="20"/>
              </w:rPr>
              <w:t xml:space="preserve"> that it considered the Long-Term Technological Development Strategy to Meet Aggressive Statewide Decarbonization Goals</w:t>
            </w:r>
            <w:r w:rsidR="002F78F4">
              <w:rPr>
                <w:rFonts w:ascii="Palatino Linotype" w:hAnsi="Palatino Linotype"/>
                <w:b/>
                <w:sz w:val="20"/>
                <w:szCs w:val="20"/>
              </w:rPr>
              <w:t xml:space="preserve"> </w:t>
            </w:r>
            <w:r w:rsidRPr="00CB3CBF" w:rsidR="002F78F4">
              <w:rPr>
                <w:rFonts w:ascii="Palatino Linotype" w:hAnsi="Palatino Linotype"/>
                <w:bCs/>
                <w:sz w:val="20"/>
                <w:szCs w:val="20"/>
              </w:rPr>
              <w:t>in developing its proposed FY 2024-2025 Plan Initiatives.</w:t>
            </w:r>
            <w:r w:rsidR="002F78F4">
              <w:rPr>
                <w:rFonts w:ascii="Palatino Linotype" w:hAnsi="Palatino Linotype"/>
                <w:b/>
                <w:sz w:val="20"/>
                <w:szCs w:val="20"/>
              </w:rPr>
              <w:t xml:space="preserve"> </w:t>
            </w:r>
            <w:r>
              <w:rPr>
                <w:rFonts w:ascii="Palatino Linotype" w:hAnsi="Palatino Linotype"/>
                <w:b/>
                <w:sz w:val="20"/>
                <w:szCs w:val="20"/>
              </w:rPr>
              <w:t xml:space="preserve">The </w:t>
            </w:r>
            <w:r w:rsidR="002F78F4">
              <w:rPr>
                <w:rFonts w:ascii="Palatino Linotype" w:hAnsi="Palatino Linotype"/>
                <w:b/>
                <w:sz w:val="20"/>
                <w:szCs w:val="20"/>
              </w:rPr>
              <w:t>CEC is compliant with this requirement.</w:t>
            </w:r>
          </w:p>
        </w:tc>
      </w:tr>
      <w:tr w:rsidR="00B47E24" w:rsidTr="00C254F7" w14:paraId="34237172" w14:textId="77777777">
        <w:trPr>
          <w:trHeight w:val="638"/>
        </w:trPr>
        <w:tc>
          <w:tcPr>
            <w:tcW w:w="3145" w:type="dxa"/>
          </w:tcPr>
          <w:p w:rsidRPr="00B47E24" w:rsidR="00B47E24" w:rsidP="00B47E24" w:rsidRDefault="00B47E24" w14:paraId="2772F726" w14:textId="1D185767">
            <w:pPr>
              <w:rPr>
                <w:rFonts w:ascii="Palatino Linotype" w:hAnsi="Palatino Linotype"/>
                <w:i/>
                <w:iCs/>
                <w:sz w:val="20"/>
                <w:szCs w:val="20"/>
              </w:rPr>
            </w:pPr>
            <w:hyperlink r:id="rId84">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w:t>
            </w:r>
            <w:r>
              <w:rPr>
                <w:rFonts w:ascii="Palatino Linotype" w:hAnsi="Palatino Linotype"/>
                <w:sz w:val="20"/>
                <w:szCs w:val="20"/>
              </w:rPr>
              <w:t xml:space="preserve"> 2. </w:t>
            </w:r>
            <w:r w:rsidRPr="00B47E24">
              <w:rPr>
                <w:rFonts w:ascii="Palatino Linotype" w:hAnsi="Palatino Linotype"/>
                <w:i/>
                <w:iCs/>
                <w:sz w:val="20"/>
                <w:szCs w:val="20"/>
              </w:rPr>
              <w:t>The CEC’s administrative budget is capped at 10 percent of the total budget of $24 million, or $2.4 million.</w:t>
            </w:r>
          </w:p>
        </w:tc>
        <w:tc>
          <w:tcPr>
            <w:tcW w:w="7920" w:type="dxa"/>
          </w:tcPr>
          <w:p w:rsidR="00B47E24" w:rsidP="00B47E24" w:rsidRDefault="00B47E24" w14:paraId="00802B39" w14:textId="5870AAFC">
            <w:pPr>
              <w:rPr>
                <w:rFonts w:ascii="Palatino Linotype" w:hAnsi="Palatino Linotype"/>
                <w:bCs/>
                <w:color w:val="000000" w:themeColor="text1"/>
                <w:sz w:val="20"/>
                <w:szCs w:val="20"/>
              </w:rPr>
            </w:pPr>
            <w:r>
              <w:rPr>
                <w:rFonts w:ascii="Palatino Linotype" w:hAnsi="Palatino Linotype"/>
                <w:bCs/>
                <w:sz w:val="20"/>
                <w:szCs w:val="20"/>
              </w:rPr>
              <w:t>The</w:t>
            </w:r>
            <w:r w:rsidRPr="007E2219">
              <w:rPr>
                <w:rFonts w:ascii="Palatino Linotype" w:hAnsi="Palatino Linotype"/>
                <w:bCs/>
                <w:color w:val="000000" w:themeColor="text1"/>
                <w:sz w:val="20"/>
                <w:szCs w:val="20"/>
              </w:rPr>
              <w:t xml:space="preserve"> CEC proposes a total FY2024-2025 Plan budget of $24 million, including </w:t>
            </w:r>
            <w:r w:rsidR="00C254F7">
              <w:rPr>
                <w:rFonts w:ascii="Palatino Linotype" w:hAnsi="Palatino Linotype"/>
                <w:bCs/>
                <w:color w:val="000000" w:themeColor="text1"/>
                <w:sz w:val="20"/>
                <w:szCs w:val="20"/>
              </w:rPr>
              <w:t xml:space="preserve">10% for </w:t>
            </w:r>
            <w:r w:rsidRPr="007E2219">
              <w:rPr>
                <w:rFonts w:ascii="Palatino Linotype" w:hAnsi="Palatino Linotype"/>
                <w:bCs/>
                <w:color w:val="000000" w:themeColor="text1"/>
                <w:sz w:val="20"/>
                <w:szCs w:val="20"/>
              </w:rPr>
              <w:t>Program Administration costs.</w:t>
            </w:r>
            <w:r>
              <w:rPr>
                <w:rStyle w:val="FootnoteReference"/>
                <w:rFonts w:ascii="Palatino Linotype" w:hAnsi="Palatino Linotype"/>
                <w:bCs/>
                <w:color w:val="000000" w:themeColor="text1"/>
                <w:sz w:val="20"/>
                <w:szCs w:val="20"/>
              </w:rPr>
              <w:footnoteReference w:id="165"/>
            </w:r>
          </w:p>
        </w:tc>
        <w:tc>
          <w:tcPr>
            <w:tcW w:w="3240" w:type="dxa"/>
          </w:tcPr>
          <w:p w:rsidRPr="00250D42" w:rsidR="00B47E24" w:rsidP="00B47E24" w:rsidRDefault="00B47E24" w14:paraId="5006E8F2" w14:textId="0264E595">
            <w:pPr>
              <w:rPr>
                <w:rFonts w:ascii="Palatino Linotype" w:hAnsi="Palatino Linotype"/>
                <w:bCs/>
                <w:color w:val="000000" w:themeColor="text1"/>
                <w:sz w:val="20"/>
                <w:szCs w:val="20"/>
              </w:rPr>
            </w:pPr>
            <w:r>
              <w:rPr>
                <w:rFonts w:ascii="Palatino Linotype" w:hAnsi="Palatino Linotype"/>
                <w:bCs/>
                <w:sz w:val="20"/>
                <w:szCs w:val="20"/>
              </w:rPr>
              <w:t>The</w:t>
            </w:r>
            <w:r w:rsidRPr="00157B1E">
              <w:rPr>
                <w:rFonts w:ascii="Palatino Linotype" w:hAnsi="Palatino Linotype"/>
                <w:bCs/>
                <w:sz w:val="20"/>
                <w:szCs w:val="20"/>
              </w:rPr>
              <w:t xml:space="preserve"> CEC propos</w:t>
            </w:r>
            <w:r w:rsidR="00751956">
              <w:rPr>
                <w:rFonts w:ascii="Palatino Linotype" w:hAnsi="Palatino Linotype"/>
                <w:bCs/>
                <w:sz w:val="20"/>
                <w:szCs w:val="20"/>
              </w:rPr>
              <w:t>es a $2.4 million budget for Program Administration</w:t>
            </w:r>
            <w:r w:rsidRPr="00157B1E">
              <w:rPr>
                <w:rFonts w:ascii="Palatino Linotype" w:hAnsi="Palatino Linotype"/>
                <w:bCs/>
                <w:sz w:val="20"/>
                <w:szCs w:val="20"/>
              </w:rPr>
              <w:t>.</w:t>
            </w:r>
            <w:r w:rsidRPr="00D159FC">
              <w:rPr>
                <w:rFonts w:ascii="Palatino Linotype" w:hAnsi="Palatino Linotype"/>
                <w:b/>
                <w:sz w:val="20"/>
                <w:szCs w:val="20"/>
              </w:rPr>
              <w:t xml:space="preserve"> The</w:t>
            </w:r>
            <w:r w:rsidRPr="0059169E">
              <w:rPr>
                <w:rFonts w:ascii="Palatino Linotype" w:hAnsi="Palatino Linotype"/>
                <w:b/>
                <w:sz w:val="20"/>
                <w:szCs w:val="20"/>
              </w:rPr>
              <w:t xml:space="preserve"> CEC is compliant with this requirement</w:t>
            </w:r>
            <w:r w:rsidRPr="00072867">
              <w:rPr>
                <w:rFonts w:ascii="Palatino Linotype" w:hAnsi="Palatino Linotype"/>
                <w:b/>
                <w:color w:val="000000" w:themeColor="text1"/>
                <w:sz w:val="20"/>
                <w:szCs w:val="20"/>
              </w:rPr>
              <w:t xml:space="preserve">. </w:t>
            </w:r>
            <w:r w:rsidRPr="00072867">
              <w:rPr>
                <w:rFonts w:ascii="Palatino Linotype" w:hAnsi="Palatino Linotype"/>
                <w:bCs/>
                <w:color w:val="000000" w:themeColor="text1"/>
                <w:sz w:val="20"/>
                <w:szCs w:val="20"/>
              </w:rPr>
              <w:t xml:space="preserve">However, </w:t>
            </w:r>
            <w:r>
              <w:rPr>
                <w:rFonts w:ascii="Palatino Linotype" w:hAnsi="Palatino Linotype"/>
                <w:bCs/>
                <w:color w:val="000000" w:themeColor="text1"/>
                <w:sz w:val="20"/>
                <w:szCs w:val="20"/>
              </w:rPr>
              <w:t>t</w:t>
            </w:r>
            <w:r>
              <w:rPr>
                <w:rFonts w:ascii="Palatino Linotype" w:hAnsi="Palatino Linotype"/>
                <w:bCs/>
                <w:sz w:val="20"/>
                <w:szCs w:val="20"/>
              </w:rPr>
              <w:t>he</w:t>
            </w:r>
            <w:r w:rsidRPr="004627A0">
              <w:rPr>
                <w:rFonts w:ascii="Palatino Linotype" w:hAnsi="Palatino Linotype"/>
                <w:color w:val="000000" w:themeColor="text1"/>
                <w:sz w:val="20"/>
                <w:szCs w:val="20"/>
              </w:rPr>
              <w:t xml:space="preserve"> CEC </w:t>
            </w:r>
            <w:r>
              <w:rPr>
                <w:rFonts w:ascii="Palatino Linotype" w:hAnsi="Palatino Linotype"/>
                <w:color w:val="000000" w:themeColor="text1"/>
                <w:sz w:val="20"/>
                <w:szCs w:val="20"/>
              </w:rPr>
              <w:t>shall first utilize unspent funds prior to any new ratepayer funds for its 2024 Plan as described in this Resolution.</w:t>
            </w:r>
          </w:p>
        </w:tc>
      </w:tr>
      <w:tr w:rsidR="002F78F4" w:rsidTr="00C254F7" w14:paraId="4973B142" w14:textId="77777777">
        <w:trPr>
          <w:trHeight w:val="638"/>
        </w:trPr>
        <w:tc>
          <w:tcPr>
            <w:tcW w:w="3145" w:type="dxa"/>
          </w:tcPr>
          <w:p w:rsidRPr="00E7529D" w:rsidR="002F78F4" w:rsidP="00BB366A" w:rsidRDefault="002F78F4" w14:paraId="6851CEB8" w14:textId="77777777">
            <w:pPr>
              <w:rPr>
                <w:rFonts w:ascii="Palatino Linotype" w:hAnsi="Palatino Linotype"/>
                <w:sz w:val="20"/>
                <w:szCs w:val="20"/>
              </w:rPr>
            </w:pPr>
            <w:hyperlink r:id="rId85">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 5a</w:t>
            </w:r>
            <w:r w:rsidRPr="3F09D30F">
              <w:rPr>
                <w:rFonts w:ascii="Palatino Linotype" w:hAnsi="Palatino Linotype"/>
                <w:sz w:val="20"/>
                <w:szCs w:val="20"/>
              </w:rPr>
              <w:t>.</w:t>
            </w:r>
            <w:r w:rsidRPr="3F09D30F">
              <w:rPr>
                <w:rFonts w:ascii="Palatino Linotype" w:hAnsi="Palatino Linotype"/>
                <w:i/>
                <w:iCs/>
                <w:sz w:val="20"/>
                <w:szCs w:val="20"/>
              </w:rPr>
              <w:t xml:space="preserve"> </w:t>
            </w:r>
            <w:r>
              <w:rPr>
                <w:rFonts w:ascii="Palatino Linotype" w:hAnsi="Palatino Linotype"/>
                <w:i/>
                <w:iCs/>
                <w:sz w:val="20"/>
                <w:szCs w:val="20"/>
              </w:rPr>
              <w:t>I</w:t>
            </w:r>
            <w:r w:rsidRPr="3F09D30F">
              <w:rPr>
                <w:rFonts w:ascii="Palatino Linotype" w:hAnsi="Palatino Linotype"/>
                <w:i/>
                <w:iCs/>
                <w:sz w:val="20"/>
                <w:szCs w:val="20"/>
              </w:rPr>
              <w:t xml:space="preserve">dentify and engage appropriate disadvantaged community stakeholders to provide increased input on how to administer the program equitably. The CEC shall </w:t>
            </w:r>
            <w:r w:rsidRPr="3F09D30F">
              <w:rPr>
                <w:rFonts w:ascii="Palatino Linotype" w:hAnsi="Palatino Linotype"/>
                <w:i/>
                <w:iCs/>
                <w:sz w:val="20"/>
                <w:szCs w:val="20"/>
              </w:rPr>
              <w:lastRenderedPageBreak/>
              <w:t>include details on how disadvantaged community stakeholders and DACAG input was incorporated into each Gas R&amp;D theme, as relevant to their input.</w:t>
            </w:r>
          </w:p>
        </w:tc>
        <w:tc>
          <w:tcPr>
            <w:tcW w:w="7920" w:type="dxa"/>
          </w:tcPr>
          <w:p w:rsidR="002F78F4" w:rsidP="00BB366A" w:rsidRDefault="002F78F4" w14:paraId="257463F4" w14:textId="70C6CB54">
            <w:pPr>
              <w:rPr>
                <w:rFonts w:ascii="Palatino Linotype" w:hAnsi="Palatino Linotype"/>
                <w:bCs/>
                <w:color w:val="000000" w:themeColor="text1"/>
                <w:sz w:val="20"/>
                <w:szCs w:val="20"/>
              </w:rPr>
            </w:pPr>
            <w:r>
              <w:rPr>
                <w:rFonts w:ascii="Palatino Linotype" w:hAnsi="Palatino Linotype"/>
                <w:bCs/>
                <w:color w:val="000000" w:themeColor="text1"/>
                <w:sz w:val="20"/>
                <w:szCs w:val="20"/>
              </w:rPr>
              <w:lastRenderedPageBreak/>
              <w:t xml:space="preserve">In an Equity Framework Matrix, </w:t>
            </w:r>
            <w:r w:rsidR="007B25BC">
              <w:rPr>
                <w:rFonts w:ascii="Palatino Linotype" w:hAnsi="Palatino Linotype"/>
                <w:bCs/>
                <w:color w:val="000000" w:themeColor="text1"/>
                <w:sz w:val="20"/>
                <w:szCs w:val="20"/>
              </w:rPr>
              <w:t xml:space="preserve">the </w:t>
            </w:r>
            <w:r>
              <w:rPr>
                <w:rFonts w:ascii="Palatino Linotype" w:hAnsi="Palatino Linotype"/>
                <w:bCs/>
                <w:color w:val="000000" w:themeColor="text1"/>
                <w:sz w:val="20"/>
                <w:szCs w:val="20"/>
              </w:rPr>
              <w:t>CEC identifies the direct and indirect Health &amp; Safety; Access &amp; Education; Financial; and Economic Development benefits across RD&amp;D Topics.</w:t>
            </w:r>
            <w:r>
              <w:rPr>
                <w:rStyle w:val="FootnoteReference"/>
                <w:rFonts w:ascii="Palatino Linotype" w:hAnsi="Palatino Linotype"/>
                <w:bCs/>
                <w:color w:val="000000" w:themeColor="text1"/>
                <w:sz w:val="20"/>
                <w:szCs w:val="20"/>
              </w:rPr>
              <w:footnoteReference w:id="166"/>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E92951" w:rsidR="007B25BC">
              <w:rPr>
                <w:rFonts w:ascii="Palatino Linotype" w:hAnsi="Palatino Linotype"/>
                <w:bCs/>
                <w:color w:val="000000" w:themeColor="text1"/>
                <w:sz w:val="20"/>
                <w:szCs w:val="20"/>
              </w:rPr>
              <w:t xml:space="preserve"> </w:t>
            </w:r>
            <w:r w:rsidRPr="00E92951">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Pr>
                <w:rFonts w:ascii="Palatino Linotype" w:hAnsi="Palatino Linotype"/>
                <w:bCs/>
                <w:color w:val="000000" w:themeColor="text1"/>
                <w:sz w:val="20"/>
                <w:szCs w:val="20"/>
              </w:rPr>
              <w:t>,</w:t>
            </w:r>
            <w:r w:rsidRPr="00E92951">
              <w:rPr>
                <w:rStyle w:val="FootnoteReference"/>
                <w:rFonts w:ascii="Palatino Linotype" w:hAnsi="Palatino Linotype"/>
                <w:bCs/>
                <w:color w:val="000000" w:themeColor="text1"/>
                <w:sz w:val="20"/>
                <w:szCs w:val="20"/>
              </w:rPr>
              <w:footnoteReference w:id="167"/>
            </w:r>
            <w:r>
              <w:rPr>
                <w:rFonts w:ascii="Palatino Linotype" w:hAnsi="Palatino Linotype"/>
                <w:bCs/>
                <w:color w:val="000000" w:themeColor="text1"/>
                <w:sz w:val="20"/>
                <w:szCs w:val="20"/>
              </w:rPr>
              <w:t xml:space="preserve"> including coordination with the DACAG. </w:t>
            </w:r>
            <w:r w:rsidR="007B25BC">
              <w:rPr>
                <w:rFonts w:ascii="Palatino Linotype" w:hAnsi="Palatino Linotype"/>
                <w:bCs/>
                <w:sz w:val="20"/>
                <w:szCs w:val="20"/>
              </w:rPr>
              <w:t>The</w:t>
            </w:r>
            <w:r w:rsidRPr="008141DC" w:rsidR="007B25BC">
              <w:rPr>
                <w:rFonts w:ascii="Palatino Linotype" w:hAnsi="Palatino Linotype"/>
                <w:bCs/>
                <w:color w:val="000000" w:themeColor="text1"/>
                <w:sz w:val="20"/>
                <w:szCs w:val="20"/>
              </w:rPr>
              <w:t xml:space="preserve"> </w:t>
            </w:r>
            <w:r w:rsidRPr="008141DC">
              <w:rPr>
                <w:rFonts w:ascii="Palatino Linotype" w:hAnsi="Palatino Linotype"/>
                <w:bCs/>
                <w:color w:val="000000" w:themeColor="text1"/>
                <w:sz w:val="20"/>
                <w:szCs w:val="20"/>
              </w:rPr>
              <w:t xml:space="preserve">CEC describes its Equitable Program Administration, including “CEC DACAG liaisons [supporting] technical staff </w:t>
            </w:r>
            <w:r w:rsidRPr="008141DC">
              <w:rPr>
                <w:rFonts w:ascii="Palatino Linotype" w:hAnsi="Palatino Linotype"/>
                <w:bCs/>
                <w:color w:val="000000" w:themeColor="text1"/>
                <w:sz w:val="20"/>
                <w:szCs w:val="20"/>
              </w:rPr>
              <w:lastRenderedPageBreak/>
              <w:t>in informing funding and focal areas and identifying engagement opportunities with the DACAG.”</w:t>
            </w:r>
            <w:r>
              <w:rPr>
                <w:rStyle w:val="FootnoteReference"/>
                <w:rFonts w:ascii="Palatino Linotype" w:hAnsi="Palatino Linotype"/>
                <w:bCs/>
                <w:color w:val="000000" w:themeColor="text1"/>
                <w:sz w:val="20"/>
                <w:szCs w:val="20"/>
              </w:rPr>
              <w:footnoteReference w:id="168"/>
            </w:r>
            <w:r>
              <w:rPr>
                <w:rFonts w:ascii="Palatino Linotype" w:hAnsi="Palatino Linotype"/>
                <w:bCs/>
                <w:color w:val="000000" w:themeColor="text1"/>
                <w:sz w:val="20"/>
                <w:szCs w:val="20"/>
              </w:rPr>
              <w:t xml:space="preserve"> </w:t>
            </w:r>
            <w:r w:rsidRPr="00FD339E">
              <w:rPr>
                <w:rFonts w:ascii="Palatino Linotype" w:hAnsi="Palatino Linotype"/>
                <w:bCs/>
                <w:color w:val="000000" w:themeColor="text1"/>
                <w:sz w:val="20"/>
                <w:szCs w:val="20"/>
              </w:rPr>
              <w:t xml:space="preserve">CEC </w:t>
            </w:r>
            <w:r w:rsidRPr="001F4F79">
              <w:rPr>
                <w:rFonts w:ascii="Palatino Linotype" w:hAnsi="Palatino Linotype"/>
                <w:bCs/>
                <w:color w:val="000000" w:themeColor="text1"/>
                <w:sz w:val="20"/>
                <w:szCs w:val="20"/>
              </w:rPr>
              <w:t>states it “[provided]</w:t>
            </w:r>
            <w:r>
              <w:rPr>
                <w:rFonts w:ascii="Palatino Linotype" w:hAnsi="Palatino Linotype"/>
                <w:bCs/>
                <w:color w:val="000000" w:themeColor="text1"/>
                <w:sz w:val="20"/>
                <w:szCs w:val="20"/>
              </w:rPr>
              <w:t xml:space="preserve"> </w:t>
            </w:r>
            <w:r w:rsidRPr="001F4F79">
              <w:rPr>
                <w:rFonts w:ascii="Palatino Linotype" w:hAnsi="Palatino Linotype"/>
                <w:bCs/>
                <w:color w:val="000000" w:themeColor="text1"/>
                <w:sz w:val="20"/>
                <w:szCs w:val="20"/>
              </w:rPr>
              <w:t>targeted outreach to the DACAG, California Environmental Justice Alliance, Asian Pacific Environmental Network, and the California Energy Research Center (focused on expanding education, training, and demonstration projects in the Central Valley) about the CEC’s December 15, 2023, Gas R&amp;D Plan Stakeholders Workshop and offering the opportunity for public comment.</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69"/>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007B25BC">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CEC i</w:t>
            </w:r>
            <w:r w:rsidRPr="00FD339E">
              <w:rPr>
                <w:rFonts w:ascii="Palatino Linotype" w:hAnsi="Palatino Linotype"/>
                <w:bCs/>
                <w:color w:val="000000" w:themeColor="text1"/>
                <w:sz w:val="20"/>
                <w:szCs w:val="20"/>
              </w:rPr>
              <w:t xml:space="preserve">ncludes </w:t>
            </w:r>
            <w:r>
              <w:rPr>
                <w:rFonts w:ascii="Palatino Linotype" w:hAnsi="Palatino Linotype"/>
                <w:bCs/>
                <w:color w:val="000000" w:themeColor="text1"/>
                <w:sz w:val="20"/>
                <w:szCs w:val="20"/>
              </w:rPr>
              <w:t>written public comments and a DACAG</w:t>
            </w:r>
            <w:r w:rsidRPr="00FD339E">
              <w:rPr>
                <w:rFonts w:ascii="Palatino Linotype" w:hAnsi="Palatino Linotype"/>
                <w:bCs/>
                <w:color w:val="000000" w:themeColor="text1"/>
                <w:sz w:val="20"/>
                <w:szCs w:val="20"/>
              </w:rPr>
              <w:t xml:space="preserve"> Meeting Comment Summary </w:t>
            </w:r>
            <w:r>
              <w:rPr>
                <w:rFonts w:ascii="Palatino Linotype" w:hAnsi="Palatino Linotype"/>
                <w:bCs/>
                <w:color w:val="000000" w:themeColor="text1"/>
                <w:sz w:val="20"/>
                <w:szCs w:val="20"/>
              </w:rPr>
              <w:t>from January 19, 2024, with</w:t>
            </w:r>
            <w:r w:rsidR="007B25BC">
              <w:rPr>
                <w:rFonts w:ascii="Palatino Linotype" w:hAnsi="Palatino Linotype"/>
                <w:bCs/>
                <w:color w:val="000000" w:themeColor="text1"/>
                <w:sz w:val="20"/>
                <w:szCs w:val="20"/>
              </w:rPr>
              <w:t xml:space="preserve"> the</w:t>
            </w:r>
            <w:r w:rsidRPr="00FD339E">
              <w:rPr>
                <w:rFonts w:ascii="Palatino Linotype" w:hAnsi="Palatino Linotype"/>
                <w:bCs/>
                <w:color w:val="000000" w:themeColor="text1"/>
                <w:sz w:val="20"/>
                <w:szCs w:val="20"/>
              </w:rPr>
              <w:t xml:space="preserve"> CEC Responses</w:t>
            </w:r>
            <w:r>
              <w:rPr>
                <w:rFonts w:ascii="Palatino Linotype" w:hAnsi="Palatino Linotype"/>
                <w:bCs/>
                <w:color w:val="000000" w:themeColor="text1"/>
                <w:sz w:val="20"/>
                <w:szCs w:val="20"/>
              </w:rPr>
              <w:t xml:space="preserve"> in Appendix C:</w:t>
            </w:r>
            <w:r>
              <w:rPr>
                <w:rStyle w:val="FootnoteReference"/>
                <w:rFonts w:ascii="Palatino Linotype" w:hAnsi="Palatino Linotype"/>
                <w:bCs/>
                <w:color w:val="000000" w:themeColor="text1"/>
                <w:sz w:val="20"/>
                <w:szCs w:val="20"/>
              </w:rPr>
              <w:footnoteReference w:id="170"/>
            </w:r>
          </w:p>
          <w:p w:rsidRPr="000F45BD" w:rsidR="002F78F4" w:rsidP="00BB366A" w:rsidRDefault="002F78F4" w14:paraId="7D2B4BD2" w14:textId="77777777">
            <w:pPr>
              <w:rPr>
                <w:rFonts w:ascii="Palatino Linotype" w:hAnsi="Palatino Linotype"/>
                <w:bCs/>
                <w:color w:val="000000" w:themeColor="text1"/>
                <w:sz w:val="20"/>
                <w:szCs w:val="20"/>
              </w:rPr>
            </w:pPr>
            <w:r w:rsidRPr="00E839F7">
              <w:rPr>
                <w:rFonts w:ascii="Palatino Linotype" w:hAnsi="Palatino Linotype"/>
                <w:b/>
                <w:color w:val="000000" w:themeColor="text1"/>
                <w:sz w:val="20"/>
                <w:szCs w:val="20"/>
              </w:rPr>
              <w:t xml:space="preserve">    </w:t>
            </w:r>
            <w:r w:rsidRPr="000F45BD">
              <w:rPr>
                <w:rFonts w:ascii="Palatino Linotype" w:hAnsi="Palatino Linotype"/>
                <w:b/>
                <w:color w:val="000000" w:themeColor="text1"/>
                <w:sz w:val="20"/>
                <w:szCs w:val="20"/>
              </w:rPr>
              <w:t>1</w:t>
            </w:r>
            <w:r w:rsidRPr="000F45BD">
              <w:rPr>
                <w:rFonts w:ascii="Palatino Linotype" w:hAnsi="Palatino Linotype"/>
                <w:bCs/>
                <w:color w:val="000000" w:themeColor="text1"/>
                <w:sz w:val="20"/>
                <w:szCs w:val="20"/>
              </w:rPr>
              <w:t>. Support Equitable, Safe, and Cost-Effective Decarbonization of California’s Gas System: CEC reports no comments from the DACAG.</w:t>
            </w:r>
          </w:p>
          <w:p w:rsidRPr="00E874A6" w:rsidR="002F78F4" w:rsidP="00BB366A" w:rsidRDefault="002F78F4" w14:paraId="0108C2BC" w14:textId="194BCF1D">
            <w:pPr>
              <w:rPr>
                <w:rFonts w:ascii="Palatino Linotype" w:hAnsi="Palatino Linotype"/>
                <w:bCs/>
                <w:color w:val="000000" w:themeColor="text1"/>
                <w:sz w:val="20"/>
                <w:szCs w:val="20"/>
              </w:rPr>
            </w:pPr>
            <w:r w:rsidRPr="000F45BD">
              <w:rPr>
                <w:rFonts w:ascii="Palatino Linotype" w:hAnsi="Palatino Linotype"/>
                <w:b/>
                <w:color w:val="000000" w:themeColor="text1"/>
                <w:sz w:val="20"/>
                <w:szCs w:val="20"/>
              </w:rPr>
              <w:t xml:space="preserve">    2</w:t>
            </w:r>
            <w:r w:rsidRPr="000F45BD">
              <w:rPr>
                <w:rFonts w:ascii="Palatino Linotype" w:hAnsi="Palatino Linotype"/>
                <w:bCs/>
                <w:color w:val="000000" w:themeColor="text1"/>
                <w:sz w:val="20"/>
                <w:szCs w:val="20"/>
              </w:rPr>
              <w:t>.</w:t>
            </w:r>
            <w:r w:rsidRPr="00E874A6">
              <w:rPr>
                <w:rFonts w:ascii="Palatino Linotype" w:hAnsi="Palatino Linotype"/>
                <w:bCs/>
                <w:color w:val="000000" w:themeColor="text1"/>
                <w:sz w:val="20"/>
                <w:szCs w:val="20"/>
              </w:rPr>
              <w:t xml:space="preserve"> Innovations for Cost-Effective Operation and Maintenance of Critical Infrastructure During the Gas Transition</w:t>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A47F5E" w:rsidR="007B25BC">
              <w:rPr>
                <w:rFonts w:ascii="Palatino Linotype" w:hAnsi="Palatino Linotype"/>
                <w:bCs/>
                <w:color w:val="000000" w:themeColor="text1"/>
                <w:sz w:val="20"/>
                <w:szCs w:val="20"/>
              </w:rPr>
              <w:t xml:space="preserve"> </w:t>
            </w:r>
            <w:r w:rsidRPr="00A47F5E">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clarifies </w:t>
            </w:r>
            <w:r w:rsidRPr="00A47F5E">
              <w:rPr>
                <w:rFonts w:ascii="Palatino Linotype" w:hAnsi="Palatino Linotype"/>
                <w:bCs/>
                <w:color w:val="000000" w:themeColor="text1"/>
                <w:sz w:val="20"/>
                <w:szCs w:val="20"/>
              </w:rPr>
              <w:t xml:space="preserve">that RD&amp;D activities aimed at evaluating the risks associated with hydrogen-blending as well as hydrogen and fugitive methane emissions are included in previously proposed and approved CEC Gas RD&amp;D Plans as opposed to this proposed Initiative; </w:t>
            </w:r>
            <w:r w:rsidR="007B25BC">
              <w:rPr>
                <w:rFonts w:ascii="Palatino Linotype" w:hAnsi="Palatino Linotype"/>
                <w:bCs/>
                <w:color w:val="000000" w:themeColor="text1"/>
                <w:sz w:val="20"/>
                <w:szCs w:val="20"/>
              </w:rPr>
              <w:t xml:space="preserve">the </w:t>
            </w:r>
            <w:r w:rsidRPr="00A47F5E">
              <w:rPr>
                <w:rFonts w:ascii="Palatino Linotype" w:hAnsi="Palatino Linotype"/>
                <w:bCs/>
                <w:color w:val="000000" w:themeColor="text1"/>
                <w:sz w:val="20"/>
                <w:szCs w:val="20"/>
              </w:rPr>
              <w:t>CEC provided that "the initiative would center on improving safety and affordability of existing gas infrastructure" in response to the DACAG's concerns regarding potential embrittlement issues related to inspections for hydrogen and storage.</w:t>
            </w:r>
            <w:r>
              <w:rPr>
                <w:rStyle w:val="FootnoteReference"/>
                <w:rFonts w:ascii="Palatino Linotype" w:hAnsi="Palatino Linotype"/>
                <w:bCs/>
                <w:color w:val="000000" w:themeColor="text1"/>
                <w:sz w:val="20"/>
                <w:szCs w:val="20"/>
              </w:rPr>
              <w:footnoteReference w:id="171"/>
            </w:r>
          </w:p>
          <w:p w:rsidRPr="006F6CEF" w:rsidR="002F78F4" w:rsidP="00BB366A" w:rsidRDefault="002F78F4" w14:paraId="48235B1F" w14:textId="45E2FF40">
            <w:pPr>
              <w:rPr>
                <w:rFonts w:ascii="Palatino Linotype" w:hAnsi="Palatino Linotype"/>
                <w:bCs/>
                <w:color w:val="000000" w:themeColor="text1"/>
                <w:sz w:val="20"/>
                <w:szCs w:val="20"/>
              </w:rPr>
            </w:pPr>
            <w:r w:rsidRPr="000F45BD">
              <w:rPr>
                <w:rFonts w:ascii="Palatino Linotype" w:hAnsi="Palatino Linotype"/>
                <w:b/>
                <w:color w:val="000000" w:themeColor="text1"/>
                <w:sz w:val="20"/>
                <w:szCs w:val="20"/>
              </w:rPr>
              <w:t xml:space="preserve">    3</w:t>
            </w:r>
            <w:r w:rsidRPr="000F45BD">
              <w:rPr>
                <w:rFonts w:ascii="Palatino Linotype" w:hAnsi="Palatino Linotype"/>
                <w:bCs/>
                <w:color w:val="000000" w:themeColor="text1"/>
                <w:sz w:val="20"/>
                <w:szCs w:val="20"/>
              </w:rPr>
              <w:t>. Fuel-Flexible Distributed Power Generation:</w:t>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EE7D28" w:rsidR="007B25BC">
              <w:rPr>
                <w:rFonts w:ascii="Palatino Linotype" w:hAnsi="Palatino Linotype"/>
                <w:bCs/>
                <w:color w:val="000000" w:themeColor="text1"/>
                <w:sz w:val="20"/>
                <w:szCs w:val="20"/>
              </w:rPr>
              <w:t xml:space="preserve"> </w:t>
            </w:r>
            <w:r w:rsidRPr="00EE7D28">
              <w:rPr>
                <w:rFonts w:ascii="Palatino Linotype" w:hAnsi="Palatino Linotype"/>
                <w:bCs/>
                <w:color w:val="000000" w:themeColor="text1"/>
                <w:sz w:val="20"/>
                <w:szCs w:val="20"/>
              </w:rPr>
              <w:t>CEC states that "[w]hile renewable fuel blends will impact the performance and associated emissions of a technology, which is a specific concern raised by the DACAG, this initiative aims to introduce new installations that use electrochemical, thermochemical, or other proven pathways, with very low emissions even without being dependent on emissions control technologies or modifying existing combustion systems, potentially helping to improve local air quality and public health."</w:t>
            </w:r>
            <w:r>
              <w:rPr>
                <w:rStyle w:val="FootnoteReference"/>
                <w:rFonts w:ascii="Palatino Linotype" w:hAnsi="Palatino Linotype"/>
                <w:bCs/>
                <w:color w:val="000000" w:themeColor="text1"/>
                <w:sz w:val="20"/>
                <w:szCs w:val="20"/>
              </w:rPr>
              <w:footnoteReference w:id="172"/>
            </w:r>
            <w:r>
              <w:rPr>
                <w:rFonts w:ascii="Palatino Linotype" w:hAnsi="Palatino Linotype"/>
                <w:bCs/>
                <w:color w:val="000000" w:themeColor="text1"/>
                <w:sz w:val="20"/>
                <w:szCs w:val="20"/>
              </w:rPr>
              <w:t xml:space="preserve"> </w:t>
            </w:r>
            <w:r w:rsidR="007B25BC">
              <w:rPr>
                <w:rFonts w:ascii="Palatino Linotype" w:hAnsi="Palatino Linotype"/>
                <w:bCs/>
                <w:sz w:val="20"/>
                <w:szCs w:val="20"/>
              </w:rPr>
              <w:t>The</w:t>
            </w:r>
            <w:r w:rsidRPr="00BE08EE" w:rsidR="007B25BC">
              <w:rPr>
                <w:rFonts w:ascii="Palatino Linotype" w:hAnsi="Palatino Linotype"/>
                <w:bCs/>
                <w:color w:val="000000" w:themeColor="text1"/>
                <w:sz w:val="20"/>
                <w:szCs w:val="20"/>
              </w:rPr>
              <w:t xml:space="preserve"> </w:t>
            </w:r>
            <w:r w:rsidRPr="00BE08EE">
              <w:rPr>
                <w:rFonts w:ascii="Palatino Linotype" w:hAnsi="Palatino Linotype"/>
                <w:bCs/>
                <w:color w:val="000000" w:themeColor="text1"/>
                <w:sz w:val="20"/>
                <w:szCs w:val="20"/>
              </w:rPr>
              <w:t xml:space="preserve">CEC details several written comments from Mainspring on this Initiative, including that staff "concur with siting the [non-combustion] clean renewable fuel-flexible generation projects in frontline </w:t>
            </w:r>
            <w:r w:rsidRPr="00BE08EE">
              <w:rPr>
                <w:rFonts w:ascii="Palatino Linotype" w:hAnsi="Palatino Linotype"/>
                <w:bCs/>
                <w:color w:val="000000" w:themeColor="text1"/>
                <w:sz w:val="20"/>
                <w:szCs w:val="20"/>
              </w:rPr>
              <w:lastRenderedPageBreak/>
              <w:t>communities and at critical infrastructure facilities that offer crucial services and cannot sustain any long duration outages</w:t>
            </w:r>
            <w:r>
              <w:rPr>
                <w:rFonts w:ascii="Palatino Linotype" w:hAnsi="Palatino Linotype"/>
                <w:bCs/>
                <w:color w:val="000000" w:themeColor="text1"/>
                <w:sz w:val="20"/>
                <w:szCs w:val="20"/>
              </w:rPr>
              <w:t>.</w:t>
            </w:r>
            <w:r w:rsidRPr="00BE08EE">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73"/>
            </w:r>
          </w:p>
        </w:tc>
        <w:tc>
          <w:tcPr>
            <w:tcW w:w="3240" w:type="dxa"/>
          </w:tcPr>
          <w:p w:rsidRPr="00250D42" w:rsidR="002F78F4" w:rsidP="00BB366A" w:rsidRDefault="002F78F4" w14:paraId="0F6B9047" w14:textId="2CD2F707">
            <w:pPr>
              <w:rPr>
                <w:rFonts w:ascii="Palatino Linotype" w:hAnsi="Palatino Linotype"/>
                <w:bCs/>
                <w:color w:val="000000" w:themeColor="text1"/>
                <w:sz w:val="20"/>
                <w:szCs w:val="20"/>
              </w:rPr>
            </w:pPr>
            <w:r w:rsidRPr="00250D42">
              <w:rPr>
                <w:rFonts w:ascii="Palatino Linotype" w:hAnsi="Palatino Linotype"/>
                <w:bCs/>
                <w:color w:val="000000" w:themeColor="text1"/>
                <w:sz w:val="20"/>
                <w:szCs w:val="20"/>
              </w:rPr>
              <w:lastRenderedPageBreak/>
              <w:t xml:space="preserve">    </w:t>
            </w:r>
            <w:r w:rsidRPr="00250D42">
              <w:rPr>
                <w:rFonts w:ascii="Palatino Linotype" w:hAnsi="Palatino Linotype"/>
                <w:b/>
                <w:color w:val="000000" w:themeColor="text1"/>
                <w:sz w:val="20"/>
                <w:szCs w:val="20"/>
              </w:rPr>
              <w:t>1</w:t>
            </w:r>
            <w:r w:rsidRPr="00250D42">
              <w:rPr>
                <w:rFonts w:ascii="Palatino Linotype" w:hAnsi="Palatino Linotype"/>
                <w:bCs/>
                <w:color w:val="000000" w:themeColor="text1"/>
                <w:sz w:val="20"/>
                <w:szCs w:val="20"/>
              </w:rPr>
              <w:t xml:space="preserve">. Though </w:t>
            </w:r>
            <w:r w:rsidR="00087B78">
              <w:rPr>
                <w:rFonts w:ascii="Palatino Linotype" w:hAnsi="Palatino Linotype"/>
                <w:bCs/>
                <w:color w:val="000000" w:themeColor="text1"/>
                <w:sz w:val="20"/>
                <w:szCs w:val="20"/>
              </w:rPr>
              <w:t xml:space="preserve">the </w:t>
            </w:r>
            <w:r w:rsidRPr="00250D42">
              <w:rPr>
                <w:rFonts w:ascii="Palatino Linotype" w:hAnsi="Palatino Linotype"/>
                <w:bCs/>
                <w:color w:val="000000" w:themeColor="text1"/>
                <w:sz w:val="20"/>
                <w:szCs w:val="20"/>
              </w:rPr>
              <w:t xml:space="preserve">CEC records consultation with the DACAG and other stakeholders on its proposed FY 2024-2025 Plan, no feedback on this specific Initiative is reported. </w:t>
            </w:r>
          </w:p>
          <w:p w:rsidRPr="00087B78" w:rsidR="002F78F4" w:rsidP="00BB366A" w:rsidRDefault="002F78F4" w14:paraId="60481C54" w14:textId="769F7BAB">
            <w:pPr>
              <w:rPr>
                <w:rFonts w:ascii="Palatino Linotype" w:hAnsi="Palatino Linotype"/>
                <w:b/>
                <w:sz w:val="20"/>
                <w:szCs w:val="20"/>
              </w:rPr>
            </w:pPr>
            <w:r>
              <w:rPr>
                <w:rFonts w:ascii="Palatino Linotype" w:hAnsi="Palatino Linotype"/>
                <w:bCs/>
                <w:sz w:val="20"/>
                <w:szCs w:val="20"/>
              </w:rPr>
              <w:lastRenderedPageBreak/>
              <w:t xml:space="preserve">    </w:t>
            </w:r>
            <w:r w:rsidRPr="00250D42">
              <w:rPr>
                <w:rFonts w:ascii="Palatino Linotype" w:hAnsi="Palatino Linotype"/>
                <w:b/>
                <w:sz w:val="20"/>
                <w:szCs w:val="20"/>
              </w:rPr>
              <w:t>2</w:t>
            </w:r>
            <w:r>
              <w:rPr>
                <w:rFonts w:ascii="Palatino Linotype" w:hAnsi="Palatino Linotype"/>
                <w:bCs/>
                <w:sz w:val="20"/>
                <w:szCs w:val="20"/>
              </w:rPr>
              <w:t xml:space="preserve">. &amp; </w:t>
            </w:r>
            <w:r w:rsidRPr="00290437">
              <w:rPr>
                <w:rFonts w:ascii="Palatino Linotype" w:hAnsi="Palatino Linotype"/>
                <w:b/>
                <w:sz w:val="20"/>
                <w:szCs w:val="20"/>
              </w:rPr>
              <w:t>3</w:t>
            </w:r>
            <w:r>
              <w:rPr>
                <w:rFonts w:ascii="Palatino Linotype" w:hAnsi="Palatino Linotype"/>
                <w:bCs/>
                <w:sz w:val="20"/>
                <w:szCs w:val="20"/>
              </w:rPr>
              <w:t xml:space="preserve">. </w:t>
            </w:r>
            <w:r w:rsidR="00087B78">
              <w:rPr>
                <w:rFonts w:ascii="Palatino Linotype" w:hAnsi="Palatino Linotype"/>
                <w:bCs/>
                <w:sz w:val="20"/>
                <w:szCs w:val="20"/>
              </w:rPr>
              <w:t xml:space="preserve">The </w:t>
            </w:r>
            <w:r w:rsidRPr="00250D42">
              <w:rPr>
                <w:rFonts w:ascii="Palatino Linotype" w:hAnsi="Palatino Linotype"/>
                <w:bCs/>
                <w:sz w:val="20"/>
                <w:szCs w:val="20"/>
              </w:rPr>
              <w:t xml:space="preserve">CEC appears to have engaged and considered the concerns of the </w:t>
            </w:r>
            <w:r>
              <w:rPr>
                <w:rFonts w:ascii="Palatino Linotype" w:hAnsi="Palatino Linotype"/>
                <w:bCs/>
                <w:sz w:val="20"/>
                <w:szCs w:val="20"/>
              </w:rPr>
              <w:t xml:space="preserve">public and the </w:t>
            </w:r>
            <w:r w:rsidRPr="00250D42">
              <w:rPr>
                <w:rFonts w:ascii="Palatino Linotype" w:hAnsi="Palatino Linotype"/>
                <w:bCs/>
                <w:sz w:val="20"/>
                <w:szCs w:val="20"/>
              </w:rPr>
              <w:t>DACAG related to this Initiative.</w:t>
            </w:r>
            <w:r w:rsidR="00087B78">
              <w:rPr>
                <w:rFonts w:ascii="Palatino Linotype" w:hAnsi="Palatino Linotype"/>
                <w:bCs/>
                <w:sz w:val="20"/>
                <w:szCs w:val="20"/>
              </w:rPr>
              <w:t xml:space="preserve"> </w:t>
            </w:r>
            <w:r w:rsidRPr="00087B78" w:rsidR="00087B78">
              <w:rPr>
                <w:rFonts w:ascii="Palatino Linotype" w:hAnsi="Palatino Linotype"/>
                <w:b/>
                <w:sz w:val="20"/>
                <w:szCs w:val="20"/>
              </w:rPr>
              <w:t>The</w:t>
            </w:r>
            <w:r w:rsidRPr="00087B78">
              <w:rPr>
                <w:rFonts w:ascii="Palatino Linotype" w:hAnsi="Palatino Linotype"/>
                <w:b/>
                <w:sz w:val="20"/>
                <w:szCs w:val="20"/>
              </w:rPr>
              <w:t xml:space="preserve"> </w:t>
            </w:r>
            <w:r w:rsidRPr="002928D6">
              <w:rPr>
                <w:rFonts w:ascii="Palatino Linotype" w:hAnsi="Palatino Linotype"/>
                <w:b/>
                <w:sz w:val="20"/>
                <w:szCs w:val="20"/>
              </w:rPr>
              <w:t>CEC is compliant with this requirement.</w:t>
            </w:r>
          </w:p>
        </w:tc>
      </w:tr>
      <w:tr w:rsidR="002F78F4" w:rsidTr="00C254F7" w14:paraId="1852121F" w14:textId="77777777">
        <w:trPr>
          <w:trHeight w:val="638"/>
        </w:trPr>
        <w:tc>
          <w:tcPr>
            <w:tcW w:w="3145" w:type="dxa"/>
          </w:tcPr>
          <w:p w:rsidRPr="00E7529D" w:rsidR="002F78F4" w:rsidP="00BB366A" w:rsidRDefault="002F78F4" w14:paraId="76641CA5" w14:textId="77777777">
            <w:pPr>
              <w:rPr>
                <w:rFonts w:ascii="Palatino Linotype" w:hAnsi="Palatino Linotype"/>
                <w:b/>
                <w:i/>
                <w:iCs/>
                <w:sz w:val="20"/>
                <w:szCs w:val="20"/>
              </w:rPr>
            </w:pPr>
            <w:hyperlink w:history="1" r:id="rId86">
              <w:r w:rsidRPr="009459B9">
                <w:rPr>
                  <w:rStyle w:val="Hyperlink"/>
                  <w:rFonts w:ascii="Palatino Linotype" w:hAnsi="Palatino Linotype"/>
                  <w:b/>
                  <w:sz w:val="20"/>
                  <w:szCs w:val="20"/>
                </w:rPr>
                <w:t>Resolution G-3592</w:t>
              </w:r>
            </w:hyperlink>
            <w:r w:rsidRPr="009459B9">
              <w:rPr>
                <w:rFonts w:ascii="Palatino Linotype" w:hAnsi="Palatino Linotype"/>
                <w:b/>
                <w:sz w:val="20"/>
                <w:szCs w:val="20"/>
              </w:rPr>
              <w:t xml:space="preserve"> </w:t>
            </w:r>
            <w:r w:rsidRPr="009459B9">
              <w:rPr>
                <w:rFonts w:ascii="Palatino Linotype" w:hAnsi="Palatino Linotype"/>
                <w:bCs/>
                <w:sz w:val="20"/>
                <w:szCs w:val="20"/>
              </w:rPr>
              <w:t>(2023) at OP 5c &amp; d.</w:t>
            </w:r>
            <w:r w:rsidRPr="00E7529D">
              <w:rPr>
                <w:rFonts w:ascii="Palatino Linotype" w:hAnsi="Palatino Linotype"/>
                <w:bCs/>
                <w:i/>
                <w:iCs/>
                <w:sz w:val="20"/>
                <w:szCs w:val="20"/>
              </w:rPr>
              <w:t xml:space="preserve"> </w:t>
            </w:r>
            <w:r>
              <w:rPr>
                <w:rFonts w:ascii="Palatino Linotype" w:hAnsi="Palatino Linotype"/>
                <w:bCs/>
                <w:i/>
                <w:iCs/>
                <w:sz w:val="20"/>
                <w:szCs w:val="20"/>
              </w:rPr>
              <w:t>D</w:t>
            </w:r>
            <w:r w:rsidRPr="00E7529D">
              <w:rPr>
                <w:rFonts w:ascii="Palatino Linotype" w:hAnsi="Palatino Linotype"/>
                <w:bCs/>
                <w:i/>
                <w:iCs/>
                <w:sz w:val="20"/>
                <w:szCs w:val="20"/>
              </w:rPr>
              <w:t xml:space="preserve">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  </w:t>
            </w:r>
          </w:p>
        </w:tc>
        <w:tc>
          <w:tcPr>
            <w:tcW w:w="7920" w:type="dxa"/>
          </w:tcPr>
          <w:p w:rsidRPr="00044FA1" w:rsidR="002F78F4" w:rsidP="00BB366A" w:rsidRDefault="007B25BC" w14:paraId="79ABE6D1" w14:textId="08FACCFB">
            <w:pPr>
              <w:rPr>
                <w:rFonts w:ascii="Palatino Linotype" w:hAnsi="Palatino Linotype"/>
                <w:bCs/>
                <w:color w:val="000000" w:themeColor="text1"/>
                <w:sz w:val="20"/>
                <w:szCs w:val="20"/>
              </w:rPr>
            </w:pPr>
            <w:r>
              <w:rPr>
                <w:rFonts w:ascii="Palatino Linotype" w:hAnsi="Palatino Linotype"/>
                <w:bCs/>
                <w:sz w:val="20"/>
                <w:szCs w:val="20"/>
              </w:rPr>
              <w:t>The</w:t>
            </w:r>
            <w:r w:rsidRPr="12A85FC7">
              <w:rPr>
                <w:rFonts w:ascii="Palatino Linotype" w:hAnsi="Palatino Linotype"/>
                <w:color w:val="000000" w:themeColor="text1"/>
                <w:sz w:val="20"/>
                <w:szCs w:val="20"/>
              </w:rPr>
              <w:t xml:space="preserve"> </w:t>
            </w:r>
            <w:r w:rsidRPr="12A85FC7" w:rsidR="002F78F4">
              <w:rPr>
                <w:rFonts w:ascii="Palatino Linotype" w:hAnsi="Palatino Linotype"/>
                <w:color w:val="000000" w:themeColor="text1"/>
                <w:sz w:val="20"/>
                <w:szCs w:val="20"/>
              </w:rPr>
              <w:t xml:space="preserve">CEC </w:t>
            </w:r>
            <w:r w:rsidRPr="730009C3" w:rsidR="002F78F4">
              <w:rPr>
                <w:rFonts w:ascii="Palatino Linotype" w:hAnsi="Palatino Linotype"/>
                <w:color w:val="000000" w:themeColor="text1"/>
                <w:sz w:val="20"/>
                <w:szCs w:val="20"/>
              </w:rPr>
              <w:t>describes</w:t>
            </w:r>
            <w:r w:rsidRPr="12A85FC7" w:rsidR="002F78F4">
              <w:rPr>
                <w:rFonts w:ascii="Palatino Linotype" w:hAnsi="Palatino Linotype"/>
                <w:color w:val="000000" w:themeColor="text1"/>
                <w:sz w:val="20"/>
                <w:szCs w:val="20"/>
              </w:rPr>
              <w:t xml:space="preserve"> its public engagement: “The CEC holds an annual public workshop to solicit feedback on the draft budget plan for that year. The Proposed FY 2024–2025 Gas R&amp;D Budget Plan was presented at a public workshop December 15, 2023. Around 60 people attended the workshop, not including CEC staff, and the CEC received attendee questions and comments during the workshop discussion. The CEC considered and responded to public comments, using them to inform continued initiative and future solicitation development. (See Appendices C and G for a summary of public comments with CEC staff responses and the staff workshop presentation, respectively).”</w:t>
            </w:r>
            <w:r w:rsidRPr="12A85FC7" w:rsidR="002F78F4">
              <w:rPr>
                <w:rStyle w:val="FootnoteReference"/>
                <w:rFonts w:ascii="Palatino Linotype" w:hAnsi="Palatino Linotype"/>
                <w:color w:val="000000" w:themeColor="text1"/>
                <w:sz w:val="20"/>
                <w:szCs w:val="20"/>
              </w:rPr>
              <w:footnoteReference w:id="174"/>
            </w:r>
            <w:r w:rsidRPr="12A85FC7" w:rsidR="002F78F4">
              <w:rPr>
                <w:rFonts w:ascii="Palatino Linotype" w:hAnsi="Palatino Linotype"/>
                <w:color w:val="000000" w:themeColor="text1"/>
                <w:sz w:val="20"/>
                <w:szCs w:val="20"/>
              </w:rPr>
              <w:t xml:space="preserve"> </w:t>
            </w:r>
            <w:r w:rsidRPr="009B03F4" w:rsidR="002F78F4">
              <w:rPr>
                <w:rFonts w:ascii="Palatino Linotype" w:hAnsi="Palatino Linotype"/>
                <w:bCs/>
                <w:color w:val="000000" w:themeColor="text1"/>
                <w:sz w:val="20"/>
                <w:szCs w:val="20"/>
              </w:rPr>
              <w:t xml:space="preserve">Under the Cofunding Opportunities Section, </w:t>
            </w:r>
            <w:r w:rsidR="00BE5F38">
              <w:rPr>
                <w:rFonts w:ascii="Palatino Linotype" w:hAnsi="Palatino Linotype"/>
                <w:bCs/>
                <w:color w:val="000000" w:themeColor="text1"/>
                <w:sz w:val="20"/>
                <w:szCs w:val="20"/>
              </w:rPr>
              <w:t xml:space="preserve">the </w:t>
            </w:r>
            <w:r w:rsidRPr="009B03F4" w:rsidR="002F78F4">
              <w:rPr>
                <w:rFonts w:ascii="Palatino Linotype" w:hAnsi="Palatino Linotype"/>
                <w:bCs/>
                <w:color w:val="000000" w:themeColor="text1"/>
                <w:sz w:val="20"/>
                <w:szCs w:val="20"/>
              </w:rPr>
              <w:t>CEC states that it “leverages cofunding opportunities by either requiring applicants for competitive solicitations to secure match funding (usually 10–20 percent), providing additional scoring preferences for applications that exceed the minimum match funding requirement, or both. The cumulative match investments and project successes of the program are summarized in the Gas R&amp;D Program Annual Report. As an example, the FY 2021–2022 Budget Plan resulted in competitively awarded projects that catalyzed nearly $8 million in match funds to expand the impact of these projects, effectively increasing the program funding level by 33 percent. A total of $1.5 million of these match funds came from IOUs (such as SoCalGas), $1.23 million from community- or publicly funded entities (for example, the South Coast Air Quality Management District), and $5.1 million from private entities.”</w:t>
            </w:r>
            <w:r w:rsidRPr="009B03F4" w:rsidR="002F78F4">
              <w:rPr>
                <w:rStyle w:val="FootnoteReference"/>
                <w:rFonts w:ascii="Palatino Linotype" w:hAnsi="Palatino Linotype"/>
                <w:bCs/>
                <w:color w:val="000000" w:themeColor="text1"/>
                <w:sz w:val="20"/>
                <w:szCs w:val="20"/>
              </w:rPr>
              <w:footnoteReference w:id="175"/>
            </w:r>
            <w:r w:rsidRPr="006949D4" w:rsidR="002F78F4">
              <w:rPr>
                <w:rFonts w:ascii="Palatino Linotype" w:hAnsi="Palatino Linotype"/>
                <w:bCs/>
                <w:color w:val="000000" w:themeColor="text1"/>
                <w:sz w:val="20"/>
                <w:szCs w:val="20"/>
              </w:rPr>
              <w:t xml:space="preserve"> See also: CEC Response in AL 12-G to </w:t>
            </w:r>
            <w:hyperlink w:history="1" r:id="rId87">
              <w:r w:rsidRPr="007220BB" w:rsidR="002F78F4">
                <w:rPr>
                  <w:rStyle w:val="Hyperlink"/>
                  <w:rFonts w:ascii="Palatino Linotype" w:hAnsi="Palatino Linotype"/>
                  <w:bCs/>
                  <w:sz w:val="20"/>
                  <w:szCs w:val="20"/>
                </w:rPr>
                <w:t>Resolution G-3603</w:t>
              </w:r>
            </w:hyperlink>
            <w:r w:rsidRPr="007220BB" w:rsidR="002F78F4">
              <w:rPr>
                <w:rFonts w:ascii="Palatino Linotype" w:hAnsi="Palatino Linotype"/>
                <w:bCs/>
                <w:sz w:val="20"/>
                <w:szCs w:val="20"/>
              </w:rPr>
              <w:t xml:space="preserve"> (2024) at OP 4.</w:t>
            </w:r>
          </w:p>
        </w:tc>
        <w:tc>
          <w:tcPr>
            <w:tcW w:w="3240" w:type="dxa"/>
          </w:tcPr>
          <w:p w:rsidR="002F78F4" w:rsidP="00BB366A" w:rsidRDefault="00BE5F38" w14:paraId="52C2C9F3" w14:textId="4F1549DA">
            <w:pPr>
              <w:rPr>
                <w:rFonts w:ascii="Palatino Linotype" w:hAnsi="Palatino Linotype"/>
                <w:sz w:val="20"/>
                <w:szCs w:val="20"/>
              </w:rPr>
            </w:pPr>
            <w:r>
              <w:rPr>
                <w:rFonts w:ascii="Palatino Linotype" w:hAnsi="Palatino Linotype"/>
                <w:bCs/>
                <w:sz w:val="20"/>
                <w:szCs w:val="20"/>
              </w:rPr>
              <w:t>The</w:t>
            </w:r>
            <w:r w:rsidRPr="01F93ACB">
              <w:rPr>
                <w:rFonts w:ascii="Palatino Linotype" w:hAnsi="Palatino Linotype"/>
                <w:sz w:val="20"/>
                <w:szCs w:val="20"/>
              </w:rPr>
              <w:t xml:space="preserve"> </w:t>
            </w:r>
            <w:r w:rsidRPr="01F93ACB" w:rsidR="002F78F4">
              <w:rPr>
                <w:rFonts w:ascii="Palatino Linotype" w:hAnsi="Palatino Linotype"/>
                <w:sz w:val="20"/>
                <w:szCs w:val="20"/>
              </w:rPr>
              <w:t xml:space="preserve">CEC describes the multiple avenues in which it seeks and utilizes co-funding. See also: Compliance Assessment of </w:t>
            </w:r>
            <w:hyperlink r:id="rId88">
              <w:r w:rsidRPr="01F93ACB" w:rsidR="002F78F4">
                <w:rPr>
                  <w:rStyle w:val="Hyperlink"/>
                  <w:rFonts w:ascii="Palatino Linotype" w:hAnsi="Palatino Linotype"/>
                  <w:sz w:val="20"/>
                  <w:szCs w:val="20"/>
                </w:rPr>
                <w:t>Resolution G-3603</w:t>
              </w:r>
            </w:hyperlink>
            <w:r w:rsidRPr="01F93ACB" w:rsidR="002F78F4">
              <w:rPr>
                <w:rFonts w:ascii="Palatino Linotype" w:hAnsi="Palatino Linotype"/>
                <w:sz w:val="20"/>
                <w:szCs w:val="20"/>
              </w:rPr>
              <w:t xml:space="preserve"> (2024) at OP 4. </w:t>
            </w:r>
            <w:r w:rsidRPr="00BE5F38">
              <w:rPr>
                <w:rFonts w:ascii="Palatino Linotype" w:hAnsi="Palatino Linotype"/>
                <w:b/>
                <w:bCs/>
                <w:sz w:val="20"/>
                <w:szCs w:val="20"/>
              </w:rPr>
              <w:t>The</w:t>
            </w:r>
            <w:r>
              <w:rPr>
                <w:rFonts w:ascii="Palatino Linotype" w:hAnsi="Palatino Linotype"/>
                <w:sz w:val="20"/>
                <w:szCs w:val="20"/>
              </w:rPr>
              <w:t xml:space="preserve"> </w:t>
            </w:r>
            <w:r w:rsidRPr="01F93ACB" w:rsidR="002F78F4">
              <w:rPr>
                <w:rFonts w:ascii="Palatino Linotype" w:hAnsi="Palatino Linotype"/>
                <w:b/>
                <w:bCs/>
                <w:sz w:val="20"/>
                <w:szCs w:val="20"/>
              </w:rPr>
              <w:t>CEC is compliant with this requirement.</w:t>
            </w:r>
          </w:p>
          <w:p w:rsidR="002F78F4" w:rsidP="00BB366A" w:rsidRDefault="002F78F4" w14:paraId="15CA4A05" w14:textId="77777777">
            <w:pPr>
              <w:rPr>
                <w:rFonts w:ascii="Palatino Linotype" w:hAnsi="Palatino Linotype"/>
                <w:bCs/>
                <w:sz w:val="20"/>
                <w:szCs w:val="20"/>
              </w:rPr>
            </w:pPr>
          </w:p>
          <w:p w:rsidRPr="007220BB" w:rsidR="002F78F4" w:rsidP="00BB366A" w:rsidRDefault="002F78F4" w14:paraId="0C865406" w14:textId="10CB949E">
            <w:pPr>
              <w:rPr>
                <w:rFonts w:ascii="Palatino Linotype" w:hAnsi="Palatino Linotype"/>
                <w:bCs/>
                <w:sz w:val="20"/>
                <w:szCs w:val="20"/>
              </w:rPr>
            </w:pPr>
            <w:r w:rsidRPr="00F02225">
              <w:rPr>
                <w:rFonts w:ascii="Palatino Linotype" w:hAnsi="Palatino Linotype"/>
                <w:color w:val="000000" w:themeColor="text1"/>
                <w:sz w:val="20"/>
                <w:szCs w:val="20"/>
              </w:rPr>
              <w:t xml:space="preserve">However, to clearly demonstrate compliance with </w:t>
            </w:r>
            <w:r>
              <w:rPr>
                <w:rFonts w:ascii="Palatino Linotype" w:hAnsi="Palatino Linotype"/>
                <w:color w:val="000000" w:themeColor="text1"/>
                <w:sz w:val="20"/>
                <w:szCs w:val="20"/>
              </w:rPr>
              <w:t>co-funding</w:t>
            </w:r>
            <w:r w:rsidRPr="00F02225">
              <w:rPr>
                <w:rFonts w:ascii="Palatino Linotype" w:hAnsi="Palatino Linotype"/>
                <w:color w:val="000000" w:themeColor="text1"/>
                <w:sz w:val="20"/>
                <w:szCs w:val="20"/>
              </w:rPr>
              <w:t xml:space="preserve"> requirements, the CEC</w:t>
            </w:r>
            <w:r w:rsidR="00156654">
              <w:rPr>
                <w:rFonts w:ascii="Palatino Linotype" w:hAnsi="Palatino Linotype"/>
                <w:color w:val="000000" w:themeColor="text1"/>
                <w:sz w:val="20"/>
                <w:szCs w:val="20"/>
              </w:rPr>
              <w:t xml:space="preserve"> must</w:t>
            </w:r>
            <w:r w:rsidRPr="00F02225">
              <w:rPr>
                <w:rFonts w:ascii="Palatino Linotype" w:hAnsi="Palatino Linotype"/>
                <w:color w:val="000000" w:themeColor="text1"/>
                <w:sz w:val="20"/>
                <w:szCs w:val="20"/>
              </w:rPr>
              <w:t xml:space="preserve"> utilize Energy Division guidance, including the Annual Report Template, to detail project level details of partnership, costs, and co-funding. </w:t>
            </w:r>
          </w:p>
        </w:tc>
      </w:tr>
      <w:tr w:rsidR="002F78F4" w:rsidTr="00C254F7" w14:paraId="518B8E07" w14:textId="77777777">
        <w:trPr>
          <w:trHeight w:val="638"/>
        </w:trPr>
        <w:tc>
          <w:tcPr>
            <w:tcW w:w="3145" w:type="dxa"/>
          </w:tcPr>
          <w:p w:rsidRPr="00E7529D" w:rsidR="002F78F4" w:rsidP="00BB366A" w:rsidRDefault="002F78F4" w14:paraId="1F8DDB9F" w14:textId="77777777">
            <w:pPr>
              <w:rPr>
                <w:rFonts w:ascii="Palatino Linotype" w:hAnsi="Palatino Linotype"/>
                <w:b/>
                <w:sz w:val="20"/>
                <w:szCs w:val="20"/>
              </w:rPr>
            </w:pPr>
            <w:hyperlink w:history="1" r:id="rId89">
              <w:r w:rsidRPr="009459B9">
                <w:rPr>
                  <w:rStyle w:val="Hyperlink"/>
                  <w:rFonts w:ascii="Palatino Linotype" w:hAnsi="Palatino Linotype"/>
                  <w:b/>
                  <w:sz w:val="20"/>
                  <w:szCs w:val="20"/>
                </w:rPr>
                <w:t>Resolution G-3592</w:t>
              </w:r>
            </w:hyperlink>
            <w:r w:rsidRPr="009459B9">
              <w:rPr>
                <w:rFonts w:ascii="Palatino Linotype" w:hAnsi="Palatino Linotype"/>
                <w:bCs/>
                <w:sz w:val="20"/>
                <w:szCs w:val="20"/>
              </w:rPr>
              <w:t xml:space="preserve"> (2023) at OP 5e</w:t>
            </w:r>
            <w:r w:rsidRPr="009459B9">
              <w:rPr>
                <w:rFonts w:ascii="Palatino Linotype" w:hAnsi="Palatino Linotype"/>
                <w:bCs/>
                <w:i/>
                <w:iCs/>
                <w:sz w:val="20"/>
                <w:szCs w:val="20"/>
              </w:rPr>
              <w:t>.</w:t>
            </w:r>
            <w:r w:rsidRPr="000613E9">
              <w:rPr>
                <w:rFonts w:ascii="Palatino Linotype" w:hAnsi="Palatino Linotype"/>
                <w:bCs/>
                <w:i/>
                <w:iCs/>
                <w:sz w:val="20"/>
                <w:szCs w:val="20"/>
              </w:rPr>
              <w:t xml:space="preserve"> </w:t>
            </w:r>
            <w:r w:rsidRPr="001B1CDE">
              <w:rPr>
                <w:rFonts w:ascii="Palatino Linotype" w:hAnsi="Palatino Linotype"/>
                <w:i/>
                <w:iCs/>
                <w:sz w:val="20"/>
                <w:szCs w:val="20"/>
              </w:rPr>
              <w:t>Use the EPIC administrative budget template</w:t>
            </w:r>
            <w:r w:rsidRPr="00E7529D">
              <w:rPr>
                <w:rFonts w:ascii="Palatino Linotype" w:hAnsi="Palatino Linotype"/>
                <w:bCs/>
                <w:i/>
                <w:iCs/>
                <w:sz w:val="20"/>
                <w:szCs w:val="20"/>
              </w:rPr>
              <w:t>.</w:t>
            </w:r>
            <w:r w:rsidRPr="00E7529D">
              <w:rPr>
                <w:rStyle w:val="FootnoteReference"/>
                <w:rFonts w:ascii="Palatino Linotype" w:hAnsi="Palatino Linotype"/>
                <w:bCs/>
                <w:i/>
                <w:iCs/>
                <w:sz w:val="20"/>
                <w:szCs w:val="20"/>
              </w:rPr>
              <w:footnoteReference w:id="176"/>
            </w:r>
          </w:p>
        </w:tc>
        <w:tc>
          <w:tcPr>
            <w:tcW w:w="7920" w:type="dxa"/>
          </w:tcPr>
          <w:p w:rsidRPr="00893600" w:rsidR="002F78F4" w:rsidP="00BB366A" w:rsidRDefault="00BE5F38" w14:paraId="202F2A9F" w14:textId="00897D1C">
            <w:pPr>
              <w:rPr>
                <w:rFonts w:ascii="Palatino Linotype" w:hAnsi="Palatino Linotype"/>
                <w:bCs/>
                <w:color w:val="A6A6A6" w:themeColor="background1" w:themeShade="A6"/>
                <w:sz w:val="20"/>
                <w:szCs w:val="20"/>
              </w:rPr>
            </w:pPr>
            <w:r>
              <w:rPr>
                <w:rFonts w:ascii="Palatino Linotype" w:hAnsi="Palatino Linotype"/>
                <w:bCs/>
                <w:sz w:val="20"/>
                <w:szCs w:val="20"/>
              </w:rPr>
              <w:t>The</w:t>
            </w:r>
            <w:r w:rsidRPr="00893600">
              <w:rPr>
                <w:rFonts w:ascii="Palatino Linotype" w:hAnsi="Palatino Linotype"/>
                <w:bCs/>
                <w:color w:val="000000" w:themeColor="text1"/>
                <w:sz w:val="20"/>
                <w:szCs w:val="20"/>
              </w:rPr>
              <w:t xml:space="preserve"> </w:t>
            </w:r>
            <w:r w:rsidRPr="00893600" w:rsidR="002F78F4">
              <w:rPr>
                <w:rFonts w:ascii="Palatino Linotype" w:hAnsi="Palatino Linotype"/>
                <w:bCs/>
                <w:color w:val="000000" w:themeColor="text1"/>
                <w:sz w:val="20"/>
                <w:szCs w:val="20"/>
              </w:rPr>
              <w:t>CEC presents its proposed Estimated Administrative Costs delineated by Program Administrative Cost Budget Items in Appendix F.</w:t>
            </w:r>
          </w:p>
        </w:tc>
        <w:tc>
          <w:tcPr>
            <w:tcW w:w="3240" w:type="dxa"/>
          </w:tcPr>
          <w:p w:rsidRPr="00E7529D" w:rsidR="002F78F4" w:rsidP="00BB366A" w:rsidRDefault="00BE5F38" w14:paraId="4C82D0A8" w14:textId="0FFB665D">
            <w:pPr>
              <w:rPr>
                <w:rFonts w:ascii="Palatino Linotype" w:hAnsi="Palatino Linotype"/>
                <w:b/>
                <w:sz w:val="20"/>
                <w:szCs w:val="20"/>
              </w:rPr>
            </w:pPr>
            <w:r>
              <w:rPr>
                <w:rFonts w:ascii="Palatino Linotype" w:hAnsi="Palatino Linotype"/>
                <w:bCs/>
                <w:sz w:val="20"/>
                <w:szCs w:val="20"/>
              </w:rPr>
              <w:t>The</w:t>
            </w:r>
            <w:r w:rsidRPr="00893600">
              <w:rPr>
                <w:rFonts w:ascii="Palatino Linotype" w:hAnsi="Palatino Linotype"/>
                <w:bCs/>
                <w:sz w:val="20"/>
                <w:szCs w:val="20"/>
              </w:rPr>
              <w:t xml:space="preserve"> </w:t>
            </w:r>
            <w:r w:rsidRPr="00893600" w:rsidR="002F78F4">
              <w:rPr>
                <w:rFonts w:ascii="Palatino Linotype" w:hAnsi="Palatino Linotype"/>
                <w:bCs/>
                <w:sz w:val="20"/>
                <w:szCs w:val="20"/>
              </w:rPr>
              <w:t>CEC’s proposed administrative budget utilize</w:t>
            </w:r>
            <w:r w:rsidR="002F78F4">
              <w:rPr>
                <w:rFonts w:ascii="Palatino Linotype" w:hAnsi="Palatino Linotype"/>
                <w:bCs/>
                <w:sz w:val="20"/>
                <w:szCs w:val="20"/>
              </w:rPr>
              <w:t>s</w:t>
            </w:r>
            <w:r w:rsidRPr="00893600" w:rsidR="002F78F4">
              <w:rPr>
                <w:rFonts w:ascii="Palatino Linotype" w:hAnsi="Palatino Linotype"/>
                <w:bCs/>
                <w:sz w:val="20"/>
                <w:szCs w:val="20"/>
              </w:rPr>
              <w:t xml:space="preserve"> the required EPIC template.</w:t>
            </w:r>
            <w:r w:rsidR="002F78F4">
              <w:rPr>
                <w:rFonts w:ascii="Palatino Linotype" w:hAnsi="Palatino Linotype"/>
                <w:b/>
                <w:sz w:val="20"/>
                <w:szCs w:val="20"/>
              </w:rPr>
              <w:t xml:space="preserve"> </w:t>
            </w:r>
            <w:r w:rsidRPr="00BE5F38">
              <w:rPr>
                <w:rFonts w:ascii="Palatino Linotype" w:hAnsi="Palatino Linotype"/>
                <w:b/>
                <w:sz w:val="20"/>
                <w:szCs w:val="20"/>
              </w:rPr>
              <w:t xml:space="preserve">The </w:t>
            </w:r>
            <w:r w:rsidRPr="0059169E" w:rsidR="002F78F4">
              <w:rPr>
                <w:rFonts w:ascii="Palatino Linotype" w:hAnsi="Palatino Linotype"/>
                <w:b/>
                <w:sz w:val="20"/>
                <w:szCs w:val="20"/>
              </w:rPr>
              <w:t xml:space="preserve">CEC is compliant with this </w:t>
            </w:r>
            <w:r w:rsidRPr="001329DB" w:rsidR="002F78F4">
              <w:rPr>
                <w:rFonts w:ascii="Palatino Linotype" w:hAnsi="Palatino Linotype"/>
                <w:b/>
                <w:color w:val="000000" w:themeColor="text1"/>
                <w:sz w:val="20"/>
                <w:szCs w:val="20"/>
              </w:rPr>
              <w:t>requirement.</w:t>
            </w:r>
            <w:r w:rsidRPr="001329DB" w:rsidR="00144647">
              <w:rPr>
                <w:rFonts w:ascii="Palatino Linotype" w:hAnsi="Palatino Linotype"/>
                <w:b/>
                <w:color w:val="000000" w:themeColor="text1"/>
                <w:sz w:val="20"/>
                <w:szCs w:val="20"/>
              </w:rPr>
              <w:t xml:space="preserve"> </w:t>
            </w:r>
          </w:p>
        </w:tc>
      </w:tr>
      <w:tr w:rsidR="002F78F4" w:rsidTr="00C254F7" w14:paraId="281EE1D0" w14:textId="77777777">
        <w:trPr>
          <w:trHeight w:val="48"/>
        </w:trPr>
        <w:tc>
          <w:tcPr>
            <w:tcW w:w="3145" w:type="dxa"/>
          </w:tcPr>
          <w:p w:rsidRPr="00E7529D" w:rsidR="002F78F4" w:rsidP="00BB366A" w:rsidRDefault="002F78F4" w14:paraId="71D489F1" w14:textId="77777777">
            <w:pPr>
              <w:rPr>
                <w:rFonts w:ascii="Palatino Linotype" w:hAnsi="Palatino Linotype"/>
                <w:b/>
                <w:bCs/>
                <w:sz w:val="20"/>
                <w:szCs w:val="20"/>
              </w:rPr>
            </w:pPr>
            <w:hyperlink r:id="rId90">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 7.</w:t>
            </w:r>
            <w:r w:rsidRPr="3F09D30F">
              <w:rPr>
                <w:rFonts w:ascii="Palatino Linotype" w:hAnsi="Palatino Linotype"/>
                <w:i/>
                <w:iCs/>
                <w:sz w:val="20"/>
                <w:szCs w:val="20"/>
              </w:rPr>
              <w:t xml:space="preserve"> </w:t>
            </w:r>
            <w:r w:rsidRPr="007A75DA">
              <w:rPr>
                <w:rFonts w:ascii="Palatino Linotype" w:hAnsi="Palatino Linotype"/>
                <w:i/>
                <w:iCs/>
                <w:sz w:val="20"/>
                <w:szCs w:val="20"/>
              </w:rPr>
              <w:t xml:space="preserve">In Fiscal Year 2023-2024 and all future plans, the CEC shall identify 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w:t>
            </w:r>
            <w:r w:rsidRPr="00ED68CC">
              <w:rPr>
                <w:rFonts w:ascii="Palatino Linotype" w:hAnsi="Palatino Linotype"/>
                <w:i/>
                <w:iCs/>
                <w:sz w:val="20"/>
                <w:szCs w:val="20"/>
              </w:rPr>
              <w:t>The CEC shall also list all spent, encumbered, and uncommitted funds organized by Gas R&amp;D initiative. Unencumbered and unspent funds shall be utilized prior to the utilization of new and/or additional ratepayer funds.</w:t>
            </w:r>
          </w:p>
          <w:p w:rsidRPr="00E7529D" w:rsidR="002F78F4" w:rsidP="00BB366A" w:rsidRDefault="002F78F4" w14:paraId="01BCD5DF" w14:textId="77777777">
            <w:pPr>
              <w:rPr>
                <w:rFonts w:ascii="Palatino Linotype" w:hAnsi="Palatino Linotype"/>
                <w:i/>
                <w:iCs/>
                <w:sz w:val="20"/>
                <w:szCs w:val="20"/>
              </w:rPr>
            </w:pPr>
          </w:p>
          <w:p w:rsidRPr="00E7529D" w:rsidR="002F78F4" w:rsidP="00BB366A" w:rsidRDefault="002F78F4" w14:paraId="44656E1B" w14:textId="77777777">
            <w:pPr>
              <w:rPr>
                <w:rFonts w:ascii="Palatino Linotype" w:hAnsi="Palatino Linotype" w:eastAsia="Palatino Linotype" w:cs="Palatino Linotype"/>
                <w:sz w:val="20"/>
                <w:szCs w:val="20"/>
              </w:rPr>
            </w:pPr>
            <w:r w:rsidRPr="00EE29DF">
              <w:rPr>
                <w:rFonts w:ascii="Palatino Linotype" w:hAnsi="Palatino Linotype"/>
                <w:sz w:val="20"/>
                <w:szCs w:val="20"/>
              </w:rPr>
              <w:t>See also:</w:t>
            </w:r>
            <w:r w:rsidRPr="3F09D30F">
              <w:rPr>
                <w:rFonts w:ascii="Palatino Linotype" w:hAnsi="Palatino Linotype"/>
                <w:i/>
                <w:iCs/>
                <w:sz w:val="20"/>
                <w:szCs w:val="20"/>
              </w:rPr>
              <w:t xml:space="preserve"> </w:t>
            </w:r>
            <w:hyperlink r:id="rId91">
              <w:r w:rsidRPr="3F09D30F">
                <w:rPr>
                  <w:rStyle w:val="Hyperlink"/>
                  <w:rFonts w:ascii="Palatino Linotype" w:hAnsi="Palatino Linotype" w:eastAsia="Palatino Linotype" w:cs="Palatino Linotype"/>
                  <w:sz w:val="20"/>
                  <w:szCs w:val="20"/>
                </w:rPr>
                <w:t>Resolution G-3484</w:t>
              </w:r>
            </w:hyperlink>
            <w:r w:rsidRPr="3F09D30F">
              <w:rPr>
                <w:rFonts w:ascii="Palatino Linotype" w:hAnsi="Palatino Linotype" w:eastAsia="Palatino Linotype" w:cs="Palatino Linotype"/>
                <w:color w:val="000000" w:themeColor="text1"/>
                <w:sz w:val="20"/>
                <w:szCs w:val="20"/>
              </w:rPr>
              <w:t xml:space="preserve"> </w:t>
            </w:r>
            <w:r w:rsidRPr="00EE29DF">
              <w:rPr>
                <w:rFonts w:ascii="Palatino Linotype" w:hAnsi="Palatino Linotype" w:eastAsia="Palatino Linotype" w:cs="Palatino Linotype"/>
                <w:color w:val="000000" w:themeColor="text1"/>
                <w:sz w:val="20"/>
                <w:szCs w:val="20"/>
              </w:rPr>
              <w:t xml:space="preserve">(2013) at p. 5-6.  </w:t>
            </w:r>
          </w:p>
        </w:tc>
        <w:tc>
          <w:tcPr>
            <w:tcW w:w="7920" w:type="dxa"/>
          </w:tcPr>
          <w:p w:rsidR="002F78F4" w:rsidP="00BB366A" w:rsidRDefault="00BE5F38" w14:paraId="023DCE18" w14:textId="187DA2E2">
            <w:pPr>
              <w:rPr>
                <w:rFonts w:ascii="Palatino Linotype" w:hAnsi="Palatino Linotype"/>
                <w:bCs/>
                <w:color w:val="000000" w:themeColor="text1"/>
                <w:sz w:val="20"/>
                <w:szCs w:val="20"/>
              </w:rPr>
            </w:pPr>
            <w:r>
              <w:rPr>
                <w:rFonts w:ascii="Palatino Linotype" w:hAnsi="Palatino Linotype"/>
                <w:bCs/>
                <w:sz w:val="20"/>
                <w:szCs w:val="20"/>
              </w:rPr>
              <w:t>The</w:t>
            </w:r>
            <w:r w:rsidRPr="00ED51DF">
              <w:rPr>
                <w:rFonts w:ascii="Palatino Linotype" w:hAnsi="Palatino Linotype"/>
                <w:bCs/>
                <w:color w:val="000000" w:themeColor="text1"/>
                <w:sz w:val="20"/>
                <w:szCs w:val="20"/>
              </w:rPr>
              <w:t xml:space="preserve"> </w:t>
            </w:r>
            <w:r w:rsidRPr="00ED51DF" w:rsidR="002F78F4">
              <w:rPr>
                <w:rFonts w:ascii="Palatino Linotype" w:hAnsi="Palatino Linotype"/>
                <w:bCs/>
                <w:color w:val="000000" w:themeColor="text1"/>
                <w:sz w:val="20"/>
                <w:szCs w:val="20"/>
              </w:rPr>
              <w:t xml:space="preserve">CEC provides balances of encumbered and unspent funds from </w:t>
            </w:r>
            <w:r>
              <w:rPr>
                <w:rFonts w:ascii="Palatino Linotype" w:hAnsi="Palatino Linotype"/>
                <w:bCs/>
                <w:color w:val="000000" w:themeColor="text1"/>
                <w:sz w:val="20"/>
                <w:szCs w:val="20"/>
              </w:rPr>
              <w:t xml:space="preserve">the </w:t>
            </w:r>
            <w:r w:rsidRPr="00ED51DF" w:rsidR="002F78F4">
              <w:rPr>
                <w:rFonts w:ascii="Palatino Linotype" w:hAnsi="Palatino Linotype"/>
                <w:bCs/>
                <w:color w:val="000000" w:themeColor="text1"/>
                <w:sz w:val="20"/>
                <w:szCs w:val="20"/>
              </w:rPr>
              <w:t>CEC’s Plans from FY 2014-2015 through FY 2023-2024 as of January 2025 in Appendix B</w:t>
            </w:r>
            <w:r w:rsidR="002F78F4">
              <w:rPr>
                <w:rFonts w:ascii="Palatino Linotype" w:hAnsi="Palatino Linotype"/>
                <w:bCs/>
                <w:color w:val="000000" w:themeColor="text1"/>
                <w:sz w:val="20"/>
                <w:szCs w:val="20"/>
              </w:rPr>
              <w:t>, including:</w:t>
            </w:r>
          </w:p>
          <w:p w:rsidRPr="00E93780" w:rsidR="002F78F4" w:rsidP="003B475F" w:rsidRDefault="002F78F4" w14:paraId="18180F64" w14:textId="77777777">
            <w:pPr>
              <w:pStyle w:val="ListParagraph"/>
              <w:numPr>
                <w:ilvl w:val="0"/>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$26.14M unspent from its FY 2023-2024 Plan, including approved supplemental funds:</w:t>
            </w:r>
          </w:p>
          <w:p w:rsidRPr="00E93780" w:rsidR="002F78F4" w:rsidP="003B475F" w:rsidRDefault="002F78F4" w14:paraId="6E132A4C" w14:textId="77777777">
            <w:pPr>
              <w:pStyle w:val="ListParagraph"/>
              <w:numPr>
                <w:ilvl w:val="1"/>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$1.23M from its FY 2020-2021 Plan.</w:t>
            </w:r>
          </w:p>
          <w:p w:rsidRPr="00E93780" w:rsidR="002F78F4" w:rsidP="003B475F" w:rsidRDefault="002F78F4" w14:paraId="704A9493" w14:textId="77777777">
            <w:pPr>
              <w:pStyle w:val="ListParagraph"/>
              <w:numPr>
                <w:ilvl w:val="1"/>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$3.81 from its FY 2016-2017 Plan.</w:t>
            </w:r>
          </w:p>
          <w:p w:rsidRPr="00E93780" w:rsidR="002F78F4" w:rsidP="003B475F" w:rsidRDefault="002F78F4" w14:paraId="7832CC0D" w14:textId="77777777">
            <w:pPr>
              <w:pStyle w:val="ListParagraph"/>
              <w:numPr>
                <w:ilvl w:val="1"/>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$1.5M from its FY 2015-2016 Plan.</w:t>
            </w:r>
          </w:p>
          <w:p w:rsidRPr="00E93780" w:rsidR="002F78F4" w:rsidP="003B475F" w:rsidRDefault="002F78F4" w14:paraId="4FCB0A47" w14:textId="77777777">
            <w:pPr>
              <w:pStyle w:val="ListParagraph"/>
              <w:numPr>
                <w:ilvl w:val="0"/>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$5.30M unspent from its FY 2022-2023 Plan, including $3.4M and $1.9M for which solicitations are anticipated in FY 2025 and $7,772 anticipated for a supplemental Plan.</w:t>
            </w:r>
          </w:p>
          <w:p w:rsidRPr="00E93780" w:rsidR="002F78F4" w:rsidP="003B475F" w:rsidRDefault="002F78F4" w14:paraId="3B5633DD" w14:textId="77777777">
            <w:pPr>
              <w:pStyle w:val="ListParagraph"/>
              <w:numPr>
                <w:ilvl w:val="0"/>
                <w:numId w:val="24"/>
              </w:numPr>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 xml:space="preserve">$865,642 unspent from its FY 2017-2018 Plan anticipated for a supplemental Plan. </w:t>
            </w:r>
          </w:p>
          <w:p w:rsidR="002F78F4" w:rsidP="003B475F" w:rsidRDefault="002F78F4" w14:paraId="13EFAB8D" w14:textId="62ACEDB3">
            <w:pPr>
              <w:pStyle w:val="ListParagraph"/>
              <w:numPr>
                <w:ilvl w:val="0"/>
                <w:numId w:val="24"/>
              </w:numPr>
              <w:spacing w:after="160"/>
              <w:rPr>
                <w:rFonts w:ascii="Palatino Linotype" w:hAnsi="Palatino Linotype"/>
                <w:bCs/>
                <w:color w:val="000000" w:themeColor="text1"/>
                <w:sz w:val="20"/>
                <w:szCs w:val="20"/>
              </w:rPr>
            </w:pPr>
            <w:r w:rsidRPr="00E93780">
              <w:rPr>
                <w:rFonts w:ascii="Palatino Linotype" w:hAnsi="Palatino Linotype"/>
                <w:bCs/>
                <w:color w:val="000000" w:themeColor="text1"/>
                <w:sz w:val="20"/>
                <w:szCs w:val="20"/>
              </w:rPr>
              <w:t>$0 unspent, meaning all funds encumbered, from its FYs 2014-2015, 2018-2019, 2019-2020, and 2021-2022 Plans.</w:t>
            </w:r>
          </w:p>
          <w:p w:rsidR="002F78F4" w:rsidP="00BB366A" w:rsidRDefault="002F78F4" w14:paraId="6C950095" w14:textId="68560FB4">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BE5F38">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 xml:space="preserve">responded to a Spring 2026 CPUC </w:t>
            </w:r>
            <w:r w:rsidR="0056763F">
              <w:rPr>
                <w:rFonts w:ascii="Palatino Linotype" w:hAnsi="Palatino Linotype"/>
                <w:bCs/>
                <w:color w:val="000000" w:themeColor="text1"/>
                <w:sz w:val="20"/>
                <w:szCs w:val="20"/>
              </w:rPr>
              <w:t>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w:t>
            </w:r>
            <w:r w:rsidR="00BE5F38">
              <w:rPr>
                <w:rFonts w:ascii="Palatino Linotype" w:hAnsi="Palatino Linotype"/>
                <w:bCs/>
                <w:sz w:val="20"/>
                <w:szCs w:val="20"/>
              </w:rPr>
              <w:t>The</w:t>
            </w:r>
            <w:r w:rsidR="00BE5F38">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reports a total of $31,076,691 in Unspent Encumbered Funds and Unencumbered Funds </w:t>
            </w:r>
            <w:r w:rsidR="00E50633">
              <w:rPr>
                <w:rFonts w:ascii="Palatino Linotype" w:hAnsi="Palatino Linotype"/>
                <w:bCs/>
                <w:color w:val="000000" w:themeColor="text1"/>
                <w:sz w:val="20"/>
                <w:szCs w:val="20"/>
              </w:rPr>
              <w:t>outside encumbrance and spending windows</w:t>
            </w:r>
            <w:r>
              <w:rPr>
                <w:rFonts w:ascii="Palatino Linotype" w:hAnsi="Palatino Linotype"/>
                <w:bCs/>
                <w:color w:val="000000" w:themeColor="text1"/>
                <w:sz w:val="20"/>
                <w:szCs w:val="20"/>
              </w:rPr>
              <w:t xml:space="preserve"> per this requirement: </w:t>
            </w:r>
            <w:r w:rsidRPr="00635844">
              <w:rPr>
                <w:rFonts w:ascii="Palatino Linotype" w:hAnsi="Palatino Linotype"/>
                <w:sz w:val="20"/>
                <w:szCs w:val="20"/>
              </w:rPr>
              <w:t>See Resolution G-</w:t>
            </w:r>
            <w:r w:rsidR="002E0702">
              <w:rPr>
                <w:rFonts w:ascii="Palatino Linotype" w:hAnsi="Palatino Linotype"/>
                <w:sz w:val="20"/>
                <w:szCs w:val="20"/>
              </w:rPr>
              <w:t>3622</w:t>
            </w:r>
            <w:r w:rsidRPr="00635844">
              <w:rPr>
                <w:rFonts w:ascii="Palatino Linotype" w:hAnsi="Palatino Linotype"/>
                <w:sz w:val="20"/>
                <w:szCs w:val="20"/>
              </w:rPr>
              <w:t xml:space="preserve"> at Appendix </w:t>
            </w:r>
            <w:r w:rsidR="00BD47DB">
              <w:rPr>
                <w:rFonts w:ascii="Palatino Linotype" w:hAnsi="Palatino Linotype"/>
                <w:sz w:val="20"/>
                <w:szCs w:val="20"/>
              </w:rPr>
              <w:t>F</w:t>
            </w:r>
            <w:r w:rsidRPr="00635844">
              <w:rPr>
                <w:rFonts w:ascii="Palatino Linotype" w:hAnsi="Palatino Linotype"/>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002F78F4" w:rsidP="00BB366A" w:rsidRDefault="00BE5F38" w14:paraId="2B445575" w14:textId="5069F61D">
            <w:pPr>
              <w:spacing w:before="240"/>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does </w:t>
            </w:r>
            <w:r w:rsidRPr="00DB3015" w:rsidR="002F78F4">
              <w:rPr>
                <w:rFonts w:ascii="Palatino Linotype" w:hAnsi="Palatino Linotype"/>
                <w:bCs/>
                <w:color w:val="000000" w:themeColor="text1"/>
                <w:sz w:val="20"/>
                <w:szCs w:val="20"/>
              </w:rPr>
              <w:t>not request to use unspent funds for any new projects</w:t>
            </w:r>
            <w:r w:rsidR="002F78F4">
              <w:rPr>
                <w:rFonts w:ascii="Palatino Linotype" w:hAnsi="Palatino Linotype"/>
                <w:bCs/>
                <w:color w:val="000000" w:themeColor="text1"/>
                <w:sz w:val="20"/>
                <w:szCs w:val="20"/>
              </w:rPr>
              <w:t xml:space="preserve"> in its FY 2024-2025 Plan, but states that it “</w:t>
            </w:r>
            <w:r w:rsidRPr="00D66C1F" w:rsidR="002F78F4">
              <w:rPr>
                <w:rFonts w:ascii="Palatino Linotype" w:hAnsi="Palatino Linotype"/>
                <w:bCs/>
                <w:color w:val="000000" w:themeColor="text1"/>
                <w:sz w:val="20"/>
                <w:szCs w:val="20"/>
              </w:rPr>
              <w:t xml:space="preserve">will ensure that for any use of encumbered and unspent funds that the CEC requests for new projects, the request will identify the respective research areas for which the CPUC originally </w:t>
            </w:r>
            <w:r w:rsidRPr="00E63F63" w:rsidR="002F78F4">
              <w:rPr>
                <w:rFonts w:ascii="Palatino Linotype" w:hAnsi="Palatino Linotype"/>
                <w:bCs/>
                <w:color w:val="000000" w:themeColor="text1"/>
                <w:sz w:val="20"/>
                <w:szCs w:val="20"/>
              </w:rPr>
              <w:t>authorized the funding.”</w:t>
            </w:r>
            <w:r w:rsidRPr="00E63F63" w:rsidR="002F78F4">
              <w:rPr>
                <w:rStyle w:val="FootnoteReference"/>
                <w:rFonts w:ascii="Palatino Linotype" w:hAnsi="Palatino Linotype"/>
                <w:bCs/>
                <w:color w:val="000000" w:themeColor="text1"/>
                <w:sz w:val="20"/>
                <w:szCs w:val="20"/>
              </w:rPr>
              <w:footnoteReference w:id="177"/>
            </w:r>
            <w:r w:rsidRPr="00E63F63"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sidRPr="00E63F63">
              <w:rPr>
                <w:rFonts w:ascii="Palatino Linotype" w:hAnsi="Palatino Linotype"/>
                <w:bCs/>
                <w:color w:val="000000" w:themeColor="text1"/>
                <w:sz w:val="20"/>
                <w:szCs w:val="20"/>
              </w:rPr>
              <w:t xml:space="preserve"> </w:t>
            </w:r>
            <w:r w:rsidRPr="00E63F63" w:rsidR="002F78F4">
              <w:rPr>
                <w:rFonts w:ascii="Palatino Linotype" w:hAnsi="Palatino Linotype"/>
                <w:bCs/>
                <w:color w:val="000000" w:themeColor="text1"/>
                <w:sz w:val="20"/>
                <w:szCs w:val="20"/>
              </w:rPr>
              <w:t>CEC also states that, “[p]er Resolutions G-3584 and G-3592, the CEC will ensure that for any unspent funds that the CEC has identified and seeks to use for new Gas R&amp;D projects, the CEC will apply this unused funding before any new or additional ratepayer funds are used</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78"/>
            </w:r>
            <w:r w:rsidRPr="00E63F63" w:rsidR="002F78F4">
              <w:rPr>
                <w:rFonts w:ascii="Palatino Linotype" w:hAnsi="Palatino Linotype"/>
                <w:bCs/>
                <w:color w:val="000000" w:themeColor="text1"/>
                <w:sz w:val="20"/>
                <w:szCs w:val="20"/>
              </w:rPr>
              <w:t xml:space="preserve"> </w:t>
            </w:r>
          </w:p>
          <w:p w:rsidRPr="00E63F63" w:rsidR="002F78F4" w:rsidP="00BB366A" w:rsidRDefault="00BE5F38" w14:paraId="778F30C2" w14:textId="23179D6F">
            <w:pPr>
              <w:spacing w:before="240"/>
              <w:rPr>
                <w:rFonts w:ascii="Palatino Linotype" w:hAnsi="Palatino Linotype"/>
                <w:bCs/>
                <w:color w:val="000000" w:themeColor="text1"/>
                <w:sz w:val="20"/>
                <w:szCs w:val="20"/>
              </w:rPr>
            </w:pPr>
            <w:r>
              <w:rPr>
                <w:rFonts w:ascii="Palatino Linotype" w:hAnsi="Palatino Linotype"/>
                <w:bCs/>
                <w:sz w:val="20"/>
                <w:szCs w:val="20"/>
              </w:rPr>
              <w:lastRenderedPageBreak/>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also lists $3.6M under “CPUC FY 2022-23 </w:t>
            </w:r>
            <w:r w:rsidRPr="00566ECA" w:rsidR="002F78F4">
              <w:rPr>
                <w:rFonts w:ascii="Palatino Linotype" w:hAnsi="Palatino Linotype"/>
                <w:bCs/>
                <w:i/>
                <w:iCs/>
                <w:color w:val="000000" w:themeColor="text1"/>
                <w:sz w:val="20"/>
                <w:szCs w:val="20"/>
              </w:rPr>
              <w:t>Approved</w:t>
            </w:r>
            <w:r w:rsidR="002F78F4">
              <w:rPr>
                <w:rFonts w:ascii="Palatino Linotype" w:hAnsi="Palatino Linotype"/>
                <w:bCs/>
                <w:color w:val="000000" w:themeColor="text1"/>
                <w:sz w:val="20"/>
                <w:szCs w:val="20"/>
              </w:rPr>
              <w:t xml:space="preserve"> Budget Plan” versus $0 under “FY 2022-23 </w:t>
            </w:r>
            <w:r w:rsidRPr="00566ECA" w:rsidR="002F78F4">
              <w:rPr>
                <w:rFonts w:ascii="Palatino Linotype" w:hAnsi="Palatino Linotype"/>
                <w:bCs/>
                <w:i/>
                <w:iCs/>
                <w:color w:val="000000" w:themeColor="text1"/>
                <w:sz w:val="20"/>
                <w:szCs w:val="20"/>
              </w:rPr>
              <w:t>Current</w:t>
            </w:r>
            <w:r w:rsidR="002F78F4">
              <w:rPr>
                <w:rFonts w:ascii="Palatino Linotype" w:hAnsi="Palatino Linotype"/>
                <w:bCs/>
                <w:color w:val="000000" w:themeColor="text1"/>
                <w:sz w:val="20"/>
                <w:szCs w:val="20"/>
              </w:rPr>
              <w:t xml:space="preserve"> Budget Plan” for an Entrepreneur Development Initiative, noting “</w:t>
            </w:r>
            <w:r w:rsidRPr="007F4020" w:rsidR="002F78F4">
              <w:rPr>
                <w:rFonts w:ascii="Palatino Linotype" w:hAnsi="Palatino Linotype"/>
                <w:bCs/>
                <w:color w:val="000000" w:themeColor="text1"/>
                <w:sz w:val="20"/>
                <w:szCs w:val="20"/>
              </w:rPr>
              <w:t xml:space="preserve">CPUC modified the $3.6 million budget for Entrepreneur Development (CalSEED Initiative) and directed the CEC to submit a new proposal for reallocating the $3.6 million via a Tier 2 Advice Letter. CPUC approved </w:t>
            </w:r>
            <w:r>
              <w:rPr>
                <w:rFonts w:ascii="Palatino Linotype" w:hAnsi="Palatino Linotype"/>
                <w:bCs/>
                <w:color w:val="000000" w:themeColor="text1"/>
                <w:sz w:val="20"/>
                <w:szCs w:val="20"/>
              </w:rPr>
              <w:t xml:space="preserve">the </w:t>
            </w:r>
            <w:r w:rsidRPr="007F4020" w:rsidR="002F78F4">
              <w:rPr>
                <w:rFonts w:ascii="Palatino Linotype" w:hAnsi="Palatino Linotype"/>
                <w:bCs/>
                <w:color w:val="000000" w:themeColor="text1"/>
                <w:sz w:val="20"/>
                <w:szCs w:val="20"/>
              </w:rPr>
              <w:t>CEC’s request to reallocate $600,000 to Targeted Gas System Decommissioning and $3,000,000 to Gas Pipeline Safety and Integrity.</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79"/>
            </w:r>
          </w:p>
        </w:tc>
        <w:tc>
          <w:tcPr>
            <w:tcW w:w="3240" w:type="dxa"/>
          </w:tcPr>
          <w:p w:rsidR="002F78F4" w:rsidP="00BB366A" w:rsidRDefault="002F78F4" w14:paraId="4B4E78B7" w14:textId="2459CE11">
            <w:pPr>
              <w:rPr>
                <w:rFonts w:ascii="Palatino Linotype" w:hAnsi="Palatino Linotype"/>
                <w:b/>
                <w:color w:val="000000" w:themeColor="text1"/>
                <w:sz w:val="20"/>
                <w:szCs w:val="20"/>
              </w:rPr>
            </w:pPr>
            <w:r w:rsidRPr="009A79FB">
              <w:rPr>
                <w:rFonts w:ascii="Palatino Linotype" w:hAnsi="Palatino Linotype"/>
                <w:bCs/>
                <w:color w:val="000000" w:themeColor="text1"/>
                <w:sz w:val="20"/>
                <w:szCs w:val="20"/>
              </w:rPr>
              <w:lastRenderedPageBreak/>
              <w:t xml:space="preserve">Though </w:t>
            </w:r>
            <w:r w:rsidR="00BE5F38">
              <w:rPr>
                <w:rFonts w:ascii="Palatino Linotype" w:hAnsi="Palatino Linotype"/>
                <w:bCs/>
                <w:color w:val="000000" w:themeColor="text1"/>
                <w:sz w:val="20"/>
                <w:szCs w:val="20"/>
              </w:rPr>
              <w:t xml:space="preserve">the </w:t>
            </w:r>
            <w:r w:rsidRPr="009A79FB">
              <w:rPr>
                <w:rFonts w:ascii="Palatino Linotype" w:hAnsi="Palatino Linotype"/>
                <w:bCs/>
                <w:color w:val="000000" w:themeColor="text1"/>
                <w:sz w:val="20"/>
                <w:szCs w:val="20"/>
              </w:rPr>
              <w:t>CEC reports unspent and encumbered funds,</w:t>
            </w:r>
            <w:r w:rsidR="00BE5F38">
              <w:rPr>
                <w:rFonts w:ascii="Palatino Linotype" w:hAnsi="Palatino Linotype"/>
                <w:bCs/>
                <w:color w:val="000000" w:themeColor="text1"/>
                <w:sz w:val="20"/>
                <w:szCs w:val="20"/>
              </w:rPr>
              <w:t xml:space="preserve"> the</w:t>
            </w:r>
            <w:r w:rsidRPr="009A79FB">
              <w:rPr>
                <w:rFonts w:ascii="Palatino Linotype" w:hAnsi="Palatino Linotype"/>
                <w:bCs/>
                <w:color w:val="000000" w:themeColor="text1"/>
                <w:sz w:val="20"/>
                <w:szCs w:val="20"/>
              </w:rPr>
              <w:t xml:space="preserve"> </w:t>
            </w:r>
            <w:r w:rsidRPr="00F53832">
              <w:rPr>
                <w:rFonts w:ascii="Palatino Linotype" w:hAnsi="Palatino Linotype"/>
                <w:bCs/>
                <w:color w:val="000000" w:themeColor="text1"/>
                <w:sz w:val="20"/>
                <w:szCs w:val="20"/>
              </w:rPr>
              <w:t xml:space="preserve">CEC does not provide balances of </w:t>
            </w:r>
            <w:r w:rsidRPr="00BE28B1">
              <w:rPr>
                <w:rFonts w:ascii="Palatino Linotype" w:hAnsi="Palatino Linotype"/>
                <w:bCs/>
                <w:color w:val="000000" w:themeColor="text1"/>
                <w:sz w:val="20"/>
                <w:szCs w:val="20"/>
              </w:rPr>
              <w:t xml:space="preserve">spent and </w:t>
            </w:r>
            <w:r>
              <w:rPr>
                <w:rFonts w:ascii="Palatino Linotype" w:hAnsi="Palatino Linotype"/>
                <w:bCs/>
                <w:color w:val="000000" w:themeColor="text1"/>
                <w:sz w:val="20"/>
                <w:szCs w:val="20"/>
              </w:rPr>
              <w:t>unencumbered</w:t>
            </w:r>
            <w:r w:rsidRPr="00BE28B1">
              <w:rPr>
                <w:rFonts w:ascii="Palatino Linotype" w:hAnsi="Palatino Linotype"/>
                <w:bCs/>
                <w:color w:val="000000" w:themeColor="text1"/>
                <w:sz w:val="20"/>
                <w:szCs w:val="20"/>
              </w:rPr>
              <w:t xml:space="preserve"> funds </w:t>
            </w:r>
            <w:r w:rsidRPr="00F53832">
              <w:rPr>
                <w:rFonts w:ascii="Palatino Linotype" w:hAnsi="Palatino Linotype"/>
                <w:bCs/>
                <w:color w:val="000000" w:themeColor="text1"/>
                <w:sz w:val="20"/>
                <w:szCs w:val="20"/>
              </w:rPr>
              <w:t xml:space="preserve">for these years nor does </w:t>
            </w:r>
            <w:r w:rsidR="00BE5F38">
              <w:rPr>
                <w:rFonts w:ascii="Palatino Linotype" w:hAnsi="Palatino Linotype"/>
                <w:bCs/>
                <w:color w:val="000000" w:themeColor="text1"/>
                <w:sz w:val="20"/>
                <w:szCs w:val="20"/>
              </w:rPr>
              <w:t xml:space="preserve">the </w:t>
            </w:r>
            <w:r w:rsidRPr="00F53832">
              <w:rPr>
                <w:rFonts w:ascii="Palatino Linotype" w:hAnsi="Palatino Linotype"/>
                <w:bCs/>
                <w:color w:val="000000" w:themeColor="text1"/>
                <w:sz w:val="20"/>
                <w:szCs w:val="20"/>
              </w:rPr>
              <w:t>CEC detail expiration dates to demonstrate compliance with encumbrance and spending deadlines</w:t>
            </w:r>
            <w:r w:rsidR="007E2D81">
              <w:rPr>
                <w:rFonts w:ascii="Palatino Linotype" w:hAnsi="Palatino Linotype"/>
                <w:bCs/>
                <w:color w:val="000000" w:themeColor="text1"/>
                <w:sz w:val="20"/>
                <w:szCs w:val="20"/>
              </w:rPr>
              <w:t xml:space="preserve">, </w:t>
            </w:r>
            <w:r w:rsidRPr="00F53832">
              <w:rPr>
                <w:rFonts w:ascii="Palatino Linotype" w:hAnsi="Palatino Linotype"/>
                <w:bCs/>
                <w:color w:val="000000" w:themeColor="text1"/>
                <w:sz w:val="20"/>
                <w:szCs w:val="20"/>
              </w:rPr>
              <w:t xml:space="preserve">as described under the Commission’s compliance assessment of AL 12-G with </w:t>
            </w:r>
            <w:r w:rsidRPr="00586B06">
              <w:rPr>
                <w:rFonts w:ascii="Palatino Linotype" w:hAnsi="Palatino Linotype"/>
                <w:bCs/>
                <w:color w:val="000000" w:themeColor="text1"/>
                <w:sz w:val="20"/>
                <w:szCs w:val="20"/>
              </w:rPr>
              <w:t>Resolution G-3484</w:t>
            </w:r>
            <w:r w:rsidR="00586B06">
              <w:rPr>
                <w:rFonts w:ascii="Palatino Linotype" w:hAnsi="Palatino Linotype"/>
                <w:bCs/>
                <w:color w:val="000000" w:themeColor="text1"/>
                <w:sz w:val="20"/>
                <w:szCs w:val="20"/>
              </w:rPr>
              <w:t xml:space="preserve">. </w:t>
            </w:r>
            <w:r w:rsidR="00BE5F38">
              <w:rPr>
                <w:rFonts w:ascii="Palatino Linotype" w:hAnsi="Palatino Linotype"/>
                <w:bCs/>
                <w:sz w:val="20"/>
                <w:szCs w:val="20"/>
              </w:rPr>
              <w:t>The</w:t>
            </w:r>
            <w:r w:rsidRPr="005E4C34" w:rsidR="00BE5F38">
              <w:rPr>
                <w:rFonts w:ascii="Palatino Linotype" w:hAnsi="Palatino Linotype"/>
                <w:bCs/>
                <w:sz w:val="20"/>
                <w:szCs w:val="20"/>
              </w:rPr>
              <w:t xml:space="preserve"> </w:t>
            </w:r>
            <w:r w:rsidRPr="005E4C34">
              <w:rPr>
                <w:rFonts w:ascii="Palatino Linotype" w:hAnsi="Palatino Linotype"/>
                <w:bCs/>
                <w:sz w:val="20"/>
                <w:szCs w:val="20"/>
              </w:rPr>
              <w:t xml:space="preserve">CEC reports unspent funds but does not </w:t>
            </w:r>
            <w:r w:rsidRPr="005E4C34">
              <w:rPr>
                <w:rFonts w:ascii="Palatino Linotype" w:hAnsi="Palatino Linotype"/>
                <w:bCs/>
                <w:color w:val="000000" w:themeColor="text1"/>
                <w:sz w:val="20"/>
                <w:szCs w:val="20"/>
              </w:rPr>
              <w:t>demonstrate they have been or are being used to offset new or additional ratepayer costs</w:t>
            </w:r>
            <w:r>
              <w:rPr>
                <w:rFonts w:ascii="Palatino Linotype" w:hAnsi="Palatino Linotype"/>
                <w:bCs/>
                <w:color w:val="000000" w:themeColor="text1"/>
                <w:sz w:val="20"/>
                <w:szCs w:val="20"/>
              </w:rPr>
              <w:t xml:space="preserve">; further, </w:t>
            </w:r>
            <w:r w:rsidR="00BE5F38">
              <w:rPr>
                <w:rFonts w:ascii="Palatino Linotype" w:hAnsi="Palatino Linotype"/>
                <w:bCs/>
                <w:color w:val="000000" w:themeColor="text1"/>
                <w:sz w:val="20"/>
                <w:szCs w:val="20"/>
              </w:rPr>
              <w:t>t</w:t>
            </w:r>
            <w:r w:rsidR="00BE5F38">
              <w:rPr>
                <w:rFonts w:ascii="Palatino Linotype" w:hAnsi="Palatino Linotype"/>
                <w:bCs/>
                <w:sz w:val="20"/>
                <w:szCs w:val="20"/>
              </w:rPr>
              <w:t>he</w:t>
            </w:r>
            <w:r w:rsidR="00BE5F38">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indicates it </w:t>
            </w:r>
            <w:r w:rsidRPr="00566ECA">
              <w:rPr>
                <w:rFonts w:ascii="Palatino Linotype" w:hAnsi="Palatino Linotype"/>
                <w:bCs/>
                <w:color w:val="000000" w:themeColor="text1"/>
                <w:sz w:val="20"/>
                <w:szCs w:val="20"/>
              </w:rPr>
              <w:t xml:space="preserve">anticipates unspent funds will be used for a supplemental Plan. </w:t>
            </w:r>
            <w:r w:rsidR="00BE5F38">
              <w:rPr>
                <w:rFonts w:ascii="Palatino Linotype" w:hAnsi="Palatino Linotype"/>
                <w:bCs/>
                <w:sz w:val="20"/>
                <w:szCs w:val="20"/>
              </w:rPr>
              <w:t>The</w:t>
            </w:r>
            <w:r w:rsidRPr="006457C9" w:rsidR="00BE5F38">
              <w:rPr>
                <w:rFonts w:ascii="Palatino Linotype" w:hAnsi="Palatino Linotype"/>
                <w:bCs/>
                <w:color w:val="000000" w:themeColor="text1"/>
                <w:sz w:val="20"/>
                <w:szCs w:val="20"/>
              </w:rPr>
              <w:t xml:space="preserve"> </w:t>
            </w:r>
            <w:r w:rsidRPr="006457C9">
              <w:rPr>
                <w:rFonts w:ascii="Palatino Linotype" w:hAnsi="Palatino Linotype"/>
                <w:bCs/>
                <w:color w:val="000000" w:themeColor="text1"/>
                <w:sz w:val="20"/>
                <w:szCs w:val="20"/>
              </w:rPr>
              <w:t xml:space="preserve">CEC shall apply the cumulative </w:t>
            </w:r>
            <w:r w:rsidR="00E50633">
              <w:rPr>
                <w:rFonts w:ascii="Palatino Linotype" w:hAnsi="Palatino Linotype"/>
                <w:bCs/>
                <w:color w:val="000000" w:themeColor="text1"/>
                <w:sz w:val="20"/>
                <w:szCs w:val="20"/>
              </w:rPr>
              <w:t>applicable unspent</w:t>
            </w:r>
            <w:r w:rsidRPr="006457C9">
              <w:rPr>
                <w:rFonts w:ascii="Palatino Linotype" w:hAnsi="Palatino Linotype"/>
                <w:bCs/>
                <w:color w:val="000000" w:themeColor="text1"/>
                <w:sz w:val="20"/>
                <w:szCs w:val="20"/>
              </w:rPr>
              <w:t xml:space="preserve"> funds from previous cycles to future funding requests, which will result in reducing the amount the CEC will need to draw out of the program funds for that cycle.</w:t>
            </w:r>
            <w:r w:rsidRPr="00403057">
              <w:rPr>
                <w:rStyle w:val="FootnoteReference"/>
                <w:rFonts w:ascii="Palatino Linotype" w:hAnsi="Palatino Linotype"/>
                <w:bCs/>
                <w:color w:val="000000" w:themeColor="text1"/>
                <w:sz w:val="20"/>
                <w:szCs w:val="20"/>
              </w:rPr>
              <w:footnoteReference w:id="180"/>
            </w:r>
            <w:r>
              <w:rPr>
                <w:rFonts w:ascii="Palatino Linotype" w:hAnsi="Palatino Linotype"/>
                <w:bCs/>
                <w:color w:val="000000" w:themeColor="text1"/>
                <w:sz w:val="20"/>
                <w:szCs w:val="20"/>
              </w:rPr>
              <w:t xml:space="preserve"> </w:t>
            </w:r>
            <w:r w:rsidR="00BE5F38">
              <w:rPr>
                <w:rFonts w:ascii="Palatino Linotype" w:hAnsi="Palatino Linotype"/>
                <w:bCs/>
                <w:sz w:val="20"/>
                <w:szCs w:val="20"/>
              </w:rPr>
              <w:t>The</w:t>
            </w:r>
            <w:r w:rsidRPr="00566ECA" w:rsidR="00BE5F38">
              <w:rPr>
                <w:rFonts w:ascii="Palatino Linotype" w:hAnsi="Palatino Linotype"/>
                <w:bCs/>
                <w:color w:val="000000" w:themeColor="text1"/>
                <w:sz w:val="20"/>
                <w:szCs w:val="20"/>
              </w:rPr>
              <w:t xml:space="preserve"> </w:t>
            </w:r>
            <w:r w:rsidRPr="00566ECA">
              <w:rPr>
                <w:rFonts w:ascii="Palatino Linotype" w:hAnsi="Palatino Linotype"/>
                <w:bCs/>
                <w:color w:val="000000" w:themeColor="text1"/>
                <w:sz w:val="20"/>
                <w:szCs w:val="20"/>
              </w:rPr>
              <w:t xml:space="preserve">CEC also </w:t>
            </w:r>
            <w:r>
              <w:rPr>
                <w:rFonts w:ascii="Palatino Linotype" w:hAnsi="Palatino Linotype"/>
                <w:bCs/>
                <w:color w:val="000000" w:themeColor="text1"/>
                <w:sz w:val="20"/>
                <w:szCs w:val="20"/>
              </w:rPr>
              <w:t xml:space="preserve">does not appear to accurately report CPUC-approved budget allocations for </w:t>
            </w:r>
            <w:r>
              <w:rPr>
                <w:rFonts w:ascii="Palatino Linotype" w:hAnsi="Palatino Linotype"/>
                <w:bCs/>
                <w:color w:val="000000" w:themeColor="text1"/>
                <w:sz w:val="20"/>
                <w:szCs w:val="20"/>
              </w:rPr>
              <w:lastRenderedPageBreak/>
              <w:t xml:space="preserve">each Plan in </w:t>
            </w:r>
            <w:r w:rsidRPr="005C6191">
              <w:rPr>
                <w:rFonts w:ascii="Palatino Linotype" w:hAnsi="Palatino Linotype"/>
                <w:bCs/>
                <w:color w:val="000000" w:themeColor="text1"/>
                <w:sz w:val="20"/>
                <w:szCs w:val="20"/>
              </w:rPr>
              <w:t xml:space="preserve">Appendix B. </w:t>
            </w:r>
            <w:r w:rsidRPr="00BE5F38" w:rsidR="00BE5F38">
              <w:rPr>
                <w:rFonts w:ascii="Palatino Linotype" w:hAnsi="Palatino Linotype"/>
                <w:b/>
                <w:sz w:val="20"/>
                <w:szCs w:val="20"/>
              </w:rPr>
              <w:t>The</w:t>
            </w:r>
            <w:r w:rsidRPr="00BE5F38" w:rsidR="00BE5F38">
              <w:rPr>
                <w:rFonts w:ascii="Palatino Linotype" w:hAnsi="Palatino Linotype"/>
                <w:b/>
                <w:color w:val="000000" w:themeColor="text1"/>
                <w:sz w:val="20"/>
                <w:szCs w:val="20"/>
              </w:rPr>
              <w:t xml:space="preserve"> </w:t>
            </w:r>
            <w:r w:rsidRPr="005C6191">
              <w:rPr>
                <w:rFonts w:ascii="Palatino Linotype" w:hAnsi="Palatino Linotype"/>
                <w:b/>
                <w:color w:val="000000" w:themeColor="text1"/>
                <w:sz w:val="20"/>
                <w:szCs w:val="20"/>
              </w:rPr>
              <w:t xml:space="preserve">CEC is </w:t>
            </w:r>
            <w:r w:rsidRPr="005C6191">
              <w:rPr>
                <w:rFonts w:ascii="Palatino Linotype" w:hAnsi="Palatino Linotype"/>
                <w:b/>
                <w:i/>
                <w:iCs/>
                <w:color w:val="000000" w:themeColor="text1"/>
                <w:sz w:val="20"/>
                <w:szCs w:val="20"/>
              </w:rPr>
              <w:t>not</w:t>
            </w:r>
            <w:r w:rsidRPr="005C6191">
              <w:rPr>
                <w:rFonts w:ascii="Palatino Linotype" w:hAnsi="Palatino Linotype"/>
                <w:b/>
                <w:color w:val="000000" w:themeColor="text1"/>
                <w:sz w:val="20"/>
                <w:szCs w:val="20"/>
              </w:rPr>
              <w:t xml:space="preserve"> compliant with this requirement.</w:t>
            </w:r>
            <w:r w:rsidRPr="00430652">
              <w:rPr>
                <w:rFonts w:ascii="Palatino Linotype" w:hAnsi="Palatino Linotype"/>
                <w:b/>
                <w:color w:val="000000" w:themeColor="text1"/>
                <w:sz w:val="20"/>
                <w:szCs w:val="20"/>
              </w:rPr>
              <w:t xml:space="preserve"> </w:t>
            </w:r>
          </w:p>
          <w:p w:rsidRPr="004856CA" w:rsidR="002F78F4" w:rsidP="00BB366A" w:rsidRDefault="002F78F4" w14:paraId="1C79D03C" w14:textId="77777777">
            <w:pPr>
              <w:rPr>
                <w:rFonts w:ascii="Palatino Linotype" w:hAnsi="Palatino Linotype"/>
                <w:bCs/>
                <w:color w:val="000000" w:themeColor="text1"/>
                <w:sz w:val="20"/>
                <w:szCs w:val="20"/>
              </w:rPr>
            </w:pPr>
          </w:p>
          <w:p w:rsidRPr="000D4F44" w:rsidR="002F78F4" w:rsidP="00BB366A" w:rsidRDefault="002F78F4" w14:paraId="083659C7" w14:textId="5F3BCF74">
            <w:pPr>
              <w:rPr>
                <w:rFonts w:ascii="Palatino Linotype" w:hAnsi="Palatino Linotype"/>
                <w:sz w:val="20"/>
                <w:szCs w:val="20"/>
              </w:rPr>
            </w:pPr>
            <w:r w:rsidRPr="00694E1E">
              <w:rPr>
                <w:rFonts w:ascii="Palatino Linotype" w:hAnsi="Palatino Linotype"/>
                <w:bCs/>
                <w:color w:val="000000" w:themeColor="text1"/>
                <w:sz w:val="20"/>
                <w:szCs w:val="20"/>
              </w:rPr>
              <w:t xml:space="preserve">The CEC </w:t>
            </w:r>
            <w:r w:rsidR="00156654">
              <w:rPr>
                <w:rFonts w:ascii="Palatino Linotype" w:hAnsi="Palatino Linotype"/>
                <w:bCs/>
                <w:color w:val="000000" w:themeColor="text1"/>
                <w:sz w:val="20"/>
                <w:szCs w:val="20"/>
              </w:rPr>
              <w:t>must</w:t>
            </w:r>
            <w:r w:rsidRPr="00694E1E">
              <w:rPr>
                <w:rFonts w:ascii="Palatino Linotype" w:hAnsi="Palatino Linotype"/>
                <w:bCs/>
                <w:color w:val="000000" w:themeColor="text1"/>
                <w:sz w:val="20"/>
                <w:szCs w:val="20"/>
              </w:rPr>
              <w:t xml:space="preserve"> ensure fund balances are listed by specific Gas RD&amp;D Initiative rather than broader “</w:t>
            </w:r>
            <w:r>
              <w:rPr>
                <w:rFonts w:ascii="Palatino Linotype" w:hAnsi="Palatino Linotype"/>
                <w:bCs/>
                <w:color w:val="000000" w:themeColor="text1"/>
                <w:sz w:val="20"/>
                <w:szCs w:val="20"/>
              </w:rPr>
              <w:t xml:space="preserve">Initiative </w:t>
            </w:r>
            <w:r w:rsidRPr="00694E1E">
              <w:rPr>
                <w:rFonts w:ascii="Palatino Linotype" w:hAnsi="Palatino Linotype"/>
                <w:bCs/>
                <w:color w:val="000000" w:themeColor="text1"/>
                <w:sz w:val="20"/>
                <w:szCs w:val="20"/>
              </w:rPr>
              <w:t>Themes</w:t>
            </w:r>
            <w:r w:rsidR="00624890">
              <w:rPr>
                <w:rFonts w:ascii="Palatino Linotype" w:hAnsi="Palatino Linotype"/>
                <w:bCs/>
                <w:color w:val="000000" w:themeColor="text1"/>
                <w:sz w:val="20"/>
                <w:szCs w:val="20"/>
              </w:rPr>
              <w:t>.</w:t>
            </w:r>
            <w:r w:rsidRPr="00694E1E">
              <w:rPr>
                <w:rFonts w:ascii="Palatino Linotype" w:hAnsi="Palatino Linotype"/>
                <w:bCs/>
                <w:color w:val="000000" w:themeColor="text1"/>
                <w:sz w:val="20"/>
                <w:szCs w:val="20"/>
              </w:rPr>
              <w:t>”</w:t>
            </w:r>
            <w:r w:rsidR="00624890">
              <w:rPr>
                <w:rFonts w:ascii="Palatino Linotype" w:hAnsi="Palatino Linotype"/>
                <w:bCs/>
                <w:color w:val="000000" w:themeColor="text1"/>
                <w:sz w:val="20"/>
                <w:szCs w:val="20"/>
              </w:rPr>
              <w:t xml:space="preserve"> </w:t>
            </w:r>
            <w:r>
              <w:rPr>
                <w:rFonts w:ascii="Palatino Linotype" w:hAnsi="Palatino Linotype"/>
                <w:sz w:val="20"/>
                <w:szCs w:val="20"/>
              </w:rPr>
              <w:t xml:space="preserve">To clearly demonstrate compliance with reporting requirements, the CEC </w:t>
            </w:r>
            <w:r w:rsidR="00156654">
              <w:rPr>
                <w:rFonts w:ascii="Palatino Linotype" w:hAnsi="Palatino Linotype"/>
                <w:sz w:val="20"/>
                <w:szCs w:val="20"/>
              </w:rPr>
              <w:t>must</w:t>
            </w:r>
            <w:r>
              <w:rPr>
                <w:rFonts w:ascii="Palatino Linotype" w:hAnsi="Palatino Linotype"/>
                <w:sz w:val="20"/>
                <w:szCs w:val="20"/>
              </w:rPr>
              <w:t xml:space="preserve"> also utilize Energy Division guidance, including the Annual Report Template.</w:t>
            </w:r>
          </w:p>
        </w:tc>
      </w:tr>
      <w:tr w:rsidR="002F78F4" w:rsidTr="00C254F7" w14:paraId="78608795" w14:textId="77777777">
        <w:trPr>
          <w:trHeight w:val="638"/>
        </w:trPr>
        <w:tc>
          <w:tcPr>
            <w:tcW w:w="3145" w:type="dxa"/>
          </w:tcPr>
          <w:p w:rsidRPr="00E7529D" w:rsidR="002F78F4" w:rsidP="00BB366A" w:rsidRDefault="002F78F4" w14:paraId="43C9BD15" w14:textId="77777777">
            <w:pPr>
              <w:rPr>
                <w:rFonts w:ascii="Palatino Linotype" w:hAnsi="Palatino Linotype"/>
                <w:b/>
                <w:sz w:val="20"/>
                <w:szCs w:val="20"/>
              </w:rPr>
            </w:pPr>
            <w:hyperlink w:history="1" r:id="rId92">
              <w:r w:rsidRPr="009459B9">
                <w:rPr>
                  <w:rStyle w:val="Hyperlink"/>
                  <w:rFonts w:ascii="Palatino Linotype" w:hAnsi="Palatino Linotype"/>
                  <w:b/>
                  <w:sz w:val="20"/>
                  <w:szCs w:val="20"/>
                </w:rPr>
                <w:t>Resolution G-3603</w:t>
              </w:r>
            </w:hyperlink>
            <w:r w:rsidRPr="009459B9">
              <w:rPr>
                <w:rFonts w:ascii="Palatino Linotype" w:hAnsi="Palatino Linotype"/>
                <w:b/>
                <w:sz w:val="20"/>
                <w:szCs w:val="20"/>
              </w:rPr>
              <w:t xml:space="preserve"> </w:t>
            </w:r>
            <w:r w:rsidRPr="009459B9">
              <w:rPr>
                <w:rFonts w:ascii="Palatino Linotype" w:hAnsi="Palatino Linotype"/>
                <w:bCs/>
                <w:sz w:val="20"/>
                <w:szCs w:val="20"/>
              </w:rPr>
              <w:t>(2024) at OP 4.</w:t>
            </w:r>
            <w:r w:rsidRPr="00E7529D">
              <w:rPr>
                <w:rFonts w:ascii="Palatino Linotype" w:hAnsi="Palatino Linotype"/>
                <w:bCs/>
                <w:sz w:val="20"/>
                <w:szCs w:val="20"/>
              </w:rPr>
              <w:t xml:space="preserve"> </w:t>
            </w:r>
            <w:r w:rsidRPr="00E7529D">
              <w:rPr>
                <w:rFonts w:ascii="Palatino Linotype" w:hAnsi="Palatino Linotype"/>
                <w:bCs/>
                <w:i/>
                <w:iCs/>
                <w:sz w:val="20"/>
                <w:szCs w:val="20"/>
              </w:rPr>
              <w:t>[The CEC] shall be proactive and specific in articulating its coordination and collaboration with the Investor-Owned Utilities (IOUs)</w:t>
            </w:r>
            <w:r w:rsidRPr="00BB707E">
              <w:rPr>
                <w:rFonts w:ascii="Palatino Linotype" w:hAnsi="Palatino Linotype"/>
                <w:bCs/>
                <w:i/>
                <w:iCs/>
                <w:sz w:val="20"/>
                <w:szCs w:val="20"/>
              </w:rPr>
              <w:t>, and other Gas Research and Development (R&amp;D) entities</w:t>
            </w:r>
            <w:r w:rsidRPr="00E7529D">
              <w:rPr>
                <w:rFonts w:ascii="Palatino Linotype" w:hAnsi="Palatino Linotype"/>
                <w:bCs/>
                <w:i/>
                <w:iCs/>
                <w:sz w:val="20"/>
                <w:szCs w:val="20"/>
              </w:rPr>
              <w:t>,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E7529D">
              <w:rPr>
                <w:rFonts w:ascii="Palatino Linotype" w:hAnsi="Palatino Linotype"/>
                <w:b/>
                <w:sz w:val="20"/>
                <w:szCs w:val="20"/>
              </w:rPr>
              <w:t xml:space="preserve">  </w:t>
            </w:r>
          </w:p>
        </w:tc>
        <w:tc>
          <w:tcPr>
            <w:tcW w:w="7920" w:type="dxa"/>
          </w:tcPr>
          <w:p w:rsidR="002F78F4" w:rsidP="00BB366A" w:rsidRDefault="00BE5F38" w14:paraId="2D67A446" w14:textId="39CF976E">
            <w:pPr>
              <w:rPr>
                <w:rFonts w:ascii="Palatino Linotype" w:hAnsi="Palatino Linotype"/>
                <w:bCs/>
                <w:color w:val="000000" w:themeColor="text1"/>
                <w:sz w:val="20"/>
                <w:szCs w:val="20"/>
              </w:rPr>
            </w:pPr>
            <w:r>
              <w:rPr>
                <w:rFonts w:ascii="Palatino Linotype" w:hAnsi="Palatino Linotype"/>
                <w:bCs/>
                <w:sz w:val="20"/>
                <w:szCs w:val="20"/>
              </w:rPr>
              <w:t>The</w:t>
            </w:r>
            <w:r w:rsidRPr="00E92951">
              <w:rPr>
                <w:rFonts w:ascii="Palatino Linotype" w:hAnsi="Palatino Linotype"/>
                <w:bCs/>
                <w:color w:val="000000" w:themeColor="text1"/>
                <w:sz w:val="20"/>
                <w:szCs w:val="20"/>
              </w:rPr>
              <w:t xml:space="preserve"> </w:t>
            </w:r>
            <w:r w:rsidRPr="00E92951" w:rsidR="002F78F4">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002F78F4">
              <w:rPr>
                <w:rFonts w:ascii="Palatino Linotype" w:hAnsi="Palatino Linotype"/>
                <w:bCs/>
                <w:color w:val="000000" w:themeColor="text1"/>
                <w:sz w:val="20"/>
                <w:szCs w:val="20"/>
              </w:rPr>
              <w:t>,</w:t>
            </w:r>
            <w:r w:rsidRPr="00E92951" w:rsidR="002F78F4">
              <w:rPr>
                <w:rStyle w:val="FootnoteReference"/>
                <w:rFonts w:ascii="Palatino Linotype" w:hAnsi="Palatino Linotype"/>
                <w:bCs/>
                <w:color w:val="000000" w:themeColor="text1"/>
                <w:sz w:val="20"/>
                <w:szCs w:val="20"/>
              </w:rPr>
              <w:footnoteReference w:id="181"/>
            </w:r>
            <w:r w:rsidR="002F78F4">
              <w:rPr>
                <w:rFonts w:ascii="Palatino Linotype" w:hAnsi="Palatino Linotype"/>
                <w:bCs/>
                <w:color w:val="000000" w:themeColor="text1"/>
                <w:sz w:val="20"/>
                <w:szCs w:val="20"/>
              </w:rPr>
              <w:t xml:space="preserve"> including coordination with IOUs and a public workshop. </w:t>
            </w:r>
            <w:r>
              <w:rPr>
                <w:rFonts w:ascii="Palatino Linotype" w:hAnsi="Palatino Linotype"/>
                <w:bCs/>
                <w:sz w:val="20"/>
                <w:szCs w:val="20"/>
              </w:rPr>
              <w:t>The</w:t>
            </w:r>
            <w:r w:rsidRPr="00330991">
              <w:rPr>
                <w:rFonts w:ascii="Palatino Linotype" w:hAnsi="Palatino Linotype"/>
                <w:bCs/>
                <w:color w:val="000000" w:themeColor="text1"/>
                <w:sz w:val="20"/>
                <w:szCs w:val="20"/>
              </w:rPr>
              <w:t xml:space="preserve"> </w:t>
            </w:r>
            <w:r w:rsidRPr="00330991" w:rsidR="002F78F4">
              <w:rPr>
                <w:rFonts w:ascii="Palatino Linotype" w:hAnsi="Palatino Linotype"/>
                <w:bCs/>
                <w:color w:val="000000" w:themeColor="text1"/>
                <w:sz w:val="20"/>
                <w:szCs w:val="20"/>
              </w:rPr>
              <w:t>CEC describes Coordination and Strategic Partnerships</w:t>
            </w:r>
            <w:r w:rsidR="002F78F4">
              <w:rPr>
                <w:rFonts w:ascii="Palatino Linotype" w:hAnsi="Palatino Linotype"/>
                <w:bCs/>
                <w:color w:val="000000" w:themeColor="text1"/>
                <w:sz w:val="20"/>
                <w:szCs w:val="20"/>
              </w:rPr>
              <w:t xml:space="preserve"> primarily at the program and Plan levels</w:t>
            </w:r>
            <w:r w:rsidRPr="00330991" w:rsidR="002F78F4">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including</w:t>
            </w:r>
            <w:r w:rsidRPr="00330991" w:rsidR="002F78F4">
              <w:rPr>
                <w:rFonts w:ascii="Palatino Linotype" w:hAnsi="Palatino Linotype"/>
                <w:bCs/>
                <w:color w:val="000000" w:themeColor="text1"/>
                <w:sz w:val="20"/>
                <w:szCs w:val="20"/>
              </w:rPr>
              <w:t xml:space="preserve"> regular outreach meetings and </w:t>
            </w:r>
            <w:r w:rsidR="002F78F4">
              <w:rPr>
                <w:rFonts w:ascii="Palatino Linotype" w:hAnsi="Palatino Linotype"/>
                <w:bCs/>
                <w:color w:val="000000" w:themeColor="text1"/>
                <w:sz w:val="20"/>
                <w:szCs w:val="20"/>
              </w:rPr>
              <w:t xml:space="preserve">general </w:t>
            </w:r>
            <w:r w:rsidRPr="00330991" w:rsidR="002F78F4">
              <w:rPr>
                <w:rFonts w:ascii="Palatino Linotype" w:hAnsi="Palatino Linotype"/>
                <w:bCs/>
                <w:color w:val="000000" w:themeColor="text1"/>
                <w:sz w:val="20"/>
                <w:szCs w:val="20"/>
              </w:rPr>
              <w:t>initiative coordination with the IOUs.</w:t>
            </w:r>
            <w:r w:rsidR="002F78F4">
              <w:rPr>
                <w:rStyle w:val="FootnoteReference"/>
                <w:rFonts w:ascii="Palatino Linotype" w:hAnsi="Palatino Linotype"/>
                <w:bCs/>
                <w:color w:val="000000" w:themeColor="text1"/>
                <w:sz w:val="20"/>
                <w:szCs w:val="20"/>
              </w:rPr>
              <w:footnoteReference w:id="182"/>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also includes a </w:t>
            </w:r>
            <w:r w:rsidRPr="000D58E0" w:rsidR="002F78F4">
              <w:rPr>
                <w:rFonts w:ascii="Palatino Linotype" w:hAnsi="Palatino Linotype"/>
                <w:bCs/>
                <w:color w:val="000000" w:themeColor="text1"/>
                <w:sz w:val="20"/>
                <w:szCs w:val="20"/>
              </w:rPr>
              <w:t>Public Workshop and Written Public Comment Summary and CEC Responses</w:t>
            </w:r>
            <w:r w:rsidR="002F78F4">
              <w:rPr>
                <w:rFonts w:ascii="Palatino Linotype" w:hAnsi="Palatino Linotype"/>
                <w:bCs/>
                <w:color w:val="000000" w:themeColor="text1"/>
                <w:sz w:val="20"/>
                <w:szCs w:val="20"/>
              </w:rPr>
              <w:t>,</w:t>
            </w:r>
            <w:r w:rsidRPr="000D58E0" w:rsidR="002F78F4">
              <w:rPr>
                <w:rFonts w:ascii="Palatino Linotype" w:hAnsi="Palatino Linotype"/>
                <w:bCs/>
                <w:color w:val="000000" w:themeColor="text1"/>
                <w:sz w:val="20"/>
                <w:szCs w:val="20"/>
              </w:rPr>
              <w:t xml:space="preserve"> includ</w:t>
            </w:r>
            <w:r w:rsidR="002F78F4">
              <w:rPr>
                <w:rFonts w:ascii="Palatino Linotype" w:hAnsi="Palatino Linotype"/>
                <w:bCs/>
                <w:color w:val="000000" w:themeColor="text1"/>
                <w:sz w:val="20"/>
                <w:szCs w:val="20"/>
              </w:rPr>
              <w:t>ing</w:t>
            </w:r>
            <w:r w:rsidRPr="000D58E0" w:rsidR="002F78F4">
              <w:rPr>
                <w:rFonts w:ascii="Palatino Linotype" w:hAnsi="Palatino Linotype"/>
                <w:bCs/>
                <w:color w:val="000000" w:themeColor="text1"/>
                <w:sz w:val="20"/>
                <w:szCs w:val="20"/>
              </w:rPr>
              <w:t xml:space="preserve"> IOU comments</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83"/>
            </w:r>
            <w:r w:rsidRPr="000D58E0" w:rsidR="002F78F4">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 </w:t>
            </w:r>
          </w:p>
          <w:p w:rsidRPr="003E6583" w:rsidR="002F78F4" w:rsidP="00BB366A" w:rsidRDefault="002F78F4" w14:paraId="7C15DC81" w14:textId="6FB25815">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7753E8">
              <w:rPr>
                <w:rFonts w:ascii="Palatino Linotype" w:hAnsi="Palatino Linotype"/>
                <w:b/>
                <w:color w:val="000000" w:themeColor="text1"/>
                <w:sz w:val="20"/>
                <w:szCs w:val="20"/>
              </w:rPr>
              <w:t>1</w:t>
            </w:r>
            <w:r w:rsidRPr="003E6583">
              <w:rPr>
                <w:rFonts w:ascii="Palatino Linotype" w:hAnsi="Palatino Linotype"/>
                <w:bCs/>
                <w:color w:val="000000" w:themeColor="text1"/>
                <w:sz w:val="20"/>
                <w:szCs w:val="20"/>
              </w:rPr>
              <w:t xml:space="preserve">. Support Equitable, Safe, and Cost-Effective Decarbonization of California’s Gas System: CEC states that this "initiative responds to key needs identified in state processes and studies, including: SB 1221 (2024) - Gas Corporations: Ceasing Service: Priority Neighborhood Decarbonization Zones, which requires CPUC to designate priority neighborhood decarbonization zones on the gas distribution system and to facilitate decarbonization of priority neighborhood decarbonization zones. This initiative would support the implementation of SB 1221 in several dimensions, including by informing efficient execution of priority neighborhood decarbonization, </w:t>
            </w:r>
            <w:r w:rsidRPr="003E6583">
              <w:rPr>
                <w:rFonts w:ascii="Palatino Linotype" w:hAnsi="Palatino Linotype"/>
                <w:bCs/>
                <w:color w:val="000000" w:themeColor="text1"/>
                <w:sz w:val="20"/>
                <w:szCs w:val="20"/>
              </w:rPr>
              <w:lastRenderedPageBreak/>
              <w:t xml:space="preserve">contributing to energy resilience for these areas, and assessing and communicating air quality and other local benefits of decarbonization." However, </w:t>
            </w:r>
            <w:r w:rsidR="00BE5F38">
              <w:rPr>
                <w:rFonts w:ascii="Palatino Linotype" w:hAnsi="Palatino Linotype"/>
                <w:bCs/>
                <w:color w:val="000000" w:themeColor="text1"/>
                <w:sz w:val="20"/>
                <w:szCs w:val="20"/>
              </w:rPr>
              <w:t xml:space="preserve">the </w:t>
            </w:r>
            <w:r w:rsidRPr="003E6583">
              <w:rPr>
                <w:rFonts w:ascii="Palatino Linotype" w:hAnsi="Palatino Linotype"/>
                <w:bCs/>
                <w:color w:val="000000" w:themeColor="text1"/>
                <w:sz w:val="20"/>
                <w:szCs w:val="20"/>
              </w:rPr>
              <w:t>CEC also notes that it "was originally developed before SB 1221 passed. It was designed to support gas decommissioning pilots, like those subsequently envisioned under SB 1221, as well as longer-term decommissioning and other elements of gas system decarbonization."</w:t>
            </w:r>
            <w:r w:rsidRPr="003E6583">
              <w:rPr>
                <w:rStyle w:val="FootnoteReference"/>
                <w:rFonts w:ascii="Palatino Linotype" w:hAnsi="Palatino Linotype"/>
                <w:bCs/>
                <w:color w:val="000000" w:themeColor="text1"/>
                <w:sz w:val="20"/>
                <w:szCs w:val="20"/>
              </w:rPr>
              <w:footnoteReference w:id="184"/>
            </w:r>
            <w:r w:rsidRPr="003E6583">
              <w:rPr>
                <w:rFonts w:ascii="Palatino Linotype" w:hAnsi="Palatino Linotype"/>
                <w:bCs/>
                <w:color w:val="000000" w:themeColor="text1"/>
                <w:sz w:val="20"/>
                <w:szCs w:val="20"/>
              </w:rPr>
              <w:t xml:space="preserve"> </w:t>
            </w:r>
            <w:r w:rsidR="00F753BC">
              <w:rPr>
                <w:rFonts w:ascii="Palatino Linotype" w:hAnsi="Palatino Linotype"/>
                <w:bCs/>
                <w:sz w:val="20"/>
                <w:szCs w:val="20"/>
              </w:rPr>
              <w:t>The</w:t>
            </w:r>
            <w:r w:rsidRPr="003E6583" w:rsidR="00F753BC">
              <w:rPr>
                <w:rFonts w:ascii="Palatino Linotype" w:hAnsi="Palatino Linotype"/>
                <w:bCs/>
                <w:color w:val="000000" w:themeColor="text1"/>
                <w:sz w:val="20"/>
                <w:szCs w:val="20"/>
              </w:rPr>
              <w:t xml:space="preserve"> </w:t>
            </w:r>
            <w:r w:rsidRPr="003E6583">
              <w:rPr>
                <w:rFonts w:ascii="Palatino Linotype" w:hAnsi="Palatino Linotype"/>
                <w:bCs/>
                <w:color w:val="000000" w:themeColor="text1"/>
                <w:sz w:val="20"/>
                <w:szCs w:val="20"/>
              </w:rPr>
              <w:t>CEC also states that this Initiative "responds to key research gaps and needs identified in coordination with CPUC, IOUs, and other stakeholders, including: Coordination with gas utility staff and research organization staff on decommissioning and decarbonization research, including exchanges related to the PG&amp;E Innovation program, and in a CEC scoping workshop and a CEC pre-application workshop on decommissioning and decarbonization research for previously-approved initiatives within CEC’s Gas Research program."</w:t>
            </w:r>
            <w:r w:rsidRPr="003E6583">
              <w:rPr>
                <w:rStyle w:val="FootnoteReference"/>
                <w:rFonts w:ascii="Palatino Linotype" w:hAnsi="Palatino Linotype"/>
                <w:bCs/>
                <w:color w:val="000000" w:themeColor="text1"/>
                <w:sz w:val="20"/>
                <w:szCs w:val="20"/>
              </w:rPr>
              <w:footnoteReference w:id="185"/>
            </w:r>
            <w:r w:rsidRPr="003E6583">
              <w:rPr>
                <w:rFonts w:ascii="Palatino Linotype" w:hAnsi="Palatino Linotype"/>
                <w:bCs/>
                <w:color w:val="000000" w:themeColor="text1"/>
                <w:sz w:val="20"/>
                <w:szCs w:val="20"/>
              </w:rPr>
              <w:t xml:space="preserve"> </w:t>
            </w:r>
            <w:r w:rsidR="00F753BC">
              <w:rPr>
                <w:rFonts w:ascii="Palatino Linotype" w:hAnsi="Palatino Linotype"/>
                <w:bCs/>
                <w:sz w:val="20"/>
                <w:szCs w:val="20"/>
              </w:rPr>
              <w:t>The</w:t>
            </w:r>
            <w:r w:rsidRPr="003E6583" w:rsidR="00F753BC">
              <w:rPr>
                <w:rFonts w:ascii="Palatino Linotype" w:hAnsi="Palatino Linotype"/>
                <w:bCs/>
                <w:color w:val="000000" w:themeColor="text1"/>
                <w:sz w:val="20"/>
                <w:szCs w:val="20"/>
              </w:rPr>
              <w:t xml:space="preserve"> </w:t>
            </w:r>
            <w:r w:rsidRPr="003E6583">
              <w:rPr>
                <w:rFonts w:ascii="Palatino Linotype" w:hAnsi="Palatino Linotype"/>
                <w:bCs/>
                <w:color w:val="000000" w:themeColor="text1"/>
                <w:sz w:val="20"/>
                <w:szCs w:val="20"/>
              </w:rPr>
              <w:t>CEC reports only one specific comment on this Initiative from S</w:t>
            </w:r>
            <w:r w:rsidR="00D86396">
              <w:rPr>
                <w:rFonts w:ascii="Palatino Linotype" w:hAnsi="Palatino Linotype"/>
                <w:bCs/>
                <w:color w:val="000000" w:themeColor="text1"/>
                <w:sz w:val="20"/>
                <w:szCs w:val="20"/>
              </w:rPr>
              <w:t>oCalGas</w:t>
            </w:r>
            <w:r w:rsidRPr="003E6583">
              <w:rPr>
                <w:rFonts w:ascii="Palatino Linotype" w:hAnsi="Palatino Linotype"/>
                <w:bCs/>
                <w:color w:val="000000" w:themeColor="text1"/>
                <w:sz w:val="20"/>
                <w:szCs w:val="20"/>
              </w:rPr>
              <w:t xml:space="preserve">: "Suggested consideration of pipeline blending of renewable gas as an alternative decarbonization pathway", to which </w:t>
            </w:r>
            <w:r w:rsidR="00F753BC">
              <w:rPr>
                <w:rFonts w:ascii="Palatino Linotype" w:hAnsi="Palatino Linotype"/>
                <w:bCs/>
                <w:color w:val="000000" w:themeColor="text1"/>
                <w:sz w:val="20"/>
                <w:szCs w:val="20"/>
              </w:rPr>
              <w:t xml:space="preserve">the </w:t>
            </w:r>
            <w:r w:rsidRPr="003E6583">
              <w:rPr>
                <w:rFonts w:ascii="Palatino Linotype" w:hAnsi="Palatino Linotype"/>
                <w:bCs/>
                <w:color w:val="000000" w:themeColor="text1"/>
                <w:sz w:val="20"/>
                <w:szCs w:val="20"/>
              </w:rPr>
              <w:t>CEC responded that "[p]ipeline blending of renewable gas is anticipated to be a possible gas system decarbonization pathway that could be considered under this initiative."</w:t>
            </w:r>
            <w:r w:rsidRPr="003E6583">
              <w:rPr>
                <w:rStyle w:val="FootnoteReference"/>
                <w:rFonts w:ascii="Palatino Linotype" w:hAnsi="Palatino Linotype"/>
                <w:bCs/>
                <w:color w:val="000000" w:themeColor="text1"/>
                <w:sz w:val="20"/>
                <w:szCs w:val="20"/>
              </w:rPr>
              <w:footnoteReference w:id="186"/>
            </w:r>
            <w:r w:rsidRPr="003E6583">
              <w:rPr>
                <w:rFonts w:ascii="Palatino Linotype" w:hAnsi="Palatino Linotype"/>
                <w:bCs/>
                <w:color w:val="000000" w:themeColor="text1"/>
                <w:sz w:val="20"/>
                <w:szCs w:val="20"/>
              </w:rPr>
              <w:t xml:space="preserve"> </w:t>
            </w:r>
          </w:p>
          <w:p w:rsidRPr="00C36038" w:rsidR="002F78F4" w:rsidP="00BB366A" w:rsidRDefault="002F78F4" w14:paraId="6DB94137" w14:textId="2B2A0286">
            <w:pPr>
              <w:rPr>
                <w:rFonts w:ascii="Palatino Linotype" w:hAnsi="Palatino Linotype"/>
                <w:bCs/>
                <w:color w:val="A6A6A6" w:themeColor="background1" w:themeShade="A6"/>
                <w:sz w:val="20"/>
                <w:szCs w:val="20"/>
              </w:rPr>
            </w:pPr>
            <w:r>
              <w:rPr>
                <w:rFonts w:ascii="Palatino Linotype" w:hAnsi="Palatino Linotype"/>
                <w:b/>
                <w:color w:val="A6A6A6" w:themeColor="background1" w:themeShade="A6"/>
                <w:sz w:val="20"/>
                <w:szCs w:val="20"/>
              </w:rPr>
              <w:t xml:space="preserve">    </w:t>
            </w:r>
            <w:r w:rsidRPr="007753E8">
              <w:rPr>
                <w:rFonts w:ascii="Palatino Linotype" w:hAnsi="Palatino Linotype"/>
                <w:b/>
                <w:color w:val="000000" w:themeColor="text1"/>
                <w:sz w:val="20"/>
                <w:szCs w:val="20"/>
              </w:rPr>
              <w:t>2.</w:t>
            </w:r>
            <w:r w:rsidRPr="00EE7919">
              <w:rPr>
                <w:rFonts w:ascii="Palatino Linotype" w:hAnsi="Palatino Linotype"/>
                <w:bCs/>
                <w:color w:val="000000" w:themeColor="text1"/>
                <w:sz w:val="20"/>
                <w:szCs w:val="20"/>
              </w:rPr>
              <w:t xml:space="preserve"> Innovations for Cost-Effective Operation and Maintenance of Critical Infrastructure During the Gas Transition: </w:t>
            </w:r>
            <w:r w:rsidR="00F753BC">
              <w:rPr>
                <w:rFonts w:ascii="Palatino Linotype" w:hAnsi="Palatino Linotype"/>
                <w:bCs/>
                <w:sz w:val="20"/>
                <w:szCs w:val="20"/>
              </w:rPr>
              <w:t>The</w:t>
            </w:r>
            <w:r w:rsidRPr="00A56DC9" w:rsidR="00F753BC">
              <w:rPr>
                <w:rFonts w:ascii="Palatino Linotype" w:hAnsi="Palatino Linotype"/>
                <w:bCs/>
                <w:color w:val="000000" w:themeColor="text1"/>
                <w:sz w:val="20"/>
                <w:szCs w:val="20"/>
              </w:rPr>
              <w:t xml:space="preserve"> </w:t>
            </w:r>
            <w:r w:rsidRPr="00A56DC9">
              <w:rPr>
                <w:rFonts w:ascii="Palatino Linotype" w:hAnsi="Palatino Linotype"/>
                <w:bCs/>
                <w:color w:val="000000" w:themeColor="text1"/>
                <w:sz w:val="20"/>
                <w:szCs w:val="20"/>
              </w:rPr>
              <w:t xml:space="preserve">CEC-funded projects have been coordinated with PG&amp;E "to demonstrate real-time monitoring of underground gas storage wells with the use of fiber optics and less-intrusive inspections with electromagnetic technologies" and describes a meeting held February 7, 2024, to coordinate with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A56DC9">
              <w:rPr>
                <w:rFonts w:ascii="Palatino Linotype" w:hAnsi="Palatino Linotype"/>
                <w:bCs/>
                <w:color w:val="000000" w:themeColor="text1"/>
                <w:sz w:val="20"/>
                <w:szCs w:val="20"/>
              </w:rPr>
              <w:t xml:space="preserve"> and PG&amp;E and identify specific research gaps related to this Initiative.</w:t>
            </w:r>
            <w:r>
              <w:rPr>
                <w:rStyle w:val="FootnoteReference"/>
                <w:rFonts w:ascii="Palatino Linotype" w:hAnsi="Palatino Linotype"/>
                <w:bCs/>
                <w:color w:val="000000" w:themeColor="text1"/>
                <w:sz w:val="20"/>
                <w:szCs w:val="20"/>
              </w:rPr>
              <w:footnoteReference w:id="187"/>
            </w:r>
            <w:r w:rsidRPr="00A56DC9">
              <w:rPr>
                <w:rFonts w:ascii="Palatino Linotype" w:hAnsi="Palatino Linotype"/>
                <w:bCs/>
                <w:color w:val="000000" w:themeColor="text1"/>
                <w:sz w:val="20"/>
                <w:szCs w:val="20"/>
              </w:rPr>
              <w:t xml:space="preserve"> </w:t>
            </w:r>
            <w:r w:rsidR="00F753BC">
              <w:rPr>
                <w:rFonts w:ascii="Palatino Linotype" w:hAnsi="Palatino Linotype"/>
                <w:bCs/>
                <w:sz w:val="20"/>
                <w:szCs w:val="20"/>
              </w:rPr>
              <w:t>The</w:t>
            </w:r>
            <w:r w:rsidRPr="00A56DC9" w:rsidR="00F753BC">
              <w:rPr>
                <w:rFonts w:ascii="Palatino Linotype" w:hAnsi="Palatino Linotype"/>
                <w:bCs/>
                <w:color w:val="000000" w:themeColor="text1"/>
                <w:sz w:val="20"/>
                <w:szCs w:val="20"/>
              </w:rPr>
              <w:t xml:space="preserve"> </w:t>
            </w:r>
            <w:r w:rsidRPr="00A56DC9">
              <w:rPr>
                <w:rFonts w:ascii="Palatino Linotype" w:hAnsi="Palatino Linotype"/>
                <w:bCs/>
                <w:color w:val="000000" w:themeColor="text1"/>
                <w:sz w:val="20"/>
                <w:szCs w:val="20"/>
              </w:rPr>
              <w:t xml:space="preserve">CEC reports only one specific comment on this Initiative from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A56DC9">
              <w:rPr>
                <w:rFonts w:ascii="Palatino Linotype" w:hAnsi="Palatino Linotype"/>
                <w:bCs/>
                <w:color w:val="000000" w:themeColor="text1"/>
                <w:sz w:val="20"/>
                <w:szCs w:val="20"/>
              </w:rPr>
              <w:t xml:space="preserve">: "Important initiative; suggest coordination with SoCalGas; noted SoCalGas' existing pipeline inspection technology and related research", to which CEC responded that "CEC staff recognize the value of leveraging work done by SoCalGas and others in this space. Research developed and conducted under this initiative will incorporate input from IOUs relative to current practices and technologies, research needs, and </w:t>
            </w:r>
            <w:r w:rsidRPr="00A56DC9">
              <w:rPr>
                <w:rFonts w:ascii="Palatino Linotype" w:hAnsi="Palatino Linotype"/>
                <w:bCs/>
                <w:color w:val="000000" w:themeColor="text1"/>
                <w:sz w:val="20"/>
                <w:szCs w:val="20"/>
              </w:rPr>
              <w:lastRenderedPageBreak/>
              <w:t>challenges with pipeline inspection and material verification."</w:t>
            </w:r>
            <w:r>
              <w:rPr>
                <w:rStyle w:val="FootnoteReference"/>
                <w:rFonts w:ascii="Palatino Linotype" w:hAnsi="Palatino Linotype"/>
                <w:bCs/>
                <w:color w:val="000000" w:themeColor="text1"/>
                <w:sz w:val="20"/>
                <w:szCs w:val="20"/>
              </w:rPr>
              <w:footnoteReference w:id="188"/>
            </w:r>
            <w:r w:rsidRPr="00A56DC9">
              <w:rPr>
                <w:rFonts w:ascii="Palatino Linotype" w:hAnsi="Palatino Linotype"/>
                <w:bCs/>
                <w:color w:val="000000" w:themeColor="text1"/>
                <w:sz w:val="20"/>
                <w:szCs w:val="20"/>
              </w:rPr>
              <w:t xml:space="preserve"> In Appendix D: List of 2023 Gas R&amp;D Events, </w:t>
            </w:r>
            <w:r w:rsidR="00F753BC">
              <w:rPr>
                <w:rFonts w:ascii="Palatino Linotype" w:hAnsi="Palatino Linotype"/>
                <w:bCs/>
                <w:color w:val="000000" w:themeColor="text1"/>
                <w:sz w:val="20"/>
                <w:szCs w:val="20"/>
              </w:rPr>
              <w:t xml:space="preserve">the </w:t>
            </w:r>
            <w:r w:rsidRPr="00A56DC9">
              <w:rPr>
                <w:rFonts w:ascii="Palatino Linotype" w:hAnsi="Palatino Linotype"/>
                <w:bCs/>
                <w:color w:val="000000" w:themeColor="text1"/>
                <w:sz w:val="20"/>
                <w:szCs w:val="20"/>
              </w:rPr>
              <w:t>CEC lists two events related to the quantification of methane emissions and gas pipeline geohazard risk mitigation but it is unclear if and how these events informed or are related to this Initiative.</w:t>
            </w:r>
          </w:p>
          <w:p w:rsidRPr="000D58E0" w:rsidR="002F78F4" w:rsidP="00BB366A" w:rsidRDefault="002F78F4" w14:paraId="7707BAA9" w14:textId="21D6E260">
            <w:pPr>
              <w:rPr>
                <w:rFonts w:ascii="Palatino Linotype" w:hAnsi="Palatino Linotype"/>
                <w:bCs/>
                <w:color w:val="000000" w:themeColor="text1"/>
                <w:sz w:val="20"/>
                <w:szCs w:val="20"/>
              </w:rPr>
            </w:pPr>
            <w:r w:rsidRPr="00BE08EE">
              <w:rPr>
                <w:rFonts w:ascii="Palatino Linotype" w:hAnsi="Palatino Linotype"/>
                <w:b/>
                <w:color w:val="000000" w:themeColor="text1"/>
                <w:sz w:val="20"/>
                <w:szCs w:val="20"/>
              </w:rPr>
              <w:t xml:space="preserve">    3</w:t>
            </w:r>
            <w:r w:rsidRPr="00BE08EE">
              <w:rPr>
                <w:rFonts w:ascii="Palatino Linotype" w:hAnsi="Palatino Linotype"/>
                <w:bCs/>
                <w:color w:val="000000" w:themeColor="text1"/>
                <w:sz w:val="20"/>
                <w:szCs w:val="20"/>
              </w:rPr>
              <w:t>. Fuel-Flexible Distributed Power Generation:</w:t>
            </w:r>
            <w:r>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DE243E" w:rsidR="00B86DAF">
              <w:rPr>
                <w:rFonts w:ascii="Palatino Linotype" w:hAnsi="Palatino Linotype"/>
                <w:bCs/>
                <w:color w:val="000000" w:themeColor="text1"/>
                <w:sz w:val="20"/>
                <w:szCs w:val="20"/>
              </w:rPr>
              <w:t xml:space="preserve"> </w:t>
            </w:r>
            <w:r w:rsidRPr="00DE243E">
              <w:rPr>
                <w:rFonts w:ascii="Palatino Linotype" w:hAnsi="Palatino Linotype"/>
                <w:bCs/>
                <w:color w:val="000000" w:themeColor="text1"/>
                <w:sz w:val="20"/>
                <w:szCs w:val="20"/>
              </w:rPr>
              <w:t xml:space="preserve">CEC reports and responds to several comments from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DE243E">
              <w:rPr>
                <w:rFonts w:ascii="Palatino Linotype" w:hAnsi="Palatino Linotype"/>
                <w:bCs/>
                <w:color w:val="000000" w:themeColor="text1"/>
                <w:sz w:val="20"/>
                <w:szCs w:val="20"/>
              </w:rPr>
              <w:t xml:space="preserve"> regarding the need for CEC-led coordination on this topic, recommending that CEC consult with UC Irvine and requests </w:t>
            </w:r>
            <w:r w:rsidR="00B86DAF">
              <w:rPr>
                <w:rFonts w:ascii="Palatino Linotype" w:hAnsi="Palatino Linotype"/>
                <w:bCs/>
                <w:color w:val="000000" w:themeColor="text1"/>
                <w:sz w:val="20"/>
                <w:szCs w:val="20"/>
              </w:rPr>
              <w:t>that the</w:t>
            </w:r>
            <w:r w:rsidRPr="00DE243E">
              <w:rPr>
                <w:rFonts w:ascii="Palatino Linotype" w:hAnsi="Palatino Linotype"/>
                <w:bCs/>
                <w:color w:val="000000" w:themeColor="text1"/>
                <w:sz w:val="20"/>
                <w:szCs w:val="20"/>
              </w:rPr>
              <w:t xml:space="preserve"> CEC "share learnings, best practices, and requirements from the CPUC, the U.S. Department of Energy, and other funding agencies to demonstrate improved equity engagement."</w:t>
            </w:r>
            <w:r>
              <w:rPr>
                <w:rStyle w:val="FootnoteReference"/>
                <w:rFonts w:ascii="Palatino Linotype" w:hAnsi="Palatino Linotype"/>
                <w:bCs/>
                <w:color w:val="000000" w:themeColor="text1"/>
                <w:sz w:val="20"/>
                <w:szCs w:val="20"/>
              </w:rPr>
              <w:footnoteReference w:id="189"/>
            </w:r>
            <w:r w:rsidRPr="00DE243E">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DE243E" w:rsidR="00B86DAF">
              <w:rPr>
                <w:rFonts w:ascii="Palatino Linotype" w:hAnsi="Palatino Linotype"/>
                <w:bCs/>
                <w:color w:val="000000" w:themeColor="text1"/>
                <w:sz w:val="20"/>
                <w:szCs w:val="20"/>
              </w:rPr>
              <w:t xml:space="preserve"> </w:t>
            </w:r>
            <w:r w:rsidRPr="00DE243E">
              <w:rPr>
                <w:rFonts w:ascii="Palatino Linotype" w:hAnsi="Palatino Linotype"/>
                <w:bCs/>
                <w:color w:val="000000" w:themeColor="text1"/>
                <w:sz w:val="20"/>
                <w:szCs w:val="20"/>
              </w:rPr>
              <w:t>CEC also affirms a shared prioritization of NOx emissions control.</w:t>
            </w:r>
            <w:r>
              <w:rPr>
                <w:rStyle w:val="FootnoteReference"/>
                <w:rFonts w:ascii="Palatino Linotype" w:hAnsi="Palatino Linotype"/>
                <w:bCs/>
                <w:color w:val="000000" w:themeColor="text1"/>
                <w:sz w:val="20"/>
                <w:szCs w:val="20"/>
              </w:rPr>
              <w:footnoteReference w:id="190"/>
            </w:r>
            <w:r w:rsidRPr="00DE243E">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53031A" w:rsidR="00B86DAF">
              <w:rPr>
                <w:rFonts w:ascii="Palatino Linotype" w:hAnsi="Palatino Linotype"/>
                <w:bCs/>
                <w:color w:val="000000" w:themeColor="text1"/>
                <w:sz w:val="20"/>
                <w:szCs w:val="20"/>
              </w:rPr>
              <w:t xml:space="preserve"> </w:t>
            </w:r>
            <w:r w:rsidRPr="0053031A">
              <w:rPr>
                <w:rFonts w:ascii="Palatino Linotype" w:hAnsi="Palatino Linotype"/>
                <w:bCs/>
                <w:color w:val="000000" w:themeColor="text1"/>
                <w:sz w:val="20"/>
                <w:szCs w:val="20"/>
              </w:rPr>
              <w:t>CEC reports "an interview in April 2024 with PG&amp;E R&amp;D staff to exchange information and provide input on the most relevant research focus areas, critical knowledge gaps and potentials, regulations on the horizon, emerging technology and trends to explore, and strategies to increase equity components of projects."</w:t>
            </w:r>
            <w:r>
              <w:rPr>
                <w:rStyle w:val="FootnoteReference"/>
                <w:rFonts w:ascii="Palatino Linotype" w:hAnsi="Palatino Linotype"/>
                <w:bCs/>
                <w:color w:val="000000" w:themeColor="text1"/>
                <w:sz w:val="20"/>
                <w:szCs w:val="20"/>
              </w:rPr>
              <w:footnoteReference w:id="191"/>
            </w:r>
            <w:r w:rsidRPr="0053031A">
              <w:rPr>
                <w:rFonts w:ascii="Palatino Linotype" w:hAnsi="Palatino Linotype"/>
                <w:bCs/>
                <w:color w:val="000000" w:themeColor="text1"/>
                <w:sz w:val="20"/>
                <w:szCs w:val="20"/>
              </w:rPr>
              <w:t xml:space="preserve"> </w:t>
            </w:r>
            <w:r w:rsidRPr="00DE243E">
              <w:rPr>
                <w:rFonts w:ascii="Palatino Linotype" w:hAnsi="Palatino Linotype"/>
                <w:bCs/>
                <w:color w:val="000000" w:themeColor="text1"/>
                <w:sz w:val="20"/>
                <w:szCs w:val="20"/>
              </w:rPr>
              <w:t>See also: CEC Response in AL 12-G to Public Utilities Code 740.1 at (d).</w:t>
            </w:r>
            <w:r w:rsidRPr="00BE08EE">
              <w:rPr>
                <w:rFonts w:ascii="Palatino Linotype" w:hAnsi="Palatino Linotype"/>
                <w:bCs/>
                <w:color w:val="000000" w:themeColor="text1"/>
                <w:sz w:val="20"/>
                <w:szCs w:val="20"/>
              </w:rPr>
              <w:t xml:space="preserve"> </w:t>
            </w:r>
          </w:p>
        </w:tc>
        <w:tc>
          <w:tcPr>
            <w:tcW w:w="3240" w:type="dxa"/>
          </w:tcPr>
          <w:p w:rsidRPr="003E6583" w:rsidR="002F78F4" w:rsidP="00BB366A" w:rsidRDefault="002F78F4" w14:paraId="7E90E3F2" w14:textId="1DC7A735">
            <w:pPr>
              <w:rPr>
                <w:rFonts w:ascii="Palatino Linotype" w:hAnsi="Palatino Linotype"/>
                <w:b/>
                <w:color w:val="A6A6A6" w:themeColor="background1" w:themeShade="A6"/>
                <w:sz w:val="20"/>
                <w:szCs w:val="20"/>
              </w:rPr>
            </w:pPr>
            <w:r>
              <w:rPr>
                <w:rFonts w:ascii="Palatino Linotype" w:hAnsi="Palatino Linotype"/>
                <w:b/>
                <w:sz w:val="20"/>
                <w:szCs w:val="20"/>
              </w:rPr>
              <w:lastRenderedPageBreak/>
              <w:t xml:space="preserve">  1.</w:t>
            </w:r>
            <w:r>
              <w:t xml:space="preserve"> </w:t>
            </w:r>
            <w:r w:rsidR="00BE5F38">
              <w:rPr>
                <w:rFonts w:ascii="Palatino Linotype" w:hAnsi="Palatino Linotype"/>
                <w:bCs/>
                <w:sz w:val="20"/>
                <w:szCs w:val="20"/>
              </w:rPr>
              <w:t>The</w:t>
            </w:r>
            <w:r w:rsidRPr="00DD4DAE" w:rsidR="00BE5F38">
              <w:rPr>
                <w:rFonts w:ascii="Palatino Linotype" w:hAnsi="Palatino Linotype"/>
                <w:bCs/>
                <w:sz w:val="20"/>
                <w:szCs w:val="20"/>
              </w:rPr>
              <w:t xml:space="preserve"> </w:t>
            </w:r>
            <w:r w:rsidRPr="00DD4DAE">
              <w:rPr>
                <w:rFonts w:ascii="Palatino Linotype" w:hAnsi="Palatino Linotype"/>
                <w:bCs/>
                <w:sz w:val="20"/>
                <w:szCs w:val="20"/>
              </w:rPr>
              <w:t>CEC</w:t>
            </w:r>
            <w:r w:rsidR="00156654">
              <w:rPr>
                <w:rFonts w:ascii="Palatino Linotype" w:hAnsi="Palatino Linotype"/>
                <w:bCs/>
                <w:sz w:val="20"/>
                <w:szCs w:val="20"/>
              </w:rPr>
              <w:t xml:space="preserve"> must </w:t>
            </w:r>
            <w:r w:rsidRPr="00DD4DAE">
              <w:rPr>
                <w:rFonts w:ascii="Palatino Linotype" w:hAnsi="Palatino Linotype"/>
                <w:bCs/>
                <w:sz w:val="20"/>
                <w:szCs w:val="20"/>
              </w:rPr>
              <w:t>provide greater detail on specific coordination involved in the development and planned execution of this Initiative to demonstrate that outputs and impacts will be targeted and utilized to promote complementary rather than duplicative efforts. This</w:t>
            </w:r>
            <w:r w:rsidR="00156654">
              <w:rPr>
                <w:rFonts w:ascii="Palatino Linotype" w:hAnsi="Palatino Linotype"/>
                <w:bCs/>
                <w:sz w:val="20"/>
                <w:szCs w:val="20"/>
              </w:rPr>
              <w:t xml:space="preserve"> must</w:t>
            </w:r>
            <w:r w:rsidRPr="00DD4DAE">
              <w:rPr>
                <w:rFonts w:ascii="Palatino Linotype" w:hAnsi="Palatino Linotype"/>
                <w:bCs/>
                <w:sz w:val="20"/>
                <w:szCs w:val="20"/>
              </w:rPr>
              <w:t xml:space="preserve"> include efforts planned and underway as part of SB 1221 and work directly and indirectly involving IOU infrastructure. </w:t>
            </w:r>
          </w:p>
          <w:p w:rsidR="002F78F4" w:rsidP="00BB366A" w:rsidRDefault="002F78F4" w14:paraId="1785B32D" w14:textId="67E192FE">
            <w:pPr>
              <w:rPr>
                <w:rFonts w:ascii="Palatino Linotype" w:hAnsi="Palatino Linotype"/>
                <w:b/>
                <w:sz w:val="20"/>
                <w:szCs w:val="20"/>
              </w:rPr>
            </w:pPr>
            <w:r>
              <w:rPr>
                <w:rFonts w:ascii="Palatino Linotype" w:hAnsi="Palatino Linotype"/>
                <w:b/>
                <w:sz w:val="20"/>
                <w:szCs w:val="20"/>
              </w:rPr>
              <w:t xml:space="preserve">  2. </w:t>
            </w:r>
            <w:r w:rsidR="00BE5F38">
              <w:rPr>
                <w:rFonts w:ascii="Palatino Linotype" w:hAnsi="Palatino Linotype"/>
                <w:bCs/>
                <w:sz w:val="20"/>
                <w:szCs w:val="20"/>
              </w:rPr>
              <w:t>The</w:t>
            </w:r>
            <w:r w:rsidRPr="0086363C" w:rsidR="00BE5F38">
              <w:rPr>
                <w:rFonts w:ascii="Palatino Linotype" w:hAnsi="Palatino Linotype"/>
                <w:bCs/>
                <w:sz w:val="20"/>
                <w:szCs w:val="20"/>
              </w:rPr>
              <w:t xml:space="preserve"> </w:t>
            </w:r>
            <w:r w:rsidRPr="0086363C">
              <w:rPr>
                <w:rFonts w:ascii="Palatino Linotype" w:hAnsi="Palatino Linotype"/>
                <w:bCs/>
                <w:sz w:val="20"/>
                <w:szCs w:val="20"/>
              </w:rPr>
              <w:t xml:space="preserve">CEC </w:t>
            </w:r>
            <w:r w:rsidR="00156654">
              <w:rPr>
                <w:rFonts w:ascii="Palatino Linotype" w:hAnsi="Palatino Linotype"/>
                <w:bCs/>
                <w:sz w:val="20"/>
                <w:szCs w:val="20"/>
              </w:rPr>
              <w:t>must</w:t>
            </w:r>
            <w:r w:rsidRPr="0086363C">
              <w:rPr>
                <w:rFonts w:ascii="Palatino Linotype" w:hAnsi="Palatino Linotype"/>
                <w:bCs/>
                <w:sz w:val="20"/>
                <w:szCs w:val="20"/>
              </w:rPr>
              <w:t xml:space="preserve"> supplement the information provided on </w:t>
            </w:r>
            <w:r w:rsidRPr="0086363C">
              <w:rPr>
                <w:rFonts w:ascii="Palatino Linotype" w:hAnsi="Palatino Linotype"/>
                <w:bCs/>
                <w:sz w:val="20"/>
                <w:szCs w:val="20"/>
              </w:rPr>
              <w:lastRenderedPageBreak/>
              <w:t>coordination with the IOUs to identify pertinent research gaps by specifying how administrators' efforts are targeting related but distinct activities or applications.</w:t>
            </w:r>
            <w:r>
              <w:rPr>
                <w:rFonts w:ascii="Palatino Linotype" w:hAnsi="Palatino Linotype"/>
                <w:bCs/>
                <w:sz w:val="20"/>
                <w:szCs w:val="20"/>
              </w:rPr>
              <w:t xml:space="preserve"> </w:t>
            </w:r>
            <w:r w:rsidRPr="00225478">
              <w:rPr>
                <w:rFonts w:ascii="Palatino Linotype" w:hAnsi="Palatino Linotype"/>
                <w:bCs/>
                <w:sz w:val="20"/>
                <w:szCs w:val="20"/>
              </w:rPr>
              <w:t xml:space="preserve">CEC </w:t>
            </w:r>
            <w:r w:rsidR="00156654">
              <w:rPr>
                <w:rFonts w:ascii="Palatino Linotype" w:hAnsi="Palatino Linotype"/>
                <w:bCs/>
                <w:sz w:val="20"/>
                <w:szCs w:val="20"/>
              </w:rPr>
              <w:t>must</w:t>
            </w:r>
            <w:r w:rsidRPr="00225478">
              <w:rPr>
                <w:rFonts w:ascii="Palatino Linotype" w:hAnsi="Palatino Linotype"/>
                <w:bCs/>
                <w:sz w:val="20"/>
                <w:szCs w:val="20"/>
              </w:rPr>
              <w:t xml:space="preserve"> also clarify how events listed in Appendix D relate to and/or informed Initiatives.</w:t>
            </w:r>
          </w:p>
          <w:p w:rsidR="00F753BC" w:rsidP="00BB366A" w:rsidRDefault="002F78F4" w14:paraId="49CB7504" w14:textId="3FC64CE8">
            <w:pPr>
              <w:rPr>
                <w:rFonts w:ascii="Palatino Linotype" w:hAnsi="Palatino Linotype"/>
                <w:b/>
                <w:sz w:val="20"/>
                <w:szCs w:val="20"/>
              </w:rPr>
            </w:pPr>
            <w:r>
              <w:rPr>
                <w:rFonts w:ascii="Palatino Linotype" w:hAnsi="Palatino Linotype"/>
                <w:b/>
                <w:sz w:val="20"/>
                <w:szCs w:val="20"/>
              </w:rPr>
              <w:t xml:space="preserve">  3. </w:t>
            </w:r>
            <w:r w:rsidRPr="007753E8">
              <w:rPr>
                <w:rFonts w:ascii="Palatino Linotype" w:hAnsi="Palatino Linotype"/>
                <w:bCs/>
                <w:sz w:val="20"/>
                <w:szCs w:val="20"/>
              </w:rPr>
              <w:t xml:space="preserve">Though </w:t>
            </w:r>
            <w:r w:rsidR="00F753BC">
              <w:rPr>
                <w:rFonts w:ascii="Palatino Linotype" w:hAnsi="Palatino Linotype"/>
                <w:bCs/>
                <w:sz w:val="20"/>
                <w:szCs w:val="20"/>
              </w:rPr>
              <w:t xml:space="preserve">the </w:t>
            </w:r>
            <w:r w:rsidRPr="007753E8">
              <w:rPr>
                <w:rFonts w:ascii="Palatino Linotype" w:hAnsi="Palatino Linotype"/>
                <w:bCs/>
                <w:sz w:val="20"/>
                <w:szCs w:val="20"/>
              </w:rPr>
              <w:t xml:space="preserve">CEC provides detail on coordination with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7753E8">
              <w:rPr>
                <w:rFonts w:ascii="Palatino Linotype" w:hAnsi="Palatino Linotype"/>
                <w:bCs/>
                <w:sz w:val="20"/>
                <w:szCs w:val="20"/>
              </w:rPr>
              <w:t xml:space="preserve"> and describes meeting with PG&amp;E, it </w:t>
            </w:r>
            <w:r w:rsidR="00156654">
              <w:rPr>
                <w:rFonts w:ascii="Palatino Linotype" w:hAnsi="Palatino Linotype"/>
                <w:bCs/>
                <w:sz w:val="20"/>
                <w:szCs w:val="20"/>
              </w:rPr>
              <w:t>must</w:t>
            </w:r>
            <w:r w:rsidRPr="007753E8">
              <w:rPr>
                <w:rFonts w:ascii="Palatino Linotype" w:hAnsi="Palatino Linotype"/>
                <w:bCs/>
                <w:sz w:val="20"/>
                <w:szCs w:val="20"/>
              </w:rPr>
              <w:t xml:space="preserve"> explain how it will coordinate with UC Irvine per</w:t>
            </w:r>
            <w:r w:rsidRPr="003E6583" w:rsidR="00D86396">
              <w:rPr>
                <w:rFonts w:ascii="Palatino Linotype" w:hAnsi="Palatino Linotype"/>
                <w:bCs/>
                <w:color w:val="000000" w:themeColor="text1"/>
                <w:sz w:val="20"/>
                <w:szCs w:val="20"/>
              </w:rPr>
              <w:t xml:space="preserve"> S</w:t>
            </w:r>
            <w:r w:rsidR="00D86396">
              <w:rPr>
                <w:rFonts w:ascii="Palatino Linotype" w:hAnsi="Palatino Linotype"/>
                <w:bCs/>
                <w:color w:val="000000" w:themeColor="text1"/>
                <w:sz w:val="20"/>
                <w:szCs w:val="20"/>
              </w:rPr>
              <w:t>oCalGas</w:t>
            </w:r>
            <w:r w:rsidRPr="007753E8">
              <w:rPr>
                <w:rFonts w:ascii="Palatino Linotype" w:hAnsi="Palatino Linotype"/>
                <w:bCs/>
                <w:sz w:val="20"/>
                <w:szCs w:val="20"/>
              </w:rPr>
              <w:t>' clear recommendation to ensure efforts are complementary. See also: Compliance Assessment of Public Utilities Cod</w:t>
            </w:r>
            <w:r w:rsidRPr="005C6191">
              <w:rPr>
                <w:rFonts w:ascii="Palatino Linotype" w:hAnsi="Palatino Linotype"/>
                <w:bCs/>
                <w:sz w:val="20"/>
                <w:szCs w:val="20"/>
              </w:rPr>
              <w:t>e 740.1 at (d).</w:t>
            </w:r>
            <w:r w:rsidRPr="00F753BC" w:rsidR="00F753BC">
              <w:rPr>
                <w:rFonts w:ascii="Palatino Linotype" w:hAnsi="Palatino Linotype"/>
                <w:b/>
                <w:sz w:val="20"/>
                <w:szCs w:val="20"/>
              </w:rPr>
              <w:t xml:space="preserve"> </w:t>
            </w:r>
          </w:p>
          <w:p w:rsidRPr="00F753BC" w:rsidR="002F78F4" w:rsidP="00BB366A" w:rsidRDefault="00F753BC" w14:paraId="1136A4E4" w14:textId="5B870C20">
            <w:pPr>
              <w:rPr>
                <w:rFonts w:ascii="Palatino Linotype" w:hAnsi="Palatino Linotype"/>
                <w:bCs/>
                <w:sz w:val="20"/>
                <w:szCs w:val="20"/>
              </w:rPr>
            </w:pPr>
            <w:r w:rsidRPr="00F753BC">
              <w:rPr>
                <w:rFonts w:ascii="Palatino Linotype" w:hAnsi="Palatino Linotype"/>
                <w:b/>
                <w:sz w:val="20"/>
                <w:szCs w:val="20"/>
              </w:rPr>
              <w:t>The</w:t>
            </w:r>
            <w:r>
              <w:rPr>
                <w:rFonts w:ascii="Palatino Linotype" w:hAnsi="Palatino Linotype"/>
                <w:b/>
                <w:sz w:val="20"/>
                <w:szCs w:val="20"/>
              </w:rPr>
              <w:t xml:space="preserve"> </w:t>
            </w:r>
            <w:r w:rsidRPr="005C6191" w:rsidR="002F78F4">
              <w:rPr>
                <w:rFonts w:ascii="Palatino Linotype" w:hAnsi="Palatino Linotype"/>
                <w:b/>
                <w:color w:val="000000" w:themeColor="text1"/>
                <w:sz w:val="20"/>
                <w:szCs w:val="20"/>
              </w:rPr>
              <w:t xml:space="preserve">CEC is </w:t>
            </w:r>
            <w:r w:rsidRPr="005C6191" w:rsidR="002F78F4">
              <w:rPr>
                <w:rFonts w:ascii="Palatino Linotype" w:hAnsi="Palatino Linotype"/>
                <w:b/>
                <w:i/>
                <w:iCs/>
                <w:color w:val="000000" w:themeColor="text1"/>
                <w:sz w:val="20"/>
                <w:szCs w:val="20"/>
              </w:rPr>
              <w:t xml:space="preserve">not </w:t>
            </w:r>
            <w:r w:rsidRPr="005C6191" w:rsidR="002F78F4">
              <w:rPr>
                <w:rFonts w:ascii="Palatino Linotype" w:hAnsi="Palatino Linotype"/>
                <w:b/>
                <w:color w:val="000000" w:themeColor="text1"/>
                <w:sz w:val="20"/>
                <w:szCs w:val="20"/>
              </w:rPr>
              <w:t>compliant with this requirement.</w:t>
            </w:r>
          </w:p>
        </w:tc>
      </w:tr>
      <w:tr w:rsidR="002F78F4" w:rsidTr="00C254F7" w14:paraId="57722E3F" w14:textId="77777777">
        <w:trPr>
          <w:trHeight w:val="241"/>
        </w:trPr>
        <w:tc>
          <w:tcPr>
            <w:tcW w:w="3145" w:type="dxa"/>
          </w:tcPr>
          <w:p w:rsidRPr="00E7529D" w:rsidR="002F78F4" w:rsidP="00BB366A" w:rsidRDefault="002F78F4" w14:paraId="2A3E4748" w14:textId="77777777">
            <w:pPr>
              <w:rPr>
                <w:rFonts w:ascii="Palatino Linotype" w:hAnsi="Palatino Linotype"/>
                <w:b/>
                <w:sz w:val="20"/>
                <w:szCs w:val="20"/>
              </w:rPr>
            </w:pPr>
            <w:hyperlink w:history="1" r:id="rId93">
              <w:r w:rsidRPr="009459B9">
                <w:rPr>
                  <w:rStyle w:val="Hyperlink"/>
                  <w:rFonts w:ascii="Palatino Linotype" w:hAnsi="Palatino Linotype"/>
                  <w:b/>
                  <w:sz w:val="20"/>
                  <w:szCs w:val="20"/>
                </w:rPr>
                <w:t>Resolution G-3603</w:t>
              </w:r>
            </w:hyperlink>
            <w:r w:rsidRPr="009459B9">
              <w:rPr>
                <w:rFonts w:ascii="Palatino Linotype" w:hAnsi="Palatino Linotype"/>
                <w:b/>
                <w:sz w:val="20"/>
                <w:szCs w:val="20"/>
              </w:rPr>
              <w:t xml:space="preserve"> </w:t>
            </w:r>
            <w:r w:rsidRPr="009459B9">
              <w:rPr>
                <w:rFonts w:ascii="Palatino Linotype" w:hAnsi="Palatino Linotype"/>
                <w:bCs/>
                <w:sz w:val="20"/>
                <w:szCs w:val="20"/>
              </w:rPr>
              <w:t>(2024) at OP 5.</w:t>
            </w:r>
            <w:r w:rsidRPr="00E7529D">
              <w:rPr>
                <w:rFonts w:ascii="Palatino Linotype" w:hAnsi="Palatino Linotype"/>
                <w:bCs/>
                <w:sz w:val="20"/>
                <w:szCs w:val="20"/>
              </w:rPr>
              <w:t xml:space="preserve"> </w:t>
            </w:r>
            <w:r w:rsidRPr="00E7529D">
              <w:rPr>
                <w:rFonts w:ascii="Palatino Linotype" w:hAnsi="Palatino Linotype"/>
                <w:bCs/>
                <w:i/>
                <w:iCs/>
                <w:sz w:val="20"/>
                <w:szCs w:val="20"/>
              </w:rPr>
              <w:t>To ensure that research plans are coordinated, consistent, and aligned with CPUC policies and proceedings, the California Energy Commission shall coordinate with Energy Division and CPUC Staff in advance of commencing its plan.</w:t>
            </w:r>
          </w:p>
        </w:tc>
        <w:tc>
          <w:tcPr>
            <w:tcW w:w="7920" w:type="dxa"/>
          </w:tcPr>
          <w:p w:rsidR="002F78F4" w:rsidP="00BB366A" w:rsidRDefault="00B86DAF" w14:paraId="32415B37" w14:textId="32A0E77D">
            <w:pPr>
              <w:rPr>
                <w:rFonts w:ascii="Palatino Linotype" w:hAnsi="Palatino Linotype"/>
                <w:bCs/>
                <w:color w:val="000000" w:themeColor="text1"/>
                <w:sz w:val="20"/>
                <w:szCs w:val="20"/>
              </w:rPr>
            </w:pPr>
            <w:r>
              <w:rPr>
                <w:rFonts w:ascii="Palatino Linotype" w:hAnsi="Palatino Linotype"/>
                <w:bCs/>
                <w:sz w:val="20"/>
                <w:szCs w:val="20"/>
              </w:rPr>
              <w:t>The</w:t>
            </w:r>
            <w:r w:rsidRPr="00E92951">
              <w:rPr>
                <w:rFonts w:ascii="Palatino Linotype" w:hAnsi="Palatino Linotype"/>
                <w:bCs/>
                <w:color w:val="000000" w:themeColor="text1"/>
                <w:sz w:val="20"/>
                <w:szCs w:val="20"/>
              </w:rPr>
              <w:t xml:space="preserve"> </w:t>
            </w:r>
            <w:r w:rsidRPr="00E92951" w:rsidR="002F78F4">
              <w:rPr>
                <w:rFonts w:ascii="Palatino Linotype" w:hAnsi="Palatino Linotype"/>
                <w:bCs/>
                <w:color w:val="000000" w:themeColor="text1"/>
                <w:sz w:val="20"/>
                <w:szCs w:val="20"/>
              </w:rPr>
              <w:t xml:space="preserve">CEC </w:t>
            </w:r>
            <w:r w:rsidRPr="008574EF" w:rsidR="002F78F4">
              <w:rPr>
                <w:rFonts w:ascii="Palatino Linotype" w:hAnsi="Palatino Linotype"/>
                <w:bCs/>
                <w:color w:val="000000" w:themeColor="text1"/>
                <w:sz w:val="20"/>
                <w:szCs w:val="20"/>
              </w:rPr>
              <w:t>provides a Summary of Key Input Activities for the CEC Gas R&amp;D Program Grant Solicitation and Agreement Management Process at Figure 1,</w:t>
            </w:r>
            <w:r w:rsidRPr="00E92951" w:rsidR="002F78F4">
              <w:rPr>
                <w:rStyle w:val="FootnoteReference"/>
                <w:rFonts w:ascii="Palatino Linotype" w:hAnsi="Palatino Linotype"/>
                <w:bCs/>
                <w:color w:val="000000" w:themeColor="text1"/>
                <w:sz w:val="20"/>
                <w:szCs w:val="20"/>
              </w:rPr>
              <w:footnoteReference w:id="192"/>
            </w:r>
            <w:r w:rsidRPr="008574EF" w:rsidR="002F78F4">
              <w:rPr>
                <w:rFonts w:ascii="Palatino Linotype" w:hAnsi="Palatino Linotype"/>
                <w:bCs/>
                <w:color w:val="000000" w:themeColor="text1"/>
                <w:sz w:val="20"/>
                <w:szCs w:val="20"/>
              </w:rPr>
              <w:t xml:space="preserve"> including coordination with CPUC on Proposed and Final Research Initiatives.</w:t>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w:t>
            </w:r>
            <w:r w:rsidRPr="00974626" w:rsidR="002F78F4">
              <w:rPr>
                <w:rFonts w:ascii="Palatino Linotype" w:hAnsi="Palatino Linotype"/>
                <w:bCs/>
                <w:color w:val="000000" w:themeColor="text1"/>
                <w:sz w:val="20"/>
                <w:szCs w:val="20"/>
              </w:rPr>
              <w:t>details Coordination and Strategic Partnerships with CPUC, including via monthly interagency call</w:t>
            </w:r>
            <w:r w:rsidR="002F78F4">
              <w:rPr>
                <w:rFonts w:ascii="Palatino Linotype" w:hAnsi="Palatino Linotype"/>
                <w:bCs/>
                <w:color w:val="000000" w:themeColor="text1"/>
                <w:sz w:val="20"/>
                <w:szCs w:val="20"/>
              </w:rPr>
              <w:t>s</w:t>
            </w:r>
            <w:r w:rsidRPr="00974626" w:rsidR="002F78F4">
              <w:rPr>
                <w:rFonts w:ascii="Palatino Linotype" w:hAnsi="Palatino Linotype"/>
                <w:bCs/>
                <w:color w:val="000000" w:themeColor="text1"/>
                <w:sz w:val="20"/>
                <w:szCs w:val="20"/>
              </w:rPr>
              <w:t xml:space="preserve"> and coordination on initiatives</w:t>
            </w:r>
            <w:r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193"/>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 xml:space="preserve">CEC specifies meeting with CPUC on its FY2024-2025 Plan on the following dates: </w:t>
            </w:r>
          </w:p>
          <w:p w:rsidR="002F78F4" w:rsidP="003B475F" w:rsidRDefault="002F78F4" w14:paraId="10552074"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November 15, 2023: Presentation to representatives from CPUC’s Energy Division and Safety &amp; Enforcement Division. </w:t>
            </w:r>
          </w:p>
          <w:p w:rsidR="002F78F4" w:rsidP="003B475F" w:rsidRDefault="002F78F4" w14:paraId="2CCAC2F5"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lastRenderedPageBreak/>
              <w:t>December 7, 2023: “</w:t>
            </w:r>
            <w:r w:rsidRPr="007D5673">
              <w:rPr>
                <w:rFonts w:ascii="Palatino Linotype" w:hAnsi="Palatino Linotype"/>
                <w:bCs/>
                <w:color w:val="000000" w:themeColor="text1"/>
                <w:sz w:val="20"/>
                <w:szCs w:val="20"/>
              </w:rPr>
              <w:t>CEC staff presented the proposed budget plan to CPUC Commissioner Douglas. Comments were not directed to the initiatives and therefore are not summarized below.</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4"/>
            </w:r>
          </w:p>
          <w:p w:rsidR="002F78F4" w:rsidP="003B475F" w:rsidRDefault="002F78F4" w14:paraId="79A5E90C"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December 15, 2023: Public workshop including CPUC staff.</w:t>
            </w:r>
          </w:p>
          <w:p w:rsidR="002F78F4" w:rsidP="003B475F" w:rsidRDefault="002F78F4" w14:paraId="6CEA6C77"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January 10, 2025: “</w:t>
            </w:r>
            <w:r w:rsidRPr="006B553D">
              <w:rPr>
                <w:rFonts w:ascii="Palatino Linotype" w:hAnsi="Palatino Linotype"/>
                <w:bCs/>
                <w:color w:val="000000" w:themeColor="text1"/>
                <w:sz w:val="20"/>
                <w:szCs w:val="20"/>
              </w:rPr>
              <w:t>CEC met with CPUC subject matter experts to respond to feedback about the Gas System Safety research initiative.</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5"/>
            </w:r>
          </w:p>
          <w:p w:rsidR="002F78F4" w:rsidP="003B475F" w:rsidRDefault="002F78F4" w14:paraId="784FFBDA"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January 16, 2025: “</w:t>
            </w:r>
            <w:r w:rsidRPr="004762CB">
              <w:rPr>
                <w:rFonts w:ascii="Palatino Linotype" w:hAnsi="Palatino Linotype"/>
                <w:bCs/>
                <w:color w:val="000000" w:themeColor="text1"/>
                <w:sz w:val="20"/>
                <w:szCs w:val="20"/>
              </w:rPr>
              <w:t>CEC met with subject matter experts from CPUC to discuss the proposed Support Equitable, Safe, and Cost Effective Decarbonization initiative. The discussion strengthened interagency alignment on the initiative goals and clarified the research initiative language</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6"/>
            </w:r>
          </w:p>
          <w:p w:rsidRPr="004C4E71" w:rsidR="002F78F4" w:rsidP="003B475F" w:rsidRDefault="002F78F4" w14:paraId="2F7DC651" w14:textId="77777777">
            <w:pPr>
              <w:pStyle w:val="ListParagraph"/>
              <w:numPr>
                <w:ilvl w:val="0"/>
                <w:numId w:val="23"/>
              </w:numPr>
              <w:rPr>
                <w:rFonts w:ascii="Palatino Linotype" w:hAnsi="Palatino Linotype"/>
                <w:bCs/>
                <w:color w:val="000000" w:themeColor="text1"/>
                <w:sz w:val="20"/>
                <w:szCs w:val="20"/>
              </w:rPr>
            </w:pPr>
            <w:r>
              <w:rPr>
                <w:rFonts w:ascii="Palatino Linotype" w:hAnsi="Palatino Linotype"/>
                <w:bCs/>
                <w:color w:val="000000" w:themeColor="text1"/>
                <w:sz w:val="20"/>
                <w:szCs w:val="20"/>
              </w:rPr>
              <w:t>January 23, 2025: “</w:t>
            </w:r>
            <w:r w:rsidRPr="00494FCA">
              <w:rPr>
                <w:rFonts w:ascii="Palatino Linotype" w:hAnsi="Palatino Linotype"/>
                <w:bCs/>
                <w:color w:val="000000" w:themeColor="text1"/>
                <w:sz w:val="20"/>
                <w:szCs w:val="20"/>
              </w:rPr>
              <w:t>CEC met with subject matter experts from CPUC to clarify the proposed Fuel-Flexible Distributed Power Generation initiative and ensure the goals of the initiative are clearly distinguished from those of IOU research plans.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197"/>
            </w:r>
          </w:p>
          <w:p w:rsidR="002F78F4" w:rsidP="00BB366A" w:rsidRDefault="00B86DAF" w14:paraId="072DEF77" w14:textId="15972222">
            <w:pPr>
              <w:rPr>
                <w:rFonts w:ascii="Palatino Linotype" w:hAnsi="Palatino Linotype"/>
                <w:bCs/>
                <w:color w:val="000000" w:themeColor="text1"/>
                <w:sz w:val="20"/>
                <w:szCs w:val="20"/>
              </w:rPr>
            </w:pP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CEC states that “[b]</w:t>
            </w:r>
            <w:r w:rsidRPr="000E6540" w:rsidR="002F78F4">
              <w:rPr>
                <w:rFonts w:ascii="Palatino Linotype" w:hAnsi="Palatino Linotype"/>
                <w:bCs/>
                <w:color w:val="000000" w:themeColor="text1"/>
                <w:sz w:val="20"/>
                <w:szCs w:val="20"/>
              </w:rPr>
              <w:t>ased on feedback received through this process and current funding priorities, CEC staff did not include the proposed initiative on Clean Renewable Hydrogen Distribution: Hydrogen Separation in the FY 2024-2025 Gas R&amp;D Program Budget Plan and redirected the associated funds</w:t>
            </w:r>
            <w:r w:rsidR="002F78F4">
              <w:rPr>
                <w:rFonts w:ascii="Palatino Linotype" w:hAnsi="Palatino Linotype"/>
                <w:bCs/>
                <w:color w:val="000000" w:themeColor="text1"/>
                <w:sz w:val="20"/>
                <w:szCs w:val="20"/>
              </w:rPr>
              <w:t>”.</w:t>
            </w:r>
            <w:r w:rsidRPr="00E1378A" w:rsidR="002F78F4">
              <w:rPr>
                <w:rStyle w:val="FootnoteReference"/>
                <w:rFonts w:ascii="Palatino Linotype" w:hAnsi="Palatino Linotype"/>
                <w:bCs/>
                <w:color w:val="000000" w:themeColor="text1"/>
                <w:sz w:val="20"/>
                <w:szCs w:val="20"/>
              </w:rPr>
              <w:footnoteReference w:id="198"/>
            </w:r>
            <w:r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C</w:t>
            </w:r>
            <w:r w:rsidRPr="00974626" w:rsidR="002F78F4">
              <w:rPr>
                <w:rFonts w:ascii="Palatino Linotype" w:hAnsi="Palatino Linotype"/>
                <w:bCs/>
                <w:color w:val="000000" w:themeColor="text1"/>
                <w:sz w:val="20"/>
                <w:szCs w:val="20"/>
              </w:rPr>
              <w:t>EC also includes a list of Policies Supported by FY 2024-25 Gas R&amp;D Program Initiative Themes at Appendix A and information on Roadmaps and Long-Term Strategies, representing “types of planning mechanisms and prioritization tools that help establish a clear link between research and energy policy goals”.</w:t>
            </w:r>
            <w:r w:rsidRPr="002C1E2E" w:rsidR="002F78F4">
              <w:rPr>
                <w:rStyle w:val="FootnoteReference"/>
                <w:rFonts w:ascii="Palatino Linotype" w:hAnsi="Palatino Linotype"/>
                <w:bCs/>
                <w:color w:val="000000" w:themeColor="text1"/>
                <w:sz w:val="20"/>
                <w:szCs w:val="20"/>
              </w:rPr>
              <w:footnoteReference w:id="199"/>
            </w:r>
          </w:p>
          <w:p w:rsidR="002F78F4" w:rsidP="00BB366A" w:rsidRDefault="002F78F4" w14:paraId="08485A23" w14:textId="77777777">
            <w:pPr>
              <w:rPr>
                <w:rFonts w:ascii="Palatino Linotype" w:hAnsi="Palatino Linotype"/>
                <w:bCs/>
                <w:color w:val="000000" w:themeColor="text1"/>
                <w:sz w:val="20"/>
                <w:szCs w:val="20"/>
              </w:rPr>
            </w:pPr>
            <w:r>
              <w:rPr>
                <w:rFonts w:ascii="Palatino Linotype" w:hAnsi="Palatino Linotype"/>
                <w:bCs/>
                <w:color w:val="000000" w:themeColor="text1"/>
                <w:sz w:val="20"/>
                <w:szCs w:val="20"/>
              </w:rPr>
              <w:lastRenderedPageBreak/>
              <w:t xml:space="preserve">In Appendix C, </w:t>
            </w:r>
            <w:r w:rsidRPr="00FD339E">
              <w:rPr>
                <w:rFonts w:ascii="Palatino Linotype" w:hAnsi="Palatino Linotype"/>
                <w:bCs/>
                <w:color w:val="000000" w:themeColor="text1"/>
                <w:sz w:val="20"/>
                <w:szCs w:val="20"/>
              </w:rPr>
              <w:t xml:space="preserve">CEC includes </w:t>
            </w:r>
            <w:r>
              <w:rPr>
                <w:rFonts w:ascii="Palatino Linotype" w:hAnsi="Palatino Linotype"/>
                <w:bCs/>
                <w:color w:val="000000" w:themeColor="text1"/>
                <w:sz w:val="20"/>
                <w:szCs w:val="20"/>
              </w:rPr>
              <w:t xml:space="preserve">a </w:t>
            </w:r>
            <w:r w:rsidRPr="00FD339E">
              <w:rPr>
                <w:rFonts w:ascii="Palatino Linotype" w:hAnsi="Palatino Linotype"/>
                <w:bCs/>
                <w:color w:val="000000" w:themeColor="text1"/>
                <w:sz w:val="20"/>
                <w:szCs w:val="20"/>
              </w:rPr>
              <w:t>CPUC Staff Coordination Meeting Comment Summary and CEC Responses</w:t>
            </w:r>
            <w:r>
              <w:rPr>
                <w:rFonts w:ascii="Palatino Linotype" w:hAnsi="Palatino Linotype"/>
                <w:bCs/>
                <w:color w:val="000000" w:themeColor="text1"/>
                <w:sz w:val="20"/>
                <w:szCs w:val="20"/>
              </w:rPr>
              <w:t>:</w:t>
            </w:r>
          </w:p>
          <w:p w:rsidRPr="004C4E71" w:rsidR="002F78F4" w:rsidP="00BB366A" w:rsidRDefault="002F78F4" w14:paraId="5AB6A324" w14:textId="7CF30BE1">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1</w:t>
            </w:r>
            <w:r w:rsidRPr="009767F2">
              <w:rPr>
                <w:rFonts w:ascii="Palatino Linotype" w:hAnsi="Palatino Linotype"/>
                <w:bCs/>
                <w:color w:val="000000" w:themeColor="text1"/>
                <w:sz w:val="20"/>
                <w:szCs w:val="20"/>
              </w:rPr>
              <w:t>.</w:t>
            </w:r>
            <w:r w:rsidRPr="00AE3F51">
              <w:rPr>
                <w:rFonts w:ascii="Palatino Linotype" w:hAnsi="Palatino Linotype"/>
                <w:bCs/>
                <w:color w:val="000000" w:themeColor="text1"/>
                <w:sz w:val="20"/>
                <w:szCs w:val="20"/>
              </w:rPr>
              <w:t xml:space="preserve"> Support Equitable, Safe, and Cost-Effective Decarbonization of California’s Gas System</w:t>
            </w:r>
            <w:r>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6D2741" w:rsidR="00B86DAF">
              <w:rPr>
                <w:rFonts w:ascii="Palatino Linotype" w:hAnsi="Palatino Linotype"/>
                <w:bCs/>
                <w:color w:val="000000" w:themeColor="text1"/>
                <w:sz w:val="20"/>
                <w:szCs w:val="20"/>
              </w:rPr>
              <w:t xml:space="preserve"> </w:t>
            </w:r>
            <w:r w:rsidRPr="006D2741">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affirms it is </w:t>
            </w:r>
            <w:r w:rsidRPr="006D2741">
              <w:rPr>
                <w:rFonts w:ascii="Palatino Linotype" w:hAnsi="Palatino Linotype"/>
                <w:bCs/>
                <w:color w:val="000000" w:themeColor="text1"/>
                <w:sz w:val="20"/>
                <w:szCs w:val="20"/>
              </w:rPr>
              <w:t>attuned to and committed to exploring mechanisms to accommodate transition research needs and secure interest from appropriate bidders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0"/>
            </w:r>
            <w:r>
              <w:rPr>
                <w:rFonts w:ascii="Palatino Linotype" w:hAnsi="Palatino Linotype"/>
                <w:bCs/>
                <w:color w:val="000000" w:themeColor="text1"/>
                <w:sz w:val="20"/>
                <w:szCs w:val="20"/>
              </w:rPr>
              <w:t xml:space="preserve"> </w:t>
            </w:r>
            <w:r w:rsidRPr="006D2741">
              <w:rPr>
                <w:rFonts w:ascii="Palatino Linotype" w:hAnsi="Palatino Linotype"/>
                <w:bCs/>
                <w:color w:val="000000" w:themeColor="text1"/>
                <w:sz w:val="20"/>
                <w:szCs w:val="20"/>
              </w:rPr>
              <w:t>will target "both communication efforts and the identification and development of technological advances that improve the marketability and functionality of conversion from gas"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1"/>
            </w:r>
            <w:r>
              <w:rPr>
                <w:rFonts w:ascii="Palatino Linotype" w:hAnsi="Palatino Linotype"/>
                <w:bCs/>
                <w:color w:val="000000" w:themeColor="text1"/>
                <w:sz w:val="20"/>
                <w:szCs w:val="20"/>
              </w:rPr>
              <w:t xml:space="preserve"> and </w:t>
            </w:r>
            <w:r w:rsidRPr="006D2741">
              <w:rPr>
                <w:rFonts w:ascii="Palatino Linotype" w:hAnsi="Palatino Linotype"/>
                <w:bCs/>
                <w:color w:val="000000" w:themeColor="text1"/>
                <w:sz w:val="20"/>
                <w:szCs w:val="20"/>
              </w:rPr>
              <w:t>intends to coordinate with CPUC gas proceedings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2"/>
            </w:r>
          </w:p>
          <w:p w:rsidRPr="002A5014" w:rsidR="002F78F4" w:rsidP="00BB366A" w:rsidRDefault="002F78F4" w14:paraId="2B9D7F49" w14:textId="28A7F456">
            <w:pPr>
              <w:rPr>
                <w:rFonts w:ascii="Palatino Linotype" w:hAnsi="Palatino Linotype"/>
                <w:bCs/>
                <w:color w:val="000000" w:themeColor="text1"/>
                <w:sz w:val="20"/>
                <w:szCs w:val="20"/>
              </w:rPr>
            </w:pPr>
            <w:r w:rsidRPr="00B53D6C">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2.</w:t>
            </w:r>
            <w:r w:rsidRPr="00B53D6C">
              <w:rPr>
                <w:rFonts w:ascii="Palatino Linotype" w:hAnsi="Palatino Linotype"/>
                <w:bCs/>
                <w:color w:val="000000" w:themeColor="text1"/>
                <w:sz w:val="20"/>
                <w:szCs w:val="20"/>
              </w:rPr>
              <w:t xml:space="preserve"> Innovations for Cost-Effective Operation and Maintenance of Critical Infrastructure During the Gas Transition: </w:t>
            </w:r>
            <w:r w:rsidR="00B86DAF">
              <w:rPr>
                <w:rFonts w:ascii="Palatino Linotype" w:hAnsi="Palatino Linotype"/>
                <w:bCs/>
                <w:sz w:val="20"/>
                <w:szCs w:val="20"/>
              </w:rPr>
              <w:t>The</w:t>
            </w:r>
            <w:r w:rsidRPr="002A5014" w:rsidR="00B86DAF">
              <w:rPr>
                <w:rFonts w:ascii="Palatino Linotype" w:hAnsi="Palatino Linotype"/>
                <w:bCs/>
                <w:color w:val="000000" w:themeColor="text1"/>
                <w:sz w:val="20"/>
                <w:szCs w:val="20"/>
              </w:rPr>
              <w:t xml:space="preserve"> </w:t>
            </w:r>
            <w:r w:rsidRPr="002A5014">
              <w:rPr>
                <w:rFonts w:ascii="Palatino Linotype" w:hAnsi="Palatino Linotype"/>
                <w:bCs/>
                <w:color w:val="000000" w:themeColor="text1"/>
                <w:sz w:val="20"/>
                <w:szCs w:val="20"/>
              </w:rPr>
              <w:t>CEC provided additional detail in response to CPUC feedback:</w:t>
            </w:r>
          </w:p>
          <w:p w:rsidRPr="002A5014" w:rsidR="002F78F4" w:rsidP="00BB366A" w:rsidRDefault="002F78F4" w14:paraId="5428D9E0" w14:textId="7777777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t>a. This Initiative supports CPUC staff's interest "in well inspection practices that don't hamper operations of the wells to serve their purpose in mitigating price fluctuations in gas markets</w:t>
            </w:r>
            <w:r>
              <w:rPr>
                <w:rFonts w:ascii="Palatino Linotype" w:hAnsi="Palatino Linotype"/>
                <w:bCs/>
                <w:color w:val="000000" w:themeColor="text1"/>
                <w:sz w:val="20"/>
                <w:szCs w:val="20"/>
              </w:rPr>
              <w:t>.</w:t>
            </w:r>
            <w:r w:rsidRPr="002A501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3"/>
            </w:r>
            <w:r w:rsidRPr="002A5014">
              <w:rPr>
                <w:rFonts w:ascii="Palatino Linotype" w:hAnsi="Palatino Linotype"/>
                <w:bCs/>
                <w:color w:val="000000" w:themeColor="text1"/>
                <w:sz w:val="20"/>
                <w:szCs w:val="20"/>
              </w:rPr>
              <w:t xml:space="preserve"> </w:t>
            </w:r>
          </w:p>
          <w:p w:rsidRPr="002A5014" w:rsidR="002F78F4" w:rsidP="00BB366A" w:rsidRDefault="002F78F4" w14:paraId="3E3B55B8" w14:textId="7777777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t>b. CEC's coordination with the utilities will promote RD&amp;D that is "impartial, transparent, and aligned with the interest of ratepayers and the public", particularly in requiring results be made publicly available and recipients detailing a technology transfer plan.</w:t>
            </w:r>
            <w:r>
              <w:rPr>
                <w:rStyle w:val="FootnoteReference"/>
                <w:rFonts w:ascii="Palatino Linotype" w:hAnsi="Palatino Linotype"/>
                <w:bCs/>
                <w:color w:val="000000" w:themeColor="text1"/>
                <w:sz w:val="20"/>
                <w:szCs w:val="20"/>
              </w:rPr>
              <w:footnoteReference w:id="204"/>
            </w:r>
            <w:r w:rsidRPr="002A5014">
              <w:rPr>
                <w:rFonts w:ascii="Palatino Linotype" w:hAnsi="Palatino Linotype"/>
                <w:bCs/>
                <w:color w:val="000000" w:themeColor="text1"/>
                <w:sz w:val="20"/>
                <w:szCs w:val="20"/>
              </w:rPr>
              <w:t xml:space="preserve"> </w:t>
            </w:r>
          </w:p>
          <w:p w:rsidRPr="002A5014" w:rsidR="002F78F4" w:rsidP="00BB366A" w:rsidRDefault="002F78F4" w14:paraId="05544A8A" w14:textId="7777777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t>c. In relation to "exploring specific factors that may contribute to extending well testing intervals", CEC coordinated with CalGEM to establish shared interest in "understanding the effectiveness of emerging technologies in identifying anomalies</w:t>
            </w:r>
            <w:r>
              <w:rPr>
                <w:rFonts w:ascii="Palatino Linotype" w:hAnsi="Palatino Linotype"/>
                <w:bCs/>
                <w:color w:val="000000" w:themeColor="text1"/>
                <w:sz w:val="20"/>
                <w:szCs w:val="20"/>
              </w:rPr>
              <w:t>.</w:t>
            </w:r>
            <w:r w:rsidRPr="002A501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05"/>
            </w:r>
          </w:p>
          <w:p w:rsidRPr="00B53D6C" w:rsidR="002F78F4" w:rsidP="00BB366A" w:rsidRDefault="002F78F4" w14:paraId="0DBC49AE" w14:textId="69CC6767">
            <w:pPr>
              <w:ind w:left="720"/>
              <w:rPr>
                <w:rFonts w:ascii="Palatino Linotype" w:hAnsi="Palatino Linotype"/>
                <w:bCs/>
                <w:color w:val="000000" w:themeColor="text1"/>
                <w:sz w:val="20"/>
                <w:szCs w:val="20"/>
              </w:rPr>
            </w:pPr>
            <w:r w:rsidRPr="002A5014">
              <w:rPr>
                <w:rFonts w:ascii="Palatino Linotype" w:hAnsi="Palatino Linotype"/>
                <w:bCs/>
                <w:color w:val="000000" w:themeColor="text1"/>
                <w:sz w:val="20"/>
                <w:szCs w:val="20"/>
              </w:rPr>
              <w:lastRenderedPageBreak/>
              <w:t>d. In pre-submittal consultation,</w:t>
            </w:r>
            <w:r w:rsidR="00543BE1">
              <w:rPr>
                <w:rFonts w:ascii="Palatino Linotype" w:hAnsi="Palatino Linotype"/>
                <w:bCs/>
                <w:color w:val="000000" w:themeColor="text1"/>
                <w:sz w:val="20"/>
                <w:szCs w:val="20"/>
              </w:rPr>
              <w:t xml:space="preserve"> the</w:t>
            </w:r>
            <w:r w:rsidRPr="002A5014">
              <w:rPr>
                <w:rFonts w:ascii="Palatino Linotype" w:hAnsi="Palatino Linotype"/>
                <w:bCs/>
                <w:color w:val="000000" w:themeColor="text1"/>
                <w:sz w:val="20"/>
                <w:szCs w:val="20"/>
              </w:rPr>
              <w:t xml:space="preserve"> CEC stated it expects the proposed Initiative funding level could yield 3-4 projects.</w:t>
            </w:r>
          </w:p>
          <w:p w:rsidRPr="00FC2C0C" w:rsidR="002F78F4" w:rsidP="00BB366A" w:rsidRDefault="002F78F4" w14:paraId="0B635EDF" w14:textId="5B98DEE2">
            <w:pPr>
              <w:rPr>
                <w:rFonts w:ascii="Palatino Linotype" w:hAnsi="Palatino Linotype"/>
                <w:bCs/>
                <w:color w:val="000000" w:themeColor="text1"/>
                <w:sz w:val="20"/>
                <w:szCs w:val="20"/>
              </w:rPr>
            </w:pPr>
            <w:r w:rsidRPr="00AD2FC4">
              <w:rPr>
                <w:rFonts w:ascii="Palatino Linotype" w:hAnsi="Palatino Linotype"/>
                <w:b/>
                <w:color w:val="000000" w:themeColor="text1"/>
                <w:sz w:val="20"/>
                <w:szCs w:val="20"/>
              </w:rPr>
              <w:t xml:space="preserve">    3</w:t>
            </w:r>
            <w:r w:rsidRPr="00AD2FC4">
              <w:rPr>
                <w:rFonts w:ascii="Palatino Linotype" w:hAnsi="Palatino Linotype"/>
                <w:bCs/>
                <w:color w:val="000000" w:themeColor="text1"/>
                <w:sz w:val="20"/>
                <w:szCs w:val="20"/>
              </w:rPr>
              <w:t>. Fuel-Flexible Distributed Power Generation:</w:t>
            </w:r>
            <w:r>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Pr="00FC2C0C" w:rsidR="00543BE1">
              <w:rPr>
                <w:rFonts w:ascii="Palatino Linotype" w:hAnsi="Palatino Linotype"/>
                <w:bCs/>
                <w:color w:val="000000" w:themeColor="text1"/>
                <w:sz w:val="20"/>
                <w:szCs w:val="20"/>
              </w:rPr>
              <w:t xml:space="preserve"> </w:t>
            </w:r>
            <w:r w:rsidRPr="00FC2C0C">
              <w:rPr>
                <w:rFonts w:ascii="Palatino Linotype" w:hAnsi="Palatino Linotype"/>
                <w:bCs/>
                <w:color w:val="000000" w:themeColor="text1"/>
                <w:sz w:val="20"/>
                <w:szCs w:val="20"/>
              </w:rPr>
              <w:t>CEC notes that "the proposed $6M funding could support about 3 to 4 projects for component and full system innovations to ensure fuel-flexible technologies meet expected performance, operability, cost, low-emission, and decarbonization goals and targets."</w:t>
            </w:r>
            <w:r>
              <w:rPr>
                <w:rStyle w:val="FootnoteReference"/>
                <w:rFonts w:ascii="Palatino Linotype" w:hAnsi="Palatino Linotype"/>
                <w:bCs/>
                <w:color w:val="000000" w:themeColor="text1"/>
                <w:sz w:val="20"/>
                <w:szCs w:val="20"/>
              </w:rPr>
              <w:footnoteReference w:id="206"/>
            </w:r>
            <w:r>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00543BE1">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CEC</w:t>
            </w:r>
            <w:r w:rsidRPr="00FC2C0C">
              <w:rPr>
                <w:rFonts w:ascii="Palatino Linotype" w:hAnsi="Palatino Linotype"/>
                <w:bCs/>
                <w:color w:val="000000" w:themeColor="text1"/>
                <w:sz w:val="20"/>
                <w:szCs w:val="20"/>
              </w:rPr>
              <w:t xml:space="preserve"> removed and modified language at several points in its Initiative description per CPUC staff feedback provided during pre-submittal consultation to better align with CPUC proceedings:</w:t>
            </w:r>
          </w:p>
          <w:p w:rsidRPr="00FC2C0C" w:rsidR="002F78F4" w:rsidP="00BB366A" w:rsidRDefault="002F78F4" w14:paraId="7E3B4F80" w14:textId="77777777">
            <w:pPr>
              <w:ind w:left="720"/>
              <w:rPr>
                <w:rFonts w:ascii="Palatino Linotype" w:hAnsi="Palatino Linotype"/>
                <w:bCs/>
                <w:color w:val="000000" w:themeColor="text1"/>
                <w:sz w:val="20"/>
                <w:szCs w:val="20"/>
              </w:rPr>
            </w:pPr>
            <w:r w:rsidRPr="00FC2C0C">
              <w:rPr>
                <w:rFonts w:ascii="Palatino Linotype" w:hAnsi="Palatino Linotype"/>
                <w:bCs/>
                <w:color w:val="000000" w:themeColor="text1"/>
                <w:sz w:val="20"/>
                <w:szCs w:val="20"/>
              </w:rPr>
              <w:t>a. "This initiative will require projects and technology/fuel systems to be thoroughly evaluated on the basis of key metrics such as affordability, air quality, GHG and life-cycle emissions, and system performance including flexibility, operability and viability."</w:t>
            </w:r>
            <w:r>
              <w:rPr>
                <w:rStyle w:val="FootnoteReference"/>
                <w:rFonts w:ascii="Palatino Linotype" w:hAnsi="Palatino Linotype"/>
                <w:bCs/>
                <w:color w:val="000000" w:themeColor="text1"/>
                <w:sz w:val="20"/>
                <w:szCs w:val="20"/>
              </w:rPr>
              <w:footnoteReference w:id="207"/>
            </w:r>
            <w:r w:rsidRPr="00FC2C0C">
              <w:rPr>
                <w:rFonts w:ascii="Palatino Linotype" w:hAnsi="Palatino Linotype"/>
                <w:bCs/>
                <w:color w:val="000000" w:themeColor="text1"/>
                <w:sz w:val="20"/>
                <w:szCs w:val="20"/>
              </w:rPr>
              <w:t xml:space="preserve"> </w:t>
            </w:r>
          </w:p>
          <w:p w:rsidRPr="00FC2C0C" w:rsidR="002F78F4" w:rsidP="00BB366A" w:rsidRDefault="002F78F4" w14:paraId="4465CE12" w14:textId="28B1127E">
            <w:pPr>
              <w:ind w:left="720"/>
              <w:rPr>
                <w:rFonts w:ascii="Palatino Linotype" w:hAnsi="Palatino Linotype"/>
                <w:bCs/>
                <w:color w:val="000000" w:themeColor="text1"/>
                <w:sz w:val="20"/>
                <w:szCs w:val="20"/>
              </w:rPr>
            </w:pPr>
            <w:r w:rsidRPr="00FC2C0C">
              <w:rPr>
                <w:rFonts w:ascii="Palatino Linotype" w:hAnsi="Palatino Linotype"/>
                <w:bCs/>
                <w:color w:val="000000" w:themeColor="text1"/>
                <w:sz w:val="20"/>
                <w:szCs w:val="20"/>
              </w:rPr>
              <w:t xml:space="preserve">b. </w:t>
            </w:r>
            <w:r w:rsidR="00543BE1">
              <w:rPr>
                <w:rFonts w:ascii="Palatino Linotype" w:hAnsi="Palatino Linotype"/>
                <w:bCs/>
                <w:sz w:val="20"/>
                <w:szCs w:val="20"/>
              </w:rPr>
              <w:t>The</w:t>
            </w:r>
            <w:r w:rsidRPr="00FC2C0C" w:rsidR="00543BE1">
              <w:rPr>
                <w:rFonts w:ascii="Palatino Linotype" w:hAnsi="Palatino Linotype"/>
                <w:bCs/>
                <w:color w:val="000000" w:themeColor="text1"/>
                <w:sz w:val="20"/>
                <w:szCs w:val="20"/>
              </w:rPr>
              <w:t xml:space="preserve"> </w:t>
            </w:r>
            <w:r w:rsidRPr="00FC2C0C">
              <w:rPr>
                <w:rFonts w:ascii="Palatino Linotype" w:hAnsi="Palatino Linotype"/>
                <w:bCs/>
                <w:color w:val="000000" w:themeColor="text1"/>
                <w:sz w:val="20"/>
                <w:szCs w:val="20"/>
              </w:rPr>
              <w:t>CEC will "avoid investing in new combustion demonstration", limiting RD&amp;D to potentially modifying existing combustion systems prioritizing replacing diesel backup generators for critical infrastructure.</w:t>
            </w:r>
            <w:r>
              <w:rPr>
                <w:rStyle w:val="FootnoteReference"/>
                <w:rFonts w:ascii="Palatino Linotype" w:hAnsi="Palatino Linotype"/>
                <w:bCs/>
                <w:color w:val="000000" w:themeColor="text1"/>
                <w:sz w:val="20"/>
                <w:szCs w:val="20"/>
              </w:rPr>
              <w:footnoteReference w:id="208"/>
            </w:r>
            <w:r w:rsidRPr="00FC2C0C">
              <w:rPr>
                <w:rFonts w:ascii="Palatino Linotype" w:hAnsi="Palatino Linotype"/>
                <w:bCs/>
                <w:color w:val="000000" w:themeColor="text1"/>
                <w:sz w:val="20"/>
                <w:szCs w:val="20"/>
              </w:rPr>
              <w:t xml:space="preserve"> </w:t>
            </w:r>
          </w:p>
          <w:p w:rsidR="002F78F4" w:rsidP="00BB366A" w:rsidRDefault="002F78F4" w14:paraId="47675A85" w14:textId="77777777">
            <w:pPr>
              <w:ind w:left="720"/>
              <w:rPr>
                <w:rFonts w:ascii="Palatino Linotype" w:hAnsi="Palatino Linotype"/>
                <w:bCs/>
                <w:color w:val="000000" w:themeColor="text1"/>
                <w:sz w:val="20"/>
                <w:szCs w:val="20"/>
              </w:rPr>
            </w:pPr>
            <w:r w:rsidRPr="00FC2C0C">
              <w:rPr>
                <w:rFonts w:ascii="Palatino Linotype" w:hAnsi="Palatino Linotype"/>
                <w:bCs/>
                <w:color w:val="000000" w:themeColor="text1"/>
                <w:sz w:val="20"/>
                <w:szCs w:val="20"/>
              </w:rPr>
              <w:t>c. "Given the potential scarcity of renewable fuels, potential projects must secure a reliable fuel source."</w:t>
            </w:r>
            <w:r>
              <w:rPr>
                <w:rStyle w:val="FootnoteReference"/>
                <w:rFonts w:ascii="Palatino Linotype" w:hAnsi="Palatino Linotype"/>
                <w:bCs/>
                <w:color w:val="000000" w:themeColor="text1"/>
                <w:sz w:val="20"/>
                <w:szCs w:val="20"/>
              </w:rPr>
              <w:footnoteReference w:id="209"/>
            </w:r>
          </w:p>
          <w:p w:rsidRPr="00E1378A" w:rsidR="00CF416D" w:rsidP="00BB366A" w:rsidRDefault="00CF416D" w14:paraId="109F6A06" w14:textId="44010943">
            <w:pPr>
              <w:ind w:left="720"/>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543BE1">
              <w:rPr>
                <w:rFonts w:ascii="Palatino Linotype" w:hAnsi="Palatino Linotype"/>
                <w:bCs/>
                <w:sz w:val="20"/>
                <w:szCs w:val="20"/>
              </w:rPr>
              <w:t>The</w:t>
            </w:r>
            <w:r w:rsidR="00543BE1">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states that </w:t>
            </w:r>
            <w:r w:rsidR="005A71BC">
              <w:rPr>
                <w:rFonts w:ascii="Palatino Linotype" w:hAnsi="Palatino Linotype"/>
                <w:bCs/>
                <w:color w:val="000000" w:themeColor="text1"/>
                <w:sz w:val="20"/>
                <w:szCs w:val="20"/>
              </w:rPr>
              <w:t>“</w:t>
            </w:r>
            <w:r w:rsidRPr="005A71BC" w:rsidR="005A71BC">
              <w:rPr>
                <w:rFonts w:ascii="Palatino Linotype" w:hAnsi="Palatino Linotype"/>
                <w:bCs/>
                <w:color w:val="000000" w:themeColor="text1"/>
                <w:sz w:val="20"/>
                <w:szCs w:val="20"/>
              </w:rPr>
              <w:t>this proposed initiative is focused on technological advancements and demonstrations of fuel-flexible technologies not necessarily limited to hydrogen.</w:t>
            </w:r>
            <w:r w:rsidR="00D65E88">
              <w:rPr>
                <w:rFonts w:ascii="Palatino Linotype" w:hAnsi="Palatino Linotype"/>
                <w:bCs/>
                <w:color w:val="000000" w:themeColor="text1"/>
                <w:sz w:val="20"/>
                <w:szCs w:val="20"/>
              </w:rPr>
              <w:t>”</w:t>
            </w:r>
            <w:r w:rsidR="00D65E88">
              <w:rPr>
                <w:rStyle w:val="FootnoteReference"/>
                <w:rFonts w:ascii="Palatino Linotype" w:hAnsi="Palatino Linotype"/>
                <w:bCs/>
                <w:color w:val="000000" w:themeColor="text1"/>
                <w:sz w:val="20"/>
                <w:szCs w:val="20"/>
              </w:rPr>
              <w:footnoteReference w:id="210"/>
            </w:r>
          </w:p>
        </w:tc>
        <w:tc>
          <w:tcPr>
            <w:tcW w:w="3240" w:type="dxa"/>
          </w:tcPr>
          <w:p w:rsidRPr="007C50BE" w:rsidR="002F78F4" w:rsidP="00BB366A" w:rsidRDefault="002F78F4" w14:paraId="4EB327B8" w14:textId="517BDC0F">
            <w:pPr>
              <w:rPr>
                <w:rFonts w:ascii="Palatino Linotype" w:hAnsi="Palatino Linotype"/>
                <w:bCs/>
                <w:color w:val="000000" w:themeColor="text1"/>
                <w:sz w:val="20"/>
                <w:szCs w:val="20"/>
              </w:rPr>
            </w:pPr>
            <w:r>
              <w:rPr>
                <w:rFonts w:ascii="Palatino Linotype" w:hAnsi="Palatino Linotype"/>
                <w:b/>
                <w:color w:val="000000" w:themeColor="text1"/>
                <w:sz w:val="20"/>
                <w:szCs w:val="20"/>
              </w:rPr>
              <w:lastRenderedPageBreak/>
              <w:t xml:space="preserve">    </w:t>
            </w:r>
            <w:r w:rsidRPr="00AE3F51">
              <w:rPr>
                <w:rFonts w:ascii="Palatino Linotype" w:hAnsi="Palatino Linotype"/>
                <w:b/>
                <w:color w:val="000000" w:themeColor="text1"/>
                <w:sz w:val="20"/>
                <w:szCs w:val="20"/>
              </w:rPr>
              <w:t>1</w:t>
            </w:r>
            <w:r w:rsidRPr="00AE3F51">
              <w:rPr>
                <w:rFonts w:ascii="Palatino Linotype" w:hAnsi="Palatino Linotype"/>
                <w:bCs/>
                <w:color w:val="000000" w:themeColor="text1"/>
                <w:sz w:val="20"/>
                <w:szCs w:val="20"/>
              </w:rPr>
              <w:t xml:space="preserve">. </w:t>
            </w:r>
            <w:r w:rsidR="00B86DAF">
              <w:rPr>
                <w:rFonts w:ascii="Palatino Linotype" w:hAnsi="Palatino Linotype"/>
                <w:bCs/>
                <w:sz w:val="20"/>
                <w:szCs w:val="20"/>
              </w:rPr>
              <w:t>The</w:t>
            </w:r>
            <w:r w:rsidRPr="00944FFA" w:rsidR="00B86DAF">
              <w:rPr>
                <w:rFonts w:ascii="Palatino Linotype" w:hAnsi="Palatino Linotype"/>
                <w:bCs/>
                <w:color w:val="000000" w:themeColor="text1"/>
                <w:sz w:val="20"/>
                <w:szCs w:val="20"/>
              </w:rPr>
              <w:t xml:space="preserve"> </w:t>
            </w:r>
            <w:r w:rsidRPr="00944FFA">
              <w:rPr>
                <w:rFonts w:ascii="Palatino Linotype" w:hAnsi="Palatino Linotype"/>
                <w:bCs/>
                <w:color w:val="000000" w:themeColor="text1"/>
                <w:sz w:val="20"/>
                <w:szCs w:val="20"/>
              </w:rPr>
              <w:t xml:space="preserve">CEC incorporated a portion of CPUC staff's feedback as detailed, however, </w:t>
            </w:r>
            <w:r w:rsidR="00B86DAF">
              <w:rPr>
                <w:rFonts w:ascii="Palatino Linotype" w:hAnsi="Palatino Linotype"/>
                <w:bCs/>
                <w:color w:val="000000" w:themeColor="text1"/>
                <w:sz w:val="20"/>
                <w:szCs w:val="20"/>
              </w:rPr>
              <w:t xml:space="preserve">the </w:t>
            </w:r>
            <w:r w:rsidRPr="00944FFA">
              <w:rPr>
                <w:rFonts w:ascii="Palatino Linotype" w:hAnsi="Palatino Linotype"/>
                <w:bCs/>
                <w:color w:val="000000" w:themeColor="text1"/>
                <w:sz w:val="20"/>
                <w:szCs w:val="20"/>
              </w:rPr>
              <w:t xml:space="preserve">CEC </w:t>
            </w:r>
            <w:r w:rsidR="009446EC">
              <w:rPr>
                <w:rFonts w:ascii="Palatino Linotype" w:hAnsi="Palatino Linotype"/>
                <w:bCs/>
                <w:color w:val="000000" w:themeColor="text1"/>
                <w:sz w:val="20"/>
                <w:szCs w:val="20"/>
              </w:rPr>
              <w:t>must</w:t>
            </w:r>
            <w:r w:rsidRPr="00944FFA">
              <w:rPr>
                <w:rFonts w:ascii="Palatino Linotype" w:hAnsi="Palatino Linotype"/>
                <w:bCs/>
                <w:color w:val="000000" w:themeColor="text1"/>
                <w:sz w:val="20"/>
                <w:szCs w:val="20"/>
              </w:rPr>
              <w:t xml:space="preserve"> refine the scope of this Initiative as recommended by CPUC staff to align with gas proceeding</w:t>
            </w:r>
            <w:r>
              <w:rPr>
                <w:rFonts w:ascii="Palatino Linotype" w:hAnsi="Palatino Linotype"/>
                <w:bCs/>
                <w:color w:val="000000" w:themeColor="text1"/>
                <w:sz w:val="20"/>
                <w:szCs w:val="20"/>
              </w:rPr>
              <w:t>s</w:t>
            </w:r>
            <w:r w:rsidRPr="00944FFA">
              <w:rPr>
                <w:rFonts w:ascii="Palatino Linotype" w:hAnsi="Palatino Linotype"/>
                <w:bCs/>
                <w:color w:val="000000" w:themeColor="text1"/>
                <w:sz w:val="20"/>
                <w:szCs w:val="20"/>
              </w:rPr>
              <w:t xml:space="preserve"> by including the following additional research areas and questions to illuminate existing hurdles, complexities, </w:t>
            </w:r>
            <w:r w:rsidRPr="00944FFA">
              <w:rPr>
                <w:rFonts w:ascii="Palatino Linotype" w:hAnsi="Palatino Linotype"/>
                <w:bCs/>
                <w:color w:val="000000" w:themeColor="text1"/>
                <w:sz w:val="20"/>
                <w:szCs w:val="20"/>
              </w:rPr>
              <w:lastRenderedPageBreak/>
              <w:t>and pathways forward for decarbonization activities</w:t>
            </w:r>
            <w:r w:rsidRPr="007C50BE">
              <w:rPr>
                <w:rFonts w:ascii="Palatino Linotype" w:hAnsi="Palatino Linotype"/>
                <w:bCs/>
                <w:color w:val="000000" w:themeColor="text1"/>
                <w:sz w:val="20"/>
                <w:szCs w:val="20"/>
              </w:rPr>
              <w:t>:</w:t>
            </w:r>
          </w:p>
          <w:p w:rsidR="002F78F4" w:rsidP="003B475F" w:rsidRDefault="002F78F4" w14:paraId="4A0798E2"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What influences the choice of electric appliances or appliances other than gas in a</w:t>
            </w:r>
            <w:r w:rsidR="00E37E20">
              <w:rPr>
                <w:rFonts w:ascii="Palatino Linotype" w:hAnsi="Palatino Linotype"/>
                <w:bCs/>
                <w:color w:val="000000" w:themeColor="text1"/>
                <w:sz w:val="20"/>
                <w:szCs w:val="20"/>
              </w:rPr>
              <w:t>ny</w:t>
            </w:r>
            <w:r w:rsidRPr="007472A5">
              <w:rPr>
                <w:rFonts w:ascii="Palatino Linotype" w:hAnsi="Palatino Linotype"/>
                <w:bCs/>
                <w:color w:val="000000" w:themeColor="text1"/>
                <w:sz w:val="20"/>
                <w:szCs w:val="20"/>
              </w:rPr>
              <w:t xml:space="preserve"> particular location</w:t>
            </w:r>
            <w:r>
              <w:rPr>
                <w:rFonts w:ascii="Palatino Linotype" w:hAnsi="Palatino Linotype"/>
                <w:bCs/>
                <w:color w:val="000000" w:themeColor="text1"/>
                <w:sz w:val="20"/>
                <w:szCs w:val="20"/>
              </w:rPr>
              <w:t xml:space="preserve"> or </w:t>
            </w:r>
            <w:r w:rsidRPr="007472A5">
              <w:rPr>
                <w:rFonts w:ascii="Palatino Linotype" w:hAnsi="Palatino Linotype"/>
                <w:bCs/>
                <w:color w:val="000000" w:themeColor="text1"/>
                <w:sz w:val="20"/>
                <w:szCs w:val="20"/>
              </w:rPr>
              <w:t>situation</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1"/>
            </w:r>
          </w:p>
          <w:p w:rsidR="002F78F4" w:rsidP="003B475F" w:rsidRDefault="002F78F4" w14:paraId="2080E42E"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An example of how interval meter data may help provide targeted information on alternatives and associated benefits to gas appliance users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2"/>
            </w:r>
            <w:r w:rsidRPr="007472A5">
              <w:rPr>
                <w:rFonts w:ascii="Palatino Linotype" w:hAnsi="Palatino Linotype"/>
                <w:bCs/>
                <w:color w:val="000000" w:themeColor="text1"/>
                <w:sz w:val="20"/>
                <w:szCs w:val="20"/>
              </w:rPr>
              <w:t xml:space="preserve"> </w:t>
            </w:r>
          </w:p>
          <w:p w:rsidR="002F78F4" w:rsidP="003B475F" w:rsidRDefault="002F78F4" w14:paraId="0BBE7688"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Abilities and opportunities for equipment vendors and manufacturers to support the installation of electric heat pumps</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3"/>
            </w:r>
            <w:r w:rsidRPr="007472A5">
              <w:rPr>
                <w:rFonts w:ascii="Palatino Linotype" w:hAnsi="Palatino Linotype"/>
                <w:bCs/>
                <w:color w:val="000000" w:themeColor="text1"/>
                <w:sz w:val="20"/>
                <w:szCs w:val="20"/>
              </w:rPr>
              <w:t xml:space="preserve"> </w:t>
            </w:r>
          </w:p>
          <w:p w:rsidRPr="005C6191" w:rsidR="002F78F4" w:rsidP="003B475F" w:rsidRDefault="002F78F4" w14:paraId="24D5ED44" w14:textId="77777777">
            <w:pPr>
              <w:pStyle w:val="ListParagraph"/>
              <w:numPr>
                <w:ilvl w:val="0"/>
                <w:numId w:val="26"/>
              </w:numPr>
              <w:rPr>
                <w:rFonts w:ascii="Palatino Linotype" w:hAnsi="Palatino Linotype"/>
                <w:bCs/>
                <w:color w:val="000000" w:themeColor="text1"/>
                <w:sz w:val="20"/>
                <w:szCs w:val="20"/>
              </w:rPr>
            </w:pPr>
            <w:r w:rsidRPr="007472A5">
              <w:rPr>
                <w:rFonts w:ascii="Palatino Linotype" w:hAnsi="Palatino Linotype"/>
                <w:bCs/>
                <w:color w:val="000000" w:themeColor="text1"/>
                <w:sz w:val="20"/>
                <w:szCs w:val="20"/>
              </w:rPr>
              <w:t xml:space="preserve">In addition to reinforcing the electricity system, targeting the identification and scaling </w:t>
            </w:r>
            <w:r w:rsidRPr="007472A5">
              <w:rPr>
                <w:rFonts w:ascii="Palatino Linotype" w:hAnsi="Palatino Linotype"/>
                <w:bCs/>
                <w:color w:val="000000" w:themeColor="text1"/>
                <w:sz w:val="20"/>
                <w:szCs w:val="20"/>
              </w:rPr>
              <w:lastRenderedPageBreak/>
              <w:t xml:space="preserve">of alternatives to gas heating to </w:t>
            </w:r>
            <w:r w:rsidRPr="005C6191">
              <w:rPr>
                <w:rFonts w:ascii="Palatino Linotype" w:hAnsi="Palatino Linotype"/>
                <w:bCs/>
                <w:color w:val="000000" w:themeColor="text1"/>
                <w:sz w:val="20"/>
                <w:szCs w:val="20"/>
              </w:rPr>
              <w:t>mitigate gas peaks.</w:t>
            </w:r>
            <w:r w:rsidRPr="005C6191">
              <w:rPr>
                <w:rStyle w:val="FootnoteReference"/>
                <w:rFonts w:ascii="Palatino Linotype" w:hAnsi="Palatino Linotype"/>
                <w:bCs/>
                <w:color w:val="000000" w:themeColor="text1"/>
                <w:sz w:val="20"/>
                <w:szCs w:val="20"/>
              </w:rPr>
              <w:footnoteReference w:id="214"/>
            </w:r>
            <w:r w:rsidRPr="005C6191">
              <w:rPr>
                <w:rFonts w:ascii="Palatino Linotype" w:hAnsi="Palatino Linotype"/>
                <w:bCs/>
                <w:color w:val="000000" w:themeColor="text1"/>
                <w:sz w:val="20"/>
                <w:szCs w:val="20"/>
              </w:rPr>
              <w:t xml:space="preserve"> </w:t>
            </w:r>
          </w:p>
          <w:p w:rsidRPr="007472A5" w:rsidR="002F78F4" w:rsidP="00BB366A" w:rsidRDefault="00B86DAF" w14:paraId="3DFC0379" w14:textId="07C4DD7D">
            <w:pPr>
              <w:pStyle w:val="ListParagraph"/>
              <w:ind w:left="360"/>
              <w:rPr>
                <w:rFonts w:ascii="Palatino Linotype" w:hAnsi="Palatino Linotype"/>
                <w:bCs/>
                <w:color w:val="000000" w:themeColor="text1"/>
                <w:sz w:val="20"/>
                <w:szCs w:val="20"/>
              </w:rPr>
            </w:pPr>
            <w:r w:rsidRPr="00B86DAF">
              <w:rPr>
                <w:rFonts w:ascii="Palatino Linotype" w:hAnsi="Palatino Linotype"/>
                <w:b/>
                <w:sz w:val="20"/>
                <w:szCs w:val="20"/>
              </w:rPr>
              <w:t>The</w:t>
            </w:r>
            <w:r w:rsidRPr="00B86DAF">
              <w:rPr>
                <w:rFonts w:ascii="Palatino Linotype" w:hAnsi="Palatino Linotype"/>
                <w:b/>
                <w:color w:val="000000" w:themeColor="text1"/>
                <w:sz w:val="20"/>
                <w:szCs w:val="20"/>
              </w:rPr>
              <w:t xml:space="preserve"> </w:t>
            </w:r>
            <w:r w:rsidRPr="005C6191" w:rsidR="002F78F4">
              <w:rPr>
                <w:rFonts w:ascii="Palatino Linotype" w:hAnsi="Palatino Linotype"/>
                <w:b/>
                <w:color w:val="000000" w:themeColor="text1"/>
                <w:sz w:val="20"/>
                <w:szCs w:val="20"/>
              </w:rPr>
              <w:t xml:space="preserve">CEC is </w:t>
            </w:r>
            <w:r w:rsidRPr="005C6191" w:rsidR="002F78F4">
              <w:rPr>
                <w:rFonts w:ascii="Palatino Linotype" w:hAnsi="Palatino Linotype"/>
                <w:b/>
                <w:i/>
                <w:iCs/>
                <w:color w:val="000000" w:themeColor="text1"/>
                <w:sz w:val="20"/>
                <w:szCs w:val="20"/>
              </w:rPr>
              <w:t>not</w:t>
            </w:r>
            <w:r w:rsidRPr="005C6191" w:rsidR="002F78F4">
              <w:rPr>
                <w:rFonts w:ascii="Palatino Linotype" w:hAnsi="Palatino Linotype"/>
                <w:b/>
                <w:color w:val="000000" w:themeColor="text1"/>
                <w:sz w:val="20"/>
                <w:szCs w:val="20"/>
              </w:rPr>
              <w:t xml:space="preserve"> compliant with this requirement.</w:t>
            </w:r>
          </w:p>
          <w:p w:rsidRPr="005E3240" w:rsidR="002F78F4" w:rsidP="00BB366A" w:rsidRDefault="002F78F4" w14:paraId="081E1486" w14:textId="32AD4B5A">
            <w:pPr>
              <w:rPr>
                <w:rFonts w:ascii="Palatino Linotype" w:hAnsi="Palatino Linotype"/>
                <w:bCs/>
                <w:color w:val="000000" w:themeColor="text1"/>
                <w:sz w:val="20"/>
                <w:szCs w:val="20"/>
              </w:rPr>
            </w:pPr>
            <w:r w:rsidRPr="005E3240">
              <w:rPr>
                <w:rFonts w:ascii="Palatino Linotype" w:hAnsi="Palatino Linotype"/>
                <w:b/>
                <w:color w:val="000000" w:themeColor="text1"/>
                <w:sz w:val="20"/>
                <w:szCs w:val="20"/>
              </w:rPr>
              <w:t xml:space="preserve">    2.</w:t>
            </w:r>
            <w:r w:rsidRPr="005E3240">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Pr="00F94AA7" w:rsidR="00543BE1">
              <w:rPr>
                <w:rFonts w:ascii="Palatino Linotype" w:hAnsi="Palatino Linotype"/>
                <w:bCs/>
                <w:color w:val="000000" w:themeColor="text1"/>
                <w:sz w:val="20"/>
                <w:szCs w:val="20"/>
              </w:rPr>
              <w:t xml:space="preserve"> </w:t>
            </w:r>
            <w:r w:rsidRPr="00F94AA7">
              <w:rPr>
                <w:rFonts w:ascii="Palatino Linotype" w:hAnsi="Palatino Linotype"/>
                <w:bCs/>
                <w:color w:val="000000" w:themeColor="text1"/>
                <w:sz w:val="20"/>
                <w:szCs w:val="20"/>
              </w:rPr>
              <w:t xml:space="preserve">CEC appropriately responded to CPUC staff feedback and provides related information in its Initiative description, however, </w:t>
            </w:r>
            <w:r w:rsidR="00543BE1">
              <w:rPr>
                <w:rFonts w:ascii="Palatino Linotype" w:hAnsi="Palatino Linotype"/>
                <w:bCs/>
                <w:color w:val="000000" w:themeColor="text1"/>
                <w:sz w:val="20"/>
                <w:szCs w:val="20"/>
              </w:rPr>
              <w:t xml:space="preserve">the </w:t>
            </w:r>
            <w:r w:rsidRPr="00F94AA7">
              <w:rPr>
                <w:rFonts w:ascii="Palatino Linotype" w:hAnsi="Palatino Linotype"/>
                <w:bCs/>
                <w:color w:val="000000" w:themeColor="text1"/>
                <w:sz w:val="20"/>
                <w:szCs w:val="20"/>
              </w:rPr>
              <w:t xml:space="preserve">CEC </w:t>
            </w:r>
            <w:r w:rsidR="009446EC">
              <w:rPr>
                <w:rFonts w:ascii="Palatino Linotype" w:hAnsi="Palatino Linotype"/>
                <w:bCs/>
                <w:color w:val="000000" w:themeColor="text1"/>
                <w:sz w:val="20"/>
                <w:szCs w:val="20"/>
              </w:rPr>
              <w:t>must</w:t>
            </w:r>
            <w:r w:rsidRPr="00F94AA7">
              <w:rPr>
                <w:rFonts w:ascii="Palatino Linotype" w:hAnsi="Palatino Linotype"/>
                <w:bCs/>
                <w:color w:val="000000" w:themeColor="text1"/>
                <w:sz w:val="20"/>
                <w:szCs w:val="20"/>
              </w:rPr>
              <w:t xml:space="preserve"> strive to provide greater clarity on the scale and composition of Initiative outputs, such as 3-4 projects.</w:t>
            </w:r>
            <w:r>
              <w:rPr>
                <w:rFonts w:ascii="Palatino Linotype" w:hAnsi="Palatino Linotype"/>
                <w:bCs/>
                <w:color w:val="000000" w:themeColor="text1"/>
                <w:sz w:val="20"/>
                <w:szCs w:val="20"/>
              </w:rPr>
              <w:t xml:space="preserve"> </w:t>
            </w:r>
            <w:r w:rsidRPr="00543BE1" w:rsidR="00543BE1">
              <w:rPr>
                <w:rFonts w:ascii="Palatino Linotype" w:hAnsi="Palatino Linotype"/>
                <w:b/>
                <w:color w:val="000000" w:themeColor="text1"/>
                <w:sz w:val="20"/>
                <w:szCs w:val="20"/>
              </w:rPr>
              <w:t xml:space="preserve">The </w:t>
            </w:r>
            <w:r w:rsidRPr="009767F2">
              <w:rPr>
                <w:rFonts w:ascii="Palatino Linotype" w:hAnsi="Palatino Linotype"/>
                <w:b/>
                <w:color w:val="000000" w:themeColor="text1"/>
                <w:sz w:val="20"/>
                <w:szCs w:val="20"/>
              </w:rPr>
              <w:t>CEC is compliant with this requirement.</w:t>
            </w:r>
          </w:p>
          <w:p w:rsidRPr="00B0165D" w:rsidR="002F78F4" w:rsidP="00BB366A" w:rsidRDefault="002F78F4" w14:paraId="53D96E88" w14:textId="25D71FDE">
            <w:pPr>
              <w:rPr>
                <w:rFonts w:ascii="Palatino Linotype" w:hAnsi="Palatino Linotype"/>
                <w:bCs/>
                <w:color w:val="000000" w:themeColor="text1"/>
                <w:sz w:val="20"/>
                <w:szCs w:val="20"/>
              </w:rPr>
            </w:pPr>
            <w:r w:rsidRPr="001F7493">
              <w:rPr>
                <w:rFonts w:ascii="Palatino Linotype" w:hAnsi="Palatino Linotype"/>
                <w:b/>
                <w:color w:val="000000" w:themeColor="text1"/>
                <w:sz w:val="20"/>
                <w:szCs w:val="20"/>
              </w:rPr>
              <w:t xml:space="preserve">    3</w:t>
            </w:r>
            <w:r w:rsidRPr="001F7493">
              <w:rPr>
                <w:rFonts w:ascii="Palatino Linotype" w:hAnsi="Palatino Linotype"/>
                <w:bCs/>
                <w:color w:val="000000" w:themeColor="text1"/>
                <w:sz w:val="20"/>
                <w:szCs w:val="20"/>
              </w:rPr>
              <w:t xml:space="preserve">. </w:t>
            </w:r>
            <w:r w:rsidR="00543BE1">
              <w:rPr>
                <w:rFonts w:ascii="Palatino Linotype" w:hAnsi="Palatino Linotype"/>
                <w:bCs/>
                <w:sz w:val="20"/>
                <w:szCs w:val="20"/>
              </w:rPr>
              <w:t>The</w:t>
            </w:r>
            <w:r w:rsidRPr="0082425A" w:rsidR="00543BE1">
              <w:rPr>
                <w:rFonts w:ascii="Palatino Linotype" w:hAnsi="Palatino Linotype"/>
                <w:bCs/>
                <w:color w:val="000000" w:themeColor="text1"/>
                <w:sz w:val="20"/>
                <w:szCs w:val="20"/>
              </w:rPr>
              <w:t xml:space="preserve"> </w:t>
            </w:r>
            <w:r w:rsidRPr="0082425A">
              <w:rPr>
                <w:rFonts w:ascii="Palatino Linotype" w:hAnsi="Palatino Linotype"/>
                <w:bCs/>
                <w:color w:val="000000" w:themeColor="text1"/>
                <w:sz w:val="20"/>
                <w:szCs w:val="20"/>
              </w:rPr>
              <w:t xml:space="preserve">CEC is </w:t>
            </w:r>
            <w:r w:rsidR="00172656">
              <w:rPr>
                <w:rFonts w:ascii="Palatino Linotype" w:hAnsi="Palatino Linotype"/>
                <w:bCs/>
                <w:color w:val="000000" w:themeColor="text1"/>
                <w:sz w:val="20"/>
                <w:szCs w:val="20"/>
              </w:rPr>
              <w:t xml:space="preserve">partially </w:t>
            </w:r>
            <w:r w:rsidRPr="0082425A">
              <w:rPr>
                <w:rFonts w:ascii="Palatino Linotype" w:hAnsi="Palatino Linotype"/>
                <w:bCs/>
                <w:color w:val="000000" w:themeColor="text1"/>
                <w:sz w:val="20"/>
                <w:szCs w:val="20"/>
              </w:rPr>
              <w:t>responsive to CPUC staff feedback, however, CEC mus</w:t>
            </w:r>
            <w:r w:rsidR="008B468F">
              <w:rPr>
                <w:rFonts w:ascii="Palatino Linotype" w:hAnsi="Palatino Linotype"/>
                <w:bCs/>
                <w:color w:val="000000" w:themeColor="text1"/>
                <w:sz w:val="20"/>
                <w:szCs w:val="20"/>
              </w:rPr>
              <w:t>t</w:t>
            </w:r>
            <w:r w:rsidRPr="0082425A">
              <w:rPr>
                <w:rFonts w:ascii="Palatino Linotype" w:hAnsi="Palatino Linotype"/>
                <w:bCs/>
                <w:color w:val="000000" w:themeColor="text1"/>
                <w:sz w:val="20"/>
                <w:szCs w:val="20"/>
              </w:rPr>
              <w:t xml:space="preserve"> demonstrate it will not invest in </w:t>
            </w:r>
            <w:r w:rsidR="008B468F">
              <w:rPr>
                <w:rFonts w:ascii="Palatino Linotype" w:hAnsi="Palatino Linotype"/>
                <w:bCs/>
                <w:color w:val="000000" w:themeColor="text1"/>
                <w:sz w:val="20"/>
                <w:szCs w:val="20"/>
              </w:rPr>
              <w:t xml:space="preserve">hydrogen-related </w:t>
            </w:r>
            <w:r w:rsidRPr="0082425A">
              <w:rPr>
                <w:rFonts w:ascii="Palatino Linotype" w:hAnsi="Palatino Linotype"/>
                <w:bCs/>
                <w:color w:val="000000" w:themeColor="text1"/>
                <w:sz w:val="20"/>
                <w:szCs w:val="20"/>
              </w:rPr>
              <w:t>RD&amp;D</w:t>
            </w:r>
            <w:r w:rsidR="008B468F">
              <w:rPr>
                <w:rFonts w:ascii="Palatino Linotype" w:hAnsi="Palatino Linotype"/>
                <w:bCs/>
                <w:color w:val="000000" w:themeColor="text1"/>
                <w:sz w:val="20"/>
                <w:szCs w:val="20"/>
              </w:rPr>
              <w:t>, including that aimed at</w:t>
            </w:r>
            <w:r w:rsidRPr="0082425A">
              <w:rPr>
                <w:rFonts w:ascii="Palatino Linotype" w:hAnsi="Palatino Linotype"/>
                <w:bCs/>
                <w:color w:val="000000" w:themeColor="text1"/>
                <w:sz w:val="20"/>
                <w:szCs w:val="20"/>
              </w:rPr>
              <w:t xml:space="preserve"> "</w:t>
            </w:r>
            <w:r w:rsidR="008B468F">
              <w:rPr>
                <w:rFonts w:ascii="Palatino Linotype" w:hAnsi="Palatino Linotype"/>
                <w:bCs/>
                <w:color w:val="000000" w:themeColor="text1"/>
                <w:sz w:val="20"/>
                <w:szCs w:val="20"/>
              </w:rPr>
              <w:t>[</w:t>
            </w:r>
            <w:r w:rsidRPr="0082425A">
              <w:rPr>
                <w:rFonts w:ascii="Palatino Linotype" w:hAnsi="Palatino Linotype"/>
                <w:bCs/>
                <w:color w:val="000000" w:themeColor="text1"/>
                <w:sz w:val="20"/>
                <w:szCs w:val="20"/>
              </w:rPr>
              <w:t>attempt</w:t>
            </w:r>
            <w:r w:rsidR="008B468F">
              <w:rPr>
                <w:rFonts w:ascii="Palatino Linotype" w:hAnsi="Palatino Linotype"/>
                <w:bCs/>
                <w:color w:val="000000" w:themeColor="text1"/>
                <w:sz w:val="20"/>
                <w:szCs w:val="20"/>
              </w:rPr>
              <w:t>ing]</w:t>
            </w:r>
            <w:r w:rsidRPr="0082425A">
              <w:rPr>
                <w:rFonts w:ascii="Palatino Linotype" w:hAnsi="Palatino Linotype"/>
                <w:bCs/>
                <w:color w:val="000000" w:themeColor="text1"/>
                <w:sz w:val="20"/>
                <w:szCs w:val="20"/>
              </w:rPr>
              <w:t xml:space="preserve"> to build out comprehensive renewable generation and distribution capacity"</w:t>
            </w:r>
            <w:r>
              <w:rPr>
                <w:rStyle w:val="FootnoteReference"/>
                <w:rFonts w:ascii="Palatino Linotype" w:hAnsi="Palatino Linotype"/>
                <w:bCs/>
                <w:color w:val="000000" w:themeColor="text1"/>
                <w:sz w:val="20"/>
                <w:szCs w:val="20"/>
              </w:rPr>
              <w:footnoteReference w:id="215"/>
            </w:r>
            <w:r w:rsidRPr="0082425A">
              <w:rPr>
                <w:rFonts w:ascii="Palatino Linotype" w:hAnsi="Palatino Linotype"/>
                <w:bCs/>
                <w:color w:val="000000" w:themeColor="text1"/>
                <w:sz w:val="20"/>
                <w:szCs w:val="20"/>
              </w:rPr>
              <w:t xml:space="preserve"> as the Commission </w:t>
            </w:r>
            <w:r w:rsidRPr="0082425A">
              <w:rPr>
                <w:rFonts w:ascii="Palatino Linotype" w:hAnsi="Palatino Linotype"/>
                <w:bCs/>
                <w:color w:val="000000" w:themeColor="text1"/>
                <w:sz w:val="20"/>
                <w:szCs w:val="20"/>
              </w:rPr>
              <w:lastRenderedPageBreak/>
              <w:t>has not provided guidance on the appropriate role of gas ratepayers in funding</w:t>
            </w:r>
            <w:r w:rsidR="00B0165D">
              <w:rPr>
                <w:rFonts w:ascii="Palatino Linotype" w:hAnsi="Palatino Linotype"/>
                <w:bCs/>
                <w:color w:val="000000" w:themeColor="text1"/>
                <w:sz w:val="20"/>
                <w:szCs w:val="20"/>
              </w:rPr>
              <w:t xml:space="preserve"> </w:t>
            </w:r>
            <w:r w:rsidRPr="0082425A">
              <w:rPr>
                <w:rFonts w:ascii="Palatino Linotype" w:hAnsi="Palatino Linotype"/>
                <w:bCs/>
                <w:color w:val="000000" w:themeColor="text1"/>
                <w:sz w:val="20"/>
                <w:szCs w:val="20"/>
              </w:rPr>
              <w:t>hydrogen RD&amp;D, particularly as these projects would have further implications for ratepayer funding, including in future Gas RD&amp;D Plans.</w:t>
            </w:r>
            <w:r w:rsidR="00C86191">
              <w:rPr>
                <w:rFonts w:ascii="Palatino Linotype" w:hAnsi="Palatino Linotype"/>
                <w:bCs/>
                <w:color w:val="000000" w:themeColor="text1"/>
                <w:sz w:val="20"/>
                <w:szCs w:val="20"/>
              </w:rPr>
              <w:t xml:space="preserve"> </w:t>
            </w:r>
            <w:r w:rsidR="00C86191">
              <w:rPr>
                <w:rFonts w:ascii="Palatino Linotype" w:hAnsi="Palatino Linotype"/>
                <w:bCs/>
                <w:sz w:val="20"/>
                <w:szCs w:val="20"/>
              </w:rPr>
              <w:t xml:space="preserve">The </w:t>
            </w:r>
            <w:r w:rsidRPr="00F94AA7">
              <w:rPr>
                <w:rFonts w:ascii="Palatino Linotype" w:hAnsi="Palatino Linotype"/>
                <w:bCs/>
                <w:color w:val="000000" w:themeColor="text1"/>
                <w:sz w:val="20"/>
                <w:szCs w:val="20"/>
              </w:rPr>
              <w:t xml:space="preserve">CEC </w:t>
            </w:r>
            <w:r w:rsidR="009446EC">
              <w:rPr>
                <w:rFonts w:ascii="Palatino Linotype" w:hAnsi="Palatino Linotype"/>
                <w:bCs/>
                <w:color w:val="000000" w:themeColor="text1"/>
                <w:sz w:val="20"/>
                <w:szCs w:val="20"/>
              </w:rPr>
              <w:t xml:space="preserve">must </w:t>
            </w:r>
            <w:r>
              <w:rPr>
                <w:rFonts w:ascii="Palatino Linotype" w:hAnsi="Palatino Linotype"/>
                <w:bCs/>
                <w:color w:val="000000" w:themeColor="text1"/>
                <w:sz w:val="20"/>
                <w:szCs w:val="20"/>
              </w:rPr>
              <w:t xml:space="preserve">also </w:t>
            </w:r>
            <w:r w:rsidRPr="00F94AA7">
              <w:rPr>
                <w:rFonts w:ascii="Palatino Linotype" w:hAnsi="Palatino Linotype"/>
                <w:bCs/>
                <w:color w:val="000000" w:themeColor="text1"/>
                <w:sz w:val="20"/>
                <w:szCs w:val="20"/>
              </w:rPr>
              <w:t>strive to provide greater clarity on the scale and composition of Initiative outputs</w:t>
            </w:r>
            <w:r>
              <w:rPr>
                <w:rFonts w:ascii="Palatino Linotype" w:hAnsi="Palatino Linotype"/>
                <w:bCs/>
                <w:color w:val="000000" w:themeColor="text1"/>
                <w:sz w:val="20"/>
                <w:szCs w:val="20"/>
              </w:rPr>
              <w:t xml:space="preserve">. </w:t>
            </w:r>
            <w:r w:rsidRPr="00543BE1" w:rsidR="00543BE1">
              <w:rPr>
                <w:rFonts w:ascii="Palatino Linotype" w:hAnsi="Palatino Linotype"/>
                <w:b/>
                <w:color w:val="000000" w:themeColor="text1"/>
                <w:sz w:val="20"/>
                <w:szCs w:val="20"/>
              </w:rPr>
              <w:t>The</w:t>
            </w:r>
            <w:r w:rsidR="00543BE1">
              <w:rPr>
                <w:rFonts w:ascii="Palatino Linotype" w:hAnsi="Palatino Linotype"/>
                <w:bCs/>
                <w:color w:val="000000" w:themeColor="text1"/>
                <w:sz w:val="20"/>
                <w:szCs w:val="20"/>
              </w:rPr>
              <w:t xml:space="preserve"> </w:t>
            </w:r>
            <w:r w:rsidRPr="009767F2">
              <w:rPr>
                <w:rFonts w:ascii="Palatino Linotype" w:hAnsi="Palatino Linotype"/>
                <w:b/>
                <w:color w:val="000000" w:themeColor="text1"/>
                <w:sz w:val="20"/>
                <w:szCs w:val="20"/>
              </w:rPr>
              <w:t xml:space="preserve">CEC is </w:t>
            </w:r>
            <w:r w:rsidRPr="00D65E88" w:rsidR="00D65E88">
              <w:rPr>
                <w:rFonts w:ascii="Palatino Linotype" w:hAnsi="Palatino Linotype"/>
                <w:b/>
                <w:i/>
                <w:iCs/>
                <w:color w:val="000000" w:themeColor="text1"/>
                <w:sz w:val="20"/>
                <w:szCs w:val="20"/>
              </w:rPr>
              <w:t xml:space="preserve">not </w:t>
            </w:r>
            <w:r w:rsidRPr="009767F2">
              <w:rPr>
                <w:rFonts w:ascii="Palatino Linotype" w:hAnsi="Palatino Linotype"/>
                <w:b/>
                <w:color w:val="000000" w:themeColor="text1"/>
                <w:sz w:val="20"/>
                <w:szCs w:val="20"/>
              </w:rPr>
              <w:t>compliant with this requirement.</w:t>
            </w:r>
          </w:p>
        </w:tc>
      </w:tr>
      <w:tr w:rsidR="002F78F4" w:rsidTr="00C254F7" w14:paraId="30F87ABD" w14:textId="77777777">
        <w:trPr>
          <w:trHeight w:val="638"/>
        </w:trPr>
        <w:tc>
          <w:tcPr>
            <w:tcW w:w="3145" w:type="dxa"/>
          </w:tcPr>
          <w:p w:rsidRPr="00E7529D" w:rsidR="002F78F4" w:rsidP="00BB366A" w:rsidRDefault="002F78F4" w14:paraId="526514BB" w14:textId="77777777">
            <w:pPr>
              <w:rPr>
                <w:rFonts w:ascii="Palatino Linotype" w:hAnsi="Palatino Linotype"/>
                <w:b/>
                <w:sz w:val="20"/>
                <w:szCs w:val="20"/>
              </w:rPr>
            </w:pPr>
            <w:hyperlink w:history="1" r:id="rId94">
              <w:r w:rsidRPr="009459B9">
                <w:rPr>
                  <w:rStyle w:val="Hyperlink"/>
                  <w:rFonts w:ascii="Palatino Linotype" w:hAnsi="Palatino Linotype"/>
                  <w:b/>
                  <w:sz w:val="20"/>
                  <w:szCs w:val="20"/>
                </w:rPr>
                <w:t>Resolution G-3603</w:t>
              </w:r>
            </w:hyperlink>
            <w:r w:rsidRPr="009459B9">
              <w:rPr>
                <w:rFonts w:ascii="Palatino Linotype" w:hAnsi="Palatino Linotype"/>
                <w:b/>
                <w:sz w:val="20"/>
                <w:szCs w:val="20"/>
              </w:rPr>
              <w:t xml:space="preserve"> </w:t>
            </w:r>
            <w:r w:rsidRPr="009459B9">
              <w:rPr>
                <w:rFonts w:ascii="Palatino Linotype" w:hAnsi="Palatino Linotype"/>
                <w:bCs/>
                <w:sz w:val="20"/>
                <w:szCs w:val="20"/>
              </w:rPr>
              <w:t>(2024) at OP 6.</w:t>
            </w:r>
            <w:r w:rsidRPr="00E7529D">
              <w:rPr>
                <w:rFonts w:ascii="Palatino Linotype" w:hAnsi="Palatino Linotype"/>
                <w:bCs/>
                <w:sz w:val="20"/>
                <w:szCs w:val="20"/>
              </w:rPr>
              <w:t xml:space="preserve"> </w:t>
            </w:r>
            <w:r w:rsidRPr="00E7529D">
              <w:rPr>
                <w:rFonts w:ascii="Palatino Linotype" w:hAnsi="Palatino Linotype"/>
                <w:bCs/>
                <w:i/>
                <w:iCs/>
                <w:sz w:val="20"/>
                <w:szCs w:val="20"/>
              </w:rPr>
              <w:t xml:space="preserve">Once the Electric Program Investment Charge (EPIC) program’s Uniform Impact Analysis framework is approved by </w:t>
            </w:r>
            <w:r w:rsidRPr="00E7529D">
              <w:rPr>
                <w:rFonts w:ascii="Palatino Linotype" w:hAnsi="Palatino Linotype"/>
                <w:bCs/>
                <w:i/>
                <w:iCs/>
                <w:sz w:val="20"/>
                <w:szCs w:val="20"/>
              </w:rPr>
              <w:lastRenderedPageBreak/>
              <w:t>the Commission, the California Energy Commission shall use this framework to demonstrate outcomes of achieving its proposed benefits for all current and future research projects including through quantitative methodologies.</w:t>
            </w:r>
          </w:p>
        </w:tc>
        <w:tc>
          <w:tcPr>
            <w:tcW w:w="7920" w:type="dxa"/>
          </w:tcPr>
          <w:p w:rsidRPr="004C4E71" w:rsidR="002F78F4" w:rsidP="00BB366A" w:rsidRDefault="00C86191" w14:paraId="0AD92EB7" w14:textId="7365F863">
            <w:pPr>
              <w:pStyle w:val="10sp0"/>
              <w:spacing w:after="0"/>
              <w:rPr>
                <w:rFonts w:ascii="Palatino Linotype" w:hAnsi="Palatino Linotype"/>
                <w:bCs/>
                <w:color w:val="000000" w:themeColor="text1"/>
                <w:sz w:val="20"/>
              </w:rPr>
            </w:pPr>
            <w:r>
              <w:rPr>
                <w:rFonts w:ascii="Palatino Linotype" w:hAnsi="Palatino Linotype"/>
                <w:bCs/>
                <w:sz w:val="20"/>
              </w:rPr>
              <w:lastRenderedPageBreak/>
              <w:t>The</w:t>
            </w:r>
            <w:r w:rsidRPr="009B240C">
              <w:rPr>
                <w:rFonts w:ascii="Palatino Linotype" w:hAnsi="Palatino Linotype"/>
                <w:bCs/>
                <w:color w:val="000000" w:themeColor="text1"/>
                <w:sz w:val="20"/>
              </w:rPr>
              <w:t xml:space="preserve"> </w:t>
            </w:r>
            <w:r w:rsidRPr="009B240C" w:rsidR="002F78F4">
              <w:rPr>
                <w:rFonts w:ascii="Palatino Linotype" w:hAnsi="Palatino Linotype"/>
                <w:bCs/>
                <w:color w:val="000000" w:themeColor="text1"/>
                <w:sz w:val="20"/>
              </w:rPr>
              <w:t>CEC describes how its “current processes align with these principles in several ways, and impact assessment occurs throughout the Gas R&amp;D Program administration process” in its Foundational Principles for Uniform Impact Analysis section.</w:t>
            </w:r>
            <w:r w:rsidRPr="009B240C" w:rsidR="002F78F4">
              <w:rPr>
                <w:rStyle w:val="FootnoteReference"/>
                <w:rFonts w:ascii="Palatino Linotype" w:hAnsi="Palatino Linotype"/>
                <w:bCs/>
                <w:color w:val="000000" w:themeColor="text1"/>
                <w:sz w:val="20"/>
              </w:rPr>
              <w:footnoteReference w:id="216"/>
            </w:r>
            <w:r w:rsidRPr="009B240C" w:rsidR="002F78F4">
              <w:rPr>
                <w:rFonts w:ascii="Palatino Linotype" w:hAnsi="Palatino Linotype"/>
                <w:bCs/>
                <w:color w:val="000000" w:themeColor="text1"/>
                <w:sz w:val="20"/>
              </w:rPr>
              <w:t xml:space="preserve"> </w:t>
            </w:r>
            <w:r>
              <w:rPr>
                <w:rFonts w:ascii="Palatino Linotype" w:hAnsi="Palatino Linotype"/>
                <w:bCs/>
                <w:sz w:val="20"/>
              </w:rPr>
              <w:t>The</w:t>
            </w:r>
            <w:r w:rsidRPr="009B240C">
              <w:rPr>
                <w:rFonts w:ascii="Palatino Linotype" w:hAnsi="Palatino Linotype"/>
                <w:bCs/>
                <w:color w:val="000000" w:themeColor="text1"/>
                <w:sz w:val="20"/>
              </w:rPr>
              <w:t xml:space="preserve"> </w:t>
            </w:r>
            <w:r w:rsidRPr="009B240C" w:rsidR="002F78F4">
              <w:rPr>
                <w:rFonts w:ascii="Palatino Linotype" w:hAnsi="Palatino Linotype"/>
                <w:bCs/>
                <w:color w:val="000000" w:themeColor="text1"/>
                <w:sz w:val="20"/>
              </w:rPr>
              <w:lastRenderedPageBreak/>
              <w:t xml:space="preserve">CEC </w:t>
            </w:r>
            <w:r w:rsidR="002F78F4">
              <w:rPr>
                <w:rFonts w:ascii="Palatino Linotype" w:hAnsi="Palatino Linotype"/>
                <w:bCs/>
                <w:color w:val="000000" w:themeColor="text1"/>
                <w:sz w:val="20"/>
              </w:rPr>
              <w:t>lists the following</w:t>
            </w:r>
            <w:r w:rsidRPr="009B240C" w:rsidR="002F78F4">
              <w:rPr>
                <w:rFonts w:ascii="Palatino Linotype" w:hAnsi="Palatino Linotype"/>
                <w:bCs/>
                <w:color w:val="000000" w:themeColor="text1"/>
                <w:sz w:val="20"/>
              </w:rPr>
              <w:t xml:space="preserve"> anticipated </w:t>
            </w:r>
            <w:r w:rsidR="002F78F4">
              <w:rPr>
                <w:rFonts w:ascii="Palatino Linotype" w:hAnsi="Palatino Linotype"/>
                <w:bCs/>
                <w:color w:val="000000" w:themeColor="text1"/>
                <w:sz w:val="20"/>
              </w:rPr>
              <w:t>Benefits to Californians</w:t>
            </w:r>
            <w:r w:rsidRPr="009B240C" w:rsidR="002F78F4">
              <w:rPr>
                <w:rFonts w:ascii="Palatino Linotype" w:hAnsi="Palatino Linotype"/>
                <w:bCs/>
                <w:color w:val="000000" w:themeColor="text1"/>
                <w:sz w:val="20"/>
              </w:rPr>
              <w:t xml:space="preserve"> </w:t>
            </w:r>
            <w:r w:rsidR="002F78F4">
              <w:rPr>
                <w:rFonts w:ascii="Palatino Linotype" w:hAnsi="Palatino Linotype"/>
                <w:bCs/>
                <w:color w:val="000000" w:themeColor="text1"/>
                <w:sz w:val="20"/>
              </w:rPr>
              <w:t>and associated metrics under each</w:t>
            </w:r>
            <w:r w:rsidRPr="009B240C" w:rsidR="002F78F4">
              <w:rPr>
                <w:rFonts w:ascii="Palatino Linotype" w:hAnsi="Palatino Linotype"/>
                <w:bCs/>
                <w:color w:val="000000" w:themeColor="text1"/>
                <w:sz w:val="20"/>
              </w:rPr>
              <w:t xml:space="preserve"> Initiative.</w:t>
            </w:r>
            <w:r w:rsidRPr="009B240C" w:rsidR="002F78F4">
              <w:rPr>
                <w:rStyle w:val="FootnoteReference"/>
                <w:rFonts w:ascii="Palatino Linotype" w:hAnsi="Palatino Linotype"/>
                <w:bCs/>
                <w:color w:val="000000" w:themeColor="text1"/>
                <w:sz w:val="20"/>
              </w:rPr>
              <w:footnoteReference w:id="217"/>
            </w:r>
          </w:p>
          <w:p w:rsidR="002F78F4" w:rsidP="00BB366A" w:rsidRDefault="002F78F4" w14:paraId="48E1E1B8" w14:textId="77777777">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1</w:t>
            </w:r>
            <w:r w:rsidRPr="009767F2">
              <w:rPr>
                <w:rFonts w:ascii="Palatino Linotype" w:hAnsi="Palatino Linotype"/>
                <w:bCs/>
                <w:color w:val="000000" w:themeColor="text1"/>
                <w:sz w:val="20"/>
                <w:szCs w:val="20"/>
              </w:rPr>
              <w:t>.</w:t>
            </w:r>
            <w:r w:rsidRPr="00AE3F51">
              <w:rPr>
                <w:rFonts w:ascii="Palatino Linotype" w:hAnsi="Palatino Linotype"/>
                <w:bCs/>
                <w:color w:val="000000" w:themeColor="text1"/>
                <w:sz w:val="20"/>
                <w:szCs w:val="20"/>
              </w:rPr>
              <w:t xml:space="preserve"> Support Equitable, Safe, and Cost-Effective Decarbonization of California’s Gas System</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18"/>
            </w:r>
            <w:r>
              <w:rPr>
                <w:rFonts w:ascii="Palatino Linotype" w:hAnsi="Palatino Linotype"/>
                <w:bCs/>
                <w:color w:val="000000" w:themeColor="text1"/>
                <w:sz w:val="20"/>
                <w:szCs w:val="20"/>
              </w:rPr>
              <w:t xml:space="preserve"> </w:t>
            </w:r>
          </w:p>
          <w:p w:rsidR="002F78F4" w:rsidP="003B475F" w:rsidRDefault="002F78F4" w14:paraId="1C9D3560"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Affordability: Assessed via the "[i]ntegration of improved information into decommissioning planning and into rate-related policies."</w:t>
            </w:r>
          </w:p>
          <w:p w:rsidR="002F78F4" w:rsidP="003B475F" w:rsidRDefault="002F78F4" w14:paraId="56155C12"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 xml:space="preserve">Safety and reliability: Assessed via "[i]mprovements in estimating gas and electric demand patterns, including changes to winter peak and its weather sensitivity due to electrification of gas end uses" and the "[u]se of research results in energy forecasts, which could lead to forecast accuracy improvements that support better reliability." </w:t>
            </w:r>
          </w:p>
          <w:p w:rsidR="002F78F4" w:rsidP="003B475F" w:rsidRDefault="002F78F4" w14:paraId="0C7A0139"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 xml:space="preserve">Adaptation: Assessed via the "[i]dentification of barriers to conversion and improved strategies for increasing the appeal of electrification of gas end uses and for managing energy resilience vulnerabilities throughout the transition." </w:t>
            </w:r>
          </w:p>
          <w:p w:rsidR="002F78F4" w:rsidP="003B475F" w:rsidRDefault="002F78F4" w14:paraId="3F8DA3A6"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Environmental sustainability: Assessed via "[e]stimation of the indoor air quality improvements, criteria air pollutant reductions, and GHG emissions reductions attributable to the application of improved knowledge."</w:t>
            </w:r>
          </w:p>
          <w:p w:rsidRPr="000148CB" w:rsidR="002F78F4" w:rsidP="003B475F" w:rsidRDefault="002F78F4" w14:paraId="37CBFD22" w14:textId="77777777">
            <w:pPr>
              <w:pStyle w:val="ListParagraph"/>
              <w:numPr>
                <w:ilvl w:val="0"/>
                <w:numId w:val="38"/>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Equity: Assessed via "[i]dentification of sub-populations at risk of increased inequities in energy costs or energy reliability in a ‘business-as-usual’ transition away from gas."</w:t>
            </w:r>
          </w:p>
          <w:p w:rsidRPr="00CB5B0F" w:rsidR="002F78F4" w:rsidP="00BB366A" w:rsidRDefault="002F78F4" w14:paraId="27BAD56C" w14:textId="77777777">
            <w:pPr>
              <w:rPr>
                <w:rFonts w:ascii="Palatino Linotype" w:hAnsi="Palatino Linotype"/>
                <w:bCs/>
                <w:color w:val="000000" w:themeColor="text1"/>
                <w:sz w:val="20"/>
                <w:szCs w:val="20"/>
              </w:rPr>
            </w:pPr>
            <w:r w:rsidRPr="00CB5B0F">
              <w:rPr>
                <w:rFonts w:ascii="Palatino Linotype" w:hAnsi="Palatino Linotype"/>
                <w:b/>
                <w:color w:val="000000" w:themeColor="text1"/>
                <w:sz w:val="20"/>
                <w:szCs w:val="20"/>
              </w:rPr>
              <w:t xml:space="preserve">    </w:t>
            </w:r>
            <w:r w:rsidRPr="009767F2">
              <w:rPr>
                <w:rFonts w:ascii="Palatino Linotype" w:hAnsi="Palatino Linotype"/>
                <w:b/>
                <w:color w:val="000000" w:themeColor="text1"/>
                <w:sz w:val="20"/>
                <w:szCs w:val="20"/>
              </w:rPr>
              <w:t>2.</w:t>
            </w:r>
            <w:r w:rsidRPr="009767F2">
              <w:rPr>
                <w:rFonts w:ascii="Palatino Linotype" w:hAnsi="Palatino Linotype"/>
                <w:bCs/>
                <w:color w:val="000000" w:themeColor="text1"/>
                <w:sz w:val="20"/>
                <w:szCs w:val="20"/>
              </w:rPr>
              <w:t xml:space="preserve"> Innovations</w:t>
            </w:r>
            <w:r w:rsidRPr="00CB5B0F">
              <w:rPr>
                <w:rFonts w:ascii="Palatino Linotype" w:hAnsi="Palatino Linotype"/>
                <w:bCs/>
                <w:color w:val="000000" w:themeColor="text1"/>
                <w:sz w:val="20"/>
                <w:szCs w:val="20"/>
              </w:rPr>
              <w:t xml:space="preserve"> for Cost-Effective Operation and Maintenance of Critical Infrastructure During the Gas Transition:</w:t>
            </w:r>
            <w:r w:rsidRPr="00CB5B0F">
              <w:rPr>
                <w:rStyle w:val="FootnoteReference"/>
                <w:rFonts w:ascii="Palatino Linotype" w:hAnsi="Palatino Linotype"/>
                <w:bCs/>
                <w:color w:val="000000" w:themeColor="text1"/>
                <w:sz w:val="20"/>
                <w:szCs w:val="20"/>
              </w:rPr>
              <w:footnoteReference w:id="219"/>
            </w:r>
          </w:p>
          <w:p w:rsidR="002F78F4" w:rsidP="003B475F" w:rsidRDefault="002F78F4" w14:paraId="459A626E" w14:textId="77777777">
            <w:pPr>
              <w:pStyle w:val="ListParagraph"/>
              <w:numPr>
                <w:ilvl w:val="0"/>
                <w:numId w:val="39"/>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Affordability: Assessed via "[o]perational cost savings, such as avoided costs of manual inspections, reduction of associated infrastructure down time, the reduced need for redundancy to maintain reliability during inspections, or the number of alternative inspection technologies developed or demonstrated</w:t>
            </w:r>
            <w:r>
              <w:rPr>
                <w:rFonts w:ascii="Palatino Linotype" w:hAnsi="Palatino Linotype"/>
                <w:bCs/>
                <w:color w:val="000000" w:themeColor="text1"/>
                <w:sz w:val="20"/>
                <w:szCs w:val="20"/>
              </w:rPr>
              <w:t>.</w:t>
            </w:r>
            <w:r w:rsidRPr="000148CB">
              <w:rPr>
                <w:rFonts w:ascii="Palatino Linotype" w:hAnsi="Palatino Linotype"/>
                <w:bCs/>
                <w:color w:val="000000" w:themeColor="text1"/>
                <w:sz w:val="20"/>
                <w:szCs w:val="20"/>
              </w:rPr>
              <w:t>"</w:t>
            </w:r>
          </w:p>
          <w:p w:rsidR="002F78F4" w:rsidP="003B475F" w:rsidRDefault="002F78F4" w14:paraId="4EBEF9C4" w14:textId="77777777">
            <w:pPr>
              <w:pStyle w:val="ListParagraph"/>
              <w:numPr>
                <w:ilvl w:val="0"/>
                <w:numId w:val="39"/>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t>Safety and reliability: Assessed via the "[n]umber of integrity issues or leaks identified with alternative monitoring and inspection methods" and "[r]esponse time to address and/or repair identified threats</w:t>
            </w:r>
            <w:r>
              <w:rPr>
                <w:rFonts w:ascii="Palatino Linotype" w:hAnsi="Palatino Linotype"/>
                <w:bCs/>
                <w:color w:val="000000" w:themeColor="text1"/>
                <w:sz w:val="20"/>
                <w:szCs w:val="20"/>
              </w:rPr>
              <w:t>.</w:t>
            </w:r>
            <w:r w:rsidRPr="000148CB">
              <w:rPr>
                <w:rFonts w:ascii="Palatino Linotype" w:hAnsi="Palatino Linotype"/>
                <w:bCs/>
                <w:color w:val="000000" w:themeColor="text1"/>
                <w:sz w:val="20"/>
                <w:szCs w:val="20"/>
              </w:rPr>
              <w:t>"</w:t>
            </w:r>
          </w:p>
          <w:p w:rsidR="002F78F4" w:rsidP="003B475F" w:rsidRDefault="002F78F4" w14:paraId="0F80ABF3" w14:textId="77777777">
            <w:pPr>
              <w:pStyle w:val="ListParagraph"/>
              <w:numPr>
                <w:ilvl w:val="0"/>
                <w:numId w:val="39"/>
              </w:numPr>
              <w:rPr>
                <w:rFonts w:ascii="Palatino Linotype" w:hAnsi="Palatino Linotype"/>
                <w:bCs/>
                <w:color w:val="000000" w:themeColor="text1"/>
                <w:sz w:val="20"/>
                <w:szCs w:val="20"/>
              </w:rPr>
            </w:pPr>
            <w:r w:rsidRPr="000148CB">
              <w:rPr>
                <w:rFonts w:ascii="Palatino Linotype" w:hAnsi="Palatino Linotype"/>
                <w:bCs/>
                <w:color w:val="000000" w:themeColor="text1"/>
                <w:sz w:val="20"/>
                <w:szCs w:val="20"/>
              </w:rPr>
              <w:lastRenderedPageBreak/>
              <w:t>Adaptation: Assessed via "[a]doption of research results through risk mitigation measures, practices, or policies that are informed by additional monitoring and data-driven insights</w:t>
            </w:r>
            <w:r>
              <w:rPr>
                <w:rFonts w:ascii="Palatino Linotype" w:hAnsi="Palatino Linotype"/>
                <w:bCs/>
                <w:color w:val="000000" w:themeColor="text1"/>
                <w:sz w:val="20"/>
                <w:szCs w:val="20"/>
              </w:rPr>
              <w:t>.</w:t>
            </w:r>
            <w:r w:rsidRPr="000148CB">
              <w:rPr>
                <w:rFonts w:ascii="Palatino Linotype" w:hAnsi="Palatino Linotype"/>
                <w:bCs/>
                <w:color w:val="000000" w:themeColor="text1"/>
                <w:sz w:val="20"/>
                <w:szCs w:val="20"/>
              </w:rPr>
              <w:t>"</w:t>
            </w:r>
          </w:p>
          <w:p w:rsidR="002F78F4" w:rsidP="003B475F" w:rsidRDefault="002F78F4" w14:paraId="5651314A" w14:textId="77777777">
            <w:pPr>
              <w:pStyle w:val="ListParagraph"/>
              <w:numPr>
                <w:ilvl w:val="0"/>
                <w:numId w:val="39"/>
              </w:numPr>
              <w:rPr>
                <w:rFonts w:ascii="Palatino Linotype" w:hAnsi="Palatino Linotype"/>
                <w:bCs/>
                <w:color w:val="000000" w:themeColor="text1"/>
                <w:sz w:val="20"/>
                <w:szCs w:val="20"/>
              </w:rPr>
            </w:pPr>
            <w:r w:rsidRPr="005762EA">
              <w:rPr>
                <w:rFonts w:ascii="Palatino Linotype" w:hAnsi="Palatino Linotype"/>
                <w:bCs/>
                <w:color w:val="000000" w:themeColor="text1"/>
                <w:sz w:val="20"/>
                <w:szCs w:val="20"/>
              </w:rPr>
              <w:t>Environmental sustainability: Assessed via "[a]voided or reduced GHG emissions as a result of 1) early detection of infrastructure anomalies or weaknesses that could result in leaks, or 2) reduced footprint of the gas system resulting from reductions in system redundancies</w:t>
            </w:r>
            <w:r>
              <w:rPr>
                <w:rFonts w:ascii="Palatino Linotype" w:hAnsi="Palatino Linotype"/>
                <w:bCs/>
                <w:color w:val="000000" w:themeColor="text1"/>
                <w:sz w:val="20"/>
                <w:szCs w:val="20"/>
              </w:rPr>
              <w:t>.</w:t>
            </w:r>
            <w:r w:rsidRPr="005762EA">
              <w:rPr>
                <w:rFonts w:ascii="Palatino Linotype" w:hAnsi="Palatino Linotype"/>
                <w:bCs/>
                <w:color w:val="000000" w:themeColor="text1"/>
                <w:sz w:val="20"/>
                <w:szCs w:val="20"/>
              </w:rPr>
              <w:t>"</w:t>
            </w:r>
          </w:p>
          <w:p w:rsidRPr="005762EA" w:rsidR="002F78F4" w:rsidP="003B475F" w:rsidRDefault="002F78F4" w14:paraId="03DCBD93" w14:textId="77777777">
            <w:pPr>
              <w:pStyle w:val="ListParagraph"/>
              <w:numPr>
                <w:ilvl w:val="0"/>
                <w:numId w:val="39"/>
              </w:numPr>
              <w:rPr>
                <w:rFonts w:ascii="Palatino Linotype" w:hAnsi="Palatino Linotype"/>
                <w:bCs/>
                <w:color w:val="000000" w:themeColor="text1"/>
                <w:sz w:val="20"/>
                <w:szCs w:val="20"/>
              </w:rPr>
            </w:pPr>
            <w:r w:rsidRPr="005762EA">
              <w:rPr>
                <w:rFonts w:ascii="Palatino Linotype" w:hAnsi="Palatino Linotype"/>
                <w:bCs/>
                <w:color w:val="000000" w:themeColor="text1"/>
                <w:sz w:val="20"/>
                <w:szCs w:val="20"/>
              </w:rPr>
              <w:t>Equity: Assessed via the "[n]umber of demonstrations that occur within low-income or disadvantaged communities</w:t>
            </w:r>
            <w:r>
              <w:rPr>
                <w:rFonts w:ascii="Palatino Linotype" w:hAnsi="Palatino Linotype"/>
                <w:bCs/>
                <w:color w:val="000000" w:themeColor="text1"/>
                <w:sz w:val="20"/>
                <w:szCs w:val="20"/>
              </w:rPr>
              <w:t>.</w:t>
            </w:r>
            <w:r w:rsidRPr="005762EA">
              <w:rPr>
                <w:rFonts w:ascii="Palatino Linotype" w:hAnsi="Palatino Linotype"/>
                <w:bCs/>
                <w:color w:val="000000" w:themeColor="text1"/>
                <w:sz w:val="20"/>
                <w:szCs w:val="20"/>
              </w:rPr>
              <w:t xml:space="preserve">" </w:t>
            </w:r>
          </w:p>
          <w:p w:rsidR="002F78F4" w:rsidP="00BB366A" w:rsidRDefault="002F78F4" w14:paraId="46617423" w14:textId="77777777">
            <w:pPr>
              <w:pStyle w:val="10sp0"/>
              <w:spacing w:after="0"/>
              <w:rPr>
                <w:rFonts w:ascii="Palatino Linotype" w:hAnsi="Palatino Linotype"/>
                <w:bCs/>
                <w:color w:val="000000" w:themeColor="text1"/>
                <w:sz w:val="20"/>
              </w:rPr>
            </w:pPr>
            <w:r w:rsidRPr="009767F2">
              <w:rPr>
                <w:rFonts w:ascii="Palatino Linotype" w:hAnsi="Palatino Linotype"/>
                <w:b/>
                <w:color w:val="000000" w:themeColor="text1"/>
                <w:sz w:val="20"/>
              </w:rPr>
              <w:t xml:space="preserve">    3</w:t>
            </w:r>
            <w:r w:rsidRPr="009767F2">
              <w:rPr>
                <w:rFonts w:ascii="Palatino Linotype" w:hAnsi="Palatino Linotype"/>
                <w:bCs/>
                <w:color w:val="000000" w:themeColor="text1"/>
                <w:sz w:val="20"/>
              </w:rPr>
              <w:t>. Fuel-Flexible Distributed Power Generation:</w:t>
            </w:r>
            <w:r>
              <w:rPr>
                <w:rStyle w:val="FootnoteReference"/>
                <w:rFonts w:ascii="Palatino Linotype" w:hAnsi="Palatino Linotype"/>
                <w:bCs/>
                <w:color w:val="000000" w:themeColor="text1"/>
                <w:sz w:val="20"/>
              </w:rPr>
              <w:footnoteReference w:id="220"/>
            </w:r>
          </w:p>
          <w:p w:rsidR="002F78F4" w:rsidP="003B475F" w:rsidRDefault="002F78F4" w14:paraId="23B14459" w14:textId="77777777">
            <w:pPr>
              <w:pStyle w:val="10sp0"/>
              <w:numPr>
                <w:ilvl w:val="0"/>
                <w:numId w:val="40"/>
              </w:numPr>
              <w:spacing w:after="0"/>
              <w:rPr>
                <w:rFonts w:ascii="Palatino Linotype" w:hAnsi="Palatino Linotype"/>
                <w:bCs/>
                <w:color w:val="000000" w:themeColor="text1"/>
                <w:sz w:val="20"/>
              </w:rPr>
            </w:pPr>
            <w:r w:rsidRPr="005A7F2A">
              <w:rPr>
                <w:rFonts w:ascii="Palatino Linotype" w:hAnsi="Palatino Linotype"/>
                <w:bCs/>
                <w:color w:val="000000" w:themeColor="text1"/>
                <w:sz w:val="20"/>
              </w:rPr>
              <w:t>Affordability: Assessed via “[c]ost savings measured by comparing all associated costs, such as capital, operations, and maintenance costs, with the baseline cost."</w:t>
            </w:r>
          </w:p>
          <w:p w:rsidR="002F78F4" w:rsidP="003B475F" w:rsidRDefault="002F78F4" w14:paraId="6297D7CE" w14:textId="77777777">
            <w:pPr>
              <w:pStyle w:val="10sp0"/>
              <w:numPr>
                <w:ilvl w:val="0"/>
                <w:numId w:val="40"/>
              </w:numPr>
              <w:spacing w:after="0"/>
              <w:rPr>
                <w:rFonts w:ascii="Palatino Linotype" w:hAnsi="Palatino Linotype"/>
                <w:bCs/>
                <w:color w:val="000000" w:themeColor="text1"/>
                <w:sz w:val="20"/>
              </w:rPr>
            </w:pPr>
            <w:r w:rsidRPr="005762EA">
              <w:rPr>
                <w:rFonts w:ascii="Palatino Linotype" w:hAnsi="Palatino Linotype"/>
                <w:bCs/>
                <w:color w:val="000000" w:themeColor="text1"/>
                <w:sz w:val="20"/>
              </w:rPr>
              <w:t>Reliability and integrity &amp; Adaptation: Assessed via "[s]ystem performance, such as time to ramp up, seamless integration, power quality, generating capacity, availability, and capacity factor."</w:t>
            </w:r>
          </w:p>
          <w:p w:rsidR="002F78F4" w:rsidP="003B475F" w:rsidRDefault="002F78F4" w14:paraId="763EF2FE" w14:textId="77777777">
            <w:pPr>
              <w:pStyle w:val="10sp0"/>
              <w:numPr>
                <w:ilvl w:val="0"/>
                <w:numId w:val="40"/>
              </w:numPr>
              <w:spacing w:after="0"/>
              <w:rPr>
                <w:rFonts w:ascii="Palatino Linotype" w:hAnsi="Palatino Linotype"/>
                <w:bCs/>
                <w:color w:val="000000" w:themeColor="text1"/>
                <w:sz w:val="20"/>
              </w:rPr>
            </w:pPr>
            <w:r w:rsidRPr="005762EA">
              <w:rPr>
                <w:rFonts w:ascii="Palatino Linotype" w:hAnsi="Palatino Linotype"/>
                <w:bCs/>
                <w:color w:val="000000" w:themeColor="text1"/>
                <w:sz w:val="20"/>
              </w:rPr>
              <w:t>Safety: Assessed via the "[n]ature and frequency of critical equipment failures, fuel leakage, and all other emissions, gaseous and otherwise, that are environmental hazards."</w:t>
            </w:r>
          </w:p>
          <w:p w:rsidRPr="005762EA" w:rsidR="002F78F4" w:rsidP="003B475F" w:rsidRDefault="002F78F4" w14:paraId="67FCEF76" w14:textId="77777777">
            <w:pPr>
              <w:pStyle w:val="10sp0"/>
              <w:numPr>
                <w:ilvl w:val="0"/>
                <w:numId w:val="40"/>
              </w:numPr>
              <w:spacing w:after="0"/>
              <w:rPr>
                <w:rFonts w:ascii="Palatino Linotype" w:hAnsi="Palatino Linotype"/>
                <w:bCs/>
                <w:color w:val="000000" w:themeColor="text1"/>
                <w:sz w:val="20"/>
              </w:rPr>
            </w:pPr>
            <w:r w:rsidRPr="005762EA">
              <w:rPr>
                <w:rFonts w:ascii="Palatino Linotype" w:hAnsi="Palatino Linotype"/>
                <w:bCs/>
                <w:color w:val="000000" w:themeColor="text1"/>
                <w:sz w:val="20"/>
              </w:rPr>
              <w:t>Equity and environmental sustainability: Assessed via "[r]eduction in emissions of criteria air pollution (e.g., NOx and particulate matter), GHG emissions, and lifecycle emissions."</w:t>
            </w:r>
          </w:p>
        </w:tc>
        <w:tc>
          <w:tcPr>
            <w:tcW w:w="3240" w:type="dxa"/>
          </w:tcPr>
          <w:p w:rsidRPr="005A7F2A" w:rsidR="002F78F4" w:rsidP="00BB366A" w:rsidRDefault="00C86191" w14:paraId="6D7B5F00" w14:textId="0EB8FE8E">
            <w:pPr>
              <w:contextualSpacing/>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CB5B0F">
              <w:rPr>
                <w:rFonts w:ascii="Palatino Linotype" w:hAnsi="Palatino Linotype"/>
                <w:bCs/>
                <w:color w:val="000000" w:themeColor="text1"/>
                <w:sz w:val="20"/>
                <w:szCs w:val="20"/>
              </w:rPr>
              <w:t xml:space="preserve"> </w:t>
            </w:r>
            <w:r w:rsidRPr="00CB5B0F" w:rsidR="002F78F4">
              <w:rPr>
                <w:rFonts w:ascii="Palatino Linotype" w:hAnsi="Palatino Linotype"/>
                <w:bCs/>
                <w:color w:val="000000" w:themeColor="text1"/>
                <w:sz w:val="20"/>
                <w:szCs w:val="20"/>
              </w:rPr>
              <w:t xml:space="preserve">CEC demonstrates attention to the Uniform Impacts Analysis Foundational Principles by selecting metrics to quantify ratepayer benefit that appear to </w:t>
            </w:r>
            <w:r w:rsidRPr="00CB5B0F" w:rsidR="002F78F4">
              <w:rPr>
                <w:rFonts w:ascii="Palatino Linotype" w:hAnsi="Palatino Linotype"/>
                <w:bCs/>
                <w:color w:val="000000" w:themeColor="text1"/>
                <w:sz w:val="20"/>
                <w:szCs w:val="20"/>
              </w:rPr>
              <w:lastRenderedPageBreak/>
              <w:t xml:space="preserve">be directly attributable to </w:t>
            </w:r>
            <w:r w:rsidR="002F78F4">
              <w:rPr>
                <w:rFonts w:ascii="Palatino Linotype" w:hAnsi="Palatino Linotype"/>
                <w:bCs/>
                <w:color w:val="000000" w:themeColor="text1"/>
                <w:sz w:val="20"/>
                <w:szCs w:val="20"/>
              </w:rPr>
              <w:t xml:space="preserve">each of </w:t>
            </w:r>
            <w:r w:rsidRPr="00CB5B0F" w:rsidR="002F78F4">
              <w:rPr>
                <w:rFonts w:ascii="Palatino Linotype" w:hAnsi="Palatino Linotype"/>
                <w:bCs/>
                <w:color w:val="000000" w:themeColor="text1"/>
                <w:sz w:val="20"/>
                <w:szCs w:val="20"/>
              </w:rPr>
              <w:t>the proposed Initiatives.</w:t>
            </w:r>
            <w:r>
              <w:rPr>
                <w:rFonts w:ascii="Palatino Linotype" w:hAnsi="Palatino Linotype"/>
                <w:bCs/>
                <w:sz w:val="20"/>
                <w:szCs w:val="20"/>
              </w:rPr>
              <w:t xml:space="preserve"> </w:t>
            </w:r>
            <w:r w:rsidRPr="00C86191">
              <w:rPr>
                <w:rFonts w:ascii="Palatino Linotype" w:hAnsi="Palatino Linotype"/>
                <w:b/>
                <w:sz w:val="20"/>
                <w:szCs w:val="20"/>
              </w:rPr>
              <w:t>The</w:t>
            </w:r>
            <w:r w:rsidRPr="00C86191" w:rsidR="002F78F4">
              <w:rPr>
                <w:rFonts w:ascii="Palatino Linotype" w:hAnsi="Palatino Linotype"/>
                <w:b/>
                <w:color w:val="000000" w:themeColor="text1"/>
                <w:sz w:val="20"/>
                <w:szCs w:val="20"/>
              </w:rPr>
              <w:t xml:space="preserve"> </w:t>
            </w:r>
            <w:r w:rsidRPr="002247B8" w:rsidR="002F78F4">
              <w:rPr>
                <w:rFonts w:ascii="Palatino Linotype" w:hAnsi="Palatino Linotype"/>
                <w:b/>
                <w:color w:val="000000" w:themeColor="text1"/>
                <w:sz w:val="20"/>
                <w:szCs w:val="20"/>
              </w:rPr>
              <w:t>CEC is compliant with this requirement.</w:t>
            </w:r>
          </w:p>
        </w:tc>
      </w:tr>
    </w:tbl>
    <w:p w:rsidR="002F78F4" w:rsidP="002F78F4" w:rsidRDefault="002F78F4" w14:paraId="47896253" w14:textId="77777777">
      <w:pPr>
        <w:spacing w:line="240" w:lineRule="auto"/>
        <w:rPr>
          <w:rFonts w:ascii="Palatino Linotype" w:hAnsi="Palatino Linotype"/>
          <w:b/>
          <w:color w:val="000000" w:themeColor="text1"/>
          <w:highlight w:val="yellow"/>
        </w:rPr>
      </w:pPr>
    </w:p>
    <w:p w:rsidR="00404780" w:rsidP="002F78F4" w:rsidRDefault="00404780" w14:paraId="175F8B31" w14:textId="77777777">
      <w:pPr>
        <w:rPr>
          <w:rFonts w:ascii="Palatino Linotype" w:hAnsi="Palatino Linotype"/>
          <w:b/>
          <w:color w:val="000000" w:themeColor="text1"/>
          <w:highlight w:val="yellow"/>
        </w:rPr>
        <w:sectPr w:rsidR="00404780" w:rsidSect="006A4170">
          <w:footerReference w:type="default" r:id="rId95"/>
          <w:pgSz w:w="15840" w:h="12240" w:orient="landscape"/>
          <w:pgMar w:top="720" w:right="720" w:bottom="720" w:left="720" w:header="720" w:footer="720" w:gutter="0"/>
          <w:pgNumType w:start="1"/>
          <w:cols w:space="720"/>
          <w:docGrid w:linePitch="360"/>
        </w:sectPr>
      </w:pPr>
    </w:p>
    <w:p w:rsidR="00694A25" w:rsidP="002F78F4" w:rsidRDefault="00694A25" w14:paraId="1BF121C4" w14:textId="77777777">
      <w:pPr>
        <w:spacing w:line="240" w:lineRule="auto"/>
        <w:rPr>
          <w:rFonts w:ascii="Palatino Linotype" w:hAnsi="Palatino Linotype"/>
          <w:b/>
          <w:color w:val="000000" w:themeColor="text1"/>
        </w:rPr>
      </w:pPr>
    </w:p>
    <w:p w:rsidR="00694A25" w:rsidP="002F78F4" w:rsidRDefault="00694A25" w14:paraId="4E8EA394" w14:textId="77777777">
      <w:pPr>
        <w:spacing w:line="240" w:lineRule="auto"/>
        <w:rPr>
          <w:rFonts w:ascii="Palatino Linotype" w:hAnsi="Palatino Linotype"/>
          <w:b/>
          <w:color w:val="000000" w:themeColor="text1"/>
        </w:rPr>
      </w:pPr>
    </w:p>
    <w:p w:rsidR="00694A25" w:rsidP="002F78F4" w:rsidRDefault="00694A25" w14:paraId="2D433C27" w14:textId="77777777">
      <w:pPr>
        <w:spacing w:line="240" w:lineRule="auto"/>
        <w:rPr>
          <w:rFonts w:ascii="Palatino Linotype" w:hAnsi="Palatino Linotype"/>
          <w:b/>
          <w:color w:val="000000" w:themeColor="text1"/>
        </w:rPr>
      </w:pPr>
    </w:p>
    <w:p w:rsidRPr="00694A25" w:rsidR="00694A25" w:rsidP="00694A25" w:rsidRDefault="00694A25" w14:paraId="25B0A30D" w14:textId="1DDD99E2">
      <w:pPr>
        <w:spacing w:line="240" w:lineRule="auto"/>
        <w:jc w:val="center"/>
        <w:rPr>
          <w:rFonts w:ascii="Palatino Linotype" w:hAnsi="Palatino Linotype"/>
          <w:b/>
          <w:color w:val="000000" w:themeColor="text1"/>
          <w:sz w:val="48"/>
          <w:szCs w:val="48"/>
        </w:rPr>
      </w:pPr>
      <w:r w:rsidRPr="00694A25">
        <w:rPr>
          <w:rFonts w:ascii="Palatino Linotype" w:hAnsi="Palatino Linotype"/>
          <w:b/>
          <w:color w:val="000000" w:themeColor="text1"/>
          <w:sz w:val="48"/>
          <w:szCs w:val="48"/>
        </w:rPr>
        <w:t>APPENDIX H</w:t>
      </w:r>
    </w:p>
    <w:p w:rsidR="00694A25" w:rsidP="002F78F4" w:rsidRDefault="00694A25" w14:paraId="3BA40196" w14:textId="77777777">
      <w:pPr>
        <w:spacing w:line="240" w:lineRule="auto"/>
        <w:rPr>
          <w:rFonts w:ascii="Palatino Linotype" w:hAnsi="Palatino Linotype"/>
          <w:b/>
          <w:color w:val="000000" w:themeColor="text1"/>
        </w:rPr>
      </w:pPr>
    </w:p>
    <w:p w:rsidR="00694A25" w:rsidP="002F78F4" w:rsidRDefault="00694A25" w14:paraId="32A3CD08" w14:textId="77777777">
      <w:pPr>
        <w:spacing w:line="240" w:lineRule="auto"/>
        <w:rPr>
          <w:rFonts w:ascii="Palatino Linotype" w:hAnsi="Palatino Linotype"/>
          <w:b/>
          <w:color w:val="000000" w:themeColor="text1"/>
        </w:rPr>
      </w:pPr>
    </w:p>
    <w:p w:rsidR="00694A25" w:rsidP="002F78F4" w:rsidRDefault="00694A25" w14:paraId="25186F11" w14:textId="77777777">
      <w:pPr>
        <w:spacing w:line="240" w:lineRule="auto"/>
        <w:rPr>
          <w:rFonts w:ascii="Palatino Linotype" w:hAnsi="Palatino Linotype"/>
          <w:b/>
          <w:color w:val="000000" w:themeColor="text1"/>
        </w:rPr>
      </w:pPr>
    </w:p>
    <w:p w:rsidR="00694A25" w:rsidRDefault="00694A25" w14:paraId="304E09C5" w14:textId="3CD99439">
      <w:pPr>
        <w:rPr>
          <w:rFonts w:ascii="Palatino Linotype" w:hAnsi="Palatino Linotype"/>
          <w:b/>
          <w:color w:val="000000" w:themeColor="text1"/>
        </w:rPr>
      </w:pPr>
      <w:r>
        <w:rPr>
          <w:rFonts w:ascii="Palatino Linotype" w:hAnsi="Palatino Linotype"/>
          <w:b/>
          <w:color w:val="000000" w:themeColor="text1"/>
        </w:rPr>
        <w:br w:type="page"/>
      </w:r>
    </w:p>
    <w:p w:rsidRPr="00471E99" w:rsidR="002F78F4" w:rsidP="002F78F4" w:rsidRDefault="002F78F4" w14:paraId="6D41D87B" w14:textId="046BEE5C">
      <w:pPr>
        <w:spacing w:line="240" w:lineRule="auto"/>
        <w:rPr>
          <w:rFonts w:ascii="Palatino Linotype" w:hAnsi="Palatino Linotype"/>
          <w:b/>
          <w:bCs/>
          <w:color w:val="000000" w:themeColor="text1"/>
        </w:rPr>
      </w:pPr>
      <w:r w:rsidRPr="005C6191">
        <w:rPr>
          <w:rFonts w:ascii="Palatino Linotype" w:hAnsi="Palatino Linotype"/>
          <w:b/>
          <w:color w:val="000000" w:themeColor="text1"/>
        </w:rPr>
        <w:lastRenderedPageBreak/>
        <w:t xml:space="preserve">APPENDIX </w:t>
      </w:r>
      <w:r w:rsidR="000E0EBD">
        <w:rPr>
          <w:rFonts w:ascii="Palatino Linotype" w:hAnsi="Palatino Linotype"/>
          <w:b/>
          <w:color w:val="000000" w:themeColor="text1"/>
        </w:rPr>
        <w:t>H</w:t>
      </w:r>
      <w:r w:rsidRPr="005C6191">
        <w:rPr>
          <w:rFonts w:ascii="Palatino Linotype" w:hAnsi="Palatino Linotype"/>
          <w:b/>
          <w:color w:val="000000" w:themeColor="text1"/>
        </w:rPr>
        <w:t>: Compliance Assessment of Advice Letter 10-G-A – 2025 Plan</w:t>
      </w:r>
    </w:p>
    <w:tbl>
      <w:tblPr>
        <w:tblStyle w:val="TableGrid"/>
        <w:tblpPr w:leftFromText="180" w:rightFromText="180" w:vertAnchor="text" w:tblpY="1"/>
        <w:tblOverlap w:val="never"/>
        <w:tblW w:w="0" w:type="auto"/>
        <w:tblLook w:val="04A0" w:firstRow="1" w:lastRow="0" w:firstColumn="1" w:lastColumn="0" w:noHBand="0" w:noVBand="1"/>
      </w:tblPr>
      <w:tblGrid>
        <w:gridCol w:w="3145"/>
        <w:gridCol w:w="7920"/>
        <w:gridCol w:w="3240"/>
      </w:tblGrid>
      <w:tr w:rsidR="002F78F4" w:rsidTr="00295E0C" w14:paraId="42A0E2C3" w14:textId="77777777">
        <w:trPr>
          <w:trHeight w:val="340"/>
          <w:tblHeader/>
        </w:trPr>
        <w:tc>
          <w:tcPr>
            <w:tcW w:w="3145" w:type="dxa"/>
            <w:vAlign w:val="center"/>
          </w:tcPr>
          <w:p w:rsidRPr="00E7529D" w:rsidR="002F78F4" w:rsidP="00295E0C" w:rsidRDefault="002F78F4" w14:paraId="121AE7F0" w14:textId="77777777">
            <w:pPr>
              <w:rPr>
                <w:rFonts w:ascii="Palatino Linotype" w:hAnsi="Palatino Linotype"/>
                <w:b/>
                <w:bCs/>
                <w:sz w:val="20"/>
                <w:szCs w:val="20"/>
              </w:rPr>
            </w:pPr>
            <w:r w:rsidRPr="00E7529D">
              <w:rPr>
                <w:rFonts w:ascii="Palatino Linotype" w:hAnsi="Palatino Linotype"/>
                <w:b/>
                <w:sz w:val="20"/>
                <w:szCs w:val="20"/>
              </w:rPr>
              <w:t>CPUC Requirement</w:t>
            </w:r>
          </w:p>
        </w:tc>
        <w:tc>
          <w:tcPr>
            <w:tcW w:w="7920" w:type="dxa"/>
            <w:vAlign w:val="center"/>
          </w:tcPr>
          <w:p w:rsidRPr="00E7529D" w:rsidR="002F78F4" w:rsidP="00295E0C" w:rsidRDefault="002F78F4" w14:paraId="2D40A267" w14:textId="77777777">
            <w:pPr>
              <w:rPr>
                <w:rFonts w:ascii="Palatino Linotype" w:hAnsi="Palatino Linotype"/>
                <w:b/>
                <w:bCs/>
                <w:sz w:val="20"/>
                <w:szCs w:val="20"/>
              </w:rPr>
            </w:pPr>
            <w:r w:rsidRPr="00E7529D">
              <w:rPr>
                <w:rFonts w:ascii="Palatino Linotype" w:hAnsi="Palatino Linotype"/>
                <w:b/>
                <w:sz w:val="20"/>
                <w:szCs w:val="20"/>
              </w:rPr>
              <w:t>CEC Response in AL 1</w:t>
            </w:r>
            <w:r>
              <w:rPr>
                <w:rFonts w:ascii="Palatino Linotype" w:hAnsi="Palatino Linotype"/>
                <w:b/>
                <w:sz w:val="20"/>
                <w:szCs w:val="20"/>
              </w:rPr>
              <w:t>0</w:t>
            </w:r>
            <w:r w:rsidRPr="00E7529D">
              <w:rPr>
                <w:rFonts w:ascii="Palatino Linotype" w:hAnsi="Palatino Linotype"/>
                <w:b/>
                <w:sz w:val="20"/>
                <w:szCs w:val="20"/>
              </w:rPr>
              <w:t>-G</w:t>
            </w:r>
            <w:r>
              <w:rPr>
                <w:rFonts w:ascii="Palatino Linotype" w:hAnsi="Palatino Linotype"/>
                <w:b/>
                <w:sz w:val="20"/>
                <w:szCs w:val="20"/>
              </w:rPr>
              <w:t>-A</w:t>
            </w:r>
          </w:p>
        </w:tc>
        <w:tc>
          <w:tcPr>
            <w:tcW w:w="3240" w:type="dxa"/>
            <w:vAlign w:val="center"/>
          </w:tcPr>
          <w:p w:rsidRPr="00E7529D" w:rsidR="002F78F4" w:rsidP="00295E0C" w:rsidRDefault="002F78F4" w14:paraId="23A31672" w14:textId="77777777">
            <w:pPr>
              <w:rPr>
                <w:rFonts w:ascii="Palatino Linotype" w:hAnsi="Palatino Linotype"/>
                <w:b/>
                <w:bCs/>
                <w:color w:val="EE0000"/>
                <w:sz w:val="20"/>
                <w:szCs w:val="20"/>
              </w:rPr>
            </w:pPr>
            <w:r w:rsidRPr="00E7529D">
              <w:rPr>
                <w:rFonts w:ascii="Palatino Linotype" w:hAnsi="Palatino Linotype"/>
                <w:b/>
                <w:sz w:val="20"/>
                <w:szCs w:val="20"/>
              </w:rPr>
              <w:t>Compliance Assessment</w:t>
            </w:r>
          </w:p>
        </w:tc>
      </w:tr>
      <w:tr w:rsidR="002F78F4" w:rsidTr="00295E0C" w14:paraId="253A269C" w14:textId="77777777">
        <w:trPr>
          <w:trHeight w:val="655"/>
        </w:trPr>
        <w:tc>
          <w:tcPr>
            <w:tcW w:w="3145" w:type="dxa"/>
          </w:tcPr>
          <w:p w:rsidRPr="00E7529D" w:rsidR="002F78F4" w:rsidP="00295E0C" w:rsidRDefault="002F78F4" w14:paraId="31283A64" w14:textId="77777777">
            <w:pPr>
              <w:rPr>
                <w:rFonts w:ascii="Palatino Linotype" w:hAnsi="Palatino Linotype"/>
                <w:i/>
                <w:iCs/>
                <w:sz w:val="20"/>
                <w:szCs w:val="20"/>
              </w:rPr>
            </w:pPr>
            <w:r w:rsidRPr="00D43D4F">
              <w:rPr>
                <w:rFonts w:ascii="Palatino Linotype" w:hAnsi="Palatino Linotype"/>
                <w:b/>
                <w:bCs/>
                <w:sz w:val="20"/>
                <w:szCs w:val="20"/>
              </w:rPr>
              <w:t>Public Utilities Code 740.1</w:t>
            </w:r>
            <w:r w:rsidRPr="00D43D4F">
              <w:rPr>
                <w:rFonts w:ascii="Palatino Linotype" w:hAnsi="Palatino Linotype"/>
                <w:sz w:val="20"/>
                <w:szCs w:val="20"/>
              </w:rPr>
              <w:t xml:space="preserve"> at </w:t>
            </w:r>
            <w:r w:rsidRPr="00D43D4F">
              <w:rPr>
                <w:rFonts w:ascii="Palatino Linotype" w:hAnsi="Palatino Linotype" w:eastAsia="Palatino Linotype" w:cs="Times New Roman"/>
                <w:bCs/>
                <w:color w:val="000000" w:themeColor="text1"/>
                <w:kern w:val="0"/>
                <w:sz w:val="20"/>
                <w:szCs w:val="20"/>
                <w14:ligatures w14:val="none"/>
              </w:rPr>
              <w:t>(d)</w:t>
            </w:r>
            <w:r w:rsidRPr="00D43D4F">
              <w:rPr>
                <w:rFonts w:ascii="Palatino Linotype" w:hAnsi="Palatino Linotype" w:eastAsia="Palatino Linotype" w:cs="Times New Roman"/>
                <w:bCs/>
                <w:i/>
                <w:iCs/>
                <w:color w:val="000000" w:themeColor="text1"/>
                <w:kern w:val="0"/>
                <w:sz w:val="20"/>
                <w:szCs w:val="20"/>
                <w14:ligatures w14:val="none"/>
              </w:rPr>
              <w:t xml:space="preserve"> Projects</w:t>
            </w:r>
            <w:r w:rsidRPr="00E7529D">
              <w:rPr>
                <w:rFonts w:ascii="Palatino Linotype" w:hAnsi="Palatino Linotype" w:eastAsia="Palatino Linotype" w:cs="Times New Roman"/>
                <w:bCs/>
                <w:i/>
                <w:iCs/>
                <w:color w:val="000000" w:themeColor="text1"/>
                <w:kern w:val="0"/>
                <w:sz w:val="20"/>
                <w:szCs w:val="20"/>
                <w14:ligatures w14:val="none"/>
              </w:rPr>
              <w:t xml:space="preserve"> should not unnecessarily duplicate research currently, previously, or imminently undertaken by other electrical or gas corporations or research organizations.</w:t>
            </w:r>
          </w:p>
        </w:tc>
        <w:tc>
          <w:tcPr>
            <w:tcW w:w="7920" w:type="dxa"/>
          </w:tcPr>
          <w:p w:rsidRPr="001249CD" w:rsidR="002F78F4" w:rsidP="00295E0C" w:rsidRDefault="002F78F4" w14:paraId="6F54E937" w14:textId="77777777">
            <w:pPr>
              <w:rPr>
                <w:rFonts w:ascii="Palatino Linotype" w:hAnsi="Palatino Linotype"/>
                <w:bCs/>
                <w:color w:val="000000" w:themeColor="text1"/>
                <w:sz w:val="20"/>
                <w:szCs w:val="20"/>
              </w:rPr>
            </w:pPr>
            <w:r w:rsidRPr="001249CD">
              <w:rPr>
                <w:rFonts w:ascii="Palatino Linotype" w:hAnsi="Palatino Linotype"/>
                <w:b/>
                <w:color w:val="000000" w:themeColor="text1"/>
                <w:sz w:val="20"/>
                <w:szCs w:val="20"/>
              </w:rPr>
              <w:t xml:space="preserve">    1.</w:t>
            </w:r>
            <w:r w:rsidRPr="001249CD">
              <w:rPr>
                <w:rFonts w:ascii="Palatino Linotype" w:hAnsi="Palatino Linotype"/>
                <w:bCs/>
                <w:color w:val="000000" w:themeColor="text1"/>
                <w:sz w:val="20"/>
                <w:szCs w:val="20"/>
              </w:rPr>
              <w:t xml:space="preserve"> Social Science Research for Gas Decommissioning in the Mid and Long Term: See CEC Response in AL 10-G-A to </w:t>
            </w:r>
            <w:hyperlink w:history="1" r:id="rId96">
              <w:r w:rsidRPr="001249CD">
                <w:rPr>
                  <w:rStyle w:val="Hyperlink"/>
                  <w:rFonts w:ascii="Palatino Linotype" w:hAnsi="Palatino Linotype"/>
                  <w:bCs/>
                  <w:sz w:val="20"/>
                  <w:szCs w:val="20"/>
                </w:rPr>
                <w:t>Resolution G-3603</w:t>
              </w:r>
            </w:hyperlink>
            <w:r w:rsidRPr="001249CD">
              <w:rPr>
                <w:rFonts w:ascii="Palatino Linotype" w:hAnsi="Palatino Linotype"/>
                <w:bCs/>
                <w:color w:val="000000" w:themeColor="text1"/>
                <w:sz w:val="20"/>
                <w:szCs w:val="20"/>
              </w:rPr>
              <w:t xml:space="preserve"> (2024) at OP 4.</w:t>
            </w:r>
          </w:p>
          <w:p w:rsidRPr="001249CD" w:rsidR="002F78F4" w:rsidP="00295E0C" w:rsidRDefault="002F78F4" w14:paraId="2783C97C" w14:textId="77777777">
            <w:pPr>
              <w:rPr>
                <w:rFonts w:ascii="Palatino Linotype" w:hAnsi="Palatino Linotype"/>
                <w:bCs/>
                <w:color w:val="000000" w:themeColor="text1"/>
                <w:sz w:val="20"/>
                <w:szCs w:val="20"/>
              </w:rPr>
            </w:pPr>
            <w:r w:rsidRPr="001249CD">
              <w:rPr>
                <w:rFonts w:ascii="Palatino Linotype" w:hAnsi="Palatino Linotype"/>
                <w:b/>
                <w:color w:val="000000" w:themeColor="text1"/>
                <w:sz w:val="20"/>
                <w:szCs w:val="20"/>
              </w:rPr>
              <w:t xml:space="preserve">    2.</w:t>
            </w:r>
            <w:r w:rsidRPr="001249CD">
              <w:rPr>
                <w:rFonts w:ascii="Palatino Linotype" w:hAnsi="Palatino Linotype"/>
                <w:bCs/>
                <w:color w:val="000000" w:themeColor="text1"/>
                <w:sz w:val="20"/>
                <w:szCs w:val="20"/>
              </w:rPr>
              <w:t xml:space="preserve"> Pilot Projects to Advance Gas Decommissioning: See CEC Response in AL 10-G-A to </w:t>
            </w:r>
            <w:hyperlink w:history="1" r:id="rId97">
              <w:r w:rsidRPr="001249CD">
                <w:rPr>
                  <w:rStyle w:val="Hyperlink"/>
                  <w:rFonts w:ascii="Palatino Linotype" w:hAnsi="Palatino Linotype"/>
                  <w:bCs/>
                  <w:sz w:val="20"/>
                  <w:szCs w:val="20"/>
                </w:rPr>
                <w:t>Resolution G-3603</w:t>
              </w:r>
            </w:hyperlink>
            <w:r w:rsidRPr="001249CD">
              <w:rPr>
                <w:rFonts w:ascii="Palatino Linotype" w:hAnsi="Palatino Linotype"/>
                <w:bCs/>
                <w:color w:val="000000" w:themeColor="text1"/>
                <w:sz w:val="20"/>
                <w:szCs w:val="20"/>
              </w:rPr>
              <w:t xml:space="preserve"> (2024) at OP 4.</w:t>
            </w:r>
          </w:p>
          <w:p w:rsidRPr="001249CD" w:rsidR="002F78F4" w:rsidP="00295E0C" w:rsidRDefault="002F78F4" w14:paraId="05D5601C" w14:textId="77777777">
            <w:pPr>
              <w:rPr>
                <w:rFonts w:ascii="Palatino Linotype" w:hAnsi="Palatino Linotype"/>
                <w:bCs/>
                <w:color w:val="A6A6A6" w:themeColor="background1" w:themeShade="A6"/>
                <w:sz w:val="20"/>
                <w:szCs w:val="20"/>
              </w:rPr>
            </w:pPr>
            <w:r w:rsidRPr="001249CD">
              <w:rPr>
                <w:rFonts w:ascii="Palatino Linotype" w:hAnsi="Palatino Linotype"/>
                <w:b/>
                <w:color w:val="000000" w:themeColor="text1"/>
                <w:sz w:val="20"/>
                <w:szCs w:val="20"/>
              </w:rPr>
              <w:t xml:space="preserve">    3.</w:t>
            </w:r>
            <w:r w:rsidRPr="001249CD">
              <w:rPr>
                <w:rFonts w:ascii="Palatino Linotype" w:hAnsi="Palatino Linotype"/>
                <w:bCs/>
                <w:color w:val="000000" w:themeColor="text1"/>
                <w:sz w:val="20"/>
                <w:szCs w:val="20"/>
              </w:rPr>
              <w:t xml:space="preserve"> Networked Geothermal Heat Pumps: CEC notes that "[p]revious CEC-funded research has assessed the potential for ground-source heat pump systems in California buildings and found promising energy and emissions benefits (</w:t>
            </w:r>
            <w:r w:rsidRPr="001249CD">
              <w:rPr>
                <w:rFonts w:ascii="Palatino Linotype" w:hAnsi="Palatino Linotype"/>
                <w:bCs/>
                <w:i/>
                <w:iCs/>
                <w:color w:val="000000" w:themeColor="text1"/>
                <w:sz w:val="20"/>
                <w:szCs w:val="20"/>
              </w:rPr>
              <w:t>Assessment of California’s Low Temperature Geothermal Resources: Geothermal Heat Pump Efficiencies by Region</w:t>
            </w:r>
            <w:r w:rsidRPr="001249CD">
              <w:rPr>
                <w:rFonts w:ascii="Palatino Linotype" w:hAnsi="Palatino Linotype"/>
                <w:bCs/>
                <w:color w:val="000000" w:themeColor="text1"/>
                <w:sz w:val="20"/>
                <w:szCs w:val="20"/>
              </w:rPr>
              <w:t>). However, the networked GHP concept is a recently developed model that has not yet been studied for the associated potential in the context of California’s climate, geology, population, and policy landscape, nor brought to the pilot phase, and it may yield significant additional benefits."</w:t>
            </w:r>
          </w:p>
        </w:tc>
        <w:tc>
          <w:tcPr>
            <w:tcW w:w="3240" w:type="dxa"/>
          </w:tcPr>
          <w:p w:rsidR="002F78F4" w:rsidP="00295E0C" w:rsidRDefault="002F78F4" w14:paraId="65D4BF47" w14:textId="1C20A00B">
            <w:pPr>
              <w:rPr>
                <w:rFonts w:ascii="Palatino Linotype" w:hAnsi="Palatino Linotype"/>
                <w:b/>
                <w:sz w:val="20"/>
                <w:szCs w:val="20"/>
              </w:rPr>
            </w:pPr>
            <w:r>
              <w:rPr>
                <w:rFonts w:ascii="Palatino Linotype" w:hAnsi="Palatino Linotype"/>
                <w:b/>
                <w:sz w:val="20"/>
                <w:szCs w:val="20"/>
              </w:rPr>
              <w:t xml:space="preserve">    </w:t>
            </w:r>
            <w:r w:rsidRPr="00AE56E7">
              <w:rPr>
                <w:rFonts w:ascii="Palatino Linotype" w:hAnsi="Palatino Linotype"/>
                <w:b/>
                <w:sz w:val="20"/>
                <w:szCs w:val="20"/>
              </w:rPr>
              <w:t>1</w:t>
            </w:r>
            <w:r>
              <w:rPr>
                <w:rFonts w:ascii="Palatino Linotype" w:hAnsi="Palatino Linotype"/>
                <w:bCs/>
                <w:sz w:val="20"/>
                <w:szCs w:val="20"/>
              </w:rPr>
              <w:t xml:space="preserve">. </w:t>
            </w:r>
            <w:r w:rsidR="001120BF">
              <w:rPr>
                <w:rFonts w:ascii="Palatino Linotype" w:hAnsi="Palatino Linotype"/>
                <w:bCs/>
                <w:sz w:val="20"/>
                <w:szCs w:val="20"/>
              </w:rPr>
              <w:t>The</w:t>
            </w:r>
            <w:r w:rsidRPr="00A16B15" w:rsidR="001120BF">
              <w:rPr>
                <w:rFonts w:ascii="Palatino Linotype" w:hAnsi="Palatino Linotype"/>
                <w:bCs/>
                <w:sz w:val="20"/>
                <w:szCs w:val="20"/>
              </w:rPr>
              <w:t xml:space="preserve"> </w:t>
            </w:r>
            <w:r w:rsidRPr="00A16B15">
              <w:rPr>
                <w:rFonts w:ascii="Palatino Linotype" w:hAnsi="Palatino Linotype"/>
                <w:bCs/>
                <w:sz w:val="20"/>
                <w:szCs w:val="20"/>
              </w:rPr>
              <w:t>CEC sufficiently details and contrasts similar RD&amp;D</w:t>
            </w:r>
            <w:r>
              <w:rPr>
                <w:rFonts w:ascii="Palatino Linotype" w:hAnsi="Palatino Linotype"/>
                <w:bCs/>
                <w:sz w:val="20"/>
                <w:szCs w:val="20"/>
              </w:rPr>
              <w:t xml:space="preserve"> </w:t>
            </w:r>
            <w:r w:rsidRPr="00A16B15">
              <w:rPr>
                <w:rFonts w:ascii="Palatino Linotype" w:hAnsi="Palatino Linotype"/>
                <w:bCs/>
                <w:sz w:val="20"/>
                <w:szCs w:val="20"/>
              </w:rPr>
              <w:t xml:space="preserve">activities conducted (previously) by CEC, E3,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A16B15">
              <w:rPr>
                <w:rFonts w:ascii="Palatino Linotype" w:hAnsi="Palatino Linotype"/>
                <w:bCs/>
                <w:sz w:val="20"/>
                <w:szCs w:val="20"/>
              </w:rPr>
              <w:t xml:space="preserve">, and PG&amp;E. See: Compliance Assessment of </w:t>
            </w:r>
            <w:hyperlink w:history="1" r:id="rId98">
              <w:r w:rsidRPr="005B20F9">
                <w:rPr>
                  <w:rStyle w:val="Hyperlink"/>
                  <w:rFonts w:ascii="Palatino Linotype" w:hAnsi="Palatino Linotype"/>
                  <w:bCs/>
                  <w:sz w:val="20"/>
                  <w:szCs w:val="20"/>
                </w:rPr>
                <w:t>Resolution G-3603</w:t>
              </w:r>
            </w:hyperlink>
            <w:r w:rsidRPr="00A16B15">
              <w:rPr>
                <w:rFonts w:ascii="Palatino Linotype" w:hAnsi="Palatino Linotype"/>
                <w:bCs/>
                <w:sz w:val="20"/>
                <w:szCs w:val="20"/>
              </w:rPr>
              <w:t xml:space="preserve"> (2024) at OP 4.</w:t>
            </w:r>
            <w:r>
              <w:rPr>
                <w:rFonts w:ascii="Palatino Linotype" w:hAnsi="Palatino Linotype"/>
                <w:bCs/>
                <w:sz w:val="20"/>
                <w:szCs w:val="20"/>
              </w:rPr>
              <w:t xml:space="preserve"> </w:t>
            </w:r>
            <w:r w:rsidRPr="001120BF" w:rsidR="001120BF">
              <w:rPr>
                <w:rFonts w:ascii="Palatino Linotype" w:hAnsi="Palatino Linotype"/>
                <w:b/>
                <w:sz w:val="20"/>
                <w:szCs w:val="20"/>
              </w:rPr>
              <w:t>The</w:t>
            </w:r>
            <w:r w:rsidRPr="001249CD" w:rsidR="001120BF">
              <w:rPr>
                <w:rFonts w:ascii="Palatino Linotype" w:hAnsi="Palatino Linotype"/>
                <w:b/>
                <w:color w:val="000000" w:themeColor="text1"/>
                <w:sz w:val="20"/>
                <w:szCs w:val="20"/>
              </w:rPr>
              <w:t xml:space="preserve"> </w:t>
            </w:r>
            <w:r w:rsidRPr="001249CD">
              <w:rPr>
                <w:rFonts w:ascii="Palatino Linotype" w:hAnsi="Palatino Linotype"/>
                <w:b/>
                <w:color w:val="000000" w:themeColor="text1"/>
                <w:sz w:val="20"/>
                <w:szCs w:val="20"/>
              </w:rPr>
              <w:t>CEC is compliant with this requirement.</w:t>
            </w:r>
          </w:p>
          <w:p w:rsidR="002F78F4" w:rsidP="00295E0C" w:rsidRDefault="002F78F4" w14:paraId="2DBAEDF8" w14:textId="76255637">
            <w:pPr>
              <w:rPr>
                <w:rFonts w:ascii="Palatino Linotype" w:hAnsi="Palatino Linotype"/>
                <w:bCs/>
                <w:sz w:val="20"/>
                <w:szCs w:val="20"/>
              </w:rPr>
            </w:pPr>
            <w:r>
              <w:rPr>
                <w:rFonts w:ascii="Palatino Linotype" w:hAnsi="Palatino Linotype"/>
                <w:b/>
                <w:sz w:val="20"/>
                <w:szCs w:val="20"/>
              </w:rPr>
              <w:t xml:space="preserve">    2. </w:t>
            </w:r>
            <w:r w:rsidR="001120BF">
              <w:rPr>
                <w:rFonts w:ascii="Palatino Linotype" w:hAnsi="Palatino Linotype"/>
                <w:bCs/>
                <w:sz w:val="20"/>
                <w:szCs w:val="20"/>
              </w:rPr>
              <w:t>The</w:t>
            </w:r>
            <w:r w:rsidRPr="00D10F02" w:rsidR="001120BF">
              <w:rPr>
                <w:rFonts w:ascii="Palatino Linotype" w:hAnsi="Palatino Linotype"/>
                <w:bCs/>
                <w:sz w:val="20"/>
                <w:szCs w:val="20"/>
              </w:rPr>
              <w:t xml:space="preserve"> </w:t>
            </w:r>
            <w:r w:rsidRPr="00D10F02">
              <w:rPr>
                <w:rFonts w:ascii="Palatino Linotype" w:hAnsi="Palatino Linotype"/>
                <w:bCs/>
                <w:sz w:val="20"/>
                <w:szCs w:val="20"/>
              </w:rPr>
              <w:t xml:space="preserve">CEC sufficiently details and contrasts activities associated with SB 1221 and similar RD&amp;D activities conducted by CEC, E3,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D10F02">
              <w:rPr>
                <w:rFonts w:ascii="Palatino Linotype" w:hAnsi="Palatino Linotype"/>
                <w:bCs/>
                <w:sz w:val="20"/>
                <w:szCs w:val="20"/>
              </w:rPr>
              <w:t xml:space="preserve">, and PG&amp;E. See: Compliance Assessment of </w:t>
            </w:r>
            <w:hyperlink w:history="1" r:id="rId99">
              <w:r w:rsidRPr="00D10F02">
                <w:rPr>
                  <w:rStyle w:val="Hyperlink"/>
                  <w:rFonts w:ascii="Palatino Linotype" w:hAnsi="Palatino Linotype"/>
                  <w:bCs/>
                  <w:sz w:val="20"/>
                  <w:szCs w:val="20"/>
                </w:rPr>
                <w:t>Resolution G-3603</w:t>
              </w:r>
            </w:hyperlink>
            <w:r w:rsidRPr="00D10F02">
              <w:rPr>
                <w:rFonts w:ascii="Palatino Linotype" w:hAnsi="Palatino Linotype"/>
                <w:bCs/>
                <w:sz w:val="20"/>
                <w:szCs w:val="20"/>
              </w:rPr>
              <w:t xml:space="preserve"> (2024) at OP 4.</w:t>
            </w:r>
            <w:r>
              <w:rPr>
                <w:rFonts w:ascii="Palatino Linotype" w:hAnsi="Palatino Linotype"/>
                <w:bCs/>
                <w:sz w:val="20"/>
                <w:szCs w:val="20"/>
              </w:rPr>
              <w:t xml:space="preserve"> </w:t>
            </w:r>
            <w:r w:rsidRPr="001120BF" w:rsidR="001120BF">
              <w:rPr>
                <w:rFonts w:ascii="Palatino Linotype" w:hAnsi="Palatino Linotype"/>
                <w:b/>
                <w:sz w:val="20"/>
                <w:szCs w:val="20"/>
              </w:rPr>
              <w:t>The</w:t>
            </w:r>
            <w:r w:rsidRPr="001120BF" w:rsidR="001120BF">
              <w:rPr>
                <w:rFonts w:ascii="Palatino Linotype" w:hAnsi="Palatino Linotype"/>
                <w:b/>
                <w:color w:val="000000" w:themeColor="text1"/>
                <w:sz w:val="20"/>
                <w:szCs w:val="20"/>
              </w:rPr>
              <w:t xml:space="preserve"> </w:t>
            </w:r>
            <w:r w:rsidRPr="001249CD">
              <w:rPr>
                <w:rFonts w:ascii="Palatino Linotype" w:hAnsi="Palatino Linotype"/>
                <w:b/>
                <w:color w:val="000000" w:themeColor="text1"/>
                <w:sz w:val="20"/>
                <w:szCs w:val="20"/>
              </w:rPr>
              <w:t>CEC is compliant with this requirement.</w:t>
            </w:r>
          </w:p>
          <w:p w:rsidRPr="0073208D" w:rsidR="002F78F4" w:rsidP="00295E0C" w:rsidRDefault="002F78F4" w14:paraId="77482180" w14:textId="1B380452">
            <w:pPr>
              <w:rPr>
                <w:rFonts w:ascii="Palatino Linotype" w:hAnsi="Palatino Linotype"/>
                <w:bCs/>
                <w:sz w:val="20"/>
                <w:szCs w:val="20"/>
              </w:rPr>
            </w:pPr>
            <w:r>
              <w:rPr>
                <w:rFonts w:ascii="Palatino Linotype" w:hAnsi="Palatino Linotype"/>
                <w:bCs/>
                <w:sz w:val="20"/>
                <w:szCs w:val="20"/>
              </w:rPr>
              <w:t xml:space="preserve">   </w:t>
            </w:r>
            <w:r w:rsidRPr="00BB4E33">
              <w:rPr>
                <w:rFonts w:ascii="Palatino Linotype" w:hAnsi="Palatino Linotype"/>
                <w:b/>
                <w:sz w:val="20"/>
                <w:szCs w:val="20"/>
              </w:rPr>
              <w:t xml:space="preserve"> 3</w:t>
            </w:r>
            <w:r>
              <w:rPr>
                <w:rFonts w:ascii="Palatino Linotype" w:hAnsi="Palatino Linotype"/>
                <w:bCs/>
                <w:sz w:val="20"/>
                <w:szCs w:val="20"/>
              </w:rPr>
              <w:t xml:space="preserve">. </w:t>
            </w:r>
            <w:r w:rsidRPr="001249CD">
              <w:rPr>
                <w:rFonts w:ascii="Palatino Linotype" w:hAnsi="Palatino Linotype"/>
                <w:bCs/>
                <w:sz w:val="20"/>
                <w:szCs w:val="20"/>
              </w:rPr>
              <w:t>Though</w:t>
            </w:r>
            <w:r w:rsidR="001120BF">
              <w:rPr>
                <w:rFonts w:ascii="Palatino Linotype" w:hAnsi="Palatino Linotype"/>
                <w:bCs/>
                <w:sz w:val="20"/>
                <w:szCs w:val="20"/>
              </w:rPr>
              <w:t xml:space="preserve"> the</w:t>
            </w:r>
            <w:r w:rsidRPr="001249CD">
              <w:rPr>
                <w:rFonts w:ascii="Palatino Linotype" w:hAnsi="Palatino Linotype"/>
                <w:bCs/>
                <w:sz w:val="20"/>
                <w:szCs w:val="20"/>
              </w:rPr>
              <w:t xml:space="preserve"> CEC discusses one previously funded CEC research study, </w:t>
            </w:r>
            <w:r w:rsidR="001120BF">
              <w:rPr>
                <w:rFonts w:ascii="Palatino Linotype" w:hAnsi="Palatino Linotype"/>
                <w:bCs/>
                <w:sz w:val="20"/>
                <w:szCs w:val="20"/>
              </w:rPr>
              <w:t xml:space="preserve">the </w:t>
            </w:r>
            <w:r w:rsidRPr="001249CD">
              <w:rPr>
                <w:rFonts w:ascii="Palatino Linotype" w:hAnsi="Palatino Linotype"/>
                <w:bCs/>
                <w:sz w:val="20"/>
                <w:szCs w:val="20"/>
              </w:rPr>
              <w:t xml:space="preserve">CEC does not discuss and differentiate other geothermal-related CEC RD&amp;D Initiatives proposed and </w:t>
            </w:r>
            <w:r w:rsidRPr="005C6191">
              <w:rPr>
                <w:rFonts w:ascii="Palatino Linotype" w:hAnsi="Palatino Linotype"/>
                <w:bCs/>
                <w:sz w:val="20"/>
                <w:szCs w:val="20"/>
              </w:rPr>
              <w:t xml:space="preserve">underway in this program and EPIC. </w:t>
            </w:r>
            <w:r w:rsidRPr="001120BF" w:rsidR="001120BF">
              <w:rPr>
                <w:rFonts w:ascii="Palatino Linotype" w:hAnsi="Palatino Linotype"/>
                <w:b/>
                <w:sz w:val="20"/>
                <w:szCs w:val="20"/>
              </w:rPr>
              <w:t>The</w:t>
            </w:r>
            <w:r w:rsidR="001120BF">
              <w:rPr>
                <w:rFonts w:ascii="Palatino Linotype" w:hAnsi="Palatino Linotype"/>
                <w:bCs/>
                <w:sz w:val="20"/>
                <w:szCs w:val="20"/>
              </w:rPr>
              <w:t xml:space="preserve"> </w:t>
            </w:r>
            <w:r w:rsidRPr="005C6191">
              <w:rPr>
                <w:rFonts w:ascii="Palatino Linotype" w:hAnsi="Palatino Linotype"/>
                <w:b/>
                <w:sz w:val="20"/>
                <w:szCs w:val="20"/>
              </w:rPr>
              <w:t xml:space="preserve">CEC is </w:t>
            </w:r>
            <w:r w:rsidRPr="005C6191">
              <w:rPr>
                <w:rFonts w:ascii="Palatino Linotype" w:hAnsi="Palatino Linotype"/>
                <w:b/>
                <w:i/>
                <w:iCs/>
                <w:sz w:val="20"/>
                <w:szCs w:val="20"/>
              </w:rPr>
              <w:t xml:space="preserve">not </w:t>
            </w:r>
            <w:r w:rsidRPr="005C6191">
              <w:rPr>
                <w:rFonts w:ascii="Palatino Linotype" w:hAnsi="Palatino Linotype"/>
                <w:b/>
                <w:sz w:val="20"/>
                <w:szCs w:val="20"/>
              </w:rPr>
              <w:t>compliant with this requirement.</w:t>
            </w:r>
          </w:p>
        </w:tc>
      </w:tr>
      <w:tr w:rsidR="002F78F4" w:rsidTr="00295E0C" w14:paraId="6F3C3FC0" w14:textId="77777777">
        <w:trPr>
          <w:trHeight w:val="638"/>
        </w:trPr>
        <w:tc>
          <w:tcPr>
            <w:tcW w:w="3145" w:type="dxa"/>
          </w:tcPr>
          <w:p w:rsidRPr="00E7529D" w:rsidR="002F78F4" w:rsidP="00295E0C" w:rsidRDefault="002F78F4" w14:paraId="42E7F2EF" w14:textId="77777777">
            <w:pPr>
              <w:rPr>
                <w:rFonts w:ascii="Palatino Linotype" w:hAnsi="Palatino Linotype"/>
                <w:i/>
                <w:iCs/>
                <w:sz w:val="20"/>
                <w:szCs w:val="20"/>
              </w:rPr>
            </w:pPr>
            <w:r w:rsidRPr="001249CD">
              <w:rPr>
                <w:rFonts w:ascii="Palatino Linotype" w:hAnsi="Palatino Linotype"/>
                <w:b/>
                <w:bCs/>
                <w:sz w:val="20"/>
                <w:szCs w:val="20"/>
              </w:rPr>
              <w:t>Public Utilities Code 740.1</w:t>
            </w:r>
            <w:r w:rsidRPr="001249CD">
              <w:rPr>
                <w:rFonts w:ascii="Palatino Linotype" w:hAnsi="Palatino Linotype"/>
                <w:sz w:val="20"/>
                <w:szCs w:val="20"/>
              </w:rPr>
              <w:t xml:space="preserve"> at </w:t>
            </w:r>
            <w:r w:rsidRPr="001249CD">
              <w:rPr>
                <w:rFonts w:ascii="Palatino Linotype" w:hAnsi="Palatino Linotype"/>
                <w:bCs/>
                <w:sz w:val="20"/>
                <w:szCs w:val="20"/>
              </w:rPr>
              <w:t>(e)</w:t>
            </w:r>
            <w:r w:rsidRPr="00E7529D">
              <w:rPr>
                <w:rFonts w:ascii="Palatino Linotype" w:hAnsi="Palatino Linotype"/>
                <w:bCs/>
                <w:i/>
                <w:iCs/>
                <w:sz w:val="20"/>
                <w:szCs w:val="20"/>
              </w:rPr>
              <w:t xml:space="preserve"> Each project should also support one or more of the following objectives:</w:t>
            </w:r>
          </w:p>
          <w:p w:rsidRPr="0030116A" w:rsidR="002F78F4" w:rsidP="00295E0C" w:rsidRDefault="002F78F4" w14:paraId="575F8082" w14:textId="77777777">
            <w:pPr>
              <w:pStyle w:val="ListParagraph"/>
              <w:numPr>
                <w:ilvl w:val="0"/>
                <w:numId w:val="29"/>
              </w:numPr>
              <w:rPr>
                <w:rFonts w:ascii="Palatino Linotype" w:hAnsi="Palatino Linotype"/>
                <w:bCs/>
                <w:i/>
                <w:iCs/>
                <w:sz w:val="20"/>
                <w:szCs w:val="20"/>
              </w:rPr>
            </w:pPr>
            <w:r w:rsidRPr="0030116A">
              <w:rPr>
                <w:rFonts w:ascii="Palatino Linotype" w:hAnsi="Palatino Linotype"/>
                <w:bCs/>
                <w:i/>
                <w:iCs/>
                <w:sz w:val="20"/>
                <w:szCs w:val="20"/>
              </w:rPr>
              <w:t>Environmental improvement.</w:t>
            </w:r>
          </w:p>
          <w:p w:rsidRPr="00E7529D" w:rsidR="002F78F4" w:rsidP="00295E0C" w:rsidRDefault="002F78F4" w14:paraId="05D1D239"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lastRenderedPageBreak/>
              <w:t>Public and employee safety.</w:t>
            </w:r>
          </w:p>
          <w:p w:rsidRPr="00E7529D" w:rsidR="002F78F4" w:rsidP="00295E0C" w:rsidRDefault="002F78F4" w14:paraId="5D7A83C3"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t>Conservation by efficient resource use or by reducing or shifting system load.</w:t>
            </w:r>
          </w:p>
          <w:p w:rsidRPr="00E7529D" w:rsidR="002F78F4" w:rsidP="00295E0C" w:rsidRDefault="002F78F4" w14:paraId="401DAC60"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t>Development of new resources and processes, particularly renewable resources and processes which further supply technologies.</w:t>
            </w:r>
          </w:p>
          <w:p w:rsidRPr="00E7529D" w:rsidR="002F78F4" w:rsidP="00295E0C" w:rsidRDefault="002F78F4" w14:paraId="4D6AC53A" w14:textId="77777777">
            <w:pPr>
              <w:pStyle w:val="ListParagraph"/>
              <w:numPr>
                <w:ilvl w:val="0"/>
                <w:numId w:val="29"/>
              </w:numPr>
              <w:rPr>
                <w:rFonts w:ascii="Palatino Linotype" w:hAnsi="Palatino Linotype"/>
                <w:bCs/>
                <w:i/>
                <w:iCs/>
                <w:sz w:val="20"/>
                <w:szCs w:val="20"/>
              </w:rPr>
            </w:pPr>
            <w:r w:rsidRPr="00E7529D">
              <w:rPr>
                <w:rFonts w:ascii="Palatino Linotype" w:hAnsi="Palatino Linotype"/>
                <w:bCs/>
                <w:i/>
                <w:iCs/>
                <w:sz w:val="20"/>
                <w:szCs w:val="20"/>
              </w:rPr>
              <w:t>Improve operating efficiency and reliability or otherwise reduce operating costs.</w:t>
            </w:r>
          </w:p>
        </w:tc>
        <w:tc>
          <w:tcPr>
            <w:tcW w:w="7920" w:type="dxa"/>
          </w:tcPr>
          <w:p w:rsidR="002F78F4" w:rsidP="00295E0C" w:rsidRDefault="0009626A" w14:paraId="141D208F" w14:textId="65C785DA">
            <w:pPr>
              <w:rPr>
                <w:rFonts w:ascii="Palatino Linotype" w:hAnsi="Palatino Linotype"/>
                <w:bCs/>
                <w:sz w:val="20"/>
                <w:szCs w:val="20"/>
              </w:rPr>
            </w:pPr>
            <w:r>
              <w:rPr>
                <w:rFonts w:ascii="Palatino Linotype" w:hAnsi="Palatino Linotype"/>
                <w:bCs/>
                <w:sz w:val="20"/>
                <w:szCs w:val="20"/>
              </w:rPr>
              <w:lastRenderedPageBreak/>
              <w:t>The</w:t>
            </w:r>
            <w:r w:rsidRPr="00535496">
              <w:rPr>
                <w:rFonts w:ascii="Palatino Linotype" w:hAnsi="Palatino Linotype"/>
                <w:bCs/>
                <w:sz w:val="20"/>
                <w:szCs w:val="20"/>
              </w:rPr>
              <w:t xml:space="preserve"> </w:t>
            </w:r>
            <w:r w:rsidRPr="00535496" w:rsidR="002F78F4">
              <w:rPr>
                <w:rFonts w:ascii="Palatino Linotype" w:hAnsi="Palatino Linotype"/>
                <w:bCs/>
                <w:sz w:val="20"/>
                <w:szCs w:val="20"/>
              </w:rPr>
              <w:t>CEC</w:t>
            </w:r>
            <w:r w:rsidR="002F78F4">
              <w:rPr>
                <w:rFonts w:ascii="Palatino Linotype" w:hAnsi="Palatino Linotype"/>
                <w:bCs/>
                <w:sz w:val="20"/>
                <w:szCs w:val="20"/>
              </w:rPr>
              <w:t xml:space="preserve"> proposes budget allocations broken down by Initiatives within Investment Themes as follows: </w:t>
            </w:r>
          </w:p>
          <w:p w:rsidRPr="000B5A20" w:rsidR="002F78F4" w:rsidP="00295E0C" w:rsidRDefault="002F78F4" w14:paraId="3C76C34C" w14:textId="77777777">
            <w:pPr>
              <w:ind w:left="720"/>
              <w:rPr>
                <w:rFonts w:ascii="Palatino Linotype" w:hAnsi="Palatino Linotype"/>
                <w:bCs/>
                <w:sz w:val="20"/>
                <w:szCs w:val="20"/>
              </w:rPr>
            </w:pPr>
            <w:r w:rsidRPr="000B5A20">
              <w:rPr>
                <w:rFonts w:ascii="Palatino Linotype" w:hAnsi="Palatino Linotype"/>
                <w:bCs/>
                <w:sz w:val="20"/>
                <w:szCs w:val="20"/>
              </w:rPr>
              <w:t>Gas Decommissioning:</w:t>
            </w:r>
          </w:p>
          <w:p w:rsidRPr="000B5A20" w:rsidR="002F78F4" w:rsidP="00295E0C" w:rsidRDefault="002F78F4" w14:paraId="332F210A" w14:textId="77777777">
            <w:pPr>
              <w:ind w:left="1440"/>
              <w:rPr>
                <w:rFonts w:ascii="Palatino Linotype" w:hAnsi="Palatino Linotype"/>
                <w:bCs/>
                <w:sz w:val="20"/>
                <w:szCs w:val="20"/>
              </w:rPr>
            </w:pPr>
            <w:r w:rsidRPr="000B5A20">
              <w:rPr>
                <w:rFonts w:ascii="Palatino Linotype" w:hAnsi="Palatino Linotype"/>
                <w:b/>
                <w:color w:val="000000" w:themeColor="text1"/>
                <w:sz w:val="20"/>
                <w:szCs w:val="20"/>
              </w:rPr>
              <w:lastRenderedPageBreak/>
              <w:t>1.</w:t>
            </w:r>
            <w:r>
              <w:rPr>
                <w:rFonts w:ascii="Palatino Linotype" w:hAnsi="Palatino Linotype"/>
                <w:bCs/>
                <w:color w:val="000000" w:themeColor="text1"/>
                <w:sz w:val="20"/>
                <w:szCs w:val="20"/>
              </w:rPr>
              <w:t xml:space="preserve"> </w:t>
            </w:r>
            <w:r w:rsidRPr="000B5A20">
              <w:rPr>
                <w:rFonts w:ascii="Palatino Linotype" w:hAnsi="Palatino Linotype"/>
                <w:bCs/>
                <w:color w:val="000000" w:themeColor="text1"/>
                <w:sz w:val="20"/>
                <w:szCs w:val="20"/>
              </w:rPr>
              <w:t>Social Science Research for Gas Decommissioning in the Mid and Long Term</w:t>
            </w:r>
            <w:r w:rsidRPr="000B5A20">
              <w:rPr>
                <w:rFonts w:ascii="Palatino Linotype" w:hAnsi="Palatino Linotype"/>
                <w:bCs/>
                <w:sz w:val="20"/>
                <w:szCs w:val="20"/>
              </w:rPr>
              <w:t>.</w:t>
            </w:r>
            <w:r>
              <w:rPr>
                <w:rStyle w:val="FootnoteReference"/>
                <w:rFonts w:ascii="Palatino Linotype" w:hAnsi="Palatino Linotype"/>
                <w:bCs/>
                <w:sz w:val="20"/>
                <w:szCs w:val="20"/>
              </w:rPr>
              <w:footnoteReference w:id="221"/>
            </w:r>
          </w:p>
          <w:p w:rsidRPr="000B5A20" w:rsidR="002F78F4" w:rsidP="00295E0C" w:rsidRDefault="002F78F4" w14:paraId="32133BB9" w14:textId="77777777">
            <w:pPr>
              <w:ind w:left="1440"/>
              <w:rPr>
                <w:rFonts w:ascii="Palatino Linotype" w:hAnsi="Palatino Linotype"/>
                <w:bCs/>
                <w:sz w:val="20"/>
                <w:szCs w:val="20"/>
              </w:rPr>
            </w:pPr>
            <w:r w:rsidRPr="000B5A20">
              <w:rPr>
                <w:rFonts w:ascii="Palatino Linotype" w:hAnsi="Palatino Linotype"/>
                <w:b/>
                <w:color w:val="000000" w:themeColor="text1"/>
                <w:sz w:val="20"/>
                <w:szCs w:val="20"/>
              </w:rPr>
              <w:t>2.</w:t>
            </w:r>
            <w:r>
              <w:rPr>
                <w:rFonts w:ascii="Palatino Linotype" w:hAnsi="Palatino Linotype"/>
                <w:bCs/>
                <w:color w:val="000000" w:themeColor="text1"/>
                <w:sz w:val="20"/>
                <w:szCs w:val="20"/>
              </w:rPr>
              <w:t xml:space="preserve"> </w:t>
            </w:r>
            <w:r w:rsidRPr="000B5A20">
              <w:rPr>
                <w:rFonts w:ascii="Palatino Linotype" w:hAnsi="Palatino Linotype"/>
                <w:bCs/>
                <w:color w:val="000000" w:themeColor="text1"/>
                <w:sz w:val="20"/>
                <w:szCs w:val="20"/>
              </w:rPr>
              <w:t>Pilot Projects to Advance Gas Decommissioning</w:t>
            </w:r>
            <w:r w:rsidRPr="000B5A20">
              <w:rPr>
                <w:rFonts w:ascii="Palatino Linotype" w:hAnsi="Palatino Linotype"/>
                <w:bCs/>
                <w:sz w:val="20"/>
                <w:szCs w:val="20"/>
              </w:rPr>
              <w:t>.</w:t>
            </w:r>
            <w:r>
              <w:rPr>
                <w:rStyle w:val="FootnoteReference"/>
                <w:rFonts w:ascii="Palatino Linotype" w:hAnsi="Palatino Linotype"/>
                <w:bCs/>
                <w:sz w:val="20"/>
                <w:szCs w:val="20"/>
              </w:rPr>
              <w:footnoteReference w:id="222"/>
            </w:r>
          </w:p>
          <w:p w:rsidR="002F78F4" w:rsidP="00295E0C" w:rsidRDefault="002F78F4" w14:paraId="26E6FFCD" w14:textId="77777777">
            <w:pPr>
              <w:ind w:left="720"/>
              <w:rPr>
                <w:rFonts w:ascii="Palatino Linotype" w:hAnsi="Palatino Linotype"/>
                <w:bCs/>
                <w:sz w:val="20"/>
                <w:szCs w:val="20"/>
              </w:rPr>
            </w:pPr>
            <w:r w:rsidRPr="000B5A20">
              <w:rPr>
                <w:rFonts w:ascii="Palatino Linotype" w:hAnsi="Palatino Linotype"/>
                <w:bCs/>
                <w:sz w:val="20"/>
                <w:szCs w:val="20"/>
              </w:rPr>
              <w:t xml:space="preserve">Building Decarbonization: </w:t>
            </w:r>
          </w:p>
          <w:p w:rsidRPr="000B5A20" w:rsidR="002F78F4" w:rsidP="00295E0C" w:rsidRDefault="002F78F4" w14:paraId="06F01BEA" w14:textId="77777777">
            <w:pPr>
              <w:ind w:left="1440"/>
              <w:rPr>
                <w:rFonts w:ascii="Palatino Linotype" w:hAnsi="Palatino Linotype"/>
                <w:bCs/>
                <w:sz w:val="20"/>
                <w:szCs w:val="20"/>
              </w:rPr>
            </w:pPr>
            <w:r w:rsidRPr="000B5A20">
              <w:rPr>
                <w:rFonts w:ascii="Palatino Linotype" w:hAnsi="Palatino Linotype"/>
                <w:b/>
                <w:color w:val="000000" w:themeColor="text1"/>
                <w:sz w:val="20"/>
                <w:szCs w:val="20"/>
              </w:rPr>
              <w:t>3.</w:t>
            </w:r>
            <w:r>
              <w:rPr>
                <w:rFonts w:ascii="Palatino Linotype" w:hAnsi="Palatino Linotype"/>
                <w:bCs/>
                <w:color w:val="000000" w:themeColor="text1"/>
                <w:sz w:val="20"/>
                <w:szCs w:val="20"/>
              </w:rPr>
              <w:t xml:space="preserve"> </w:t>
            </w:r>
            <w:r w:rsidRPr="000B5A20">
              <w:rPr>
                <w:rFonts w:ascii="Palatino Linotype" w:hAnsi="Palatino Linotype"/>
                <w:bCs/>
                <w:color w:val="000000" w:themeColor="text1"/>
                <w:sz w:val="20"/>
                <w:szCs w:val="20"/>
              </w:rPr>
              <w:t>Networked Geothermal Heat Pumps</w:t>
            </w:r>
            <w:r w:rsidRPr="000B5A20">
              <w:rPr>
                <w:rFonts w:ascii="Palatino Linotype" w:hAnsi="Palatino Linotype"/>
                <w:bCs/>
                <w:sz w:val="20"/>
                <w:szCs w:val="20"/>
              </w:rPr>
              <w:t>.</w:t>
            </w:r>
            <w:r>
              <w:rPr>
                <w:rStyle w:val="FootnoteReference"/>
                <w:rFonts w:ascii="Palatino Linotype" w:hAnsi="Palatino Linotype"/>
                <w:bCs/>
                <w:sz w:val="20"/>
                <w:szCs w:val="20"/>
              </w:rPr>
              <w:footnoteReference w:id="223"/>
            </w:r>
          </w:p>
        </w:tc>
        <w:tc>
          <w:tcPr>
            <w:tcW w:w="3240" w:type="dxa"/>
          </w:tcPr>
          <w:p w:rsidRPr="00535496" w:rsidR="002F78F4" w:rsidP="00295E0C" w:rsidRDefault="002F78F4" w14:paraId="446B9B93" w14:textId="333E4E9E">
            <w:pPr>
              <w:rPr>
                <w:rFonts w:ascii="Palatino Linotype" w:hAnsi="Palatino Linotype"/>
                <w:bCs/>
                <w:sz w:val="20"/>
                <w:szCs w:val="20"/>
              </w:rPr>
            </w:pPr>
            <w:r w:rsidRPr="00535496">
              <w:rPr>
                <w:rFonts w:ascii="Palatino Linotype" w:hAnsi="Palatino Linotype"/>
                <w:bCs/>
                <w:sz w:val="20"/>
                <w:szCs w:val="20"/>
              </w:rPr>
              <w:lastRenderedPageBreak/>
              <w:t>Each of CEC’s proposed</w:t>
            </w:r>
            <w:r>
              <w:rPr>
                <w:rFonts w:ascii="Palatino Linotype" w:hAnsi="Palatino Linotype"/>
                <w:bCs/>
                <w:sz w:val="20"/>
                <w:szCs w:val="20"/>
              </w:rPr>
              <w:t xml:space="preserve"> </w:t>
            </w:r>
            <w:r w:rsidRPr="00535496">
              <w:rPr>
                <w:rFonts w:ascii="Palatino Linotype" w:hAnsi="Palatino Linotype"/>
                <w:bCs/>
                <w:sz w:val="20"/>
                <w:szCs w:val="20"/>
              </w:rPr>
              <w:t>Initiatives</w:t>
            </w:r>
            <w:r>
              <w:rPr>
                <w:rFonts w:ascii="Palatino Linotype" w:hAnsi="Palatino Linotype"/>
                <w:bCs/>
                <w:sz w:val="20"/>
                <w:szCs w:val="20"/>
              </w:rPr>
              <w:t xml:space="preserve"> </w:t>
            </w:r>
            <w:r w:rsidRPr="00535496">
              <w:rPr>
                <w:rFonts w:ascii="Palatino Linotype" w:hAnsi="Palatino Linotype"/>
                <w:bCs/>
                <w:sz w:val="20"/>
                <w:szCs w:val="20"/>
              </w:rPr>
              <w:t>supports one or more of the required</w:t>
            </w:r>
            <w:r>
              <w:rPr>
                <w:rFonts w:ascii="Palatino Linotype" w:hAnsi="Palatino Linotype"/>
                <w:bCs/>
                <w:sz w:val="20"/>
                <w:szCs w:val="20"/>
              </w:rPr>
              <w:t xml:space="preserve"> </w:t>
            </w:r>
            <w:r w:rsidRPr="00535496">
              <w:rPr>
                <w:rFonts w:ascii="Palatino Linotype" w:hAnsi="Palatino Linotype"/>
                <w:bCs/>
                <w:sz w:val="20"/>
                <w:szCs w:val="20"/>
              </w:rPr>
              <w:t xml:space="preserve">objectives. </w:t>
            </w:r>
            <w:r w:rsidRPr="0009626A" w:rsidR="0009626A">
              <w:rPr>
                <w:rFonts w:ascii="Palatino Linotype" w:hAnsi="Palatino Linotype"/>
                <w:b/>
                <w:sz w:val="20"/>
                <w:szCs w:val="20"/>
              </w:rPr>
              <w:t xml:space="preserve">The </w:t>
            </w:r>
            <w:r w:rsidRPr="0059169E">
              <w:rPr>
                <w:rFonts w:ascii="Palatino Linotype" w:hAnsi="Palatino Linotype"/>
                <w:b/>
                <w:sz w:val="20"/>
                <w:szCs w:val="20"/>
              </w:rPr>
              <w:t>CEC is compliant with this requirement.</w:t>
            </w:r>
          </w:p>
        </w:tc>
      </w:tr>
      <w:tr w:rsidR="002F78F4" w:rsidTr="00295E0C" w14:paraId="68F81288" w14:textId="77777777">
        <w:trPr>
          <w:trHeight w:val="638"/>
        </w:trPr>
        <w:tc>
          <w:tcPr>
            <w:tcW w:w="3145" w:type="dxa"/>
          </w:tcPr>
          <w:p w:rsidRPr="00BE5A24" w:rsidR="002F78F4" w:rsidP="00295E0C" w:rsidRDefault="002F78F4" w14:paraId="7566916C" w14:textId="77777777">
            <w:pPr>
              <w:rPr>
                <w:rFonts w:ascii="Palatino Linotype" w:hAnsi="Palatino Linotype"/>
                <w:bCs/>
                <w:sz w:val="20"/>
                <w:szCs w:val="20"/>
              </w:rPr>
            </w:pPr>
            <w:hyperlink w:history="1" r:id="rId100">
              <w:r w:rsidRPr="001249CD">
                <w:rPr>
                  <w:rStyle w:val="Hyperlink"/>
                  <w:rFonts w:ascii="Palatino Linotype" w:hAnsi="Palatino Linotype"/>
                  <w:b/>
                  <w:sz w:val="20"/>
                  <w:szCs w:val="20"/>
                </w:rPr>
                <w:t>D.04-08-010</w:t>
              </w:r>
            </w:hyperlink>
            <w:r w:rsidRPr="001249CD">
              <w:rPr>
                <w:rFonts w:ascii="Palatino Linotype" w:hAnsi="Palatino Linotype"/>
                <w:bCs/>
                <w:sz w:val="20"/>
                <w:szCs w:val="20"/>
              </w:rPr>
              <w:t xml:space="preserve"> at p. 28.</w:t>
            </w:r>
            <w:r w:rsidRPr="00E7529D">
              <w:rPr>
                <w:rFonts w:ascii="Palatino Linotype" w:hAnsi="Palatino Linotype"/>
                <w:bCs/>
                <w:sz w:val="20"/>
                <w:szCs w:val="20"/>
              </w:rPr>
              <w:t xml:space="preserve"> </w:t>
            </w:r>
            <w:r w:rsidRPr="00BE5A24">
              <w:rPr>
                <w:rFonts w:ascii="Palatino Linotype" w:hAnsi="Palatino Linotype"/>
                <w:bCs/>
                <w:i/>
                <w:iCs/>
                <w:sz w:val="20"/>
                <w:szCs w:val="20"/>
              </w:rPr>
              <w:t>Support State Energy policy.</w:t>
            </w:r>
          </w:p>
        </w:tc>
        <w:tc>
          <w:tcPr>
            <w:tcW w:w="7920" w:type="dxa"/>
          </w:tcPr>
          <w:p w:rsidRPr="00105EF3" w:rsidR="002F78F4" w:rsidP="00295E0C" w:rsidRDefault="0009626A" w14:paraId="7AE5D2FE" w14:textId="6908847F">
            <w:pPr>
              <w:rPr>
                <w:rFonts w:ascii="Palatino Linotype" w:hAnsi="Palatino Linotype"/>
                <w:bCs/>
                <w:color w:val="000000" w:themeColor="text1"/>
                <w:sz w:val="20"/>
                <w:szCs w:val="20"/>
              </w:rPr>
            </w:pPr>
            <w:r>
              <w:rPr>
                <w:rFonts w:ascii="Palatino Linotype" w:hAnsi="Palatino Linotype"/>
                <w:bCs/>
                <w:sz w:val="20"/>
                <w:szCs w:val="20"/>
              </w:rPr>
              <w:t>The</w:t>
            </w:r>
            <w:r w:rsidRPr="00105EF3">
              <w:rPr>
                <w:rFonts w:ascii="Palatino Linotype" w:hAnsi="Palatino Linotype"/>
                <w:bCs/>
                <w:color w:val="000000" w:themeColor="text1"/>
                <w:sz w:val="20"/>
                <w:szCs w:val="20"/>
              </w:rPr>
              <w:t xml:space="preserve"> </w:t>
            </w:r>
            <w:r>
              <w:rPr>
                <w:rFonts w:ascii="Palatino Linotype" w:hAnsi="Palatino Linotype"/>
                <w:bCs/>
                <w:color w:val="000000" w:themeColor="text1"/>
                <w:sz w:val="20"/>
                <w:szCs w:val="20"/>
              </w:rPr>
              <w:t xml:space="preserve">CEC </w:t>
            </w:r>
            <w:r w:rsidRPr="00105EF3" w:rsidR="002F78F4">
              <w:rPr>
                <w:rFonts w:ascii="Palatino Linotype" w:hAnsi="Palatino Linotype"/>
                <w:bCs/>
                <w:color w:val="000000" w:themeColor="text1"/>
                <w:sz w:val="20"/>
                <w:szCs w:val="20"/>
              </w:rPr>
              <w:t>states that “the Gas R&amp;D Program supports state energy policies and goals, such as achieving economywide carbon neutrality by 2045 (Executive Order B-55-18 and AB 1279, Muratsuchi, Chapter 337, Statutes of 2022) and doubling energy efficiency by 2030 (SB 350, De León, Chapter 547, Statutes of 2015)” among “several other ley energy and climate policies and goals.”</w:t>
            </w:r>
            <w:r w:rsidRPr="00105EF3" w:rsidR="002F78F4">
              <w:rPr>
                <w:rStyle w:val="FootnoteReference"/>
                <w:rFonts w:ascii="Palatino Linotype" w:hAnsi="Palatino Linotype"/>
                <w:bCs/>
                <w:color w:val="000000" w:themeColor="text1"/>
                <w:sz w:val="20"/>
                <w:szCs w:val="20"/>
              </w:rPr>
              <w:footnoteReference w:id="224"/>
            </w:r>
            <w:r w:rsidRPr="00105EF3" w:rsidR="002F78F4">
              <w:rPr>
                <w:rFonts w:ascii="Palatino Linotype" w:hAnsi="Palatino Linotype"/>
                <w:bCs/>
                <w:color w:val="000000" w:themeColor="text1"/>
                <w:sz w:val="20"/>
                <w:szCs w:val="20"/>
              </w:rPr>
              <w:t xml:space="preserve"> </w:t>
            </w:r>
            <w:r>
              <w:rPr>
                <w:rFonts w:ascii="Palatino Linotype" w:hAnsi="Palatino Linotype"/>
                <w:bCs/>
                <w:sz w:val="20"/>
                <w:szCs w:val="20"/>
              </w:rPr>
              <w:t>The</w:t>
            </w:r>
            <w:r w:rsidRPr="00105EF3">
              <w:rPr>
                <w:rFonts w:ascii="Palatino Linotype" w:hAnsi="Palatino Linotype"/>
                <w:bCs/>
                <w:color w:val="000000" w:themeColor="text1"/>
                <w:sz w:val="20"/>
                <w:szCs w:val="20"/>
              </w:rPr>
              <w:t xml:space="preserve"> </w:t>
            </w:r>
            <w:r w:rsidRPr="00105EF3" w:rsidR="002F78F4">
              <w:rPr>
                <w:rFonts w:ascii="Palatino Linotype" w:hAnsi="Palatino Linotype"/>
                <w:bCs/>
                <w:color w:val="000000" w:themeColor="text1"/>
                <w:sz w:val="20"/>
                <w:szCs w:val="20"/>
              </w:rPr>
              <w:t xml:space="preserve">CEC provides additional information on policies relevant to each Initiative in Appendix A. </w:t>
            </w:r>
          </w:p>
        </w:tc>
        <w:tc>
          <w:tcPr>
            <w:tcW w:w="3240" w:type="dxa"/>
          </w:tcPr>
          <w:p w:rsidRPr="00105EF3" w:rsidR="002F78F4" w:rsidP="00295E0C" w:rsidRDefault="0009626A" w14:paraId="5DDC56BA" w14:textId="5B077603">
            <w:pPr>
              <w:rPr>
                <w:rFonts w:ascii="Palatino Linotype" w:hAnsi="Palatino Linotype"/>
                <w:bCs/>
                <w:color w:val="000000" w:themeColor="text1"/>
                <w:sz w:val="20"/>
                <w:szCs w:val="20"/>
              </w:rPr>
            </w:pPr>
            <w:r>
              <w:rPr>
                <w:rFonts w:ascii="Palatino Linotype" w:hAnsi="Palatino Linotype"/>
                <w:bCs/>
                <w:sz w:val="20"/>
                <w:szCs w:val="20"/>
              </w:rPr>
              <w:t>The</w:t>
            </w:r>
            <w:r w:rsidRPr="00105EF3">
              <w:rPr>
                <w:rFonts w:ascii="Palatino Linotype" w:hAnsi="Palatino Linotype"/>
                <w:bCs/>
                <w:color w:val="000000" w:themeColor="text1"/>
                <w:sz w:val="20"/>
                <w:szCs w:val="20"/>
              </w:rPr>
              <w:t xml:space="preserve"> </w:t>
            </w:r>
            <w:r w:rsidRPr="00105EF3" w:rsidR="002F78F4">
              <w:rPr>
                <w:rFonts w:ascii="Palatino Linotype" w:hAnsi="Palatino Linotype"/>
                <w:bCs/>
                <w:color w:val="000000" w:themeColor="text1"/>
                <w:sz w:val="20"/>
                <w:szCs w:val="20"/>
              </w:rPr>
              <w:t xml:space="preserve">CEC discusses several State Energy policies which its program supports. </w:t>
            </w:r>
            <w:r w:rsidRPr="0009626A">
              <w:rPr>
                <w:rFonts w:ascii="Palatino Linotype" w:hAnsi="Palatino Linotype"/>
                <w:b/>
                <w:sz w:val="20"/>
                <w:szCs w:val="20"/>
              </w:rPr>
              <w:t>The</w:t>
            </w:r>
            <w:r w:rsidRPr="0009626A">
              <w:rPr>
                <w:rFonts w:ascii="Palatino Linotype" w:hAnsi="Palatino Linotype"/>
                <w:b/>
                <w:color w:val="000000" w:themeColor="text1"/>
                <w:sz w:val="20"/>
                <w:szCs w:val="20"/>
              </w:rPr>
              <w:t xml:space="preserve"> </w:t>
            </w:r>
            <w:r w:rsidRPr="00105EF3" w:rsidR="002F78F4">
              <w:rPr>
                <w:rFonts w:ascii="Palatino Linotype" w:hAnsi="Palatino Linotype"/>
                <w:b/>
                <w:color w:val="000000" w:themeColor="text1"/>
                <w:sz w:val="20"/>
                <w:szCs w:val="20"/>
              </w:rPr>
              <w:t>CEC is compliant with this requirement.</w:t>
            </w:r>
          </w:p>
        </w:tc>
      </w:tr>
      <w:tr w:rsidR="002F78F4" w:rsidTr="00295E0C" w14:paraId="254B662F" w14:textId="77777777">
        <w:trPr>
          <w:trHeight w:val="638"/>
        </w:trPr>
        <w:tc>
          <w:tcPr>
            <w:tcW w:w="3145" w:type="dxa"/>
          </w:tcPr>
          <w:p w:rsidR="002F78F4" w:rsidP="00295E0C" w:rsidRDefault="002F78F4" w14:paraId="0FEBDA01" w14:textId="77777777">
            <w:hyperlink w:history="1" r:id="rId101">
              <w:r w:rsidRPr="001249CD">
                <w:rPr>
                  <w:rStyle w:val="Hyperlink"/>
                  <w:rFonts w:ascii="Palatino Linotype" w:hAnsi="Palatino Linotype"/>
                  <w:b/>
                  <w:sz w:val="20"/>
                  <w:szCs w:val="20"/>
                </w:rPr>
                <w:t>D.04-08-010</w:t>
              </w:r>
            </w:hyperlink>
            <w:r>
              <w:t>.</w:t>
            </w:r>
          </w:p>
          <w:p w:rsidR="002F78F4" w:rsidP="00295E0C" w:rsidRDefault="002F78F4" w14:paraId="66170FBC" w14:textId="77777777">
            <w:pPr>
              <w:rPr>
                <w:rFonts w:ascii="Palatino Linotype" w:hAnsi="Palatino Linotype"/>
                <w:i/>
                <w:iCs/>
                <w:sz w:val="20"/>
                <w:szCs w:val="20"/>
              </w:rPr>
            </w:pPr>
            <w:r w:rsidRPr="00BD0614">
              <w:rPr>
                <w:rFonts w:ascii="Palatino Linotype" w:hAnsi="Palatino Linotype"/>
                <w:i/>
                <w:iCs/>
                <w:sz w:val="20"/>
                <w:szCs w:val="20"/>
              </w:rPr>
              <w:t xml:space="preserve">[The Gas RD&amp;D program shall have] a maximum cap of $24 million after four years; these </w:t>
            </w:r>
            <w:r w:rsidRPr="00BD0614">
              <w:rPr>
                <w:rFonts w:ascii="Palatino Linotype" w:hAnsi="Palatino Linotype"/>
                <w:i/>
                <w:iCs/>
                <w:sz w:val="20"/>
                <w:szCs w:val="20"/>
              </w:rPr>
              <w:lastRenderedPageBreak/>
              <w:t>amounts shall include all necessary R&amp;D administrative costs</w:t>
            </w:r>
            <w:r>
              <w:rPr>
                <w:rFonts w:ascii="Palatino Linotype" w:hAnsi="Palatino Linotype"/>
                <w:i/>
                <w:iCs/>
                <w:sz w:val="20"/>
                <w:szCs w:val="20"/>
              </w:rPr>
              <w:t xml:space="preserve"> </w:t>
            </w:r>
            <w:r w:rsidRPr="008B0B75">
              <w:rPr>
                <w:rFonts w:ascii="Palatino Linotype" w:hAnsi="Palatino Linotype"/>
                <w:sz w:val="20"/>
                <w:szCs w:val="20"/>
              </w:rPr>
              <w:t>(p. 38).</w:t>
            </w:r>
          </w:p>
          <w:p w:rsidRPr="00D27665" w:rsidR="002F78F4" w:rsidP="00295E0C" w:rsidRDefault="002F78F4" w14:paraId="706115FF" w14:textId="6D7EFF22">
            <w:pPr>
              <w:spacing w:before="240"/>
              <w:rPr>
                <w:rFonts w:ascii="Palatino Linotype" w:hAnsi="Palatino Linotype"/>
                <w:i/>
                <w:color w:val="000000" w:themeColor="text1"/>
                <w:sz w:val="20"/>
                <w:szCs w:val="20"/>
              </w:rPr>
            </w:pPr>
            <w:r w:rsidRPr="00072867">
              <w:rPr>
                <w:rFonts w:ascii="Palatino Linotype" w:hAnsi="Palatino Linotype"/>
                <w:bCs/>
                <w:i/>
                <w:iCs/>
                <w:color w:val="000000" w:themeColor="text1"/>
                <w:sz w:val="20"/>
                <w:szCs w:val="20"/>
              </w:rPr>
              <w:t xml:space="preserve">Disbursements from the Fund to the R&amp;D administrator shall not exceed the zero-based R&amp;D budget [adopted via </w:t>
            </w:r>
            <w:r w:rsidR="00BF2A11">
              <w:rPr>
                <w:rFonts w:ascii="Palatino Linotype" w:hAnsi="Palatino Linotype"/>
                <w:bCs/>
                <w:i/>
                <w:iCs/>
                <w:color w:val="000000" w:themeColor="text1"/>
                <w:sz w:val="20"/>
                <w:szCs w:val="20"/>
              </w:rPr>
              <w:t>r</w:t>
            </w:r>
            <w:r w:rsidRPr="00072867">
              <w:rPr>
                <w:rFonts w:ascii="Palatino Linotype" w:hAnsi="Palatino Linotype"/>
                <w:bCs/>
                <w:i/>
                <w:iCs/>
                <w:color w:val="000000" w:themeColor="text1"/>
                <w:sz w:val="20"/>
                <w:szCs w:val="20"/>
              </w:rPr>
              <w:t xml:space="preserve">esolution] </w:t>
            </w:r>
            <w:r w:rsidRPr="00072867">
              <w:rPr>
                <w:rFonts w:ascii="Palatino Linotype" w:hAnsi="Palatino Linotype"/>
                <w:bCs/>
                <w:color w:val="000000" w:themeColor="text1"/>
                <w:sz w:val="20"/>
                <w:szCs w:val="20"/>
              </w:rPr>
              <w:t>(p. 41-42).</w:t>
            </w:r>
          </w:p>
        </w:tc>
        <w:tc>
          <w:tcPr>
            <w:tcW w:w="7920" w:type="dxa"/>
          </w:tcPr>
          <w:p w:rsidRPr="007773CD" w:rsidR="002F78F4" w:rsidP="00295E0C" w:rsidRDefault="0009626A" w14:paraId="5795B958" w14:textId="706191B2">
            <w:pPr>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7773CD">
              <w:rPr>
                <w:rFonts w:ascii="Palatino Linotype" w:hAnsi="Palatino Linotype"/>
                <w:bCs/>
                <w:color w:val="000000" w:themeColor="text1"/>
                <w:sz w:val="20"/>
                <w:szCs w:val="20"/>
              </w:rPr>
              <w:t xml:space="preserve"> </w:t>
            </w:r>
            <w:r w:rsidRPr="007773CD" w:rsidR="002F78F4">
              <w:rPr>
                <w:rFonts w:ascii="Palatino Linotype" w:hAnsi="Palatino Linotype"/>
                <w:bCs/>
                <w:color w:val="000000" w:themeColor="text1"/>
                <w:sz w:val="20"/>
                <w:szCs w:val="20"/>
              </w:rPr>
              <w:t>CEC proposes a total FY2025-2026 Plan budget of $24 million, including Program Administration costs.</w:t>
            </w:r>
            <w:r w:rsidRPr="007773CD" w:rsidR="002F78F4">
              <w:rPr>
                <w:rStyle w:val="FootnoteReference"/>
                <w:rFonts w:ascii="Palatino Linotype" w:hAnsi="Palatino Linotype"/>
                <w:bCs/>
                <w:color w:val="000000" w:themeColor="text1"/>
                <w:sz w:val="20"/>
                <w:szCs w:val="20"/>
              </w:rPr>
              <w:footnoteReference w:id="225"/>
            </w:r>
            <w:r w:rsidR="002F78F4">
              <w:rPr>
                <w:rFonts w:ascii="Palatino Linotype" w:hAnsi="Palatino Linotype"/>
                <w:bCs/>
                <w:color w:val="000000" w:themeColor="text1"/>
                <w:sz w:val="20"/>
                <w:szCs w:val="20"/>
              </w:rPr>
              <w:t xml:space="preserve"> </w:t>
            </w:r>
          </w:p>
        </w:tc>
        <w:tc>
          <w:tcPr>
            <w:tcW w:w="3240" w:type="dxa"/>
          </w:tcPr>
          <w:p w:rsidRPr="00D27665" w:rsidR="002F78F4" w:rsidP="00295E0C" w:rsidRDefault="0009626A" w14:paraId="25F4396A" w14:textId="0602625B">
            <w:pPr>
              <w:rPr>
                <w:rFonts w:ascii="Palatino Linotype" w:hAnsi="Palatino Linotype"/>
                <w:color w:val="000000" w:themeColor="text1"/>
                <w:sz w:val="20"/>
                <w:szCs w:val="20"/>
              </w:rPr>
            </w:pPr>
            <w:r>
              <w:rPr>
                <w:rFonts w:ascii="Palatino Linotype" w:hAnsi="Palatino Linotype"/>
                <w:bCs/>
                <w:sz w:val="20"/>
                <w:szCs w:val="20"/>
              </w:rPr>
              <w:t>The</w:t>
            </w:r>
            <w:r w:rsidRPr="007773CD">
              <w:rPr>
                <w:rFonts w:ascii="Palatino Linotype" w:hAnsi="Palatino Linotype"/>
                <w:bCs/>
                <w:color w:val="000000" w:themeColor="text1"/>
                <w:sz w:val="20"/>
                <w:szCs w:val="20"/>
              </w:rPr>
              <w:t xml:space="preserve"> </w:t>
            </w:r>
            <w:r w:rsidRPr="007773CD" w:rsidR="002F78F4">
              <w:rPr>
                <w:rFonts w:ascii="Palatino Linotype" w:hAnsi="Palatino Linotype"/>
                <w:bCs/>
                <w:color w:val="000000" w:themeColor="text1"/>
                <w:sz w:val="20"/>
                <w:szCs w:val="20"/>
              </w:rPr>
              <w:t>CEC’s proposed budget, including all necessary RD&amp;D administrative costs, complies with the $24M annual cap.</w:t>
            </w:r>
            <w:r>
              <w:rPr>
                <w:rFonts w:ascii="Palatino Linotype" w:hAnsi="Palatino Linotype"/>
                <w:bCs/>
                <w:sz w:val="20"/>
                <w:szCs w:val="20"/>
              </w:rPr>
              <w:t xml:space="preserve"> </w:t>
            </w:r>
            <w:r w:rsidRPr="0009626A">
              <w:rPr>
                <w:rFonts w:ascii="Palatino Linotype" w:hAnsi="Palatino Linotype"/>
                <w:b/>
                <w:sz w:val="20"/>
                <w:szCs w:val="20"/>
              </w:rPr>
              <w:t>The</w:t>
            </w:r>
            <w:r w:rsidRPr="0009626A" w:rsidR="002F78F4">
              <w:rPr>
                <w:rFonts w:ascii="Palatino Linotype" w:hAnsi="Palatino Linotype"/>
                <w:b/>
                <w:color w:val="000000" w:themeColor="text1"/>
                <w:sz w:val="20"/>
                <w:szCs w:val="20"/>
              </w:rPr>
              <w:t xml:space="preserve"> </w:t>
            </w:r>
            <w:r w:rsidRPr="007773CD" w:rsidR="002F78F4">
              <w:rPr>
                <w:rFonts w:ascii="Palatino Linotype" w:hAnsi="Palatino Linotype"/>
                <w:b/>
                <w:color w:val="000000" w:themeColor="text1"/>
                <w:sz w:val="20"/>
                <w:szCs w:val="20"/>
              </w:rPr>
              <w:t xml:space="preserve">CEC is compliant with this </w:t>
            </w:r>
            <w:r w:rsidRPr="00072867" w:rsidR="002F78F4">
              <w:rPr>
                <w:rFonts w:ascii="Palatino Linotype" w:hAnsi="Palatino Linotype"/>
                <w:b/>
                <w:color w:val="000000" w:themeColor="text1"/>
                <w:sz w:val="20"/>
                <w:szCs w:val="20"/>
              </w:rPr>
              <w:lastRenderedPageBreak/>
              <w:t xml:space="preserve">requirement. </w:t>
            </w:r>
            <w:r w:rsidRPr="00072867" w:rsidR="00391AF7">
              <w:rPr>
                <w:rFonts w:ascii="Palatino Linotype" w:hAnsi="Palatino Linotype"/>
                <w:bCs/>
                <w:color w:val="000000" w:themeColor="text1"/>
                <w:sz w:val="20"/>
                <w:szCs w:val="20"/>
              </w:rPr>
              <w:t xml:space="preserve">However, </w:t>
            </w:r>
            <w:r w:rsidR="00391AF7">
              <w:rPr>
                <w:rFonts w:ascii="Palatino Linotype" w:hAnsi="Palatino Linotype"/>
                <w:bCs/>
                <w:color w:val="000000" w:themeColor="text1"/>
                <w:sz w:val="20"/>
                <w:szCs w:val="20"/>
              </w:rPr>
              <w:t>t</w:t>
            </w:r>
            <w:r w:rsidR="00391AF7">
              <w:rPr>
                <w:rFonts w:ascii="Palatino Linotype" w:hAnsi="Palatino Linotype"/>
                <w:bCs/>
                <w:sz w:val="20"/>
                <w:szCs w:val="20"/>
              </w:rPr>
              <w:t>he</w:t>
            </w:r>
            <w:r w:rsidRPr="004627A0" w:rsidR="00391AF7">
              <w:rPr>
                <w:rFonts w:ascii="Palatino Linotype" w:hAnsi="Palatino Linotype"/>
                <w:color w:val="000000" w:themeColor="text1"/>
                <w:sz w:val="20"/>
                <w:szCs w:val="20"/>
              </w:rPr>
              <w:t xml:space="preserve"> CEC </w:t>
            </w:r>
            <w:r w:rsidR="00391AF7">
              <w:rPr>
                <w:rFonts w:ascii="Palatino Linotype" w:hAnsi="Palatino Linotype"/>
                <w:color w:val="000000" w:themeColor="text1"/>
                <w:sz w:val="20"/>
                <w:szCs w:val="20"/>
              </w:rPr>
              <w:t>shall first utilize unspent funds prior to any new ratepayer funds for its 202</w:t>
            </w:r>
            <w:r w:rsidR="00EA51FF">
              <w:rPr>
                <w:rFonts w:ascii="Palatino Linotype" w:hAnsi="Palatino Linotype"/>
                <w:color w:val="000000" w:themeColor="text1"/>
                <w:sz w:val="20"/>
                <w:szCs w:val="20"/>
              </w:rPr>
              <w:t>5</w:t>
            </w:r>
            <w:r w:rsidR="00391AF7">
              <w:rPr>
                <w:rFonts w:ascii="Palatino Linotype" w:hAnsi="Palatino Linotype"/>
                <w:color w:val="000000" w:themeColor="text1"/>
                <w:sz w:val="20"/>
                <w:szCs w:val="20"/>
              </w:rPr>
              <w:t xml:space="preserve"> Plan as described in this Resolution.</w:t>
            </w:r>
          </w:p>
        </w:tc>
      </w:tr>
      <w:tr w:rsidR="002F78F4" w:rsidTr="00295E0C" w14:paraId="41894D74" w14:textId="77777777">
        <w:trPr>
          <w:trHeight w:val="638"/>
        </w:trPr>
        <w:tc>
          <w:tcPr>
            <w:tcW w:w="3145" w:type="dxa"/>
          </w:tcPr>
          <w:p w:rsidR="002F78F4" w:rsidP="00295E0C" w:rsidRDefault="002F78F4" w14:paraId="589BE846" w14:textId="77777777">
            <w:hyperlink w:history="1" r:id="rId102">
              <w:r w:rsidRPr="001249CD">
                <w:rPr>
                  <w:rStyle w:val="Hyperlink"/>
                  <w:rFonts w:ascii="Palatino Linotype" w:hAnsi="Palatino Linotype"/>
                  <w:b/>
                  <w:sz w:val="20"/>
                  <w:szCs w:val="20"/>
                </w:rPr>
                <w:t>D.04-08-010</w:t>
              </w:r>
            </w:hyperlink>
            <w:r w:rsidRPr="001249CD">
              <w:rPr>
                <w:rFonts w:ascii="Palatino Linotype" w:hAnsi="Palatino Linotype"/>
                <w:bCs/>
                <w:sz w:val="20"/>
                <w:szCs w:val="20"/>
              </w:rPr>
              <w:t xml:space="preserve"> at p. 42. </w:t>
            </w:r>
            <w:r w:rsidRPr="001249CD">
              <w:rPr>
                <w:rFonts w:ascii="Palatino Linotype" w:hAnsi="Palatino Linotype"/>
                <w:bCs/>
                <w:i/>
                <w:iCs/>
                <w:sz w:val="20"/>
                <w:szCs w:val="20"/>
              </w:rPr>
              <w:t>[</w:t>
            </w:r>
            <w:r w:rsidRPr="002611EB">
              <w:rPr>
                <w:rFonts w:ascii="Palatino Linotype" w:hAnsi="Palatino Linotype"/>
                <w:bCs/>
                <w:i/>
                <w:iCs/>
                <w:sz w:val="20"/>
                <w:szCs w:val="20"/>
              </w:rPr>
              <w:t>W]e expect the administrator to inform the Energy Division if and when any commercial benefits result from the gas R&amp;D projects funded through the gas surcharge. Commercial benefits may be used to offset future R&amp;D costs, reduce the gas surcharge, or be returned to ratepayers, upon determination of the Commission.</w:t>
            </w:r>
          </w:p>
        </w:tc>
        <w:tc>
          <w:tcPr>
            <w:tcW w:w="7920" w:type="dxa"/>
          </w:tcPr>
          <w:p w:rsidRPr="007E56C3" w:rsidR="002F78F4" w:rsidP="00295E0C" w:rsidRDefault="0009626A" w14:paraId="702A9F0B" w14:textId="267806A9">
            <w:pPr>
              <w:rPr>
                <w:rFonts w:ascii="Palatino Linotype" w:hAnsi="Palatino Linotype"/>
                <w:bCs/>
                <w:color w:val="000000" w:themeColor="text1"/>
                <w:sz w:val="20"/>
                <w:szCs w:val="20"/>
              </w:rPr>
            </w:pPr>
            <w:r>
              <w:rPr>
                <w:rFonts w:ascii="Palatino Linotype" w:hAnsi="Palatino Linotype"/>
                <w:bCs/>
                <w:sz w:val="20"/>
                <w:szCs w:val="20"/>
              </w:rPr>
              <w:t>The</w:t>
            </w:r>
            <w:r w:rsidRPr="007E56C3">
              <w:rPr>
                <w:rFonts w:ascii="Palatino Linotype" w:hAnsi="Palatino Linotype"/>
                <w:bCs/>
                <w:color w:val="000000" w:themeColor="text1"/>
                <w:sz w:val="20"/>
                <w:szCs w:val="20"/>
              </w:rPr>
              <w:t xml:space="preserve"> </w:t>
            </w:r>
            <w:r w:rsidRPr="007E56C3" w:rsidR="002F78F4">
              <w:rPr>
                <w:rFonts w:ascii="Palatino Linotype" w:hAnsi="Palatino Linotype"/>
                <w:bCs/>
                <w:color w:val="000000" w:themeColor="text1"/>
                <w:sz w:val="20"/>
                <w:szCs w:val="20"/>
              </w:rPr>
              <w:t xml:space="preserve">CEC does not discuss commercial benefits that may have resulted from Gas RD&amp;D investment. </w:t>
            </w:r>
          </w:p>
        </w:tc>
        <w:tc>
          <w:tcPr>
            <w:tcW w:w="3240" w:type="dxa"/>
          </w:tcPr>
          <w:p w:rsidRPr="006E29BE" w:rsidR="002F78F4" w:rsidP="00295E0C" w:rsidRDefault="0079719B" w14:paraId="2E244C21" w14:textId="2E42F761">
            <w:pPr>
              <w:rPr>
                <w:rFonts w:ascii="Palatino Linotype" w:hAnsi="Palatino Linotype"/>
                <w:bCs/>
                <w:color w:val="000000" w:themeColor="text1"/>
                <w:sz w:val="20"/>
                <w:szCs w:val="20"/>
              </w:rPr>
            </w:pPr>
            <w:r w:rsidRPr="0009626A">
              <w:rPr>
                <w:rFonts w:ascii="Palatino Linotype" w:hAnsi="Palatino Linotype"/>
                <w:b/>
                <w:color w:val="000000" w:themeColor="text1"/>
                <w:sz w:val="20"/>
                <w:szCs w:val="20"/>
              </w:rPr>
              <w:t xml:space="preserve">The </w:t>
            </w:r>
            <w:r w:rsidRPr="006E29BE">
              <w:rPr>
                <w:rFonts w:ascii="Palatino Linotype" w:hAnsi="Palatino Linotype"/>
                <w:b/>
                <w:color w:val="000000" w:themeColor="text1"/>
                <w:sz w:val="20"/>
                <w:szCs w:val="20"/>
              </w:rPr>
              <w:t xml:space="preserve">CEC </w:t>
            </w:r>
            <w:r>
              <w:rPr>
                <w:rFonts w:ascii="Palatino Linotype" w:hAnsi="Palatino Linotype"/>
                <w:b/>
                <w:color w:val="000000" w:themeColor="text1"/>
                <w:sz w:val="20"/>
                <w:szCs w:val="20"/>
              </w:rPr>
              <w:t xml:space="preserve">does </w:t>
            </w:r>
            <w:r w:rsidRPr="0009626A">
              <w:rPr>
                <w:rFonts w:ascii="Palatino Linotype" w:hAnsi="Palatino Linotype"/>
                <w:b/>
                <w:i/>
                <w:iCs/>
                <w:color w:val="000000" w:themeColor="text1"/>
                <w:sz w:val="20"/>
                <w:szCs w:val="20"/>
              </w:rPr>
              <w:t>not</w:t>
            </w:r>
            <w:r>
              <w:rPr>
                <w:rFonts w:ascii="Palatino Linotype" w:hAnsi="Palatino Linotype"/>
                <w:b/>
                <w:color w:val="000000" w:themeColor="text1"/>
                <w:sz w:val="20"/>
                <w:szCs w:val="20"/>
              </w:rPr>
              <w:t xml:space="preserve"> demonstrate</w:t>
            </w:r>
            <w:r w:rsidRPr="006E29BE">
              <w:rPr>
                <w:rFonts w:ascii="Palatino Linotype" w:hAnsi="Palatino Linotype"/>
                <w:b/>
                <w:i/>
                <w:iCs/>
                <w:color w:val="000000" w:themeColor="text1"/>
                <w:sz w:val="20"/>
                <w:szCs w:val="20"/>
              </w:rPr>
              <w:t xml:space="preserve"> </w:t>
            </w:r>
            <w:r w:rsidRPr="006E29BE">
              <w:rPr>
                <w:rFonts w:ascii="Palatino Linotype" w:hAnsi="Palatino Linotype"/>
                <w:b/>
                <w:color w:val="000000" w:themeColor="text1"/>
                <w:sz w:val="20"/>
                <w:szCs w:val="20"/>
              </w:rPr>
              <w:t>complian</w:t>
            </w:r>
            <w:r>
              <w:rPr>
                <w:rFonts w:ascii="Palatino Linotype" w:hAnsi="Palatino Linotype"/>
                <w:b/>
                <w:color w:val="000000" w:themeColor="text1"/>
                <w:sz w:val="20"/>
                <w:szCs w:val="20"/>
              </w:rPr>
              <w:t>ce</w:t>
            </w:r>
            <w:r w:rsidRPr="006E29BE">
              <w:rPr>
                <w:rFonts w:ascii="Palatino Linotype" w:hAnsi="Palatino Linotype"/>
                <w:b/>
                <w:color w:val="000000" w:themeColor="text1"/>
                <w:sz w:val="20"/>
                <w:szCs w:val="20"/>
              </w:rPr>
              <w:t xml:space="preserve"> with this requirement.</w:t>
            </w:r>
            <w:r>
              <w:rPr>
                <w:rFonts w:ascii="Palatino Linotype" w:hAnsi="Palatino Linotype"/>
                <w:b/>
                <w:color w:val="000000" w:themeColor="text1"/>
                <w:sz w:val="20"/>
                <w:szCs w:val="20"/>
              </w:rPr>
              <w:t xml:space="preserve"> </w:t>
            </w:r>
            <w:r w:rsidRPr="006E29BE" w:rsidR="002F78F4">
              <w:rPr>
                <w:rFonts w:ascii="Palatino Linotype" w:hAnsi="Palatino Linotype"/>
                <w:bCs/>
                <w:color w:val="000000" w:themeColor="text1"/>
                <w:sz w:val="20"/>
                <w:szCs w:val="20"/>
              </w:rPr>
              <w:t>CEC shall disclose all potential</w:t>
            </w:r>
            <w:r w:rsidRPr="006E29BE" w:rsidR="002F78F4">
              <w:rPr>
                <w:rFonts w:ascii="Palatino Linotype" w:hAnsi="Palatino Linotype"/>
                <w:b/>
                <w:color w:val="000000" w:themeColor="text1"/>
                <w:sz w:val="20"/>
                <w:szCs w:val="20"/>
              </w:rPr>
              <w:t xml:space="preserve"> </w:t>
            </w:r>
            <w:r w:rsidRPr="006E29BE" w:rsidR="002F78F4">
              <w:rPr>
                <w:rFonts w:ascii="Palatino Linotype" w:hAnsi="Palatino Linotype"/>
                <w:bCs/>
                <w:color w:val="000000" w:themeColor="text1"/>
                <w:sz w:val="20"/>
                <w:szCs w:val="20"/>
              </w:rPr>
              <w:t xml:space="preserve">commercial benefits that may result from Gas RD&amp;D investment and demonstrate they are used to offset ratepayer costs for new Plans or otherwise state that none have accrued. </w:t>
            </w:r>
          </w:p>
        </w:tc>
      </w:tr>
      <w:tr w:rsidR="002F78F4" w:rsidTr="00295E0C" w14:paraId="11A03CE5" w14:textId="77777777">
        <w:trPr>
          <w:trHeight w:val="638"/>
        </w:trPr>
        <w:tc>
          <w:tcPr>
            <w:tcW w:w="3145" w:type="dxa"/>
          </w:tcPr>
          <w:p w:rsidRPr="00E83FF4" w:rsidR="002F78F4" w:rsidP="00295E0C" w:rsidRDefault="002F78F4" w14:paraId="4B6D2F36" w14:textId="77777777">
            <w:pPr>
              <w:rPr>
                <w:rFonts w:ascii="Palatino Linotype" w:hAnsi="Palatino Linotype"/>
                <w:bCs/>
                <w:i/>
                <w:iCs/>
                <w:sz w:val="20"/>
                <w:szCs w:val="20"/>
              </w:rPr>
            </w:pPr>
            <w:hyperlink w:history="1" r:id="rId103">
              <w:r w:rsidRPr="001249CD">
                <w:rPr>
                  <w:rStyle w:val="Hyperlink"/>
                  <w:rFonts w:ascii="Palatino Linotype" w:hAnsi="Palatino Linotype"/>
                  <w:b/>
                  <w:sz w:val="20"/>
                  <w:szCs w:val="20"/>
                </w:rPr>
                <w:t>D.04-08-010</w:t>
              </w:r>
            </w:hyperlink>
            <w:r w:rsidRPr="001249CD">
              <w:rPr>
                <w:rFonts w:ascii="Palatino Linotype" w:hAnsi="Palatino Linotype"/>
                <w:bCs/>
                <w:sz w:val="20"/>
                <w:szCs w:val="20"/>
              </w:rPr>
              <w:t xml:space="preserve"> at FOF 9.</w:t>
            </w:r>
            <w:r>
              <w:rPr>
                <w:rFonts w:ascii="Palatino Linotype" w:hAnsi="Palatino Linotype"/>
                <w:bCs/>
                <w:sz w:val="20"/>
                <w:szCs w:val="20"/>
              </w:rPr>
              <w:t xml:space="preserve"> </w:t>
            </w:r>
            <w:r w:rsidRPr="0035065F">
              <w:rPr>
                <w:rFonts w:ascii="Palatino Linotype" w:hAnsi="Palatino Linotype"/>
                <w:bCs/>
                <w:i/>
                <w:iCs/>
                <w:sz w:val="20"/>
                <w:szCs w:val="20"/>
              </w:rPr>
              <w:t>Ratepayers should receive interest on deposited amounts in balancing accounts held by utilities.</w:t>
            </w:r>
          </w:p>
        </w:tc>
        <w:tc>
          <w:tcPr>
            <w:tcW w:w="7920" w:type="dxa"/>
          </w:tcPr>
          <w:p w:rsidRPr="007126F8" w:rsidR="002F78F4" w:rsidP="00295E0C" w:rsidRDefault="0009626A" w14:paraId="36B8FCD0" w14:textId="6CE11351">
            <w:pPr>
              <w:rPr>
                <w:rFonts w:ascii="Palatino Linotype" w:hAnsi="Palatino Linotype"/>
                <w:bCs/>
                <w:color w:val="000000" w:themeColor="text1"/>
                <w:sz w:val="20"/>
                <w:szCs w:val="20"/>
              </w:rPr>
            </w:pPr>
            <w:r>
              <w:rPr>
                <w:rFonts w:ascii="Palatino Linotype" w:hAnsi="Palatino Linotype"/>
                <w:bCs/>
                <w:sz w:val="20"/>
                <w:szCs w:val="20"/>
              </w:rPr>
              <w:t>The</w:t>
            </w:r>
            <w:r w:rsidRPr="007126F8">
              <w:rPr>
                <w:rFonts w:ascii="Palatino Linotype" w:hAnsi="Palatino Linotype"/>
                <w:bCs/>
                <w:color w:val="000000" w:themeColor="text1"/>
                <w:sz w:val="20"/>
                <w:szCs w:val="20"/>
              </w:rPr>
              <w:t xml:space="preserve"> </w:t>
            </w:r>
            <w:r w:rsidRPr="007126F8" w:rsidR="002F78F4">
              <w:rPr>
                <w:rFonts w:ascii="Palatino Linotype" w:hAnsi="Palatino Linotype"/>
                <w:bCs/>
                <w:color w:val="000000" w:themeColor="text1"/>
                <w:sz w:val="20"/>
                <w:szCs w:val="20"/>
              </w:rPr>
              <w:t>CEC does not discuss interest that has accrued on deposited amounts in balancing accounts held by utilities.</w:t>
            </w:r>
          </w:p>
        </w:tc>
        <w:tc>
          <w:tcPr>
            <w:tcW w:w="3240" w:type="dxa"/>
          </w:tcPr>
          <w:p w:rsidRPr="006E29BE" w:rsidR="002F78F4" w:rsidP="00295E0C" w:rsidRDefault="0079719B" w14:paraId="71C79B5D" w14:textId="769FD529">
            <w:pPr>
              <w:rPr>
                <w:rFonts w:ascii="Palatino Linotype" w:hAnsi="Palatino Linotype"/>
                <w:b/>
                <w:color w:val="000000" w:themeColor="text1"/>
                <w:sz w:val="20"/>
                <w:szCs w:val="20"/>
              </w:rPr>
            </w:pPr>
            <w:r w:rsidRPr="0009626A">
              <w:rPr>
                <w:rFonts w:ascii="Palatino Linotype" w:hAnsi="Palatino Linotype"/>
                <w:b/>
                <w:color w:val="000000" w:themeColor="text1"/>
                <w:sz w:val="20"/>
                <w:szCs w:val="20"/>
              </w:rPr>
              <w:t xml:space="preserve">The </w:t>
            </w:r>
            <w:r w:rsidRPr="006E29BE">
              <w:rPr>
                <w:rFonts w:ascii="Palatino Linotype" w:hAnsi="Palatino Linotype"/>
                <w:b/>
                <w:color w:val="000000" w:themeColor="text1"/>
                <w:sz w:val="20"/>
                <w:szCs w:val="20"/>
              </w:rPr>
              <w:t xml:space="preserve">CEC </w:t>
            </w:r>
            <w:r>
              <w:rPr>
                <w:rFonts w:ascii="Palatino Linotype" w:hAnsi="Palatino Linotype"/>
                <w:b/>
                <w:color w:val="000000" w:themeColor="text1"/>
                <w:sz w:val="20"/>
                <w:szCs w:val="20"/>
              </w:rPr>
              <w:t xml:space="preserve">does </w:t>
            </w:r>
            <w:r w:rsidRPr="0009626A">
              <w:rPr>
                <w:rFonts w:ascii="Palatino Linotype" w:hAnsi="Palatino Linotype"/>
                <w:b/>
                <w:i/>
                <w:iCs/>
                <w:color w:val="000000" w:themeColor="text1"/>
                <w:sz w:val="20"/>
                <w:szCs w:val="20"/>
              </w:rPr>
              <w:t>not</w:t>
            </w:r>
            <w:r>
              <w:rPr>
                <w:rFonts w:ascii="Palatino Linotype" w:hAnsi="Palatino Linotype"/>
                <w:b/>
                <w:color w:val="000000" w:themeColor="text1"/>
                <w:sz w:val="20"/>
                <w:szCs w:val="20"/>
              </w:rPr>
              <w:t xml:space="preserve"> demonstrate</w:t>
            </w:r>
            <w:r w:rsidRPr="006E29BE">
              <w:rPr>
                <w:rFonts w:ascii="Palatino Linotype" w:hAnsi="Palatino Linotype"/>
                <w:b/>
                <w:i/>
                <w:iCs/>
                <w:color w:val="000000" w:themeColor="text1"/>
                <w:sz w:val="20"/>
                <w:szCs w:val="20"/>
              </w:rPr>
              <w:t xml:space="preserve"> </w:t>
            </w:r>
            <w:r w:rsidRPr="006E29BE">
              <w:rPr>
                <w:rFonts w:ascii="Palatino Linotype" w:hAnsi="Palatino Linotype"/>
                <w:b/>
                <w:color w:val="000000" w:themeColor="text1"/>
                <w:sz w:val="20"/>
                <w:szCs w:val="20"/>
              </w:rPr>
              <w:t>complian</w:t>
            </w:r>
            <w:r>
              <w:rPr>
                <w:rFonts w:ascii="Palatino Linotype" w:hAnsi="Palatino Linotype"/>
                <w:b/>
                <w:color w:val="000000" w:themeColor="text1"/>
                <w:sz w:val="20"/>
                <w:szCs w:val="20"/>
              </w:rPr>
              <w:t>ce</w:t>
            </w:r>
            <w:r w:rsidRPr="006E29BE">
              <w:rPr>
                <w:rFonts w:ascii="Palatino Linotype" w:hAnsi="Palatino Linotype"/>
                <w:b/>
                <w:color w:val="000000" w:themeColor="text1"/>
                <w:sz w:val="20"/>
                <w:szCs w:val="20"/>
              </w:rPr>
              <w:t xml:space="preserve"> with this requirement.</w:t>
            </w:r>
            <w:r>
              <w:rPr>
                <w:rFonts w:ascii="Palatino Linotype" w:hAnsi="Palatino Linotype"/>
                <w:b/>
                <w:color w:val="000000" w:themeColor="text1"/>
                <w:sz w:val="20"/>
                <w:szCs w:val="20"/>
              </w:rPr>
              <w:t xml:space="preserve"> </w:t>
            </w:r>
            <w:r w:rsidRPr="006E29BE" w:rsidR="002F78F4">
              <w:rPr>
                <w:rFonts w:ascii="Palatino Linotype" w:hAnsi="Palatino Linotype"/>
                <w:bCs/>
                <w:color w:val="000000" w:themeColor="text1"/>
                <w:sz w:val="20"/>
                <w:szCs w:val="20"/>
              </w:rPr>
              <w:t>CEC shall disclose all interest that accrues on deposited amounts in balancing accounts held by utilities</w:t>
            </w:r>
            <w:r w:rsidRPr="006E29BE" w:rsidR="002F78F4">
              <w:rPr>
                <w:rFonts w:ascii="Palatino Linotype" w:hAnsi="Palatino Linotype"/>
                <w:color w:val="000000" w:themeColor="text1"/>
                <w:sz w:val="20"/>
                <w:szCs w:val="20"/>
              </w:rPr>
              <w:t xml:space="preserve"> and </w:t>
            </w:r>
            <w:r w:rsidRPr="006E29BE" w:rsidR="002F78F4">
              <w:rPr>
                <w:rFonts w:ascii="Palatino Linotype" w:hAnsi="Palatino Linotype"/>
                <w:bCs/>
                <w:color w:val="000000" w:themeColor="text1"/>
                <w:sz w:val="20"/>
                <w:szCs w:val="20"/>
              </w:rPr>
              <w:t xml:space="preserve">demonstrate it is used to offset ratepayer costs for new Plans. </w:t>
            </w:r>
          </w:p>
        </w:tc>
      </w:tr>
      <w:tr w:rsidR="002F78F4" w:rsidTr="00295E0C" w14:paraId="5D54481E" w14:textId="77777777">
        <w:trPr>
          <w:trHeight w:val="638"/>
        </w:trPr>
        <w:tc>
          <w:tcPr>
            <w:tcW w:w="3145" w:type="dxa"/>
          </w:tcPr>
          <w:p w:rsidRPr="00E7529D" w:rsidR="002F78F4" w:rsidP="00295E0C" w:rsidRDefault="002F78F4" w14:paraId="4B4CC547" w14:textId="3F81F238">
            <w:pPr>
              <w:rPr>
                <w:rFonts w:ascii="Palatino Linotype" w:hAnsi="Palatino Linotype" w:eastAsia="Palatino Linotype" w:cs="Times New Roman"/>
                <w:bCs/>
                <w:i/>
                <w:iCs/>
                <w:kern w:val="0"/>
                <w:sz w:val="20"/>
                <w:szCs w:val="20"/>
                <w14:ligatures w14:val="none"/>
              </w:rPr>
            </w:pPr>
            <w:hyperlink w:history="1" r:id="rId104">
              <w:r w:rsidRPr="001249CD">
                <w:rPr>
                  <w:rStyle w:val="Hyperlink"/>
                  <w:rFonts w:ascii="Palatino Linotype" w:hAnsi="Palatino Linotype" w:eastAsia="Palatino Linotype" w:cs="Times New Roman"/>
                  <w:b/>
                  <w:kern w:val="0"/>
                  <w:sz w:val="20"/>
                  <w:szCs w:val="20"/>
                  <w14:ligatures w14:val="none"/>
                </w:rPr>
                <w:t>Resolution G-3394</w:t>
              </w:r>
            </w:hyperlink>
            <w:r w:rsidRPr="001249CD">
              <w:rPr>
                <w:rFonts w:ascii="Palatino Linotype" w:hAnsi="Palatino Linotype" w:eastAsia="Palatino Linotype" w:cs="Times New Roman"/>
                <w:b/>
                <w:kern w:val="0"/>
                <w:sz w:val="20"/>
                <w:szCs w:val="20"/>
                <w14:ligatures w14:val="none"/>
              </w:rPr>
              <w:t xml:space="preserve"> </w:t>
            </w:r>
            <w:r w:rsidRPr="001249CD">
              <w:rPr>
                <w:rFonts w:ascii="Palatino Linotype" w:hAnsi="Palatino Linotype" w:eastAsia="Palatino Linotype" w:cs="Times New Roman"/>
                <w:bCs/>
                <w:kern w:val="0"/>
                <w:sz w:val="20"/>
                <w:szCs w:val="20"/>
                <w14:ligatures w14:val="none"/>
              </w:rPr>
              <w:t>(2006) at OP 2.</w:t>
            </w:r>
            <w:r w:rsidRPr="00E7529D">
              <w:rPr>
                <w:rFonts w:ascii="Palatino Linotype" w:hAnsi="Palatino Linotype" w:eastAsia="Palatino Linotype" w:cs="Times New Roman"/>
                <w:bCs/>
                <w:i/>
                <w:iCs/>
                <w:kern w:val="0"/>
                <w:sz w:val="20"/>
                <w:szCs w:val="20"/>
                <w14:ligatures w14:val="none"/>
              </w:rPr>
              <w:t xml:space="preserve"> The CEC shall submit</w:t>
            </w:r>
            <w:r w:rsidR="008E0F6B">
              <w:rPr>
                <w:rFonts w:ascii="Palatino Linotype" w:hAnsi="Palatino Linotype" w:eastAsia="Palatino Linotype" w:cs="Times New Roman"/>
                <w:bCs/>
                <w:i/>
                <w:iCs/>
                <w:kern w:val="0"/>
                <w:sz w:val="20"/>
                <w:szCs w:val="20"/>
                <w14:ligatures w14:val="none"/>
              </w:rPr>
              <w:t>…</w:t>
            </w:r>
            <w:r w:rsidRPr="00E7529D">
              <w:rPr>
                <w:rFonts w:ascii="Palatino Linotype" w:hAnsi="Palatino Linotype" w:eastAsia="Palatino Linotype" w:cs="Times New Roman"/>
                <w:bCs/>
                <w:i/>
                <w:iCs/>
                <w:kern w:val="0"/>
                <w:sz w:val="20"/>
                <w:szCs w:val="20"/>
                <w14:ligatures w14:val="none"/>
              </w:rPr>
              <w:t xml:space="preserve"> its Annual </w:t>
            </w:r>
            <w:r>
              <w:rPr>
                <w:rFonts w:ascii="Palatino Linotype" w:hAnsi="Palatino Linotype" w:eastAsia="Palatino Linotype" w:cs="Times New Roman"/>
                <w:bCs/>
                <w:i/>
                <w:iCs/>
                <w:kern w:val="0"/>
                <w:sz w:val="20"/>
                <w:szCs w:val="20"/>
                <w14:ligatures w14:val="none"/>
              </w:rPr>
              <w:t>[Report]</w:t>
            </w:r>
            <w:r w:rsidRPr="00E7529D">
              <w:rPr>
                <w:rFonts w:ascii="Palatino Linotype" w:hAnsi="Palatino Linotype" w:eastAsia="Palatino Linotype" w:cs="Times New Roman"/>
                <w:bCs/>
                <w:i/>
                <w:iCs/>
                <w:kern w:val="0"/>
                <w:sz w:val="20"/>
                <w:szCs w:val="20"/>
                <w14:ligatures w14:val="none"/>
              </w:rPr>
              <w:t xml:space="preserve"> by October 31st, beginning in 2008.</w:t>
            </w:r>
          </w:p>
        </w:tc>
        <w:tc>
          <w:tcPr>
            <w:tcW w:w="7920" w:type="dxa"/>
          </w:tcPr>
          <w:p w:rsidRPr="008477B4" w:rsidR="002F78F4" w:rsidP="00295E0C" w:rsidRDefault="0009626A" w14:paraId="5B391573" w14:textId="64214027">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Pr="00560718" w:rsidR="002F78F4">
              <w:rPr>
                <w:rFonts w:ascii="Palatino Linotype" w:hAnsi="Palatino Linotype"/>
                <w:bCs/>
                <w:color w:val="000000" w:themeColor="text1"/>
                <w:sz w:val="20"/>
                <w:szCs w:val="20"/>
              </w:rPr>
              <w:t>CEC provided a draft FY</w:t>
            </w:r>
            <w:r w:rsidR="00E556F2">
              <w:rPr>
                <w:rFonts w:ascii="Palatino Linotype" w:hAnsi="Palatino Linotype"/>
                <w:bCs/>
                <w:color w:val="000000" w:themeColor="text1"/>
                <w:sz w:val="20"/>
                <w:szCs w:val="20"/>
              </w:rPr>
              <w:t xml:space="preserve"> </w:t>
            </w:r>
            <w:r w:rsidRPr="00560718" w:rsidR="002F78F4">
              <w:rPr>
                <w:rFonts w:ascii="Palatino Linotype" w:hAnsi="Palatino Linotype"/>
                <w:bCs/>
                <w:color w:val="000000" w:themeColor="text1"/>
                <w:sz w:val="20"/>
                <w:szCs w:val="20"/>
              </w:rPr>
              <w:t>2024-2025 Annual Report to Energy Division on October 15, 2025, and received an extension to submit its final FY2024-2025 Annual Report in January 2026</w:t>
            </w:r>
            <w:r w:rsidR="002F78F4">
              <w:rPr>
                <w:rFonts w:ascii="Palatino Linotype" w:hAnsi="Palatino Linotype"/>
                <w:bCs/>
                <w:color w:val="000000" w:themeColor="text1"/>
                <w:sz w:val="20"/>
                <w:szCs w:val="20"/>
              </w:rPr>
              <w:t>.</w:t>
            </w:r>
          </w:p>
        </w:tc>
        <w:tc>
          <w:tcPr>
            <w:tcW w:w="3240" w:type="dxa"/>
          </w:tcPr>
          <w:p w:rsidRPr="00E7529D" w:rsidR="002F78F4" w:rsidP="00295E0C" w:rsidRDefault="0009626A" w14:paraId="37F8C2C1" w14:textId="0121E413">
            <w:pPr>
              <w:rPr>
                <w:rFonts w:ascii="Palatino Linotype" w:hAnsi="Palatino Linotype"/>
                <w:b/>
                <w:sz w:val="20"/>
                <w:szCs w:val="20"/>
              </w:rPr>
            </w:pPr>
            <w:r w:rsidRPr="0009626A">
              <w:rPr>
                <w:rFonts w:ascii="Palatino Linotype" w:hAnsi="Palatino Linotype"/>
                <w:b/>
                <w:sz w:val="20"/>
                <w:szCs w:val="20"/>
              </w:rPr>
              <w:t xml:space="preserve">The </w:t>
            </w:r>
            <w:r w:rsidRPr="0059169E" w:rsidR="002F78F4">
              <w:rPr>
                <w:rFonts w:ascii="Palatino Linotype" w:hAnsi="Palatino Linotype"/>
                <w:b/>
                <w:sz w:val="20"/>
                <w:szCs w:val="20"/>
              </w:rPr>
              <w:t>CEC is compliant with this requirement.</w:t>
            </w:r>
            <w:r w:rsidR="002F78F4">
              <w:rPr>
                <w:rFonts w:ascii="Palatino Linotype" w:hAnsi="Palatino Linotype"/>
                <w:b/>
                <w:sz w:val="20"/>
                <w:szCs w:val="20"/>
              </w:rPr>
              <w:t xml:space="preserve"> </w:t>
            </w:r>
            <w:r w:rsidRPr="00F71455" w:rsidR="002F78F4">
              <w:rPr>
                <w:rFonts w:ascii="Palatino Linotype" w:hAnsi="Palatino Linotype"/>
                <w:bCs/>
                <w:sz w:val="20"/>
                <w:szCs w:val="20"/>
              </w:rPr>
              <w:t xml:space="preserve">However, </w:t>
            </w:r>
            <w:r>
              <w:rPr>
                <w:rFonts w:ascii="Palatino Linotype" w:hAnsi="Palatino Linotype"/>
                <w:bCs/>
                <w:sz w:val="20"/>
                <w:szCs w:val="20"/>
              </w:rPr>
              <w:t xml:space="preserve">the </w:t>
            </w:r>
            <w:r w:rsidRPr="00F71455" w:rsidR="002F78F4">
              <w:rPr>
                <w:rFonts w:ascii="Palatino Linotype" w:hAnsi="Palatino Linotype"/>
                <w:bCs/>
                <w:sz w:val="20"/>
                <w:szCs w:val="20"/>
              </w:rPr>
              <w:t>CEC shall strive to provide its final Annual Report by the deadline.</w:t>
            </w:r>
          </w:p>
        </w:tc>
      </w:tr>
      <w:tr w:rsidR="002F78F4" w:rsidTr="00295E0C" w14:paraId="09DAF0DA" w14:textId="77777777">
        <w:trPr>
          <w:trHeight w:val="638"/>
        </w:trPr>
        <w:tc>
          <w:tcPr>
            <w:tcW w:w="3145" w:type="dxa"/>
          </w:tcPr>
          <w:p w:rsidR="002F78F4" w:rsidP="00295E0C" w:rsidRDefault="002F78F4" w14:paraId="055F9738" w14:textId="77777777">
            <w:hyperlink r:id="rId105">
              <w:r w:rsidRPr="001249CD">
                <w:rPr>
                  <w:rStyle w:val="Hyperlink"/>
                  <w:rFonts w:ascii="Palatino Linotype" w:hAnsi="Palatino Linotype" w:eastAsia="Palatino Linotype" w:cs="Palatino Linotype"/>
                  <w:b/>
                  <w:bCs/>
                  <w:sz w:val="20"/>
                  <w:szCs w:val="20"/>
                </w:rPr>
                <w:t>Resolution G-3484</w:t>
              </w:r>
            </w:hyperlink>
            <w:r w:rsidRPr="001249CD">
              <w:rPr>
                <w:rFonts w:ascii="Palatino Linotype" w:hAnsi="Palatino Linotype" w:eastAsia="Palatino Linotype" w:cs="Palatino Linotype"/>
                <w:b/>
                <w:bCs/>
                <w:color w:val="000000" w:themeColor="text1"/>
                <w:sz w:val="20"/>
                <w:szCs w:val="20"/>
              </w:rPr>
              <w:t xml:space="preserve"> </w:t>
            </w:r>
            <w:r w:rsidRPr="001249CD">
              <w:rPr>
                <w:rFonts w:ascii="Palatino Linotype" w:hAnsi="Palatino Linotype" w:eastAsia="Palatino Linotype" w:cs="Palatino Linotype"/>
                <w:color w:val="000000" w:themeColor="text1"/>
                <w:sz w:val="20"/>
                <w:szCs w:val="20"/>
              </w:rPr>
              <w:t>(2013) at p. 5-6:</w:t>
            </w:r>
            <w:r w:rsidRPr="3F09D30F">
              <w:rPr>
                <w:rFonts w:ascii="Palatino Linotype" w:hAnsi="Palatino Linotype" w:eastAsia="Palatino Linotype" w:cs="Palatino Linotype"/>
                <w:color w:val="000000" w:themeColor="text1"/>
                <w:sz w:val="20"/>
                <w:szCs w:val="20"/>
              </w:rPr>
              <w:t xml:space="preserve"> </w:t>
            </w:r>
            <w:r w:rsidRPr="3F09D30F">
              <w:rPr>
                <w:rFonts w:ascii="Palatino Linotype" w:hAnsi="Palatino Linotype" w:eastAsia="Palatino Linotype" w:cs="Palatino Linotype"/>
                <w:i/>
                <w:iCs/>
                <w:color w:val="000000" w:themeColor="text1"/>
                <w:sz w:val="20"/>
                <w:szCs w:val="20"/>
              </w:rPr>
              <w:t xml:space="preserve">In the interest of transparency, the CEC shall give an accounting of </w:t>
            </w:r>
            <w:r w:rsidRPr="3F09D30F">
              <w:rPr>
                <w:rFonts w:ascii="Palatino Linotype" w:hAnsi="Palatino Linotype" w:eastAsia="Palatino Linotype" w:cs="Palatino Linotype"/>
                <w:i/>
                <w:iCs/>
                <w:color w:val="000000" w:themeColor="text1"/>
                <w:sz w:val="20"/>
                <w:szCs w:val="20"/>
              </w:rPr>
              <w:lastRenderedPageBreak/>
              <w:t xml:space="preserve">unspent PIER Natural Gas R&amp;D funds in each future year proposed budget, beginning with the proposed budget for Fiscal Year 2014-2015. </w:t>
            </w:r>
            <w:r w:rsidRPr="008477B4">
              <w:rPr>
                <w:rFonts w:ascii="Palatino Linotype" w:hAnsi="Palatino Linotype" w:eastAsia="Palatino Linotype" w:cs="Palatino Linotype"/>
                <w:i/>
                <w:iCs/>
                <w:color w:val="000000" w:themeColor="text1"/>
                <w:sz w:val="20"/>
                <w:szCs w:val="20"/>
              </w:rPr>
              <w:t>The CPUC understands that the CEC has two years to encumber PIER Natural Gas R&amp;D funds with projects and an additional four years before such funds expire.</w:t>
            </w:r>
            <w:r>
              <w:rPr>
                <w:rStyle w:val="FootnoteReference"/>
                <w:rFonts w:ascii="Palatino Linotype" w:hAnsi="Palatino Linotype" w:eastAsia="Palatino Linotype" w:cs="Palatino Linotype"/>
                <w:i/>
                <w:iCs/>
                <w:color w:val="000000" w:themeColor="text1"/>
                <w:sz w:val="20"/>
                <w:szCs w:val="20"/>
              </w:rPr>
              <w:footnoteReference w:id="226"/>
            </w:r>
            <w:r w:rsidRPr="008477B4">
              <w:rPr>
                <w:rFonts w:ascii="Palatino Linotype" w:hAnsi="Palatino Linotype" w:eastAsia="Palatino Linotype" w:cs="Palatino Linotype"/>
                <w:i/>
                <w:iCs/>
                <w:color w:val="000000" w:themeColor="text1"/>
                <w:sz w:val="20"/>
                <w:szCs w:val="20"/>
              </w:rPr>
              <w:t xml:space="preserve"> Beginning with the Fiscal Year 2014-2015 proposed budget, the CEC shall include in its proposed budget an account, by research area, of then-current unspent funds in the PIER Natural Gas R&amp;D program, including encumbrances and expiration dates.</w:t>
            </w:r>
            <w:r w:rsidRPr="00DB7A25">
              <w:rPr>
                <w:rFonts w:ascii="Palatino Linotype" w:hAnsi="Palatino Linotype" w:eastAsia="Palatino Linotype" w:cs="Palatino Linotype"/>
                <w:i/>
                <w:iCs/>
                <w:color w:val="000000" w:themeColor="text1"/>
                <w:sz w:val="20"/>
                <w:szCs w:val="20"/>
              </w:rPr>
              <w:t xml:space="preserve"> The intent of this requirement is to show that the CEC has spent </w:t>
            </w:r>
            <w:r w:rsidRPr="3F09D30F">
              <w:rPr>
                <w:rFonts w:ascii="Palatino Linotype" w:hAnsi="Palatino Linotype" w:eastAsia="Palatino Linotype" w:cs="Palatino Linotype"/>
                <w:i/>
                <w:iCs/>
                <w:color w:val="000000" w:themeColor="text1"/>
                <w:sz w:val="20"/>
                <w:szCs w:val="20"/>
              </w:rPr>
              <w:t>its cumulative authorized budgets in the areas in which the money was authorized and to provide an accounting of the status of cumulative unspent funds. This requirement shall remain in place for each fiscal year’s proposed budget, until otherwise directed by the CPUC</w:t>
            </w:r>
            <w:r w:rsidRPr="3F09D30F">
              <w:rPr>
                <w:rFonts w:ascii="Palatino Linotype" w:hAnsi="Palatino Linotype" w:eastAsia="Palatino Linotype" w:cs="Palatino Linotype"/>
                <w:color w:val="000000" w:themeColor="text1"/>
                <w:sz w:val="20"/>
                <w:szCs w:val="20"/>
              </w:rPr>
              <w:t xml:space="preserve">.  </w:t>
            </w:r>
          </w:p>
        </w:tc>
        <w:tc>
          <w:tcPr>
            <w:tcW w:w="7920" w:type="dxa"/>
          </w:tcPr>
          <w:p w:rsidR="002F78F4" w:rsidP="00295E0C" w:rsidRDefault="0009626A" w14:paraId="3F38FD89" w14:textId="07255DA6">
            <w:pPr>
              <w:rPr>
                <w:rFonts w:ascii="Palatino Linotype" w:hAnsi="Palatino Linotype"/>
                <w:bCs/>
                <w:color w:val="000000" w:themeColor="text1"/>
                <w:sz w:val="20"/>
                <w:szCs w:val="20"/>
              </w:rPr>
            </w:pPr>
            <w:r>
              <w:rPr>
                <w:rFonts w:ascii="Palatino Linotype" w:hAnsi="Palatino Linotype"/>
                <w:bCs/>
                <w:sz w:val="20"/>
                <w:szCs w:val="20"/>
              </w:rPr>
              <w:lastRenderedPageBreak/>
              <w:t xml:space="preserve">The </w:t>
            </w:r>
            <w:r w:rsidRPr="00DE1671" w:rsidR="002F78F4">
              <w:rPr>
                <w:rFonts w:ascii="Palatino Linotype" w:hAnsi="Palatino Linotype"/>
                <w:bCs/>
                <w:color w:val="000000" w:themeColor="text1"/>
                <w:sz w:val="20"/>
                <w:szCs w:val="20"/>
              </w:rPr>
              <w:t xml:space="preserve">CEC provides balances of encumbered and unspent funds from CEC’s Plans from FY 2014-2015 through FY 2023-2024 as of January 2025 in Appendix B. </w:t>
            </w:r>
            <w:r>
              <w:rPr>
                <w:rFonts w:ascii="Palatino Linotype" w:hAnsi="Palatino Linotype"/>
                <w:bCs/>
                <w:sz w:val="20"/>
                <w:szCs w:val="20"/>
              </w:rPr>
              <w:t xml:space="preserve">The </w:t>
            </w:r>
            <w:r w:rsidRPr="00BE67E6" w:rsidR="002F78F4">
              <w:rPr>
                <w:rFonts w:ascii="Palatino Linotype" w:hAnsi="Palatino Linotype"/>
                <w:bCs/>
                <w:color w:val="000000" w:themeColor="text1"/>
                <w:sz w:val="20"/>
                <w:szCs w:val="20"/>
              </w:rPr>
              <w:t xml:space="preserve">CEC states that “Funds Unspent refers to funds that have not been encumbered to an executed </w:t>
            </w:r>
            <w:r w:rsidRPr="00BE67E6" w:rsidR="002F78F4">
              <w:rPr>
                <w:rFonts w:ascii="Palatino Linotype" w:hAnsi="Palatino Linotype"/>
                <w:bCs/>
                <w:color w:val="000000" w:themeColor="text1"/>
                <w:sz w:val="20"/>
                <w:szCs w:val="20"/>
              </w:rPr>
              <w:lastRenderedPageBreak/>
              <w:t>agreement (contract or grant), or previously encumbered funds that become unencumbered because the agreement has been canceled or due to other reasons.”</w:t>
            </w:r>
            <w:r w:rsidRPr="00BE67E6" w:rsidR="002F78F4">
              <w:rPr>
                <w:rStyle w:val="FootnoteReference"/>
                <w:rFonts w:ascii="Palatino Linotype" w:hAnsi="Palatino Linotype"/>
                <w:bCs/>
                <w:color w:val="000000" w:themeColor="text1"/>
                <w:sz w:val="20"/>
                <w:szCs w:val="20"/>
              </w:rPr>
              <w:footnoteReference w:id="227"/>
            </w:r>
            <w:r w:rsidRPr="00BE67E6"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B4219F" w:rsidR="002F78F4">
              <w:rPr>
                <w:rFonts w:ascii="Palatino Linotype" w:hAnsi="Palatino Linotype"/>
                <w:bCs/>
                <w:color w:val="000000" w:themeColor="text1"/>
                <w:sz w:val="20"/>
                <w:szCs w:val="20"/>
              </w:rPr>
              <w:t>CEC reports $26.14M in unspent funds from its FY 2023-2024 Plan and details that, for this Plan, the CPUC approved reallocations amounting to $1.23M from its FY 2020-2021 Plan; $3.81 from its FY 2016-2017 Plan; and $1.5M from its FY 2015-2016 Plan in previously unspent funds</w:t>
            </w:r>
            <w:r w:rsidRPr="002514D2" w:rsidR="002F78F4">
              <w:rPr>
                <w:rFonts w:ascii="Palatino Linotype" w:hAnsi="Palatino Linotype"/>
                <w:bCs/>
                <w:color w:val="000000" w:themeColor="text1"/>
                <w:sz w:val="20"/>
                <w:szCs w:val="20"/>
              </w:rPr>
              <w:t>. CEC does not request to use unspent funds for any new projects in its FY 2025-2026 Plan, but states that it “will ensure that for any use of encumbered and unspent funds that the CEC requests for new projects, the request will identify the respective research areas for which the CPUC originally authorized the funding.”</w:t>
            </w:r>
            <w:r w:rsidRPr="002514D2" w:rsidR="002F78F4">
              <w:rPr>
                <w:rStyle w:val="FootnoteReference"/>
                <w:rFonts w:ascii="Palatino Linotype" w:hAnsi="Palatino Linotype"/>
                <w:bCs/>
                <w:color w:val="000000" w:themeColor="text1"/>
                <w:sz w:val="20"/>
                <w:szCs w:val="20"/>
              </w:rPr>
              <w:footnoteReference w:id="228"/>
            </w:r>
            <w:r w:rsidRPr="002514D2" w:rsidR="002F78F4">
              <w:rPr>
                <w:rFonts w:ascii="Palatino Linotype" w:hAnsi="Palatino Linotype"/>
                <w:bCs/>
                <w:color w:val="000000" w:themeColor="text1"/>
                <w:sz w:val="20"/>
                <w:szCs w:val="20"/>
              </w:rPr>
              <w:t xml:space="preserve"> </w:t>
            </w:r>
          </w:p>
          <w:p w:rsidR="002F78F4" w:rsidP="00295E0C" w:rsidRDefault="002F78F4" w14:paraId="08634179" w14:textId="77777777">
            <w:pPr>
              <w:rPr>
                <w:rFonts w:ascii="Palatino Linotype" w:hAnsi="Palatino Linotype"/>
                <w:bCs/>
                <w:color w:val="000000" w:themeColor="text1"/>
                <w:sz w:val="20"/>
                <w:szCs w:val="20"/>
              </w:rPr>
            </w:pPr>
          </w:p>
          <w:p w:rsidR="002F78F4" w:rsidP="00295E0C" w:rsidRDefault="002F78F4" w14:paraId="62D3641F" w14:textId="20E7F689">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09626A">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responded to a Spring 2026 CPUC</w:t>
            </w:r>
            <w:r w:rsidR="0056763F">
              <w:rPr>
                <w:rFonts w:ascii="Palatino Linotype" w:hAnsi="Palatino Linotype"/>
                <w:bCs/>
                <w:color w:val="000000" w:themeColor="text1"/>
                <w:sz w:val="20"/>
                <w:szCs w:val="20"/>
              </w:rPr>
              <w:t xml:space="preserve"> 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CEC reports a total of $31,076,691 in Unspent Encumbered Funds and Unencumbered Funds </w:t>
            </w:r>
            <w:r w:rsidR="00473834">
              <w:rPr>
                <w:rFonts w:ascii="Palatino Linotype" w:hAnsi="Palatino Linotype"/>
                <w:bCs/>
                <w:color w:val="000000" w:themeColor="text1"/>
                <w:sz w:val="20"/>
                <w:szCs w:val="20"/>
              </w:rPr>
              <w:t>outside encumbrance and spending windows</w:t>
            </w:r>
            <w:r>
              <w:rPr>
                <w:rFonts w:ascii="Palatino Linotype" w:hAnsi="Palatino Linotype"/>
                <w:bCs/>
                <w:color w:val="000000" w:themeColor="text1"/>
                <w:sz w:val="20"/>
                <w:szCs w:val="20"/>
              </w:rPr>
              <w:t xml:space="preserve"> per this requirement: </w:t>
            </w:r>
            <w:r w:rsidRPr="00635844">
              <w:rPr>
                <w:rFonts w:ascii="Palatino Linotype" w:hAnsi="Palatino Linotype"/>
                <w:sz w:val="20"/>
                <w:szCs w:val="20"/>
              </w:rPr>
              <w:t>See Resolution G-</w:t>
            </w:r>
            <w:r w:rsidRPr="002E0702" w:rsidR="002E0702">
              <w:rPr>
                <w:rFonts w:ascii="Palatino Linotype" w:hAnsi="Palatino Linotype"/>
                <w:color w:val="000000" w:themeColor="text1"/>
                <w:sz w:val="20"/>
                <w:szCs w:val="20"/>
              </w:rPr>
              <w:t>3622</w:t>
            </w:r>
            <w:r w:rsidRPr="00635844">
              <w:rPr>
                <w:rFonts w:ascii="Palatino Linotype" w:hAnsi="Palatino Linotype"/>
                <w:sz w:val="20"/>
                <w:szCs w:val="20"/>
              </w:rPr>
              <w:t xml:space="preserve"> at Appendix </w:t>
            </w:r>
            <w:r w:rsidR="004A55C8">
              <w:rPr>
                <w:rFonts w:ascii="Palatino Linotype" w:hAnsi="Palatino Linotype"/>
                <w:sz w:val="20"/>
                <w:szCs w:val="20"/>
              </w:rPr>
              <w:t>F</w:t>
            </w:r>
            <w:r w:rsidRPr="00654697">
              <w:rPr>
                <w:rFonts w:ascii="Palatino Linotype" w:hAnsi="Palatino Linotype"/>
                <w:color w:val="000000" w:themeColor="text1"/>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Pr="00BE67E6" w:rsidR="002F78F4" w:rsidP="00295E0C" w:rsidRDefault="002F78F4" w14:paraId="62B4D6B2" w14:textId="77777777">
            <w:pPr>
              <w:rPr>
                <w:rFonts w:ascii="Palatino Linotype" w:hAnsi="Palatino Linotype"/>
                <w:bCs/>
                <w:color w:val="000000" w:themeColor="text1"/>
                <w:sz w:val="20"/>
                <w:szCs w:val="20"/>
              </w:rPr>
            </w:pPr>
          </w:p>
          <w:p w:rsidRPr="008444BC" w:rsidR="002F78F4" w:rsidP="00295E0C" w:rsidRDefault="002F78F4" w14:paraId="4E9D57E9" w14:textId="77777777">
            <w:pPr>
              <w:rPr>
                <w:rFonts w:ascii="Palatino Linotype" w:hAnsi="Palatino Linotype"/>
                <w:bCs/>
                <w:color w:val="A6A6A6" w:themeColor="background1" w:themeShade="A6"/>
                <w:sz w:val="20"/>
                <w:szCs w:val="20"/>
              </w:rPr>
            </w:pPr>
          </w:p>
          <w:p w:rsidRPr="008444BC" w:rsidR="002F78F4" w:rsidP="00295E0C" w:rsidRDefault="002F78F4" w14:paraId="0542590B" w14:textId="77777777">
            <w:pPr>
              <w:pStyle w:val="ListParagraph"/>
              <w:ind w:left="1080"/>
              <w:rPr>
                <w:rFonts w:ascii="Palatino Linotype" w:hAnsi="Palatino Linotype"/>
                <w:bCs/>
                <w:color w:val="A6A6A6" w:themeColor="background1" w:themeShade="A6"/>
                <w:sz w:val="20"/>
                <w:szCs w:val="20"/>
              </w:rPr>
            </w:pPr>
          </w:p>
          <w:p w:rsidRPr="008444BC" w:rsidR="002F78F4" w:rsidP="00295E0C" w:rsidRDefault="002F78F4" w14:paraId="5D5EB4D7" w14:textId="77777777">
            <w:pPr>
              <w:rPr>
                <w:rFonts w:ascii="Palatino Linotype" w:hAnsi="Palatino Linotype"/>
                <w:bCs/>
                <w:color w:val="A6A6A6" w:themeColor="background1" w:themeShade="A6"/>
                <w:sz w:val="20"/>
                <w:szCs w:val="20"/>
              </w:rPr>
            </w:pPr>
          </w:p>
        </w:tc>
        <w:tc>
          <w:tcPr>
            <w:tcW w:w="3240" w:type="dxa"/>
          </w:tcPr>
          <w:p w:rsidRPr="00712EDA" w:rsidR="002F78F4" w:rsidP="00295E0C" w:rsidRDefault="002F78F4" w14:paraId="154C7EA4" w14:textId="0F9A4793">
            <w:pPr>
              <w:rPr>
                <w:rFonts w:ascii="Palatino Linotype" w:hAnsi="Palatino Linotype"/>
                <w:bCs/>
                <w:color w:val="000000" w:themeColor="text1"/>
                <w:sz w:val="20"/>
                <w:szCs w:val="20"/>
              </w:rPr>
            </w:pPr>
            <w:r w:rsidRPr="00712EDA">
              <w:rPr>
                <w:rFonts w:ascii="Palatino Linotype" w:hAnsi="Palatino Linotype"/>
                <w:bCs/>
                <w:color w:val="000000" w:themeColor="text1"/>
                <w:sz w:val="20"/>
                <w:szCs w:val="20"/>
              </w:rPr>
              <w:lastRenderedPageBreak/>
              <w:t xml:space="preserve">Though </w:t>
            </w:r>
            <w:r w:rsidR="0009626A">
              <w:rPr>
                <w:rFonts w:ascii="Palatino Linotype" w:hAnsi="Palatino Linotype"/>
                <w:bCs/>
                <w:color w:val="000000" w:themeColor="text1"/>
                <w:sz w:val="20"/>
                <w:szCs w:val="20"/>
              </w:rPr>
              <w:t xml:space="preserve">the </w:t>
            </w:r>
            <w:r w:rsidRPr="00712EDA">
              <w:rPr>
                <w:rFonts w:ascii="Palatino Linotype" w:hAnsi="Palatino Linotype"/>
                <w:bCs/>
                <w:color w:val="000000" w:themeColor="text1"/>
                <w:sz w:val="20"/>
                <w:szCs w:val="20"/>
              </w:rPr>
              <w:t xml:space="preserve">CEC reports unspent and encumbered funds, </w:t>
            </w:r>
            <w:r w:rsidR="0009626A">
              <w:rPr>
                <w:rFonts w:ascii="Palatino Linotype" w:hAnsi="Palatino Linotype"/>
                <w:bCs/>
                <w:color w:val="000000" w:themeColor="text1"/>
                <w:sz w:val="20"/>
                <w:szCs w:val="20"/>
              </w:rPr>
              <w:t xml:space="preserve">the </w:t>
            </w:r>
            <w:r w:rsidRPr="00712EDA">
              <w:rPr>
                <w:rFonts w:ascii="Palatino Linotype" w:hAnsi="Palatino Linotype"/>
                <w:bCs/>
                <w:color w:val="000000" w:themeColor="text1"/>
                <w:sz w:val="20"/>
                <w:szCs w:val="20"/>
              </w:rPr>
              <w:t xml:space="preserve">CEC does not detail </w:t>
            </w:r>
            <w:r w:rsidR="00FB3638">
              <w:rPr>
                <w:rFonts w:ascii="Palatino Linotype" w:hAnsi="Palatino Linotype"/>
                <w:bCs/>
                <w:color w:val="000000" w:themeColor="text1"/>
                <w:sz w:val="20"/>
                <w:szCs w:val="20"/>
              </w:rPr>
              <w:t xml:space="preserve">encumbrance and </w:t>
            </w:r>
            <w:r w:rsidR="00FB3638">
              <w:rPr>
                <w:rFonts w:ascii="Palatino Linotype" w:hAnsi="Palatino Linotype"/>
                <w:bCs/>
                <w:color w:val="000000" w:themeColor="text1"/>
                <w:sz w:val="20"/>
                <w:szCs w:val="20"/>
              </w:rPr>
              <w:lastRenderedPageBreak/>
              <w:t>spending windows</w:t>
            </w:r>
            <w:r w:rsidRPr="00712EDA">
              <w:rPr>
                <w:rFonts w:ascii="Palatino Linotype" w:hAnsi="Palatino Linotype"/>
                <w:bCs/>
                <w:color w:val="000000" w:themeColor="text1"/>
                <w:sz w:val="20"/>
                <w:szCs w:val="20"/>
              </w:rPr>
              <w:t xml:space="preserve"> to demonstrate compliance. </w:t>
            </w:r>
            <w:r w:rsidR="0009626A">
              <w:rPr>
                <w:rFonts w:ascii="Palatino Linotype" w:hAnsi="Palatino Linotype"/>
                <w:bCs/>
                <w:sz w:val="20"/>
                <w:szCs w:val="20"/>
              </w:rPr>
              <w:t xml:space="preserve">The </w:t>
            </w:r>
            <w:r w:rsidRPr="00712EDA">
              <w:rPr>
                <w:rFonts w:ascii="Palatino Linotype" w:hAnsi="Palatino Linotype"/>
                <w:bCs/>
                <w:color w:val="000000" w:themeColor="text1"/>
                <w:sz w:val="20"/>
                <w:szCs w:val="20"/>
              </w:rPr>
              <w:t xml:space="preserve">CEC also does not provide information on the spending of program administrative costs. The information provided does not </w:t>
            </w:r>
            <w:r w:rsidRPr="00712EDA">
              <w:rPr>
                <w:rFonts w:ascii="Palatino Linotype" w:hAnsi="Palatino Linotype"/>
                <w:color w:val="000000" w:themeColor="text1"/>
                <w:sz w:val="20"/>
                <w:szCs w:val="20"/>
              </w:rPr>
              <w:t>demonstrate</w:t>
            </w:r>
            <w:r w:rsidRPr="00712EDA">
              <w:rPr>
                <w:rFonts w:ascii="Palatino Linotype" w:hAnsi="Palatino Linotype" w:eastAsia="Palatino Linotype" w:cs="Palatino Linotype"/>
                <w:color w:val="000000" w:themeColor="text1"/>
                <w:sz w:val="20"/>
                <w:szCs w:val="20"/>
              </w:rPr>
              <w:t xml:space="preserve"> that </w:t>
            </w:r>
            <w:r w:rsidR="0009626A">
              <w:rPr>
                <w:rFonts w:ascii="Palatino Linotype" w:hAnsi="Palatino Linotype" w:eastAsia="Palatino Linotype" w:cs="Palatino Linotype"/>
                <w:color w:val="000000" w:themeColor="text1"/>
                <w:sz w:val="20"/>
                <w:szCs w:val="20"/>
              </w:rPr>
              <w:t xml:space="preserve">the </w:t>
            </w:r>
            <w:r w:rsidRPr="00712EDA">
              <w:rPr>
                <w:rFonts w:ascii="Palatino Linotype" w:hAnsi="Palatino Linotype" w:eastAsia="Palatino Linotype" w:cs="Palatino Linotype"/>
                <w:color w:val="000000" w:themeColor="text1"/>
                <w:sz w:val="20"/>
                <w:szCs w:val="20"/>
              </w:rPr>
              <w:t>CEC has spent its cumulative authorized budgets in the areas in which the money was authorized nor provide suff</w:t>
            </w:r>
            <w:r w:rsidRPr="00FA4708">
              <w:rPr>
                <w:rFonts w:ascii="Palatino Linotype" w:hAnsi="Palatino Linotype" w:eastAsia="Palatino Linotype" w:cs="Palatino Linotype"/>
                <w:color w:val="000000" w:themeColor="text1"/>
                <w:sz w:val="20"/>
                <w:szCs w:val="20"/>
              </w:rPr>
              <w:t>icient accounting on the status of cumulative unspent funds.</w:t>
            </w:r>
            <w:r w:rsidRPr="00FA4708">
              <w:rPr>
                <w:rFonts w:ascii="Palatino Linotype" w:hAnsi="Palatino Linotype"/>
                <w:bCs/>
                <w:color w:val="000000" w:themeColor="text1"/>
                <w:sz w:val="20"/>
                <w:szCs w:val="20"/>
              </w:rPr>
              <w:t xml:space="preserve"> </w:t>
            </w:r>
            <w:r w:rsidRPr="0009626A" w:rsidR="0009626A">
              <w:rPr>
                <w:rFonts w:ascii="Palatino Linotype" w:hAnsi="Palatino Linotype"/>
                <w:b/>
                <w:sz w:val="20"/>
                <w:szCs w:val="20"/>
              </w:rPr>
              <w:t>The</w:t>
            </w:r>
            <w:r w:rsidR="0009626A">
              <w:rPr>
                <w:rFonts w:ascii="Palatino Linotype" w:hAnsi="Palatino Linotype"/>
                <w:bCs/>
                <w:sz w:val="20"/>
                <w:szCs w:val="20"/>
              </w:rPr>
              <w:t xml:space="preserve"> </w:t>
            </w:r>
            <w:r w:rsidRPr="00FA4708">
              <w:rPr>
                <w:rFonts w:ascii="Palatino Linotype" w:hAnsi="Palatino Linotype"/>
                <w:b/>
                <w:color w:val="000000" w:themeColor="text1"/>
                <w:sz w:val="20"/>
                <w:szCs w:val="20"/>
              </w:rPr>
              <w:t xml:space="preserve">CEC is </w:t>
            </w:r>
            <w:r w:rsidRPr="00FA4708">
              <w:rPr>
                <w:rFonts w:ascii="Palatino Linotype" w:hAnsi="Palatino Linotype"/>
                <w:b/>
                <w:i/>
                <w:iCs/>
                <w:color w:val="000000" w:themeColor="text1"/>
                <w:sz w:val="20"/>
                <w:szCs w:val="20"/>
              </w:rPr>
              <w:t>not</w:t>
            </w:r>
            <w:r w:rsidRPr="00FA4708">
              <w:rPr>
                <w:rFonts w:ascii="Palatino Linotype" w:hAnsi="Palatino Linotype"/>
                <w:b/>
                <w:color w:val="000000" w:themeColor="text1"/>
                <w:sz w:val="20"/>
                <w:szCs w:val="20"/>
              </w:rPr>
              <w:t xml:space="preserve"> compliant with this requirement.</w:t>
            </w:r>
            <w:r w:rsidRPr="00712EDA">
              <w:rPr>
                <w:rFonts w:ascii="Palatino Linotype" w:hAnsi="Palatino Linotype"/>
                <w:b/>
                <w:color w:val="000000" w:themeColor="text1"/>
                <w:sz w:val="20"/>
                <w:szCs w:val="20"/>
              </w:rPr>
              <w:t xml:space="preserve">  </w:t>
            </w:r>
          </w:p>
          <w:p w:rsidRPr="00712EDA" w:rsidR="002F78F4" w:rsidP="00295E0C" w:rsidRDefault="002F78F4" w14:paraId="32A30796" w14:textId="77777777">
            <w:pPr>
              <w:rPr>
                <w:rFonts w:ascii="Palatino Linotype" w:hAnsi="Palatino Linotype"/>
                <w:b/>
                <w:color w:val="000000" w:themeColor="text1"/>
                <w:sz w:val="20"/>
                <w:szCs w:val="20"/>
              </w:rPr>
            </w:pPr>
          </w:p>
          <w:p w:rsidRPr="008444BC" w:rsidR="002F78F4" w:rsidP="00295E0C" w:rsidRDefault="00962E24" w14:paraId="3366CD33" w14:textId="78ABDA28">
            <w:pPr>
              <w:rPr>
                <w:rFonts w:ascii="Palatino Linotype" w:hAnsi="Palatino Linotype"/>
                <w:bCs/>
                <w:color w:val="A6A6A6" w:themeColor="background1" w:themeShade="A6"/>
                <w:sz w:val="20"/>
                <w:szCs w:val="20"/>
              </w:rPr>
            </w:pPr>
            <w:r>
              <w:rPr>
                <w:rFonts w:ascii="Palatino Linotype" w:hAnsi="Palatino Linotype"/>
                <w:sz w:val="20"/>
                <w:szCs w:val="20"/>
              </w:rPr>
              <w:t>To clearly demonstrate compliance with reporting requirements, the CEC shall utilize the standardized template provided by Energy Division for its Annual Report.</w:t>
            </w:r>
          </w:p>
        </w:tc>
      </w:tr>
      <w:tr w:rsidR="002F78F4" w:rsidTr="00295E0C" w14:paraId="0641721A" w14:textId="77777777">
        <w:trPr>
          <w:trHeight w:val="638"/>
        </w:trPr>
        <w:tc>
          <w:tcPr>
            <w:tcW w:w="3145" w:type="dxa"/>
          </w:tcPr>
          <w:p w:rsidRPr="00E7529D" w:rsidR="002F78F4" w:rsidP="00295E0C" w:rsidRDefault="002F78F4" w14:paraId="2F568E13" w14:textId="77777777">
            <w:pPr>
              <w:rPr>
                <w:rFonts w:ascii="Palatino Linotype" w:hAnsi="Palatino Linotype"/>
                <w:bCs/>
                <w:i/>
                <w:iCs/>
                <w:sz w:val="20"/>
                <w:szCs w:val="20"/>
              </w:rPr>
            </w:pPr>
            <w:hyperlink w:history="1" r:id="rId106">
              <w:r w:rsidRPr="001249CD">
                <w:rPr>
                  <w:rStyle w:val="Hyperlink"/>
                  <w:rFonts w:ascii="Palatino Linotype" w:hAnsi="Palatino Linotype"/>
                  <w:b/>
                  <w:sz w:val="20"/>
                  <w:szCs w:val="20"/>
                </w:rPr>
                <w:t>Resolution G-3571</w:t>
              </w:r>
            </w:hyperlink>
            <w:r w:rsidRPr="001249CD">
              <w:rPr>
                <w:rFonts w:ascii="Palatino Linotype" w:hAnsi="Palatino Linotype"/>
                <w:bCs/>
                <w:sz w:val="20"/>
                <w:szCs w:val="20"/>
              </w:rPr>
              <w:t xml:space="preserve"> (2020) at OP 5.</w:t>
            </w:r>
            <w:r w:rsidRPr="00E7529D">
              <w:rPr>
                <w:rFonts w:ascii="Palatino Linotype" w:hAnsi="Palatino Linotype"/>
                <w:bCs/>
                <w:i/>
                <w:iCs/>
                <w:sz w:val="20"/>
                <w:szCs w:val="20"/>
              </w:rPr>
              <w:t xml:space="preserve"> In developing all future Natural Gas R&amp;D Plans, the CPUC requests that the CEC:</w:t>
            </w:r>
            <w:r>
              <w:rPr>
                <w:rStyle w:val="FootnoteReference"/>
                <w:rFonts w:ascii="Palatino Linotype" w:hAnsi="Palatino Linotype"/>
                <w:bCs/>
                <w:i/>
                <w:iCs/>
                <w:sz w:val="20"/>
                <w:szCs w:val="20"/>
              </w:rPr>
              <w:footnoteReference w:id="229"/>
            </w:r>
            <w:r w:rsidRPr="00E7529D">
              <w:rPr>
                <w:rFonts w:ascii="Palatino Linotype" w:hAnsi="Palatino Linotype"/>
                <w:bCs/>
                <w:i/>
                <w:iCs/>
                <w:sz w:val="20"/>
                <w:szCs w:val="20"/>
              </w:rPr>
              <w:t xml:space="preserve"> </w:t>
            </w:r>
          </w:p>
          <w:p w:rsidRPr="002C51DE" w:rsidR="002F78F4" w:rsidP="00295E0C" w:rsidRDefault="002F78F4" w14:paraId="26952F31" w14:textId="77777777">
            <w:pPr>
              <w:pStyle w:val="ListParagraph"/>
              <w:numPr>
                <w:ilvl w:val="0"/>
                <w:numId w:val="27"/>
              </w:numPr>
              <w:rPr>
                <w:rFonts w:ascii="Palatino Linotype" w:hAnsi="Palatino Linotype"/>
                <w:bCs/>
                <w:i/>
                <w:iCs/>
                <w:sz w:val="20"/>
                <w:szCs w:val="20"/>
              </w:rPr>
            </w:pPr>
            <w:r w:rsidRPr="002C51DE">
              <w:rPr>
                <w:rFonts w:ascii="Palatino Linotype" w:hAnsi="Palatino Linotype"/>
                <w:bCs/>
                <w:i/>
                <w:iCs/>
                <w:sz w:val="20"/>
                <w:szCs w:val="20"/>
              </w:rPr>
              <w:t xml:space="preserve">Post the Natural Gas Research and Development Program: Proposed Budget Plan publicly on their website and notify CPUC of the web address when requesting approval of the plan.  </w:t>
            </w:r>
          </w:p>
          <w:p w:rsidR="002F78F4" w:rsidP="00295E0C" w:rsidRDefault="002F78F4" w14:paraId="44403ECC" w14:textId="77777777">
            <w:pPr>
              <w:pStyle w:val="ListParagraph"/>
              <w:numPr>
                <w:ilvl w:val="0"/>
                <w:numId w:val="27"/>
              </w:numPr>
              <w:rPr>
                <w:rFonts w:ascii="Palatino Linotype" w:hAnsi="Palatino Linotype"/>
                <w:bCs/>
                <w:i/>
                <w:iCs/>
                <w:sz w:val="20"/>
                <w:szCs w:val="20"/>
              </w:rPr>
            </w:pPr>
            <w:r w:rsidRPr="003C5F64">
              <w:rPr>
                <w:rFonts w:ascii="Palatino Linotype" w:hAnsi="Palatino Linotype"/>
                <w:bCs/>
                <w:i/>
                <w:i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3C5F64" w:rsidR="002F78F4" w:rsidP="00295E0C" w:rsidRDefault="002F78F4" w14:paraId="6FB5E356" w14:textId="77777777">
            <w:pPr>
              <w:pStyle w:val="ListParagraph"/>
              <w:numPr>
                <w:ilvl w:val="0"/>
                <w:numId w:val="27"/>
              </w:numPr>
              <w:rPr>
                <w:rFonts w:ascii="Palatino Linotype" w:hAnsi="Palatino Linotype"/>
                <w:bCs/>
                <w:i/>
                <w:iCs/>
                <w:sz w:val="20"/>
                <w:szCs w:val="20"/>
              </w:rPr>
            </w:pPr>
            <w:r w:rsidRPr="003C5F64">
              <w:rPr>
                <w:rFonts w:ascii="Palatino Linotype" w:hAnsi="Palatino Linotype"/>
                <w:i/>
                <w:iCs/>
                <w:sz w:val="20"/>
                <w:szCs w:val="20"/>
              </w:rPr>
              <w:t xml:space="preserve">Consult with Energy Division staff on which CPUC listservs from ongoing CPUC proceedings the CEC </w:t>
            </w:r>
            <w:r w:rsidRPr="003C5F64">
              <w:rPr>
                <w:rFonts w:ascii="Palatino Linotype" w:hAnsi="Palatino Linotype"/>
                <w:i/>
                <w:iCs/>
                <w:sz w:val="20"/>
                <w:szCs w:val="20"/>
              </w:rPr>
              <w:lastRenderedPageBreak/>
              <w:t>should notice their proposed plan to.</w:t>
            </w:r>
          </w:p>
          <w:p w:rsidRPr="003C5F64" w:rsidR="002F78F4" w:rsidP="00295E0C" w:rsidRDefault="002F78F4" w14:paraId="2FDF422B" w14:textId="77777777">
            <w:pPr>
              <w:pStyle w:val="ListParagraph"/>
              <w:numPr>
                <w:ilvl w:val="0"/>
                <w:numId w:val="27"/>
              </w:numPr>
              <w:rPr>
                <w:rFonts w:ascii="Palatino Linotype" w:hAnsi="Palatino Linotype"/>
                <w:bCs/>
                <w:i/>
                <w:iCs/>
                <w:sz w:val="20"/>
                <w:szCs w:val="20"/>
              </w:rPr>
            </w:pPr>
            <w:r w:rsidRPr="003C5F64">
              <w:rPr>
                <w:rFonts w:ascii="Palatino Linotype" w:hAnsi="Palatino Linotype"/>
                <w:i/>
                <w:iCs/>
                <w:sz w:val="20"/>
                <w:szCs w:val="20"/>
              </w:rPr>
              <w:t>Consult with CPUC staff to allow for the option of presenting the Natural Gas Research and Development Program: Proposed Budget Plan to the CPUC Commissioners during a CPUC Commissioner Committee Meeting.</w:t>
            </w:r>
          </w:p>
        </w:tc>
        <w:tc>
          <w:tcPr>
            <w:tcW w:w="7920" w:type="dxa"/>
          </w:tcPr>
          <w:p w:rsidRPr="002D42D1" w:rsidR="002F78F4" w:rsidP="00295E0C" w:rsidRDefault="002F78F4" w14:paraId="22FA4311" w14:textId="10513FA4">
            <w:pPr>
              <w:ind w:left="720"/>
              <w:rPr>
                <w:rFonts w:ascii="Palatino Linotype" w:hAnsi="Palatino Linotype"/>
                <w:color w:val="000000" w:themeColor="text1"/>
                <w:sz w:val="20"/>
                <w:szCs w:val="20"/>
              </w:rPr>
            </w:pPr>
            <w:r w:rsidRPr="002D42D1">
              <w:rPr>
                <w:rFonts w:ascii="Palatino Linotype" w:hAnsi="Palatino Linotype"/>
                <w:color w:val="000000" w:themeColor="text1"/>
                <w:sz w:val="20"/>
                <w:szCs w:val="20"/>
              </w:rPr>
              <w:lastRenderedPageBreak/>
              <w:t xml:space="preserve">b) </w:t>
            </w:r>
            <w:r w:rsidR="007C2D2C">
              <w:rPr>
                <w:rFonts w:ascii="Palatino Linotype" w:hAnsi="Palatino Linotype"/>
                <w:bCs/>
                <w:sz w:val="20"/>
                <w:szCs w:val="20"/>
              </w:rPr>
              <w:t xml:space="preserve">The </w:t>
            </w:r>
            <w:r w:rsidRPr="002D42D1">
              <w:rPr>
                <w:rFonts w:ascii="Palatino Linotype" w:hAnsi="Palatino Linotype"/>
                <w:color w:val="000000" w:themeColor="text1"/>
                <w:sz w:val="20"/>
                <w:szCs w:val="20"/>
              </w:rPr>
              <w:t>CEC states that it posts proposed Plans on “CEC’s website on the page for CEC Energy Research and Development investment plans and annual reports”,</w:t>
            </w:r>
            <w:r w:rsidRPr="002D42D1">
              <w:rPr>
                <w:rStyle w:val="FootnoteReference"/>
                <w:rFonts w:ascii="Palatino Linotype" w:hAnsi="Palatino Linotype"/>
                <w:color w:val="000000" w:themeColor="text1"/>
                <w:sz w:val="20"/>
                <w:szCs w:val="20"/>
              </w:rPr>
              <w:footnoteReference w:id="230"/>
            </w:r>
            <w:r w:rsidRPr="002D42D1">
              <w:rPr>
                <w:rFonts w:ascii="Palatino Linotype" w:hAnsi="Palatino Linotype"/>
                <w:color w:val="000000" w:themeColor="text1"/>
                <w:sz w:val="20"/>
                <w:szCs w:val="20"/>
              </w:rPr>
              <w:t xml:space="preserve"> citing California Energy Commission. “Annual Report,” </w:t>
            </w:r>
            <w:hyperlink w:history="1" r:id="rId107">
              <w:r w:rsidRPr="003B6F52">
                <w:rPr>
                  <w:rStyle w:val="Hyperlink"/>
                  <w:rFonts w:ascii="Palatino Linotype" w:hAnsi="Palatino Linotype"/>
                  <w:sz w:val="20"/>
                  <w:szCs w:val="20"/>
                </w:rPr>
                <w:t>https://www.energy.ca.gov/data-reports/reports/energy-research-and-development-investment-plans-and-annual-reports</w:t>
              </w:r>
            </w:hyperlink>
            <w:r>
              <w:rPr>
                <w:rFonts w:ascii="Palatino Linotype" w:hAnsi="Palatino Linotype"/>
                <w:color w:val="000000" w:themeColor="text1"/>
                <w:sz w:val="20"/>
                <w:szCs w:val="20"/>
              </w:rPr>
              <w:t>.</w:t>
            </w:r>
          </w:p>
          <w:p w:rsidRPr="0025265A" w:rsidR="002F78F4" w:rsidP="00295E0C" w:rsidRDefault="002F78F4" w14:paraId="75EB95AD" w14:textId="64ABA370">
            <w:pPr>
              <w:ind w:left="720"/>
              <w:rPr>
                <w:rFonts w:ascii="Palatino Linotype" w:hAnsi="Palatino Linotype"/>
                <w:color w:val="000000" w:themeColor="text1"/>
                <w:sz w:val="20"/>
                <w:szCs w:val="20"/>
              </w:rPr>
            </w:pPr>
            <w:r w:rsidRPr="0025265A">
              <w:rPr>
                <w:rFonts w:ascii="Palatino Linotype" w:hAnsi="Palatino Linotype"/>
                <w:color w:val="000000" w:themeColor="text1"/>
                <w:sz w:val="20"/>
                <w:szCs w:val="20"/>
              </w:rPr>
              <w:t xml:space="preserve">c) &amp; d) </w:t>
            </w:r>
            <w:r w:rsidR="00AF1E24">
              <w:rPr>
                <w:rFonts w:ascii="Palatino Linotype" w:hAnsi="Palatino Linotype"/>
                <w:bCs/>
                <w:sz w:val="20"/>
                <w:szCs w:val="20"/>
              </w:rPr>
              <w:t xml:space="preserve">The </w:t>
            </w:r>
            <w:r w:rsidRPr="0025265A">
              <w:rPr>
                <w:rFonts w:ascii="Palatino Linotype" w:hAnsi="Palatino Linotype"/>
                <w:color w:val="000000" w:themeColor="text1"/>
                <w:sz w:val="20"/>
                <w:szCs w:val="20"/>
              </w:rPr>
              <w:t>CEC details the noticed CEC lists and CPUC listservs.</w:t>
            </w:r>
            <w:r w:rsidRPr="0025265A">
              <w:rPr>
                <w:rStyle w:val="FootnoteReference"/>
                <w:rFonts w:ascii="Palatino Linotype" w:hAnsi="Palatino Linotype"/>
                <w:color w:val="000000" w:themeColor="text1"/>
                <w:sz w:val="20"/>
                <w:szCs w:val="20"/>
              </w:rPr>
              <w:footnoteReference w:id="231"/>
            </w:r>
            <w:r w:rsidRPr="0025265A">
              <w:rPr>
                <w:rFonts w:ascii="Palatino Linotype" w:hAnsi="Palatino Linotype"/>
                <w:color w:val="000000" w:themeColor="text1"/>
                <w:sz w:val="20"/>
                <w:szCs w:val="20"/>
              </w:rPr>
              <w:t xml:space="preserve"> </w:t>
            </w:r>
          </w:p>
          <w:p w:rsidRPr="008444BC" w:rsidR="002F78F4" w:rsidP="00295E0C" w:rsidRDefault="002F78F4" w14:paraId="69D9F805" w14:textId="3B4FB31A">
            <w:pPr>
              <w:ind w:left="720"/>
              <w:rPr>
                <w:rFonts w:ascii="Palatino Linotype" w:hAnsi="Palatino Linotype"/>
                <w:color w:val="A6A6A6" w:themeColor="background1" w:themeShade="A6"/>
                <w:sz w:val="20"/>
                <w:szCs w:val="20"/>
              </w:rPr>
            </w:pPr>
            <w:r w:rsidRPr="001D3B4E">
              <w:rPr>
                <w:rFonts w:ascii="Palatino Linotype" w:hAnsi="Palatino Linotype"/>
                <w:color w:val="000000" w:themeColor="text1"/>
                <w:sz w:val="20"/>
                <w:szCs w:val="20"/>
              </w:rPr>
              <w:t xml:space="preserve">e) </w:t>
            </w:r>
            <w:r w:rsidR="00AF1E24">
              <w:rPr>
                <w:rFonts w:ascii="Palatino Linotype" w:hAnsi="Palatino Linotype"/>
                <w:bCs/>
                <w:sz w:val="20"/>
                <w:szCs w:val="20"/>
              </w:rPr>
              <w:t xml:space="preserve">The </w:t>
            </w:r>
            <w:r w:rsidRPr="001D3B4E">
              <w:rPr>
                <w:rFonts w:ascii="Palatino Linotype" w:hAnsi="Palatino Linotype"/>
                <w:color w:val="000000" w:themeColor="text1"/>
                <w:sz w:val="20"/>
                <w:szCs w:val="20"/>
              </w:rPr>
              <w:t>CEC states that its “offer to present the proposed budget plan was sent to Energy Division staff on January 22, 2025”.</w:t>
            </w:r>
            <w:r w:rsidRPr="001D3B4E">
              <w:rPr>
                <w:rStyle w:val="FootnoteReference"/>
                <w:rFonts w:ascii="Palatino Linotype" w:hAnsi="Palatino Linotype"/>
                <w:color w:val="000000" w:themeColor="text1"/>
                <w:sz w:val="20"/>
                <w:szCs w:val="20"/>
              </w:rPr>
              <w:footnoteReference w:id="232"/>
            </w:r>
            <w:r w:rsidRPr="001D3B4E">
              <w:rPr>
                <w:rFonts w:ascii="Palatino Linotype" w:hAnsi="Palatino Linotype"/>
                <w:color w:val="000000" w:themeColor="text1"/>
                <w:sz w:val="20"/>
                <w:szCs w:val="20"/>
              </w:rPr>
              <w:t xml:space="preserve"> </w:t>
            </w:r>
            <w:r w:rsidR="00AF1E24">
              <w:rPr>
                <w:rFonts w:ascii="Palatino Linotype" w:hAnsi="Palatino Linotype"/>
                <w:bCs/>
                <w:sz w:val="20"/>
                <w:szCs w:val="20"/>
              </w:rPr>
              <w:t xml:space="preserve">The </w:t>
            </w:r>
            <w:r>
              <w:rPr>
                <w:rFonts w:ascii="Palatino Linotype" w:hAnsi="Palatino Linotype"/>
                <w:color w:val="000000" w:themeColor="text1"/>
                <w:sz w:val="20"/>
                <w:szCs w:val="20"/>
              </w:rPr>
              <w:t>CEC presented its proposed FY 2025-2026 Plan to CPUC Commissioners on June 26, 2025.</w:t>
            </w:r>
          </w:p>
        </w:tc>
        <w:tc>
          <w:tcPr>
            <w:tcW w:w="3240" w:type="dxa"/>
          </w:tcPr>
          <w:p w:rsidRPr="008444BC" w:rsidR="002F78F4" w:rsidP="00295E0C" w:rsidRDefault="007C2D2C" w14:paraId="6A0CC07D" w14:textId="3E1FA5D4">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5B2330" w:rsidR="002F78F4">
              <w:rPr>
                <w:rFonts w:ascii="Palatino Linotype" w:hAnsi="Palatino Linotype"/>
                <w:bCs/>
                <w:sz w:val="20"/>
                <w:szCs w:val="20"/>
              </w:rPr>
              <w:t>CEC posted its Plan publicly and accessibly</w:t>
            </w:r>
            <w:r w:rsidR="00391FF2">
              <w:rPr>
                <w:rFonts w:ascii="Palatino Linotype" w:hAnsi="Palatino Linotype"/>
                <w:bCs/>
                <w:sz w:val="20"/>
                <w:szCs w:val="20"/>
              </w:rPr>
              <w:t>,</w:t>
            </w:r>
            <w:r w:rsidRPr="005B2330" w:rsidR="00391FF2">
              <w:rPr>
                <w:rFonts w:ascii="Palatino Linotype" w:hAnsi="Palatino Linotype"/>
                <w:bCs/>
                <w:sz w:val="20"/>
                <w:szCs w:val="20"/>
              </w:rPr>
              <w:t xml:space="preserve"> </w:t>
            </w:r>
            <w:r w:rsidRPr="005B2330" w:rsidR="002F78F4">
              <w:rPr>
                <w:rFonts w:ascii="Palatino Linotype" w:hAnsi="Palatino Linotype"/>
                <w:bCs/>
                <w:sz w:val="20"/>
                <w:szCs w:val="20"/>
              </w:rPr>
              <w:t>distributed on listservs</w:t>
            </w:r>
            <w:r w:rsidR="00391FF2">
              <w:rPr>
                <w:rFonts w:ascii="Palatino Linotype" w:hAnsi="Palatino Linotype"/>
                <w:bCs/>
                <w:sz w:val="20"/>
                <w:szCs w:val="20"/>
              </w:rPr>
              <w:t>,</w:t>
            </w:r>
            <w:r w:rsidRPr="005B2330" w:rsidR="00391FF2">
              <w:rPr>
                <w:rFonts w:ascii="Palatino Linotype" w:hAnsi="Palatino Linotype"/>
                <w:bCs/>
                <w:sz w:val="20"/>
                <w:szCs w:val="20"/>
              </w:rPr>
              <w:t xml:space="preserve"> </w:t>
            </w:r>
            <w:r w:rsidRPr="005B2330" w:rsidR="002F78F4">
              <w:rPr>
                <w:rFonts w:ascii="Palatino Linotype" w:hAnsi="Palatino Linotype"/>
                <w:bCs/>
                <w:sz w:val="20"/>
                <w:szCs w:val="20"/>
              </w:rPr>
              <w:t>and offered to present to CPUC Commissioners.</w:t>
            </w:r>
            <w:r>
              <w:rPr>
                <w:rFonts w:ascii="Palatino Linotype" w:hAnsi="Palatino Linotype"/>
                <w:bCs/>
                <w:sz w:val="20"/>
                <w:szCs w:val="20"/>
              </w:rPr>
              <w:t xml:space="preserve"> </w:t>
            </w:r>
            <w:r w:rsidRPr="007C2D2C">
              <w:rPr>
                <w:rFonts w:ascii="Palatino Linotype" w:hAnsi="Palatino Linotype"/>
                <w:b/>
                <w:sz w:val="20"/>
                <w:szCs w:val="20"/>
              </w:rPr>
              <w:t>The</w:t>
            </w:r>
            <w:r w:rsidRPr="007C2D2C" w:rsidR="002F78F4">
              <w:rPr>
                <w:rFonts w:ascii="Palatino Linotype" w:hAnsi="Palatino Linotype"/>
                <w:b/>
                <w:sz w:val="20"/>
                <w:szCs w:val="20"/>
              </w:rPr>
              <w:t xml:space="preserve"> </w:t>
            </w:r>
            <w:r w:rsidRPr="0059169E" w:rsidR="002F78F4">
              <w:rPr>
                <w:rFonts w:ascii="Palatino Linotype" w:hAnsi="Palatino Linotype"/>
                <w:b/>
                <w:sz w:val="20"/>
                <w:szCs w:val="20"/>
              </w:rPr>
              <w:t>CEC is compliant with this requirement.</w:t>
            </w:r>
            <w:r w:rsidR="002F78F4">
              <w:rPr>
                <w:rFonts w:ascii="Palatino Linotype" w:hAnsi="Palatino Linotype"/>
                <w:b/>
                <w:sz w:val="20"/>
                <w:szCs w:val="20"/>
              </w:rPr>
              <w:t xml:space="preserve"> </w:t>
            </w:r>
          </w:p>
        </w:tc>
      </w:tr>
      <w:tr w:rsidR="002F78F4" w:rsidTr="00295E0C" w14:paraId="44DB8D03" w14:textId="77777777">
        <w:trPr>
          <w:trHeight w:val="638"/>
        </w:trPr>
        <w:tc>
          <w:tcPr>
            <w:tcW w:w="3145" w:type="dxa"/>
          </w:tcPr>
          <w:p w:rsidRPr="00E7529D" w:rsidR="002F78F4" w:rsidP="00295E0C" w:rsidRDefault="002F78F4" w14:paraId="17C2F822" w14:textId="77777777">
            <w:pPr>
              <w:rPr>
                <w:rFonts w:ascii="Palatino Linotype" w:hAnsi="Palatino Linotype"/>
                <w:b/>
                <w:i/>
                <w:iCs/>
                <w:sz w:val="20"/>
                <w:szCs w:val="20"/>
              </w:rPr>
            </w:pPr>
            <w:hyperlink w:history="1" r:id="rId108">
              <w:r w:rsidRPr="001249CD">
                <w:rPr>
                  <w:rStyle w:val="Hyperlink"/>
                  <w:rFonts w:ascii="Palatino Linotype" w:hAnsi="Palatino Linotype"/>
                  <w:b/>
                  <w:sz w:val="20"/>
                  <w:szCs w:val="20"/>
                </w:rPr>
                <w:t>Resolution G-3571</w:t>
              </w:r>
            </w:hyperlink>
            <w:r w:rsidRPr="001249CD">
              <w:rPr>
                <w:rFonts w:ascii="Palatino Linotype" w:hAnsi="Palatino Linotype"/>
                <w:bCs/>
                <w:sz w:val="20"/>
                <w:szCs w:val="20"/>
              </w:rPr>
              <w:t xml:space="preserve"> (2020) at OP 6.</w:t>
            </w:r>
            <w:r w:rsidRPr="00E7529D">
              <w:rPr>
                <w:rFonts w:ascii="Palatino Linotype" w:hAnsi="Palatino Linotype"/>
                <w:bCs/>
                <w:i/>
                <w:iCs/>
                <w:sz w:val="20"/>
                <w:szCs w:val="20"/>
              </w:rPr>
              <w:t xml:space="preserve"> In developing the future Natural Gas R&amp;D Plans, the CPUC requests that the CEC submit future Natural Gas R&amp;D Plans via the Tier 3 Advice Letter/business letter process.</w:t>
            </w:r>
          </w:p>
        </w:tc>
        <w:tc>
          <w:tcPr>
            <w:tcW w:w="7920" w:type="dxa"/>
          </w:tcPr>
          <w:p w:rsidRPr="00E556F2" w:rsidR="002F78F4" w:rsidP="00295E0C" w:rsidRDefault="00E556F2" w14:paraId="2DB5FC08" w14:textId="06240B93">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The </w:t>
            </w:r>
            <w:r w:rsidRPr="00560718">
              <w:rPr>
                <w:rFonts w:ascii="Palatino Linotype" w:hAnsi="Palatino Linotype"/>
                <w:bCs/>
                <w:color w:val="000000" w:themeColor="text1"/>
                <w:sz w:val="20"/>
                <w:szCs w:val="20"/>
              </w:rPr>
              <w:t>CEC submitted its FY2025-2026 Gas RD&amp;D Investment Plan Tier 3 AL (10-G) on March 28, 2025</w:t>
            </w:r>
            <w:r>
              <w:rPr>
                <w:rFonts w:ascii="Palatino Linotype" w:hAnsi="Palatino Linotype"/>
                <w:bCs/>
                <w:color w:val="000000" w:themeColor="text1"/>
                <w:sz w:val="20"/>
                <w:szCs w:val="20"/>
              </w:rPr>
              <w:t>,</w:t>
            </w:r>
            <w:r w:rsidRPr="00560718">
              <w:rPr>
                <w:rFonts w:ascii="Palatino Linotype" w:hAnsi="Palatino Linotype"/>
                <w:bCs/>
                <w:color w:val="000000" w:themeColor="text1"/>
                <w:sz w:val="20"/>
                <w:szCs w:val="20"/>
              </w:rPr>
              <w:t xml:space="preserve"> and submitted a supplement Tier 3 AL (10-G-A) on October 8, 2025.</w:t>
            </w:r>
          </w:p>
        </w:tc>
        <w:tc>
          <w:tcPr>
            <w:tcW w:w="3240" w:type="dxa"/>
          </w:tcPr>
          <w:p w:rsidRPr="008444BC" w:rsidR="002F78F4" w:rsidP="00295E0C" w:rsidRDefault="00AF1E24" w14:paraId="399283EA" w14:textId="61645A26">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B26164" w:rsidR="002F78F4">
              <w:rPr>
                <w:rFonts w:ascii="Palatino Linotype" w:hAnsi="Palatino Linotype"/>
                <w:bCs/>
                <w:color w:val="000000" w:themeColor="text1"/>
                <w:sz w:val="20"/>
                <w:szCs w:val="20"/>
              </w:rPr>
              <w:t>CEC submitted its proposed FY 202</w:t>
            </w:r>
            <w:r w:rsidR="002F78F4">
              <w:rPr>
                <w:rFonts w:ascii="Palatino Linotype" w:hAnsi="Palatino Linotype"/>
                <w:bCs/>
                <w:color w:val="000000" w:themeColor="text1"/>
                <w:sz w:val="20"/>
                <w:szCs w:val="20"/>
              </w:rPr>
              <w:t>5</w:t>
            </w:r>
            <w:r w:rsidRPr="00B26164"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B26164" w:rsidR="002F78F4">
              <w:rPr>
                <w:rFonts w:ascii="Palatino Linotype" w:hAnsi="Palatino Linotype"/>
                <w:bCs/>
                <w:color w:val="000000" w:themeColor="text1"/>
                <w:sz w:val="20"/>
                <w:szCs w:val="20"/>
              </w:rPr>
              <w:t xml:space="preserve"> Gas RD&amp;D Plan via Tier 3 AL.</w:t>
            </w:r>
            <w:r w:rsidRPr="00B26164" w:rsidR="002F78F4">
              <w:rPr>
                <w:rFonts w:ascii="Palatino Linotype" w:hAnsi="Palatino Linotype"/>
                <w:b/>
                <w:color w:val="000000" w:themeColor="text1"/>
                <w:sz w:val="20"/>
                <w:szCs w:val="20"/>
              </w:rPr>
              <w:t xml:space="preserve"> </w:t>
            </w:r>
            <w:r w:rsidRPr="00AF1E24">
              <w:rPr>
                <w:rFonts w:ascii="Palatino Linotype" w:hAnsi="Palatino Linotype"/>
                <w:b/>
                <w:sz w:val="20"/>
                <w:szCs w:val="20"/>
              </w:rPr>
              <w:t xml:space="preserve">The </w:t>
            </w:r>
            <w:r w:rsidRPr="00AF1E24" w:rsidR="002F78F4">
              <w:rPr>
                <w:rFonts w:ascii="Palatino Linotype" w:hAnsi="Palatino Linotype"/>
                <w:b/>
                <w:color w:val="000000" w:themeColor="text1"/>
                <w:sz w:val="20"/>
                <w:szCs w:val="20"/>
              </w:rPr>
              <w:t>CEC</w:t>
            </w:r>
            <w:r w:rsidRPr="00B26164" w:rsidR="002F78F4">
              <w:rPr>
                <w:rFonts w:ascii="Palatino Linotype" w:hAnsi="Palatino Linotype"/>
                <w:b/>
                <w:color w:val="000000" w:themeColor="text1"/>
                <w:sz w:val="20"/>
                <w:szCs w:val="20"/>
              </w:rPr>
              <w:t xml:space="preserve"> is compliant with this requirement.</w:t>
            </w:r>
          </w:p>
        </w:tc>
      </w:tr>
      <w:tr w:rsidR="002F78F4" w:rsidTr="00295E0C" w14:paraId="1AA370C0" w14:textId="77777777">
        <w:trPr>
          <w:trHeight w:val="638"/>
        </w:trPr>
        <w:tc>
          <w:tcPr>
            <w:tcW w:w="3145" w:type="dxa"/>
          </w:tcPr>
          <w:p w:rsidRPr="008456D6" w:rsidR="002F78F4" w:rsidP="00295E0C" w:rsidRDefault="002F78F4" w14:paraId="35BD803C" w14:textId="77777777">
            <w:pPr>
              <w:rPr>
                <w:sz w:val="20"/>
                <w:szCs w:val="20"/>
              </w:rPr>
            </w:pPr>
            <w:hyperlink w:tgtFrame="_blank" w:history="1" r:id="rId109">
              <w:r w:rsidRPr="001249CD">
                <w:rPr>
                  <w:rStyle w:val="Hyperlink"/>
                  <w:rFonts w:ascii="Palatino Linotype" w:hAnsi="Palatino Linotype"/>
                  <w:b/>
                  <w:bCs/>
                  <w:sz w:val="20"/>
                  <w:szCs w:val="20"/>
                </w:rPr>
                <w:t>Resolution G-3584</w:t>
              </w:r>
            </w:hyperlink>
            <w:r w:rsidRPr="001249CD">
              <w:rPr>
                <w:rFonts w:ascii="Palatino Linotype" w:hAnsi="Palatino Linotype"/>
                <w:sz w:val="20"/>
                <w:szCs w:val="20"/>
              </w:rPr>
              <w:t xml:space="preserve"> (202</w:t>
            </w:r>
            <w:r>
              <w:rPr>
                <w:rFonts w:ascii="Palatino Linotype" w:hAnsi="Palatino Linotype"/>
                <w:sz w:val="20"/>
                <w:szCs w:val="20"/>
              </w:rPr>
              <w:t>1</w:t>
            </w:r>
            <w:r w:rsidRPr="001249CD">
              <w:rPr>
                <w:rFonts w:ascii="Palatino Linotype" w:hAnsi="Palatino Linotype"/>
                <w:sz w:val="20"/>
                <w:szCs w:val="20"/>
              </w:rPr>
              <w:t>) at OP 5.</w:t>
            </w:r>
            <w:r w:rsidRPr="008456D6">
              <w:rPr>
                <w:rFonts w:ascii="Palatino Linotype" w:hAnsi="Palatino Linotype"/>
                <w:sz w:val="20"/>
                <w:szCs w:val="20"/>
              </w:rPr>
              <w:t xml:space="preserve"> </w:t>
            </w:r>
            <w:r w:rsidRPr="008456D6">
              <w:rPr>
                <w:rFonts w:ascii="Palatino Linotype" w:hAnsi="Palatino Linotype"/>
                <w:i/>
                <w:iCs/>
                <w:sz w:val="20"/>
                <w:szCs w:val="20"/>
              </w:rPr>
              <w:t>In developing the Fiscal Year 2022-2023 Gas R&amp;D Plan, the CEC shall: a) Consider the Assembly Bill 3232 (Friedman, 2018) report.</w:t>
            </w:r>
            <w:r>
              <w:rPr>
                <w:rStyle w:val="FootnoteReference"/>
                <w:rFonts w:ascii="Palatino Linotype" w:hAnsi="Palatino Linotype"/>
                <w:i/>
                <w:iCs/>
                <w:sz w:val="20"/>
                <w:szCs w:val="20"/>
              </w:rPr>
              <w:footnoteReference w:id="233"/>
            </w:r>
            <w:r w:rsidRPr="008456D6">
              <w:rPr>
                <w:rFonts w:ascii="Palatino Linotype" w:hAnsi="Palatino Linotype"/>
                <w:sz w:val="20"/>
                <w:szCs w:val="20"/>
              </w:rPr>
              <w:t xml:space="preserve">  </w:t>
            </w:r>
          </w:p>
        </w:tc>
        <w:tc>
          <w:tcPr>
            <w:tcW w:w="7920" w:type="dxa"/>
          </w:tcPr>
          <w:p w:rsidRPr="00FD4717" w:rsidR="002F78F4" w:rsidP="00295E0C" w:rsidRDefault="00AF1E24" w14:paraId="41ED56F6" w14:textId="65B931C6">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FD4717" w:rsidR="002F78F4">
              <w:rPr>
                <w:rFonts w:ascii="Palatino Linotype" w:hAnsi="Palatino Linotype"/>
                <w:bCs/>
                <w:color w:val="000000" w:themeColor="text1"/>
                <w:sz w:val="20"/>
                <w:szCs w:val="20"/>
              </w:rPr>
              <w:t xml:space="preserve">CEC states that it “considered the Assembly Bill 3232 (Friedman, Chapter 373, Statutes of 2018) report in developing the FY 2025-2026 Gas R&amp;D Budget Plan, specifically the seven key strategies to decarbonize residential and commercial buildings outlined in the 2021 report </w:t>
            </w:r>
            <w:r w:rsidRPr="00FD4717" w:rsidR="002F78F4">
              <w:rPr>
                <w:rFonts w:ascii="Palatino Linotype" w:hAnsi="Palatino Linotype"/>
                <w:bCs/>
                <w:i/>
                <w:iCs/>
                <w:color w:val="000000" w:themeColor="text1"/>
                <w:sz w:val="20"/>
                <w:szCs w:val="20"/>
              </w:rPr>
              <w:t>California Building Decarbonization Assessment</w:t>
            </w:r>
            <w:r w:rsidRPr="00FD4717" w:rsidR="002F78F4">
              <w:rPr>
                <w:rFonts w:ascii="Palatino Linotype" w:hAnsi="Palatino Linotype"/>
                <w:bCs/>
                <w:color w:val="000000" w:themeColor="text1"/>
                <w:sz w:val="20"/>
                <w:szCs w:val="20"/>
              </w:rPr>
              <w:t>. The initiatives in this FY 2025–2026 Gas R&amp;D Budget Plan support several of the recommended strategies[:]</w:t>
            </w:r>
          </w:p>
          <w:p w:rsidR="002F78F4" w:rsidP="00295E0C" w:rsidRDefault="002F78F4" w14:paraId="492DFB0D" w14:textId="77777777">
            <w:pPr>
              <w:pStyle w:val="ListParagraph"/>
              <w:numPr>
                <w:ilvl w:val="0"/>
                <w:numId w:val="33"/>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The Social Science Research for Gas Decommissioning in the Mid and Long Term initiative supports multiple strategies detailed in the report, including “Building End Use Electrification,” “Decarbonizing the Gas System,” and “Decarbonizing the Electricity Generation System.” The initiative will provide analysis, resources, and insights into real-world dynamics of gas use and factors encouraging or dissuading conversion, including to electricity end uses. This initiative would also </w:t>
            </w:r>
            <w:r w:rsidRPr="003D6A8D">
              <w:rPr>
                <w:rFonts w:ascii="Palatino Linotype" w:hAnsi="Palatino Linotype"/>
                <w:bCs/>
                <w:color w:val="000000" w:themeColor="text1"/>
                <w:sz w:val="20"/>
                <w:szCs w:val="20"/>
              </w:rPr>
              <w:lastRenderedPageBreak/>
              <w:t xml:space="preserve">identify and suggest improvements to coordination gaps between the electricity and gas systems. </w:t>
            </w:r>
          </w:p>
          <w:p w:rsidR="002F78F4" w:rsidP="00295E0C" w:rsidRDefault="002F78F4" w14:paraId="0404F9D8" w14:textId="77777777">
            <w:pPr>
              <w:pStyle w:val="ListParagraph"/>
              <w:numPr>
                <w:ilvl w:val="0"/>
                <w:numId w:val="33"/>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The Pilot Projects to Advance Gas Decommissioning research initiative promotes the goals of “Decarbonizing the Gas System” by supporting the transition away from fossil gas. By strategically decommissioning sections of California’s gas infrastructure and redirecting investment toward renewable energy alternatives, electrification, or both, this effort aims to lower the overall energy costs and GHG emissions in energy supply and end uses. </w:t>
            </w:r>
          </w:p>
          <w:p w:rsidRPr="003D6A8D" w:rsidR="002F78F4" w:rsidP="00295E0C" w:rsidRDefault="002F78F4" w14:paraId="4DF177F5" w14:textId="77777777">
            <w:pPr>
              <w:pStyle w:val="ListParagraph"/>
              <w:numPr>
                <w:ilvl w:val="0"/>
                <w:numId w:val="33"/>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The Networked Geothermal Heat Pumps (GHPs) initiative supports the strategy of “Distributed Energy Resources” by assessing the feasibility of networked GHPs to provide neighborhood-scale, clean, efficient, distributed energy for heating and cooling as well as the goal of “Decarbonizing the Gas System” by supporting the transition away from fossil gas. Networked geothermal technology is a form of thermal energy network that implements the roughly constant temperature of the bedrock as a source and sink of energy for heat pumps, while balancing the load among a variety of end users in the network, thereby increasing overall thermal efficiency. This initiative aims to investigate the benefits of networked GHPs in the context of California’s climate, geology, population, and policy landscape.”</w:t>
            </w:r>
            <w:r w:rsidRPr="00FD4717">
              <w:rPr>
                <w:rStyle w:val="FootnoteReference"/>
                <w:rFonts w:ascii="Palatino Linotype" w:hAnsi="Palatino Linotype"/>
                <w:bCs/>
                <w:color w:val="000000" w:themeColor="text1"/>
                <w:sz w:val="20"/>
                <w:szCs w:val="20"/>
              </w:rPr>
              <w:footnoteReference w:id="234"/>
            </w:r>
          </w:p>
        </w:tc>
        <w:tc>
          <w:tcPr>
            <w:tcW w:w="3240" w:type="dxa"/>
          </w:tcPr>
          <w:p w:rsidRPr="00B26164" w:rsidR="002F78F4" w:rsidP="00295E0C" w:rsidRDefault="00AF1E24" w14:paraId="4393DD74" w14:textId="6741E348">
            <w:pPr>
              <w:rPr>
                <w:rFonts w:ascii="Palatino Linotype" w:hAnsi="Palatino Linotype"/>
                <w:b/>
                <w:color w:val="A6A6A6" w:themeColor="background1" w:themeShade="A6"/>
                <w:sz w:val="20"/>
                <w:szCs w:val="20"/>
              </w:rPr>
            </w:pPr>
            <w:r>
              <w:rPr>
                <w:rFonts w:ascii="Palatino Linotype" w:hAnsi="Palatino Linotype"/>
                <w:bCs/>
                <w:sz w:val="20"/>
                <w:szCs w:val="20"/>
              </w:rPr>
              <w:lastRenderedPageBreak/>
              <w:t xml:space="preserve">The </w:t>
            </w:r>
            <w:r w:rsidRPr="00FD4717" w:rsidR="002F78F4">
              <w:rPr>
                <w:rFonts w:ascii="Palatino Linotype" w:hAnsi="Palatino Linotype"/>
                <w:bCs/>
                <w:color w:val="000000" w:themeColor="text1"/>
                <w:sz w:val="20"/>
                <w:szCs w:val="20"/>
              </w:rPr>
              <w:t>CEC demonstrates that it considered the Assembly Bill 3232 report in developing its proposed FY 202</w:t>
            </w:r>
            <w:r w:rsidR="002F78F4">
              <w:rPr>
                <w:rFonts w:ascii="Palatino Linotype" w:hAnsi="Palatino Linotype"/>
                <w:bCs/>
                <w:color w:val="000000" w:themeColor="text1"/>
                <w:sz w:val="20"/>
                <w:szCs w:val="20"/>
              </w:rPr>
              <w:t>5</w:t>
            </w:r>
            <w:r w:rsidRPr="00FD4717"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FD4717" w:rsidR="002F78F4">
              <w:rPr>
                <w:rFonts w:ascii="Palatino Linotype" w:hAnsi="Palatino Linotype"/>
                <w:bCs/>
                <w:color w:val="000000" w:themeColor="text1"/>
                <w:sz w:val="20"/>
                <w:szCs w:val="20"/>
              </w:rPr>
              <w:t xml:space="preserve"> Plan Initiatives.</w:t>
            </w:r>
            <w:r w:rsidRPr="00FD4717" w:rsidR="002F78F4">
              <w:rPr>
                <w:rFonts w:ascii="Palatino Linotype" w:hAnsi="Palatino Linotype"/>
                <w:b/>
                <w:color w:val="000000" w:themeColor="text1"/>
                <w:sz w:val="20"/>
                <w:szCs w:val="20"/>
              </w:rPr>
              <w:t xml:space="preserve"> </w:t>
            </w:r>
            <w:r w:rsidRPr="00AF1E24">
              <w:rPr>
                <w:rFonts w:ascii="Palatino Linotype" w:hAnsi="Palatino Linotype"/>
                <w:b/>
                <w:sz w:val="20"/>
                <w:szCs w:val="20"/>
              </w:rPr>
              <w:t>The</w:t>
            </w:r>
            <w:r>
              <w:rPr>
                <w:rFonts w:ascii="Palatino Linotype" w:hAnsi="Palatino Linotype"/>
                <w:bCs/>
                <w:sz w:val="20"/>
                <w:szCs w:val="20"/>
              </w:rPr>
              <w:t xml:space="preserve"> </w:t>
            </w:r>
            <w:r w:rsidRPr="00FD4717" w:rsidR="002F78F4">
              <w:rPr>
                <w:rFonts w:ascii="Palatino Linotype" w:hAnsi="Palatino Linotype"/>
                <w:b/>
                <w:color w:val="000000" w:themeColor="text1"/>
                <w:sz w:val="20"/>
                <w:szCs w:val="20"/>
              </w:rPr>
              <w:t>CEC is compliant with this requirement.</w:t>
            </w:r>
          </w:p>
        </w:tc>
      </w:tr>
      <w:tr w:rsidR="002F78F4" w:rsidTr="00295E0C" w14:paraId="5191B6FC" w14:textId="77777777">
        <w:trPr>
          <w:trHeight w:val="638"/>
        </w:trPr>
        <w:tc>
          <w:tcPr>
            <w:tcW w:w="3145" w:type="dxa"/>
          </w:tcPr>
          <w:p w:rsidRPr="000A3CEA" w:rsidR="002F78F4" w:rsidP="00295E0C" w:rsidRDefault="002F78F4" w14:paraId="0B2945C7" w14:textId="77777777">
            <w:pPr>
              <w:rPr>
                <w:rFonts w:ascii="Palatino Linotype" w:hAnsi="Palatino Linotype"/>
                <w:sz w:val="20"/>
                <w:szCs w:val="20"/>
              </w:rPr>
            </w:pPr>
            <w:hyperlink w:tgtFrame="_blank" w:history="1" r:id="rId110">
              <w:r w:rsidRPr="001249CD">
                <w:rPr>
                  <w:rStyle w:val="Hyperlink"/>
                  <w:rFonts w:ascii="Palatino Linotype" w:hAnsi="Palatino Linotype"/>
                  <w:b/>
                  <w:bCs/>
                  <w:sz w:val="20"/>
                  <w:szCs w:val="20"/>
                </w:rPr>
                <w:t>Resolution G-3584</w:t>
              </w:r>
            </w:hyperlink>
            <w:r w:rsidRPr="001249CD">
              <w:rPr>
                <w:rFonts w:ascii="Palatino Linotype" w:hAnsi="Palatino Linotype"/>
                <w:sz w:val="20"/>
                <w:szCs w:val="20"/>
              </w:rPr>
              <w:t xml:space="preserve"> (202</w:t>
            </w:r>
            <w:r>
              <w:rPr>
                <w:rFonts w:ascii="Palatino Linotype" w:hAnsi="Palatino Linotype"/>
                <w:sz w:val="20"/>
                <w:szCs w:val="20"/>
              </w:rPr>
              <w:t>1</w:t>
            </w:r>
            <w:r w:rsidRPr="001249CD">
              <w:rPr>
                <w:rFonts w:ascii="Palatino Linotype" w:hAnsi="Palatino Linotype"/>
                <w:sz w:val="20"/>
                <w:szCs w:val="20"/>
              </w:rPr>
              <w:t>) at OP 6.</w:t>
            </w:r>
            <w:r w:rsidRPr="001D476B">
              <w:rPr>
                <w:rFonts w:ascii="Palatino Linotype" w:hAnsi="Palatino Linotype"/>
                <w:sz w:val="20"/>
                <w:szCs w:val="20"/>
              </w:rPr>
              <w:t xml:space="preserve"> </w:t>
            </w:r>
            <w:r w:rsidRPr="001D476B">
              <w:rPr>
                <w:rFonts w:ascii="Palatino Linotype" w:hAnsi="Palatino Linotype"/>
                <w:i/>
                <w:iCs/>
                <w:sz w:val="20"/>
                <w:szCs w:val="20"/>
              </w:rPr>
              <w:t>In developing future Gas R&amp;D plans, the CEC shall: a) Consider the Long-Term Technological Development Strategy to Meet Aggressive Statewide Decarbonization Goals as it becomes available.</w:t>
            </w:r>
          </w:p>
        </w:tc>
        <w:tc>
          <w:tcPr>
            <w:tcW w:w="7920" w:type="dxa"/>
          </w:tcPr>
          <w:p w:rsidRPr="007D4C21" w:rsidR="002F78F4" w:rsidP="00295E0C" w:rsidRDefault="003F5A79" w14:paraId="49669678" w14:textId="70FC6B67">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012C05" w:rsidR="002F78F4">
              <w:rPr>
                <w:rFonts w:ascii="Palatino Linotype" w:hAnsi="Palatino Linotype"/>
                <w:bCs/>
                <w:color w:val="000000" w:themeColor="text1"/>
                <w:sz w:val="20"/>
                <w:szCs w:val="20"/>
              </w:rPr>
              <w:t>CEC that it considered the Long-Term Gas Research Roadmap, titled Recommendations for the Long-Term Gas Research Strategy to Achieve Aggressive Statewide Carbon Neutrality Goals: “The roadmap includes recommendations, which are organized around 11 initiatives pertaining to communities, equity, and environment; gas end use; and gas supply chain, including production, transport, and storage. These recommendations have helped guide Gas R&amp;D planning”.</w:t>
            </w:r>
            <w:r w:rsidRPr="00012C05" w:rsidR="002F78F4">
              <w:rPr>
                <w:rStyle w:val="FootnoteReference"/>
                <w:rFonts w:ascii="Palatino Linotype" w:hAnsi="Palatino Linotype"/>
                <w:bCs/>
                <w:color w:val="000000" w:themeColor="text1"/>
                <w:sz w:val="20"/>
                <w:szCs w:val="20"/>
              </w:rPr>
              <w:footnoteReference w:id="235"/>
            </w:r>
          </w:p>
        </w:tc>
        <w:tc>
          <w:tcPr>
            <w:tcW w:w="3240" w:type="dxa"/>
          </w:tcPr>
          <w:p w:rsidRPr="00FC40EE" w:rsidR="002F78F4" w:rsidP="00295E0C" w:rsidRDefault="003F5A79" w14:paraId="7FA755C1" w14:textId="5F29830A">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012C05" w:rsidR="002F78F4">
              <w:rPr>
                <w:rFonts w:ascii="Palatino Linotype" w:hAnsi="Palatino Linotype"/>
                <w:bCs/>
                <w:color w:val="000000" w:themeColor="text1"/>
                <w:sz w:val="20"/>
                <w:szCs w:val="20"/>
              </w:rPr>
              <w:t>CEC demonstrate</w:t>
            </w:r>
            <w:r w:rsidR="00433F7D">
              <w:rPr>
                <w:rFonts w:ascii="Palatino Linotype" w:hAnsi="Palatino Linotype"/>
                <w:bCs/>
                <w:color w:val="000000" w:themeColor="text1"/>
                <w:sz w:val="20"/>
                <w:szCs w:val="20"/>
              </w:rPr>
              <w:t>s</w:t>
            </w:r>
            <w:r w:rsidRPr="00012C05" w:rsidR="002F78F4">
              <w:rPr>
                <w:rFonts w:ascii="Palatino Linotype" w:hAnsi="Palatino Linotype"/>
                <w:bCs/>
                <w:color w:val="000000" w:themeColor="text1"/>
                <w:sz w:val="20"/>
                <w:szCs w:val="20"/>
              </w:rPr>
              <w:t xml:space="preserve"> that it considered the Long-Term Technological Development Strategy to Meet Aggressive Statewide Decarbonization Goals</w:t>
            </w:r>
            <w:r w:rsidRPr="00012C05" w:rsidR="002F78F4">
              <w:rPr>
                <w:rFonts w:ascii="Palatino Linotype" w:hAnsi="Palatino Linotype"/>
                <w:b/>
                <w:color w:val="000000" w:themeColor="text1"/>
                <w:sz w:val="20"/>
                <w:szCs w:val="20"/>
              </w:rPr>
              <w:t xml:space="preserve"> </w:t>
            </w:r>
            <w:r w:rsidRPr="00012C05" w:rsidR="002F78F4">
              <w:rPr>
                <w:rFonts w:ascii="Palatino Linotype" w:hAnsi="Palatino Linotype"/>
                <w:bCs/>
                <w:color w:val="000000" w:themeColor="text1"/>
                <w:sz w:val="20"/>
                <w:szCs w:val="20"/>
              </w:rPr>
              <w:t>in developing its proposed FY 202</w:t>
            </w:r>
            <w:r w:rsidR="002F78F4">
              <w:rPr>
                <w:rFonts w:ascii="Palatino Linotype" w:hAnsi="Palatino Linotype"/>
                <w:bCs/>
                <w:color w:val="000000" w:themeColor="text1"/>
                <w:sz w:val="20"/>
                <w:szCs w:val="20"/>
              </w:rPr>
              <w:t>5</w:t>
            </w:r>
            <w:r w:rsidRPr="00012C05"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012C05" w:rsidR="002F78F4">
              <w:rPr>
                <w:rFonts w:ascii="Palatino Linotype" w:hAnsi="Palatino Linotype"/>
                <w:bCs/>
                <w:color w:val="000000" w:themeColor="text1"/>
                <w:sz w:val="20"/>
                <w:szCs w:val="20"/>
              </w:rPr>
              <w:t xml:space="preserve"> Plan Initiatives</w:t>
            </w:r>
            <w:r w:rsidRPr="003F5A79" w:rsidR="002F78F4">
              <w:rPr>
                <w:rFonts w:ascii="Palatino Linotype" w:hAnsi="Palatino Linotype"/>
                <w:b/>
                <w:color w:val="000000" w:themeColor="text1"/>
                <w:sz w:val="20"/>
                <w:szCs w:val="20"/>
              </w:rPr>
              <w:t xml:space="preserve">. </w:t>
            </w:r>
            <w:r w:rsidRPr="003F5A79">
              <w:rPr>
                <w:rFonts w:ascii="Palatino Linotype" w:hAnsi="Palatino Linotype"/>
                <w:b/>
                <w:sz w:val="20"/>
                <w:szCs w:val="20"/>
              </w:rPr>
              <w:t>The</w:t>
            </w:r>
            <w:r>
              <w:rPr>
                <w:rFonts w:ascii="Palatino Linotype" w:hAnsi="Palatino Linotype"/>
                <w:bCs/>
                <w:sz w:val="20"/>
                <w:szCs w:val="20"/>
              </w:rPr>
              <w:t xml:space="preserve"> </w:t>
            </w:r>
            <w:r w:rsidRPr="00012C05" w:rsidR="002F78F4">
              <w:rPr>
                <w:rFonts w:ascii="Palatino Linotype" w:hAnsi="Palatino Linotype"/>
                <w:b/>
                <w:color w:val="000000" w:themeColor="text1"/>
                <w:sz w:val="20"/>
                <w:szCs w:val="20"/>
              </w:rPr>
              <w:t>CEC is compliant with this requirement.</w:t>
            </w:r>
          </w:p>
        </w:tc>
      </w:tr>
      <w:tr w:rsidR="000E561B" w:rsidTr="00295E0C" w14:paraId="22F2684D" w14:textId="77777777">
        <w:trPr>
          <w:trHeight w:val="638"/>
        </w:trPr>
        <w:tc>
          <w:tcPr>
            <w:tcW w:w="3145" w:type="dxa"/>
          </w:tcPr>
          <w:p w:rsidR="000E561B" w:rsidP="00295E0C" w:rsidRDefault="000E561B" w14:paraId="05328089" w14:textId="6E70E150">
            <w:hyperlink r:id="rId111">
              <w:r w:rsidRPr="009459B9">
                <w:rPr>
                  <w:rStyle w:val="Hyperlink"/>
                  <w:rFonts w:ascii="Palatino Linotype" w:hAnsi="Palatino Linotype"/>
                  <w:b/>
                  <w:bCs/>
                  <w:sz w:val="20"/>
                  <w:szCs w:val="20"/>
                </w:rPr>
                <w:t>Resolution G-3592</w:t>
              </w:r>
            </w:hyperlink>
            <w:r w:rsidRPr="009459B9">
              <w:rPr>
                <w:rFonts w:ascii="Palatino Linotype" w:hAnsi="Palatino Linotype"/>
                <w:b/>
                <w:bCs/>
                <w:sz w:val="20"/>
                <w:szCs w:val="20"/>
              </w:rPr>
              <w:t xml:space="preserve"> </w:t>
            </w:r>
            <w:r w:rsidRPr="009459B9">
              <w:rPr>
                <w:rFonts w:ascii="Palatino Linotype" w:hAnsi="Palatino Linotype"/>
                <w:sz w:val="20"/>
                <w:szCs w:val="20"/>
              </w:rPr>
              <w:t>(2023) at OP</w:t>
            </w:r>
            <w:r>
              <w:rPr>
                <w:rFonts w:ascii="Palatino Linotype" w:hAnsi="Palatino Linotype"/>
                <w:sz w:val="20"/>
                <w:szCs w:val="20"/>
              </w:rPr>
              <w:t xml:space="preserve"> 2. </w:t>
            </w:r>
            <w:r w:rsidRPr="00B47E24">
              <w:rPr>
                <w:rFonts w:ascii="Palatino Linotype" w:hAnsi="Palatino Linotype"/>
                <w:i/>
                <w:iCs/>
                <w:sz w:val="20"/>
                <w:szCs w:val="20"/>
              </w:rPr>
              <w:t xml:space="preserve">The CEC’s administrative budget </w:t>
            </w:r>
            <w:r w:rsidRPr="00B47E24">
              <w:rPr>
                <w:rFonts w:ascii="Palatino Linotype" w:hAnsi="Palatino Linotype"/>
                <w:i/>
                <w:iCs/>
                <w:sz w:val="20"/>
                <w:szCs w:val="20"/>
              </w:rPr>
              <w:lastRenderedPageBreak/>
              <w:t>is capped at 10 percent of the total budget of $24 million, or $2.4 million.</w:t>
            </w:r>
          </w:p>
        </w:tc>
        <w:tc>
          <w:tcPr>
            <w:tcW w:w="7920" w:type="dxa"/>
          </w:tcPr>
          <w:p w:rsidRPr="00D333FA" w:rsidR="000E561B" w:rsidP="00295E0C" w:rsidRDefault="000E561B" w14:paraId="7D79B326" w14:textId="499B1F70">
            <w:pPr>
              <w:rPr>
                <w:rFonts w:ascii="Palatino Linotype" w:hAnsi="Palatino Linotype"/>
                <w:bCs/>
                <w:color w:val="000000" w:themeColor="text1"/>
                <w:sz w:val="20"/>
                <w:szCs w:val="20"/>
              </w:rPr>
            </w:pPr>
            <w:r>
              <w:rPr>
                <w:rFonts w:ascii="Palatino Linotype" w:hAnsi="Palatino Linotype"/>
                <w:bCs/>
                <w:sz w:val="20"/>
                <w:szCs w:val="20"/>
              </w:rPr>
              <w:lastRenderedPageBreak/>
              <w:t>The</w:t>
            </w:r>
            <w:r w:rsidRPr="007E2219">
              <w:rPr>
                <w:rFonts w:ascii="Palatino Linotype" w:hAnsi="Palatino Linotype"/>
                <w:bCs/>
                <w:color w:val="000000" w:themeColor="text1"/>
                <w:sz w:val="20"/>
                <w:szCs w:val="20"/>
              </w:rPr>
              <w:t xml:space="preserve"> CEC proposes a total FY</w:t>
            </w:r>
            <w:r>
              <w:rPr>
                <w:rFonts w:ascii="Palatino Linotype" w:hAnsi="Palatino Linotype"/>
                <w:bCs/>
                <w:color w:val="000000" w:themeColor="text1"/>
                <w:sz w:val="20"/>
                <w:szCs w:val="20"/>
              </w:rPr>
              <w:t xml:space="preserve"> </w:t>
            </w:r>
            <w:r w:rsidRPr="007E2219">
              <w:rPr>
                <w:rFonts w:ascii="Palatino Linotype" w:hAnsi="Palatino Linotype"/>
                <w:bCs/>
                <w:color w:val="000000" w:themeColor="text1"/>
                <w:sz w:val="20"/>
                <w:szCs w:val="20"/>
              </w:rPr>
              <w:t>202</w:t>
            </w:r>
            <w:r>
              <w:rPr>
                <w:rFonts w:ascii="Palatino Linotype" w:hAnsi="Palatino Linotype"/>
                <w:bCs/>
                <w:color w:val="000000" w:themeColor="text1"/>
                <w:sz w:val="20"/>
                <w:szCs w:val="20"/>
              </w:rPr>
              <w:t>5</w:t>
            </w:r>
            <w:r w:rsidRPr="007E2219">
              <w:rPr>
                <w:rFonts w:ascii="Palatino Linotype" w:hAnsi="Palatino Linotype"/>
                <w:bCs/>
                <w:color w:val="000000" w:themeColor="text1"/>
                <w:sz w:val="20"/>
                <w:szCs w:val="20"/>
              </w:rPr>
              <w:t>-202</w:t>
            </w:r>
            <w:r>
              <w:rPr>
                <w:rFonts w:ascii="Palatino Linotype" w:hAnsi="Palatino Linotype"/>
                <w:bCs/>
                <w:color w:val="000000" w:themeColor="text1"/>
                <w:sz w:val="20"/>
                <w:szCs w:val="20"/>
              </w:rPr>
              <w:t>6</w:t>
            </w:r>
            <w:r w:rsidRPr="007E2219">
              <w:rPr>
                <w:rFonts w:ascii="Palatino Linotype" w:hAnsi="Palatino Linotype"/>
                <w:bCs/>
                <w:color w:val="000000" w:themeColor="text1"/>
                <w:sz w:val="20"/>
                <w:szCs w:val="20"/>
              </w:rPr>
              <w:t xml:space="preserve"> Plan budget of $24 million, including </w:t>
            </w:r>
            <w:r w:rsidR="0072550A">
              <w:rPr>
                <w:rFonts w:ascii="Palatino Linotype" w:hAnsi="Palatino Linotype"/>
                <w:bCs/>
                <w:color w:val="000000" w:themeColor="text1"/>
                <w:sz w:val="20"/>
                <w:szCs w:val="20"/>
              </w:rPr>
              <w:t xml:space="preserve">10% for </w:t>
            </w:r>
            <w:r w:rsidRPr="007E2219">
              <w:rPr>
                <w:rFonts w:ascii="Palatino Linotype" w:hAnsi="Palatino Linotype"/>
                <w:bCs/>
                <w:color w:val="000000" w:themeColor="text1"/>
                <w:sz w:val="20"/>
                <w:szCs w:val="20"/>
              </w:rPr>
              <w:t>Program Administration costs.</w:t>
            </w:r>
            <w:r>
              <w:rPr>
                <w:rStyle w:val="FootnoteReference"/>
                <w:rFonts w:ascii="Palatino Linotype" w:hAnsi="Palatino Linotype"/>
                <w:bCs/>
                <w:color w:val="000000" w:themeColor="text1"/>
                <w:sz w:val="20"/>
                <w:szCs w:val="20"/>
              </w:rPr>
              <w:footnoteReference w:id="236"/>
            </w:r>
          </w:p>
        </w:tc>
        <w:tc>
          <w:tcPr>
            <w:tcW w:w="3240" w:type="dxa"/>
          </w:tcPr>
          <w:p w:rsidRPr="00954F55" w:rsidR="000E561B" w:rsidP="00295E0C" w:rsidRDefault="000E561B" w14:paraId="40DABF87" w14:textId="2B268C33">
            <w:pPr>
              <w:rPr>
                <w:rFonts w:ascii="Palatino Linotype" w:hAnsi="Palatino Linotype"/>
                <w:bCs/>
                <w:color w:val="000000" w:themeColor="text1"/>
                <w:sz w:val="20"/>
                <w:szCs w:val="20"/>
              </w:rPr>
            </w:pPr>
            <w:r>
              <w:rPr>
                <w:rFonts w:ascii="Palatino Linotype" w:hAnsi="Palatino Linotype"/>
                <w:bCs/>
                <w:sz w:val="20"/>
                <w:szCs w:val="20"/>
              </w:rPr>
              <w:t>The</w:t>
            </w:r>
            <w:r w:rsidRPr="00157B1E">
              <w:rPr>
                <w:rFonts w:ascii="Palatino Linotype" w:hAnsi="Palatino Linotype"/>
                <w:bCs/>
                <w:sz w:val="20"/>
                <w:szCs w:val="20"/>
              </w:rPr>
              <w:t xml:space="preserve"> CEC propos</w:t>
            </w:r>
            <w:r>
              <w:rPr>
                <w:rFonts w:ascii="Palatino Linotype" w:hAnsi="Palatino Linotype"/>
                <w:bCs/>
                <w:sz w:val="20"/>
                <w:szCs w:val="20"/>
              </w:rPr>
              <w:t xml:space="preserve">es a $2.4 million budget for Program </w:t>
            </w:r>
            <w:r>
              <w:rPr>
                <w:rFonts w:ascii="Palatino Linotype" w:hAnsi="Palatino Linotype"/>
                <w:bCs/>
                <w:sz w:val="20"/>
                <w:szCs w:val="20"/>
              </w:rPr>
              <w:lastRenderedPageBreak/>
              <w:t>Administration</w:t>
            </w:r>
            <w:r w:rsidRPr="00157B1E">
              <w:rPr>
                <w:rFonts w:ascii="Palatino Linotype" w:hAnsi="Palatino Linotype"/>
                <w:bCs/>
                <w:sz w:val="20"/>
                <w:szCs w:val="20"/>
              </w:rPr>
              <w:t>.</w:t>
            </w:r>
            <w:r w:rsidRPr="00D159FC">
              <w:rPr>
                <w:rFonts w:ascii="Palatino Linotype" w:hAnsi="Palatino Linotype"/>
                <w:b/>
                <w:sz w:val="20"/>
                <w:szCs w:val="20"/>
              </w:rPr>
              <w:t xml:space="preserve"> The</w:t>
            </w:r>
            <w:r w:rsidRPr="0059169E">
              <w:rPr>
                <w:rFonts w:ascii="Palatino Linotype" w:hAnsi="Palatino Linotype"/>
                <w:b/>
                <w:sz w:val="20"/>
                <w:szCs w:val="20"/>
              </w:rPr>
              <w:t xml:space="preserve"> CEC is compliant with this requirement</w:t>
            </w:r>
            <w:r w:rsidRPr="00072867">
              <w:rPr>
                <w:rFonts w:ascii="Palatino Linotype" w:hAnsi="Palatino Linotype"/>
                <w:b/>
                <w:color w:val="000000" w:themeColor="text1"/>
                <w:sz w:val="20"/>
                <w:szCs w:val="20"/>
              </w:rPr>
              <w:t xml:space="preserve">. </w:t>
            </w:r>
            <w:r w:rsidRPr="00072867">
              <w:rPr>
                <w:rFonts w:ascii="Palatino Linotype" w:hAnsi="Palatino Linotype"/>
                <w:bCs/>
                <w:color w:val="000000" w:themeColor="text1"/>
                <w:sz w:val="20"/>
                <w:szCs w:val="20"/>
              </w:rPr>
              <w:t xml:space="preserve">However, </w:t>
            </w:r>
            <w:r>
              <w:rPr>
                <w:rFonts w:ascii="Palatino Linotype" w:hAnsi="Palatino Linotype"/>
                <w:bCs/>
                <w:color w:val="000000" w:themeColor="text1"/>
                <w:sz w:val="20"/>
                <w:szCs w:val="20"/>
              </w:rPr>
              <w:t>t</w:t>
            </w:r>
            <w:r>
              <w:rPr>
                <w:rFonts w:ascii="Palatino Linotype" w:hAnsi="Palatino Linotype"/>
                <w:bCs/>
                <w:sz w:val="20"/>
                <w:szCs w:val="20"/>
              </w:rPr>
              <w:t>he</w:t>
            </w:r>
            <w:r w:rsidRPr="004627A0">
              <w:rPr>
                <w:rFonts w:ascii="Palatino Linotype" w:hAnsi="Palatino Linotype"/>
                <w:color w:val="000000" w:themeColor="text1"/>
                <w:sz w:val="20"/>
                <w:szCs w:val="20"/>
              </w:rPr>
              <w:t xml:space="preserve"> CEC </w:t>
            </w:r>
            <w:r>
              <w:rPr>
                <w:rFonts w:ascii="Palatino Linotype" w:hAnsi="Palatino Linotype"/>
                <w:color w:val="000000" w:themeColor="text1"/>
                <w:sz w:val="20"/>
                <w:szCs w:val="20"/>
              </w:rPr>
              <w:t>shall first utilize unspent funds prior to any new ratepayer funds for its 2025 Plan as described in this Resolution.</w:t>
            </w:r>
          </w:p>
        </w:tc>
      </w:tr>
      <w:tr w:rsidR="002F78F4" w:rsidTr="00295E0C" w14:paraId="3CB4CE7D" w14:textId="77777777">
        <w:trPr>
          <w:trHeight w:val="638"/>
        </w:trPr>
        <w:tc>
          <w:tcPr>
            <w:tcW w:w="3145" w:type="dxa"/>
          </w:tcPr>
          <w:p w:rsidRPr="00E7529D" w:rsidR="002F78F4" w:rsidP="00295E0C" w:rsidRDefault="002F78F4" w14:paraId="5E25D4B6" w14:textId="77777777">
            <w:pPr>
              <w:rPr>
                <w:rFonts w:ascii="Palatino Linotype" w:hAnsi="Palatino Linotype"/>
                <w:sz w:val="20"/>
                <w:szCs w:val="20"/>
              </w:rPr>
            </w:pPr>
            <w:hyperlink r:id="rId112">
              <w:r w:rsidRPr="00FC40EE">
                <w:rPr>
                  <w:rStyle w:val="Hyperlink"/>
                  <w:rFonts w:ascii="Palatino Linotype" w:hAnsi="Palatino Linotype"/>
                  <w:b/>
                  <w:bCs/>
                  <w:sz w:val="20"/>
                  <w:szCs w:val="20"/>
                </w:rPr>
                <w:t>Resolution G-3592</w:t>
              </w:r>
            </w:hyperlink>
            <w:r w:rsidRPr="00FC40EE">
              <w:rPr>
                <w:rFonts w:ascii="Palatino Linotype" w:hAnsi="Palatino Linotype"/>
                <w:b/>
                <w:bCs/>
                <w:sz w:val="20"/>
                <w:szCs w:val="20"/>
              </w:rPr>
              <w:t xml:space="preserve"> </w:t>
            </w:r>
            <w:r w:rsidRPr="00FC40EE">
              <w:rPr>
                <w:rFonts w:ascii="Palatino Linotype" w:hAnsi="Palatino Linotype"/>
                <w:sz w:val="20"/>
                <w:szCs w:val="20"/>
              </w:rPr>
              <w:t>(2023) at OP 5a.</w:t>
            </w:r>
            <w:r w:rsidRPr="3F09D30F">
              <w:rPr>
                <w:rFonts w:ascii="Palatino Linotype" w:hAnsi="Palatino Linotype"/>
                <w:i/>
                <w:iCs/>
                <w:sz w:val="20"/>
                <w:szCs w:val="20"/>
              </w:rPr>
              <w:t xml:space="preserve"> </w:t>
            </w:r>
            <w:r>
              <w:rPr>
                <w:rFonts w:ascii="Palatino Linotype" w:hAnsi="Palatino Linotype"/>
                <w:i/>
                <w:iCs/>
                <w:sz w:val="20"/>
                <w:szCs w:val="20"/>
              </w:rPr>
              <w:t>I</w:t>
            </w:r>
            <w:r w:rsidRPr="3F09D30F">
              <w:rPr>
                <w:rFonts w:ascii="Palatino Linotype" w:hAnsi="Palatino Linotype"/>
                <w:i/>
                <w:iCs/>
                <w:sz w:val="20"/>
                <w:szCs w:val="20"/>
              </w:rPr>
              <w:t>dentify and engage appropriate disadvantaged community stakeholders to provide increased input on how to administer the program equitably. The CEC shall include details on how disadvantaged community stakeholders and DACAG input was incorporated into each Gas R&amp;D theme, as relevant to their input.</w:t>
            </w:r>
          </w:p>
        </w:tc>
        <w:tc>
          <w:tcPr>
            <w:tcW w:w="7920" w:type="dxa"/>
          </w:tcPr>
          <w:p w:rsidR="002F78F4" w:rsidP="00295E0C" w:rsidRDefault="002F78F4" w14:paraId="6C5E2AEC" w14:textId="779157E3">
            <w:pPr>
              <w:rPr>
                <w:rFonts w:ascii="Palatino Linotype" w:hAnsi="Palatino Linotype"/>
                <w:bCs/>
                <w:color w:val="000000" w:themeColor="text1"/>
                <w:sz w:val="20"/>
                <w:szCs w:val="20"/>
              </w:rPr>
            </w:pPr>
            <w:r w:rsidRPr="00D333FA">
              <w:rPr>
                <w:rFonts w:ascii="Palatino Linotype" w:hAnsi="Palatino Linotype"/>
                <w:bCs/>
                <w:color w:val="000000" w:themeColor="text1"/>
                <w:sz w:val="20"/>
                <w:szCs w:val="20"/>
              </w:rPr>
              <w:t xml:space="preserve">In an Equity Framework Matrix, </w:t>
            </w:r>
            <w:r w:rsidR="003F5A79">
              <w:rPr>
                <w:rFonts w:ascii="Palatino Linotype" w:hAnsi="Palatino Linotype"/>
                <w:bCs/>
                <w:color w:val="000000" w:themeColor="text1"/>
                <w:sz w:val="20"/>
                <w:szCs w:val="20"/>
              </w:rPr>
              <w:t xml:space="preserve">the </w:t>
            </w:r>
            <w:r w:rsidRPr="00D333FA">
              <w:rPr>
                <w:rFonts w:ascii="Palatino Linotype" w:hAnsi="Palatino Linotype"/>
                <w:bCs/>
                <w:color w:val="000000" w:themeColor="text1"/>
                <w:sz w:val="20"/>
                <w:szCs w:val="20"/>
              </w:rPr>
              <w:t>CEC identifies the direct and indirect Health &amp; Safety; Access &amp; Education; Financial; and Economic Development benefits across RD&amp;D Topics.</w:t>
            </w:r>
            <w:r w:rsidRPr="00D333FA">
              <w:rPr>
                <w:rStyle w:val="FootnoteReference"/>
                <w:rFonts w:ascii="Palatino Linotype" w:hAnsi="Palatino Linotype"/>
                <w:bCs/>
                <w:color w:val="000000" w:themeColor="text1"/>
                <w:sz w:val="20"/>
                <w:szCs w:val="20"/>
              </w:rPr>
              <w:footnoteReference w:id="237"/>
            </w:r>
            <w:r w:rsidRPr="00D333FA">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C27EA8">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Pr="00C27EA8">
              <w:rPr>
                <w:rStyle w:val="FootnoteReference"/>
                <w:rFonts w:ascii="Palatino Linotype" w:hAnsi="Palatino Linotype"/>
                <w:bCs/>
                <w:color w:val="000000" w:themeColor="text1"/>
                <w:sz w:val="20"/>
                <w:szCs w:val="20"/>
              </w:rPr>
              <w:footnoteReference w:id="238"/>
            </w:r>
            <w:r w:rsidRPr="00C27EA8">
              <w:rPr>
                <w:rFonts w:ascii="Palatino Linotype" w:hAnsi="Palatino Linotype"/>
                <w:bCs/>
                <w:color w:val="000000" w:themeColor="text1"/>
                <w:sz w:val="20"/>
                <w:szCs w:val="20"/>
              </w:rPr>
              <w:t xml:space="preserve"> including coordination with the DACAG. </w:t>
            </w:r>
            <w:r w:rsidRPr="003000FE">
              <w:rPr>
                <w:rFonts w:ascii="Palatino Linotype" w:hAnsi="Palatino Linotype"/>
                <w:bCs/>
                <w:color w:val="000000" w:themeColor="text1"/>
                <w:sz w:val="20"/>
                <w:szCs w:val="20"/>
              </w:rPr>
              <w:t>CEC describes its Equitable Program Administration, including “CEC DACAG liaisons [supporting] technical staff in informing funding and focal areas and identifying engagement opportunities with the DACAG.”</w:t>
            </w:r>
            <w:r w:rsidRPr="003000FE">
              <w:rPr>
                <w:rStyle w:val="FootnoteReference"/>
                <w:rFonts w:ascii="Palatino Linotype" w:hAnsi="Palatino Linotype"/>
                <w:bCs/>
                <w:color w:val="000000" w:themeColor="text1"/>
                <w:sz w:val="20"/>
                <w:szCs w:val="20"/>
              </w:rPr>
              <w:footnoteReference w:id="239"/>
            </w:r>
            <w:r w:rsidRPr="003000FE">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293C97">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lists the following equity-centered </w:t>
            </w:r>
            <w:r w:rsidRPr="00AE2985">
              <w:rPr>
                <w:rFonts w:ascii="Palatino Linotype" w:hAnsi="Palatino Linotype"/>
                <w:bCs/>
                <w:color w:val="000000" w:themeColor="text1"/>
                <w:sz w:val="20"/>
                <w:szCs w:val="20"/>
              </w:rPr>
              <w:t xml:space="preserve">outreach efforts: </w:t>
            </w:r>
          </w:p>
          <w:p w:rsidR="002F78F4" w:rsidP="00295E0C" w:rsidRDefault="002F78F4" w14:paraId="73A193A5" w14:textId="77777777">
            <w:pPr>
              <w:pStyle w:val="ListParagraph"/>
              <w:numPr>
                <w:ilvl w:val="0"/>
                <w:numId w:val="30"/>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“Requesting comments to elicit public input on how to center equity in the proposed initiatives in the 2025–2026 Gas R&amp;D Program following the February 7, 2025, public workshop.” </w:t>
            </w:r>
          </w:p>
          <w:p w:rsidR="002F78F4" w:rsidP="00295E0C" w:rsidRDefault="002F78F4" w14:paraId="18AA2125" w14:textId="77777777">
            <w:pPr>
              <w:pStyle w:val="ListParagraph"/>
              <w:numPr>
                <w:ilvl w:val="0"/>
                <w:numId w:val="30"/>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“Briefing DACAG SMEs on the initial list of proposed initiatives August 19, 2024</w:t>
            </w:r>
            <w:r>
              <w:rPr>
                <w:rFonts w:ascii="Palatino Linotype" w:hAnsi="Palatino Linotype"/>
                <w:bCs/>
                <w:color w:val="000000" w:themeColor="text1"/>
                <w:sz w:val="20"/>
                <w:szCs w:val="20"/>
              </w:rPr>
              <w:t>”</w:t>
            </w:r>
            <w:r w:rsidRPr="003D6A8D">
              <w:rPr>
                <w:rFonts w:ascii="Palatino Linotype" w:hAnsi="Palatino Linotype"/>
                <w:bCs/>
                <w:color w:val="000000" w:themeColor="text1"/>
                <w:sz w:val="20"/>
                <w:szCs w:val="20"/>
              </w:rPr>
              <w:t xml:space="preserve"> </w:t>
            </w:r>
          </w:p>
          <w:p w:rsidR="002F78F4" w:rsidP="00295E0C" w:rsidRDefault="002F78F4" w14:paraId="51C65A30" w14:textId="77777777">
            <w:pPr>
              <w:pStyle w:val="ListParagraph"/>
              <w:numPr>
                <w:ilvl w:val="0"/>
                <w:numId w:val="30"/>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“Presenting and soliciting feedback on the proposed initiatives of the Gas R&amp;D Program and the proposed equity engagement approach at the DACAG meeting January 17, 2025.” CEC details and responds to feedback from the DACAG in Appendix D.</w:t>
            </w:r>
            <w:r>
              <w:rPr>
                <w:rStyle w:val="FootnoteReference"/>
                <w:rFonts w:ascii="Palatino Linotype" w:hAnsi="Palatino Linotype"/>
                <w:bCs/>
                <w:color w:val="000000" w:themeColor="text1"/>
                <w:sz w:val="20"/>
                <w:szCs w:val="20"/>
              </w:rPr>
              <w:footnoteReference w:id="240"/>
            </w:r>
          </w:p>
          <w:p w:rsidRPr="003D6A8D" w:rsidR="002F78F4" w:rsidP="00295E0C" w:rsidRDefault="002F78F4" w14:paraId="417EC3CC" w14:textId="77777777">
            <w:pPr>
              <w:pStyle w:val="ListParagraph"/>
              <w:numPr>
                <w:ilvl w:val="0"/>
                <w:numId w:val="30"/>
              </w:numPr>
              <w:rPr>
                <w:rFonts w:ascii="Palatino Linotype" w:hAnsi="Palatino Linotype"/>
                <w:bCs/>
                <w:color w:val="000000" w:themeColor="text1"/>
                <w:sz w:val="20"/>
                <w:szCs w:val="20"/>
              </w:rPr>
            </w:pPr>
            <w:r>
              <w:rPr>
                <w:rFonts w:ascii="Palatino Linotype" w:hAnsi="Palatino Linotype"/>
                <w:bCs/>
                <w:color w:val="000000" w:themeColor="text1"/>
                <w:sz w:val="20"/>
                <w:szCs w:val="20"/>
              </w:rPr>
              <w:t>“</w:t>
            </w:r>
            <w:r w:rsidRPr="003D6A8D">
              <w:rPr>
                <w:rFonts w:ascii="Palatino Linotype" w:hAnsi="Palatino Linotype"/>
                <w:bCs/>
                <w:color w:val="000000" w:themeColor="text1"/>
                <w:sz w:val="20"/>
                <w:szCs w:val="20"/>
              </w:rPr>
              <w:t xml:space="preserve">Presenting and soliciting feedback on the proposed initiatives of the Gas R&amp;D Program at an environmental justice roundtable October 11, 2024, with </w:t>
            </w:r>
            <w:r w:rsidRPr="003D6A8D">
              <w:rPr>
                <w:rFonts w:ascii="Palatino Linotype" w:hAnsi="Palatino Linotype"/>
                <w:bCs/>
                <w:color w:val="000000" w:themeColor="text1"/>
                <w:sz w:val="20"/>
                <w:szCs w:val="20"/>
              </w:rPr>
              <w:lastRenderedPageBreak/>
              <w:t>representatives from seven organizations.”</w:t>
            </w:r>
            <w:r>
              <w:rPr>
                <w:rStyle w:val="FootnoteReference"/>
                <w:rFonts w:ascii="Palatino Linotype" w:hAnsi="Palatino Linotype"/>
                <w:bCs/>
                <w:color w:val="000000" w:themeColor="text1"/>
                <w:sz w:val="20"/>
                <w:szCs w:val="20"/>
              </w:rPr>
              <w:footnoteReference w:id="241"/>
            </w:r>
            <w:r w:rsidRPr="003D6A8D">
              <w:rPr>
                <w:rFonts w:ascii="Palatino Linotype" w:hAnsi="Palatino Linotype"/>
                <w:bCs/>
                <w:color w:val="000000" w:themeColor="text1"/>
                <w:sz w:val="20"/>
                <w:szCs w:val="20"/>
              </w:rPr>
              <w:t xml:space="preserve"> CEC details and responds to feedback from this roundtable in Appendix D.</w:t>
            </w:r>
            <w:r>
              <w:rPr>
                <w:rStyle w:val="FootnoteReference"/>
                <w:rFonts w:ascii="Palatino Linotype" w:hAnsi="Palatino Linotype"/>
                <w:bCs/>
                <w:color w:val="000000" w:themeColor="text1"/>
                <w:sz w:val="20"/>
                <w:szCs w:val="20"/>
              </w:rPr>
              <w:footnoteReference w:id="242"/>
            </w:r>
          </w:p>
          <w:p w:rsidRPr="006D6056" w:rsidR="002F78F4" w:rsidP="00295E0C" w:rsidRDefault="002F78F4" w14:paraId="372A3337" w14:textId="2350CEF1">
            <w:pPr>
              <w:rPr>
                <w:rFonts w:ascii="Palatino Linotype" w:hAnsi="Palatino Linotype"/>
                <w:bCs/>
                <w:color w:val="000000" w:themeColor="text1"/>
                <w:sz w:val="20"/>
                <w:szCs w:val="20"/>
              </w:rPr>
            </w:pPr>
            <w:r w:rsidRPr="006D6056">
              <w:rPr>
                <w:rFonts w:ascii="Palatino Linotype" w:hAnsi="Palatino Linotype"/>
                <w:b/>
                <w:color w:val="000000" w:themeColor="text1"/>
                <w:sz w:val="20"/>
                <w:szCs w:val="20"/>
              </w:rPr>
              <w:t xml:space="preserve">    </w:t>
            </w:r>
            <w:r w:rsidRPr="001249CD">
              <w:rPr>
                <w:rFonts w:ascii="Palatino Linotype" w:hAnsi="Palatino Linotype"/>
                <w:b/>
                <w:color w:val="000000" w:themeColor="text1"/>
                <w:sz w:val="20"/>
                <w:szCs w:val="20"/>
              </w:rPr>
              <w:t>1.</w:t>
            </w:r>
            <w:r w:rsidRPr="006D6056">
              <w:rPr>
                <w:rFonts w:ascii="Palatino Linotype" w:hAnsi="Palatino Linotype"/>
                <w:bCs/>
                <w:color w:val="000000" w:themeColor="text1"/>
                <w:sz w:val="20"/>
                <w:szCs w:val="20"/>
              </w:rPr>
              <w:t xml:space="preserve"> Social Science Research for Gas Decommissioning in the Mid and Long Term: </w:t>
            </w:r>
            <w:r w:rsidR="003F5A79">
              <w:rPr>
                <w:rFonts w:ascii="Palatino Linotype" w:hAnsi="Palatino Linotype"/>
                <w:bCs/>
                <w:sz w:val="20"/>
                <w:szCs w:val="20"/>
              </w:rPr>
              <w:t xml:space="preserve">The </w:t>
            </w:r>
            <w:r w:rsidRPr="006D6056">
              <w:rPr>
                <w:rFonts w:ascii="Palatino Linotype" w:hAnsi="Palatino Linotype"/>
                <w:bCs/>
                <w:color w:val="000000" w:themeColor="text1"/>
                <w:sz w:val="20"/>
                <w:szCs w:val="20"/>
              </w:rPr>
              <w:t>CEC affirms a shared interest with the DACAG in supporting equitable neighborhood-scale decommissioning while addressing the obligation to serve as this Initiative includes "research that estimates the degree and societal distribution of potential energy cost effects associated with gas decommissioning</w:t>
            </w:r>
            <w:r>
              <w:rPr>
                <w:rFonts w:ascii="Palatino Linotype" w:hAnsi="Palatino Linotype"/>
                <w:bCs/>
                <w:color w:val="000000" w:themeColor="text1"/>
                <w:sz w:val="20"/>
                <w:szCs w:val="20"/>
              </w:rPr>
              <w:t>.</w:t>
            </w:r>
            <w:r w:rsidRPr="006D6056">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43"/>
            </w:r>
            <w:r w:rsidRPr="006D6056">
              <w:rPr>
                <w:rFonts w:ascii="Palatino Linotype" w:hAnsi="Palatino Linotype"/>
                <w:bCs/>
                <w:color w:val="000000" w:themeColor="text1"/>
                <w:sz w:val="20"/>
                <w:szCs w:val="20"/>
              </w:rPr>
              <w:t xml:space="preserve"> The DACAG also  expressed interest in </w:t>
            </w:r>
            <w:r w:rsidR="003F5A79">
              <w:rPr>
                <w:rFonts w:ascii="Palatino Linotype" w:hAnsi="Palatino Linotype"/>
                <w:bCs/>
                <w:color w:val="000000" w:themeColor="text1"/>
                <w:sz w:val="20"/>
                <w:szCs w:val="20"/>
              </w:rPr>
              <w:t xml:space="preserve">the </w:t>
            </w:r>
            <w:r w:rsidRPr="006D6056">
              <w:rPr>
                <w:rFonts w:ascii="Palatino Linotype" w:hAnsi="Palatino Linotype"/>
                <w:bCs/>
                <w:color w:val="000000" w:themeColor="text1"/>
                <w:sz w:val="20"/>
                <w:szCs w:val="20"/>
              </w:rPr>
              <w:t>CEC gathering "data on actual savings to updated modeled/projected bill impacts"</w:t>
            </w:r>
            <w:r>
              <w:rPr>
                <w:rStyle w:val="FootnoteReference"/>
                <w:rFonts w:ascii="Palatino Linotype" w:hAnsi="Palatino Linotype"/>
                <w:bCs/>
                <w:color w:val="000000" w:themeColor="text1"/>
                <w:sz w:val="20"/>
                <w:szCs w:val="20"/>
              </w:rPr>
              <w:footnoteReference w:id="244"/>
            </w:r>
            <w:r w:rsidRPr="006D6056">
              <w:rPr>
                <w:rFonts w:ascii="Palatino Linotype" w:hAnsi="Palatino Linotype"/>
                <w:bCs/>
                <w:color w:val="000000" w:themeColor="text1"/>
                <w:sz w:val="20"/>
                <w:szCs w:val="20"/>
              </w:rPr>
              <w:t xml:space="preserve"> and </w:t>
            </w:r>
            <w:r w:rsidR="003F5A79">
              <w:rPr>
                <w:rFonts w:ascii="Palatino Linotype" w:hAnsi="Palatino Linotype"/>
                <w:bCs/>
                <w:color w:val="000000" w:themeColor="text1"/>
                <w:sz w:val="20"/>
                <w:szCs w:val="20"/>
              </w:rPr>
              <w:t xml:space="preserve">the </w:t>
            </w:r>
            <w:r w:rsidRPr="006D6056">
              <w:rPr>
                <w:rFonts w:ascii="Palatino Linotype" w:hAnsi="Palatino Linotype"/>
                <w:bCs/>
                <w:color w:val="000000" w:themeColor="text1"/>
                <w:sz w:val="20"/>
                <w:szCs w:val="20"/>
              </w:rPr>
              <w:t>CEC states that this Initiative would promote affordability by "[providing] information to planners on costs and risks of different decommissioning pathways, supporting decisions on transition pathway management and on setting gas and electricity rates</w:t>
            </w:r>
            <w:r>
              <w:rPr>
                <w:rFonts w:ascii="Palatino Linotype" w:hAnsi="Palatino Linotype"/>
                <w:bCs/>
                <w:color w:val="000000" w:themeColor="text1"/>
                <w:sz w:val="20"/>
                <w:szCs w:val="20"/>
              </w:rPr>
              <w:t>.</w:t>
            </w:r>
            <w:r w:rsidRPr="006D6056">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45"/>
            </w:r>
            <w:r w:rsidRPr="006D6056">
              <w:rPr>
                <w:rFonts w:ascii="Palatino Linotype" w:hAnsi="Palatino Linotype"/>
                <w:bCs/>
                <w:color w:val="000000" w:themeColor="text1"/>
                <w:sz w:val="20"/>
                <w:szCs w:val="20"/>
              </w:rPr>
              <w:t xml:space="preserve"> </w:t>
            </w:r>
          </w:p>
          <w:p w:rsidRPr="00125748" w:rsidR="002F78F4" w:rsidP="00295E0C" w:rsidRDefault="002F78F4" w14:paraId="68FB911B" w14:textId="05F80F63">
            <w:pPr>
              <w:rPr>
                <w:rFonts w:ascii="Palatino Linotype" w:hAnsi="Palatino Linotype"/>
                <w:bCs/>
                <w:color w:val="000000" w:themeColor="text1"/>
                <w:sz w:val="20"/>
                <w:szCs w:val="20"/>
              </w:rPr>
            </w:pPr>
            <w:r w:rsidRPr="00D571B3">
              <w:rPr>
                <w:rFonts w:ascii="Palatino Linotype" w:hAnsi="Palatino Linotype"/>
                <w:b/>
                <w:color w:val="A6A6A6" w:themeColor="background1" w:themeShade="A6"/>
                <w:sz w:val="20"/>
                <w:szCs w:val="20"/>
              </w:rPr>
              <w:t xml:space="preserve">    </w:t>
            </w:r>
            <w:r w:rsidRPr="001249CD">
              <w:rPr>
                <w:rFonts w:ascii="Palatino Linotype" w:hAnsi="Palatino Linotype"/>
                <w:b/>
                <w:color w:val="000000" w:themeColor="text1"/>
                <w:sz w:val="20"/>
                <w:szCs w:val="20"/>
              </w:rPr>
              <w:t>2.</w:t>
            </w:r>
            <w:r w:rsidRPr="00125748">
              <w:rPr>
                <w:rFonts w:ascii="Palatino Linotype" w:hAnsi="Palatino Linotype"/>
                <w:bCs/>
                <w:color w:val="000000" w:themeColor="text1"/>
                <w:sz w:val="20"/>
                <w:szCs w:val="20"/>
              </w:rPr>
              <w:t xml:space="preserve"> Pilot Projects to Advance Gas Decommissioning: </w:t>
            </w:r>
            <w:r w:rsidR="003F5A79">
              <w:rPr>
                <w:rFonts w:ascii="Palatino Linotype" w:hAnsi="Palatino Linotype"/>
                <w:bCs/>
                <w:sz w:val="20"/>
                <w:szCs w:val="20"/>
              </w:rPr>
              <w:t xml:space="preserve">The </w:t>
            </w:r>
            <w:r w:rsidRPr="00125748">
              <w:rPr>
                <w:rFonts w:ascii="Palatino Linotype" w:hAnsi="Palatino Linotype"/>
                <w:bCs/>
                <w:color w:val="000000" w:themeColor="text1"/>
                <w:sz w:val="20"/>
                <w:szCs w:val="20"/>
              </w:rPr>
              <w:t xml:space="preserve">CEC reports that an Environmental Justice (EJ) Representative emphasized the need to provide equitable opportunities and resources to Spanish-speaking renters to overcome additional barriers to electrification; </w:t>
            </w:r>
            <w:r w:rsidR="003F5A79">
              <w:rPr>
                <w:rFonts w:ascii="Palatino Linotype" w:hAnsi="Palatino Linotype"/>
                <w:bCs/>
                <w:color w:val="000000" w:themeColor="text1"/>
                <w:sz w:val="20"/>
                <w:szCs w:val="20"/>
              </w:rPr>
              <w:t xml:space="preserve">the </w:t>
            </w:r>
            <w:r w:rsidRPr="00125748">
              <w:rPr>
                <w:rFonts w:ascii="Palatino Linotype" w:hAnsi="Palatino Linotype"/>
                <w:bCs/>
                <w:color w:val="000000" w:themeColor="text1"/>
                <w:sz w:val="20"/>
                <w:szCs w:val="20"/>
              </w:rPr>
              <w:t>CEC responded that "effective community engagement must be tailored to meet the unique needs of each community."</w:t>
            </w:r>
            <w:r w:rsidRPr="00125748">
              <w:rPr>
                <w:rStyle w:val="FootnoteReference"/>
                <w:rFonts w:ascii="Palatino Linotype" w:hAnsi="Palatino Linotype"/>
                <w:bCs/>
                <w:color w:val="000000" w:themeColor="text1"/>
                <w:sz w:val="20"/>
                <w:szCs w:val="20"/>
              </w:rPr>
              <w:footnoteReference w:id="246"/>
            </w:r>
          </w:p>
          <w:p w:rsidRPr="006F6CEF" w:rsidR="002F78F4" w:rsidP="00295E0C" w:rsidRDefault="002F78F4" w14:paraId="15FAA7A1" w14:textId="1A5AB73C">
            <w:pPr>
              <w:rPr>
                <w:rFonts w:ascii="Palatino Linotype" w:hAnsi="Palatino Linotype"/>
                <w:bCs/>
                <w:color w:val="000000" w:themeColor="text1"/>
                <w:sz w:val="20"/>
                <w:szCs w:val="20"/>
              </w:rPr>
            </w:pPr>
            <w:r w:rsidRPr="001249CD">
              <w:rPr>
                <w:rFonts w:ascii="Palatino Linotype" w:hAnsi="Palatino Linotype"/>
                <w:b/>
                <w:color w:val="000000" w:themeColor="text1"/>
                <w:sz w:val="20"/>
                <w:szCs w:val="20"/>
              </w:rPr>
              <w:t xml:space="preserve">    3.</w:t>
            </w:r>
            <w:r w:rsidRPr="001249CD">
              <w:rPr>
                <w:rFonts w:ascii="Palatino Linotype" w:hAnsi="Palatino Linotype"/>
                <w:bCs/>
                <w:color w:val="000000" w:themeColor="text1"/>
                <w:sz w:val="20"/>
                <w:szCs w:val="20"/>
              </w:rPr>
              <w:t xml:space="preserve"> Networked Geothermal Heat Pumps:</w:t>
            </w:r>
            <w:r>
              <w:rPr>
                <w:rFonts w:ascii="Palatino Linotype" w:hAnsi="Palatino Linotype"/>
                <w:bCs/>
                <w:color w:val="000000" w:themeColor="text1"/>
                <w:sz w:val="20"/>
                <w:szCs w:val="20"/>
              </w:rPr>
              <w:t xml:space="preserve"> </w:t>
            </w:r>
            <w:r w:rsidRPr="0059597B">
              <w:rPr>
                <w:rFonts w:ascii="Palatino Linotype" w:hAnsi="Palatino Linotype"/>
                <w:bCs/>
                <w:color w:val="000000" w:themeColor="text1"/>
                <w:sz w:val="20"/>
                <w:szCs w:val="20"/>
              </w:rPr>
              <w:t>In response to concerns from an EJ Representative over water usage,</w:t>
            </w:r>
            <w:r w:rsidR="003F5A79">
              <w:rPr>
                <w:rFonts w:ascii="Palatino Linotype" w:hAnsi="Palatino Linotype"/>
                <w:bCs/>
                <w:color w:val="000000" w:themeColor="text1"/>
                <w:sz w:val="20"/>
                <w:szCs w:val="20"/>
              </w:rPr>
              <w:t xml:space="preserve"> the</w:t>
            </w:r>
            <w:r w:rsidRPr="0059597B">
              <w:rPr>
                <w:rFonts w:ascii="Palatino Linotype" w:hAnsi="Palatino Linotype"/>
                <w:bCs/>
                <w:color w:val="000000" w:themeColor="text1"/>
                <w:sz w:val="20"/>
                <w:szCs w:val="20"/>
              </w:rPr>
              <w:t xml:space="preserve"> CEC </w:t>
            </w:r>
            <w:r w:rsidR="003F5A79">
              <w:rPr>
                <w:rFonts w:ascii="Palatino Linotype" w:hAnsi="Palatino Linotype"/>
                <w:bCs/>
                <w:color w:val="000000" w:themeColor="text1"/>
                <w:sz w:val="20"/>
                <w:szCs w:val="20"/>
              </w:rPr>
              <w:t>stated</w:t>
            </w:r>
            <w:r w:rsidRPr="0059597B">
              <w:rPr>
                <w:rFonts w:ascii="Palatino Linotype" w:hAnsi="Palatino Linotype"/>
                <w:bCs/>
                <w:color w:val="000000" w:themeColor="text1"/>
                <w:sz w:val="20"/>
                <w:szCs w:val="20"/>
              </w:rPr>
              <w:t xml:space="preserve"> that "[w]ater use and potential savings will be studied in the suitability and benefits of this technology in California" and that the Building Decarbonization Coalition reported a 18 to 46 percent reduction in water consumption by geothermal energy networks as opposed to cooling towers. [D-8 to D-9]. In response to concerns from the DACAG on the cost-effectiveness of networked geothermal heat pumps, </w:t>
            </w:r>
            <w:r w:rsidR="00D74F56">
              <w:rPr>
                <w:rFonts w:ascii="Palatino Linotype" w:hAnsi="Palatino Linotype"/>
                <w:bCs/>
                <w:color w:val="000000" w:themeColor="text1"/>
                <w:sz w:val="20"/>
                <w:szCs w:val="20"/>
              </w:rPr>
              <w:t xml:space="preserve">the </w:t>
            </w:r>
            <w:r w:rsidRPr="0059597B">
              <w:rPr>
                <w:rFonts w:ascii="Palatino Linotype" w:hAnsi="Palatino Linotype"/>
                <w:bCs/>
                <w:color w:val="000000" w:themeColor="text1"/>
                <w:sz w:val="20"/>
                <w:szCs w:val="20"/>
              </w:rPr>
              <w:t>CEC responded that "the efficiency and economic favorability of thermal energy networks in</w:t>
            </w:r>
            <w:r w:rsidR="003F5A79">
              <w:rPr>
                <w:rFonts w:ascii="Palatino Linotype" w:hAnsi="Palatino Linotype"/>
                <w:bCs/>
                <w:color w:val="000000" w:themeColor="text1"/>
                <w:sz w:val="20"/>
                <w:szCs w:val="20"/>
              </w:rPr>
              <w:t xml:space="preserve"> </w:t>
            </w:r>
            <w:r w:rsidRPr="0059597B">
              <w:rPr>
                <w:rFonts w:ascii="Palatino Linotype" w:hAnsi="Palatino Linotype"/>
                <w:bCs/>
                <w:color w:val="000000" w:themeColor="text1"/>
                <w:sz w:val="20"/>
                <w:szCs w:val="20"/>
              </w:rPr>
              <w:t xml:space="preserve">general directly correlate with population density" and "a California-specific study of networked GHPs and their </w:t>
            </w:r>
            <w:r w:rsidRPr="0059597B">
              <w:rPr>
                <w:rFonts w:ascii="Palatino Linotype" w:hAnsi="Palatino Linotype"/>
                <w:bCs/>
                <w:color w:val="000000" w:themeColor="text1"/>
                <w:sz w:val="20"/>
                <w:szCs w:val="20"/>
              </w:rPr>
              <w:lastRenderedPageBreak/>
              <w:t>performance comparison with established technologies (both economically and in terms of non-economic metrics) will be further explored as part of this initiative."</w:t>
            </w:r>
            <w:r>
              <w:rPr>
                <w:rStyle w:val="FootnoteReference"/>
                <w:rFonts w:ascii="Palatino Linotype" w:hAnsi="Palatino Linotype"/>
                <w:bCs/>
                <w:color w:val="000000" w:themeColor="text1"/>
                <w:sz w:val="20"/>
                <w:szCs w:val="20"/>
              </w:rPr>
              <w:footnoteReference w:id="247"/>
            </w:r>
            <w:r w:rsidRPr="0059597B">
              <w:rPr>
                <w:rFonts w:ascii="Palatino Linotype" w:hAnsi="Palatino Linotype"/>
                <w:bCs/>
                <w:color w:val="000000" w:themeColor="text1"/>
                <w:sz w:val="20"/>
                <w:szCs w:val="20"/>
              </w:rPr>
              <w:t xml:space="preserve"> </w:t>
            </w:r>
          </w:p>
        </w:tc>
        <w:tc>
          <w:tcPr>
            <w:tcW w:w="3240" w:type="dxa"/>
          </w:tcPr>
          <w:p w:rsidRPr="00954F55" w:rsidR="002F78F4" w:rsidP="00295E0C" w:rsidRDefault="002F78F4" w14:paraId="4BFD97C4" w14:textId="23E6AF0F">
            <w:pPr>
              <w:rPr>
                <w:rFonts w:ascii="Palatino Linotype" w:hAnsi="Palatino Linotype"/>
                <w:bCs/>
                <w:color w:val="000000" w:themeColor="text1"/>
                <w:sz w:val="20"/>
                <w:szCs w:val="20"/>
              </w:rPr>
            </w:pPr>
            <w:r w:rsidRPr="00954F55">
              <w:rPr>
                <w:rFonts w:ascii="Palatino Linotype" w:hAnsi="Palatino Linotype"/>
                <w:bCs/>
                <w:color w:val="000000" w:themeColor="text1"/>
                <w:sz w:val="20"/>
                <w:szCs w:val="20"/>
              </w:rPr>
              <w:lastRenderedPageBreak/>
              <w:t xml:space="preserve">    </w:t>
            </w:r>
            <w:r w:rsidRPr="00954F55">
              <w:rPr>
                <w:rFonts w:ascii="Palatino Linotype" w:hAnsi="Palatino Linotype"/>
                <w:b/>
                <w:color w:val="000000" w:themeColor="text1"/>
                <w:sz w:val="20"/>
                <w:szCs w:val="20"/>
              </w:rPr>
              <w:t>1</w:t>
            </w:r>
            <w:r w:rsidRPr="00954F55">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954F55">
              <w:rPr>
                <w:rFonts w:ascii="Palatino Linotype" w:hAnsi="Palatino Linotype"/>
                <w:bCs/>
                <w:color w:val="000000" w:themeColor="text1"/>
                <w:sz w:val="20"/>
                <w:szCs w:val="20"/>
              </w:rPr>
              <w:t xml:space="preserve">CEC describes how this Initiative relates to the DACAG's interests, but </w:t>
            </w:r>
            <w:r w:rsidR="00075198">
              <w:rPr>
                <w:rFonts w:ascii="Palatino Linotype" w:hAnsi="Palatino Linotype"/>
                <w:bCs/>
                <w:color w:val="000000" w:themeColor="text1"/>
                <w:sz w:val="20"/>
                <w:szCs w:val="20"/>
              </w:rPr>
              <w:t>must</w:t>
            </w:r>
            <w:r w:rsidRPr="00954F55">
              <w:rPr>
                <w:rFonts w:ascii="Palatino Linotype" w:hAnsi="Palatino Linotype"/>
                <w:bCs/>
                <w:color w:val="000000" w:themeColor="text1"/>
                <w:sz w:val="20"/>
                <w:szCs w:val="20"/>
              </w:rPr>
              <w:t xml:space="preserve"> continue to consider how to more directly support the DACAG's specific requests for discrete data.</w:t>
            </w:r>
          </w:p>
          <w:p w:rsidRPr="001424DE" w:rsidR="002F78F4" w:rsidP="00295E0C" w:rsidRDefault="002F78F4" w14:paraId="5AB41098" w14:textId="6D48DFC4">
            <w:pPr>
              <w:rPr>
                <w:rFonts w:ascii="Palatino Linotype" w:hAnsi="Palatino Linotype"/>
                <w:bCs/>
                <w:color w:val="000000" w:themeColor="text1"/>
                <w:sz w:val="20"/>
                <w:szCs w:val="20"/>
              </w:rPr>
            </w:pPr>
            <w:r w:rsidRPr="001424DE">
              <w:rPr>
                <w:rFonts w:ascii="Palatino Linotype" w:hAnsi="Palatino Linotype"/>
                <w:bCs/>
                <w:color w:val="000000" w:themeColor="text1"/>
                <w:sz w:val="20"/>
                <w:szCs w:val="20"/>
              </w:rPr>
              <w:t xml:space="preserve">    </w:t>
            </w:r>
            <w:r w:rsidRPr="001424DE">
              <w:rPr>
                <w:rFonts w:ascii="Palatino Linotype" w:hAnsi="Palatino Linotype"/>
                <w:b/>
                <w:color w:val="000000" w:themeColor="text1"/>
                <w:sz w:val="20"/>
                <w:szCs w:val="20"/>
              </w:rPr>
              <w:t>2</w:t>
            </w:r>
            <w:r w:rsidRPr="001424DE">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1424DE">
              <w:rPr>
                <w:rFonts w:ascii="Palatino Linotype" w:hAnsi="Palatino Linotype"/>
                <w:bCs/>
                <w:color w:val="000000" w:themeColor="text1"/>
                <w:sz w:val="20"/>
                <w:szCs w:val="20"/>
              </w:rPr>
              <w:t xml:space="preserve">CEC generally commits to addressing the EJ Representatives concerns with this Initiative, but </w:t>
            </w:r>
            <w:r w:rsidR="00075198">
              <w:rPr>
                <w:rFonts w:ascii="Palatino Linotype" w:hAnsi="Palatino Linotype"/>
                <w:bCs/>
                <w:color w:val="000000" w:themeColor="text1"/>
                <w:sz w:val="20"/>
                <w:szCs w:val="20"/>
              </w:rPr>
              <w:t>must</w:t>
            </w:r>
            <w:r w:rsidRPr="001424DE">
              <w:rPr>
                <w:rFonts w:ascii="Palatino Linotype" w:hAnsi="Palatino Linotype"/>
                <w:bCs/>
                <w:color w:val="000000" w:themeColor="text1"/>
                <w:sz w:val="20"/>
                <w:szCs w:val="20"/>
              </w:rPr>
              <w:t xml:space="preserve"> continue to consider how to more directly support the specific request for assistance to overcome unique barriers by demographic.</w:t>
            </w:r>
          </w:p>
          <w:p w:rsidRPr="003908AF" w:rsidR="002F78F4" w:rsidP="00295E0C" w:rsidRDefault="002F78F4" w14:paraId="48ED819E" w14:textId="079ADA4F">
            <w:pPr>
              <w:rPr>
                <w:rFonts w:ascii="Palatino Linotype" w:hAnsi="Palatino Linotype"/>
                <w:bCs/>
                <w:color w:val="000000" w:themeColor="text1"/>
                <w:sz w:val="20"/>
                <w:szCs w:val="20"/>
              </w:rPr>
            </w:pPr>
            <w:r>
              <w:rPr>
                <w:rFonts w:ascii="Palatino Linotype" w:hAnsi="Palatino Linotype"/>
                <w:bCs/>
                <w:color w:val="A6A6A6" w:themeColor="background1" w:themeShade="A6"/>
                <w:sz w:val="20"/>
                <w:szCs w:val="20"/>
              </w:rPr>
              <w:t xml:space="preserve">    </w:t>
            </w:r>
            <w:r w:rsidRPr="003908AF">
              <w:rPr>
                <w:rFonts w:ascii="Palatino Linotype" w:hAnsi="Palatino Linotype"/>
                <w:b/>
                <w:color w:val="000000" w:themeColor="text1"/>
                <w:sz w:val="20"/>
                <w:szCs w:val="20"/>
              </w:rPr>
              <w:t>3</w:t>
            </w:r>
            <w:r w:rsidRPr="003908AF">
              <w:rPr>
                <w:rFonts w:ascii="Palatino Linotype" w:hAnsi="Palatino Linotype"/>
                <w:bCs/>
                <w:color w:val="000000" w:themeColor="text1"/>
                <w:sz w:val="20"/>
                <w:szCs w:val="20"/>
              </w:rPr>
              <w:t xml:space="preserve">. </w:t>
            </w:r>
            <w:r w:rsidR="003F5A79">
              <w:rPr>
                <w:rFonts w:ascii="Palatino Linotype" w:hAnsi="Palatino Linotype"/>
                <w:bCs/>
                <w:sz w:val="20"/>
                <w:szCs w:val="20"/>
              </w:rPr>
              <w:t xml:space="preserve">The </w:t>
            </w:r>
            <w:r w:rsidRPr="003908AF">
              <w:rPr>
                <w:rFonts w:ascii="Palatino Linotype" w:hAnsi="Palatino Linotype"/>
                <w:bCs/>
                <w:color w:val="000000" w:themeColor="text1"/>
                <w:sz w:val="20"/>
                <w:szCs w:val="20"/>
              </w:rPr>
              <w:t>CEC appears to have engaged and considered the concerns of EJ representatives and the DACAG related to this Initiative.</w:t>
            </w:r>
          </w:p>
          <w:p w:rsidRPr="00FC40EE" w:rsidR="002F78F4" w:rsidP="00295E0C" w:rsidRDefault="003F5A79" w14:paraId="5A92618A" w14:textId="3C3926C6">
            <w:pPr>
              <w:rPr>
                <w:rFonts w:ascii="Palatino Linotype" w:hAnsi="Palatino Linotype"/>
                <w:bCs/>
                <w:color w:val="A6A6A6" w:themeColor="background1" w:themeShade="A6"/>
                <w:sz w:val="20"/>
                <w:szCs w:val="20"/>
              </w:rPr>
            </w:pPr>
            <w:r w:rsidRPr="003F5A79">
              <w:rPr>
                <w:rFonts w:ascii="Palatino Linotype" w:hAnsi="Palatino Linotype"/>
                <w:b/>
                <w:sz w:val="20"/>
                <w:szCs w:val="20"/>
              </w:rPr>
              <w:t>The</w:t>
            </w:r>
            <w:r>
              <w:rPr>
                <w:rFonts w:ascii="Palatino Linotype" w:hAnsi="Palatino Linotype"/>
                <w:bCs/>
                <w:sz w:val="20"/>
                <w:szCs w:val="20"/>
              </w:rPr>
              <w:t xml:space="preserve"> </w:t>
            </w:r>
            <w:r w:rsidRPr="003908AF" w:rsidR="002F78F4">
              <w:rPr>
                <w:rFonts w:ascii="Palatino Linotype" w:hAnsi="Palatino Linotype"/>
                <w:b/>
                <w:color w:val="000000" w:themeColor="text1"/>
                <w:sz w:val="20"/>
                <w:szCs w:val="20"/>
              </w:rPr>
              <w:t>CEC is compliant with this requirement.</w:t>
            </w:r>
          </w:p>
        </w:tc>
      </w:tr>
      <w:tr w:rsidR="002F78F4" w:rsidTr="00295E0C" w14:paraId="38735212" w14:textId="77777777">
        <w:trPr>
          <w:trHeight w:val="638"/>
        </w:trPr>
        <w:tc>
          <w:tcPr>
            <w:tcW w:w="3145" w:type="dxa"/>
          </w:tcPr>
          <w:p w:rsidRPr="00E7529D" w:rsidR="002F78F4" w:rsidP="00295E0C" w:rsidRDefault="002F78F4" w14:paraId="7F6265B3" w14:textId="77777777">
            <w:pPr>
              <w:rPr>
                <w:rFonts w:ascii="Palatino Linotype" w:hAnsi="Palatino Linotype"/>
                <w:b/>
                <w:i/>
                <w:iCs/>
                <w:sz w:val="20"/>
                <w:szCs w:val="20"/>
              </w:rPr>
            </w:pPr>
            <w:hyperlink w:history="1" r:id="rId113">
              <w:r w:rsidRPr="003908AF">
                <w:rPr>
                  <w:rStyle w:val="Hyperlink"/>
                  <w:rFonts w:ascii="Palatino Linotype" w:hAnsi="Palatino Linotype"/>
                  <w:b/>
                  <w:sz w:val="20"/>
                  <w:szCs w:val="20"/>
                </w:rPr>
                <w:t>Resolution G-3592</w:t>
              </w:r>
            </w:hyperlink>
            <w:r w:rsidRPr="003908AF">
              <w:rPr>
                <w:rFonts w:ascii="Palatino Linotype" w:hAnsi="Palatino Linotype"/>
                <w:b/>
                <w:sz w:val="20"/>
                <w:szCs w:val="20"/>
              </w:rPr>
              <w:t xml:space="preserve"> </w:t>
            </w:r>
            <w:r w:rsidRPr="003908AF">
              <w:rPr>
                <w:rFonts w:ascii="Palatino Linotype" w:hAnsi="Palatino Linotype"/>
                <w:bCs/>
                <w:sz w:val="20"/>
                <w:szCs w:val="20"/>
              </w:rPr>
              <w:t>(2023) at OP 5c &amp; d.</w:t>
            </w:r>
            <w:r w:rsidRPr="00E7529D">
              <w:rPr>
                <w:rFonts w:ascii="Palatino Linotype" w:hAnsi="Palatino Linotype"/>
                <w:bCs/>
                <w:i/>
                <w:iCs/>
                <w:sz w:val="20"/>
                <w:szCs w:val="20"/>
              </w:rPr>
              <w:t xml:space="preserve"> </w:t>
            </w:r>
            <w:r>
              <w:rPr>
                <w:rFonts w:ascii="Palatino Linotype" w:hAnsi="Palatino Linotype"/>
                <w:bCs/>
                <w:i/>
                <w:iCs/>
                <w:sz w:val="20"/>
                <w:szCs w:val="20"/>
              </w:rPr>
              <w:t>D</w:t>
            </w:r>
            <w:r w:rsidRPr="00E7529D">
              <w:rPr>
                <w:rFonts w:ascii="Palatino Linotype" w:hAnsi="Palatino Linotype"/>
                <w:bCs/>
                <w:i/>
                <w:iCs/>
                <w:sz w:val="20"/>
                <w:szCs w:val="20"/>
              </w:rPr>
              <w:t xml:space="preserve">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  </w:t>
            </w:r>
          </w:p>
        </w:tc>
        <w:tc>
          <w:tcPr>
            <w:tcW w:w="7920" w:type="dxa"/>
          </w:tcPr>
          <w:p w:rsidRPr="00044FA1" w:rsidR="002F78F4" w:rsidP="00295E0C" w:rsidRDefault="00D74F56" w14:paraId="7CE4917D" w14:textId="23C0F6E4">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D07600" w:rsidR="002F78F4">
              <w:rPr>
                <w:rFonts w:ascii="Palatino Linotype" w:hAnsi="Palatino Linotype"/>
                <w:bCs/>
                <w:color w:val="000000" w:themeColor="text1"/>
                <w:sz w:val="20"/>
                <w:szCs w:val="20"/>
              </w:rPr>
              <w:t>CEC describes its public engagement: “The CEC holds an annual public workshop to solicit feedback on the draft budget plan for that year. The Proposed FY 2025–2026 Gas R&amp;D Budget Plan was presented at a public workshop February 27, 2025. Approximately 70 people attended the workshop, not including CEC staff, and the CEC received around 30 attendee questions and comments during the workshop discussion. The CEC considered and responded to public comments associated with budget plan development. (See Appendices C and D for the workshop presentation and a summary of public comments and CEC staff responses, respectively).”</w:t>
            </w:r>
            <w:r w:rsidRPr="00D07600" w:rsidR="002F78F4">
              <w:rPr>
                <w:rStyle w:val="FootnoteReference"/>
                <w:rFonts w:ascii="Palatino Linotype" w:hAnsi="Palatino Linotype"/>
                <w:bCs/>
                <w:color w:val="000000" w:themeColor="text1"/>
                <w:sz w:val="20"/>
                <w:szCs w:val="20"/>
              </w:rPr>
              <w:footnoteReference w:id="248"/>
            </w:r>
            <w:r w:rsidRPr="00D07600" w:rsidR="002F78F4">
              <w:rPr>
                <w:rFonts w:ascii="Palatino Linotype" w:hAnsi="Palatino Linotype"/>
                <w:bCs/>
                <w:color w:val="000000" w:themeColor="text1"/>
                <w:sz w:val="20"/>
                <w:szCs w:val="20"/>
              </w:rPr>
              <w:t xml:space="preserve"> </w:t>
            </w:r>
            <w:r w:rsidRPr="0067208D" w:rsidR="002F78F4">
              <w:rPr>
                <w:rFonts w:ascii="Palatino Linotype" w:hAnsi="Palatino Linotype"/>
                <w:bCs/>
                <w:color w:val="000000" w:themeColor="text1"/>
                <w:sz w:val="20"/>
                <w:szCs w:val="20"/>
              </w:rPr>
              <w:t xml:space="preserve">Under the Cofunding Opportunities Section, </w:t>
            </w:r>
            <w:r>
              <w:rPr>
                <w:rFonts w:ascii="Palatino Linotype" w:hAnsi="Palatino Linotype"/>
                <w:bCs/>
                <w:color w:val="000000" w:themeColor="text1"/>
                <w:sz w:val="20"/>
                <w:szCs w:val="20"/>
              </w:rPr>
              <w:t xml:space="preserve">the </w:t>
            </w:r>
            <w:r w:rsidRPr="0067208D" w:rsidR="002F78F4">
              <w:rPr>
                <w:rFonts w:ascii="Palatino Linotype" w:hAnsi="Palatino Linotype"/>
                <w:bCs/>
                <w:color w:val="000000" w:themeColor="text1"/>
                <w:sz w:val="20"/>
                <w:szCs w:val="20"/>
              </w:rPr>
              <w:t>CEC states that it “leverages cofunding opportunities by either requiring applicants for competitive solicitations to secure match funding (usually 10–20 percent), providing additional scoring preferences for applications that exceed the minimum match funding requirement, or both. The cumulative match investments and project successes of the program are summarized in the Gas R&amp;D Program Annual Report. As an example, the FY 2021–2022 Budget Plan resulted in competitively awarded projects that catalyzed nearly $8 million in match funds to expand the impact of these projects, effectively increasing the program funding level by 33 percent. A total of $1.5 million of these match funds came from IOUs (such as SoCalGas), $1.23 million from community- or publicly funded entities (for example, the South Coast Air Quality Management District), and $5.1 million from private entities.”</w:t>
            </w:r>
            <w:r w:rsidRPr="0067208D" w:rsidR="002F78F4">
              <w:rPr>
                <w:rStyle w:val="FootnoteReference"/>
                <w:rFonts w:ascii="Palatino Linotype" w:hAnsi="Palatino Linotype"/>
                <w:bCs/>
                <w:color w:val="000000" w:themeColor="text1"/>
                <w:sz w:val="20"/>
                <w:szCs w:val="20"/>
              </w:rPr>
              <w:footnoteReference w:id="249"/>
            </w:r>
            <w:r w:rsidRPr="0067208D" w:rsidR="002F78F4">
              <w:rPr>
                <w:rFonts w:ascii="Palatino Linotype" w:hAnsi="Palatino Linotype"/>
                <w:bCs/>
                <w:color w:val="000000" w:themeColor="text1"/>
                <w:sz w:val="20"/>
                <w:szCs w:val="20"/>
              </w:rPr>
              <w:t xml:space="preserve"> See also: CEC Response in AL 1</w:t>
            </w:r>
            <w:r w:rsidR="002F78F4">
              <w:rPr>
                <w:rFonts w:ascii="Palatino Linotype" w:hAnsi="Palatino Linotype"/>
                <w:bCs/>
                <w:color w:val="000000" w:themeColor="text1"/>
                <w:sz w:val="20"/>
                <w:szCs w:val="20"/>
              </w:rPr>
              <w:t>0</w:t>
            </w:r>
            <w:r w:rsidRPr="0067208D" w:rsidR="002F78F4">
              <w:rPr>
                <w:rFonts w:ascii="Palatino Linotype" w:hAnsi="Palatino Linotype"/>
                <w:bCs/>
                <w:color w:val="000000" w:themeColor="text1"/>
                <w:sz w:val="20"/>
                <w:szCs w:val="20"/>
              </w:rPr>
              <w:t>-G</w:t>
            </w:r>
            <w:r w:rsidR="002F78F4">
              <w:rPr>
                <w:rFonts w:ascii="Palatino Linotype" w:hAnsi="Palatino Linotype"/>
                <w:bCs/>
                <w:color w:val="000000" w:themeColor="text1"/>
                <w:sz w:val="20"/>
                <w:szCs w:val="20"/>
              </w:rPr>
              <w:t>-A</w:t>
            </w:r>
            <w:r w:rsidRPr="0067208D" w:rsidR="002F78F4">
              <w:rPr>
                <w:rFonts w:ascii="Palatino Linotype" w:hAnsi="Palatino Linotype"/>
                <w:bCs/>
                <w:color w:val="000000" w:themeColor="text1"/>
                <w:sz w:val="20"/>
                <w:szCs w:val="20"/>
              </w:rPr>
              <w:t xml:space="preserve"> to </w:t>
            </w:r>
            <w:hyperlink w:history="1" r:id="rId114">
              <w:r w:rsidRPr="0067208D" w:rsidR="002F78F4">
                <w:rPr>
                  <w:rStyle w:val="Hyperlink"/>
                  <w:rFonts w:ascii="Palatino Linotype" w:hAnsi="Palatino Linotype"/>
                  <w:bCs/>
                  <w:sz w:val="20"/>
                  <w:szCs w:val="20"/>
                </w:rPr>
                <w:t>Resolution G-3603</w:t>
              </w:r>
            </w:hyperlink>
            <w:r w:rsidRPr="0067208D" w:rsidR="002F78F4">
              <w:rPr>
                <w:rFonts w:ascii="Palatino Linotype" w:hAnsi="Palatino Linotype"/>
                <w:bCs/>
                <w:color w:val="000000" w:themeColor="text1"/>
                <w:sz w:val="20"/>
                <w:szCs w:val="20"/>
              </w:rPr>
              <w:t xml:space="preserve"> (2024) at OP 4.</w:t>
            </w:r>
          </w:p>
        </w:tc>
        <w:tc>
          <w:tcPr>
            <w:tcW w:w="3240" w:type="dxa"/>
          </w:tcPr>
          <w:p w:rsidRPr="00650348" w:rsidR="002F78F4" w:rsidP="00295E0C" w:rsidRDefault="00D74F56" w14:paraId="67AE6636" w14:textId="1164AA7E">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650348" w:rsidR="002F78F4">
              <w:rPr>
                <w:rFonts w:ascii="Palatino Linotype" w:hAnsi="Palatino Linotype"/>
                <w:bCs/>
                <w:color w:val="000000" w:themeColor="text1"/>
                <w:sz w:val="20"/>
                <w:szCs w:val="20"/>
              </w:rPr>
              <w:t xml:space="preserve">CEC describes the multiple avenues in which it seeks and utilizes co-funding. See also: Compliance Assessment of </w:t>
            </w:r>
            <w:hyperlink w:history="1" r:id="rId115">
              <w:r w:rsidRPr="00650348" w:rsidR="002F78F4">
                <w:rPr>
                  <w:rStyle w:val="Hyperlink"/>
                  <w:rFonts w:ascii="Palatino Linotype" w:hAnsi="Palatino Linotype"/>
                  <w:bCs/>
                  <w:sz w:val="20"/>
                  <w:szCs w:val="20"/>
                </w:rPr>
                <w:t>Resolution G-3603</w:t>
              </w:r>
            </w:hyperlink>
            <w:r w:rsidRPr="00650348" w:rsidR="002F78F4">
              <w:rPr>
                <w:rFonts w:ascii="Palatino Linotype" w:hAnsi="Palatino Linotype"/>
                <w:bCs/>
                <w:color w:val="000000" w:themeColor="text1"/>
                <w:sz w:val="20"/>
                <w:szCs w:val="20"/>
              </w:rPr>
              <w:t xml:space="preserve"> (2024) at OP 4. </w:t>
            </w:r>
            <w:r w:rsidRPr="00D74F56">
              <w:rPr>
                <w:rFonts w:ascii="Palatino Linotype" w:hAnsi="Palatino Linotype"/>
                <w:b/>
                <w:color w:val="000000" w:themeColor="text1"/>
                <w:sz w:val="20"/>
                <w:szCs w:val="20"/>
              </w:rPr>
              <w:t>The</w:t>
            </w:r>
            <w:r>
              <w:rPr>
                <w:rFonts w:ascii="Palatino Linotype" w:hAnsi="Palatino Linotype"/>
                <w:bCs/>
                <w:color w:val="000000" w:themeColor="text1"/>
                <w:sz w:val="20"/>
                <w:szCs w:val="20"/>
              </w:rPr>
              <w:t xml:space="preserve"> </w:t>
            </w:r>
            <w:r w:rsidRPr="00650348" w:rsidR="002F78F4">
              <w:rPr>
                <w:rFonts w:ascii="Palatino Linotype" w:hAnsi="Palatino Linotype"/>
                <w:b/>
                <w:color w:val="000000" w:themeColor="text1"/>
                <w:sz w:val="20"/>
                <w:szCs w:val="20"/>
              </w:rPr>
              <w:t>CEC is compliant with this requirement.</w:t>
            </w:r>
          </w:p>
          <w:p w:rsidRPr="00FC40EE" w:rsidR="002F78F4" w:rsidP="00295E0C" w:rsidRDefault="002F78F4" w14:paraId="289424EC" w14:textId="77777777">
            <w:pPr>
              <w:rPr>
                <w:rFonts w:ascii="Palatino Linotype" w:hAnsi="Palatino Linotype"/>
                <w:bCs/>
                <w:color w:val="A6A6A6" w:themeColor="background1" w:themeShade="A6"/>
                <w:sz w:val="20"/>
                <w:szCs w:val="20"/>
              </w:rPr>
            </w:pPr>
          </w:p>
          <w:p w:rsidRPr="007220BB" w:rsidR="002F78F4" w:rsidP="00295E0C" w:rsidRDefault="002F78F4" w14:paraId="56593C83" w14:textId="0F7C921F">
            <w:pPr>
              <w:rPr>
                <w:rFonts w:ascii="Palatino Linotype" w:hAnsi="Palatino Linotype"/>
                <w:bCs/>
                <w:sz w:val="20"/>
                <w:szCs w:val="20"/>
              </w:rPr>
            </w:pPr>
            <w:r w:rsidRPr="00650348">
              <w:rPr>
                <w:rFonts w:ascii="Palatino Linotype" w:hAnsi="Palatino Linotype"/>
                <w:color w:val="000000" w:themeColor="text1"/>
                <w:sz w:val="20"/>
                <w:szCs w:val="20"/>
              </w:rPr>
              <w:t xml:space="preserve">However, to clearly demonstrate compliance with co-funding requirements, the CEC </w:t>
            </w:r>
            <w:r w:rsidR="00075198">
              <w:rPr>
                <w:rFonts w:ascii="Palatino Linotype" w:hAnsi="Palatino Linotype"/>
                <w:color w:val="000000" w:themeColor="text1"/>
                <w:sz w:val="20"/>
                <w:szCs w:val="20"/>
              </w:rPr>
              <w:t>must</w:t>
            </w:r>
            <w:r w:rsidRPr="00650348">
              <w:rPr>
                <w:rFonts w:ascii="Palatino Linotype" w:hAnsi="Palatino Linotype"/>
                <w:color w:val="000000" w:themeColor="text1"/>
                <w:sz w:val="20"/>
                <w:szCs w:val="20"/>
              </w:rPr>
              <w:t xml:space="preserve"> utilize Energy Division guidance, including the Annual Report Template, to detail project level details of partnership, costs, and co-funding. </w:t>
            </w:r>
          </w:p>
        </w:tc>
      </w:tr>
      <w:tr w:rsidR="002F78F4" w:rsidTr="00295E0C" w14:paraId="3A2657E7" w14:textId="77777777">
        <w:trPr>
          <w:trHeight w:val="638"/>
        </w:trPr>
        <w:tc>
          <w:tcPr>
            <w:tcW w:w="3145" w:type="dxa"/>
          </w:tcPr>
          <w:p w:rsidRPr="00E7529D" w:rsidR="002F78F4" w:rsidP="00295E0C" w:rsidRDefault="002F78F4" w14:paraId="3B204645" w14:textId="77777777">
            <w:pPr>
              <w:rPr>
                <w:rFonts w:ascii="Palatino Linotype" w:hAnsi="Palatino Linotype"/>
                <w:b/>
                <w:sz w:val="20"/>
                <w:szCs w:val="20"/>
              </w:rPr>
            </w:pPr>
            <w:hyperlink w:history="1" r:id="rId116">
              <w:r w:rsidRPr="003908AF">
                <w:rPr>
                  <w:rStyle w:val="Hyperlink"/>
                  <w:rFonts w:ascii="Palatino Linotype" w:hAnsi="Palatino Linotype"/>
                  <w:b/>
                  <w:sz w:val="20"/>
                  <w:szCs w:val="20"/>
                </w:rPr>
                <w:t>Resolution G-3592</w:t>
              </w:r>
            </w:hyperlink>
            <w:r w:rsidRPr="003908AF">
              <w:rPr>
                <w:rFonts w:ascii="Palatino Linotype" w:hAnsi="Palatino Linotype"/>
                <w:bCs/>
                <w:sz w:val="20"/>
                <w:szCs w:val="20"/>
              </w:rPr>
              <w:t xml:space="preserve"> (2023) at OP 5e</w:t>
            </w:r>
            <w:r w:rsidRPr="003908AF">
              <w:rPr>
                <w:rFonts w:ascii="Palatino Linotype" w:hAnsi="Palatino Linotype"/>
                <w:bCs/>
                <w:i/>
                <w:iCs/>
                <w:sz w:val="20"/>
                <w:szCs w:val="20"/>
              </w:rPr>
              <w:t>.</w:t>
            </w:r>
            <w:r w:rsidRPr="000613E9">
              <w:rPr>
                <w:rFonts w:ascii="Palatino Linotype" w:hAnsi="Palatino Linotype"/>
                <w:bCs/>
                <w:i/>
                <w:iCs/>
                <w:sz w:val="20"/>
                <w:szCs w:val="20"/>
              </w:rPr>
              <w:t xml:space="preserve"> </w:t>
            </w:r>
            <w:r w:rsidRPr="001B1CDE">
              <w:rPr>
                <w:rFonts w:ascii="Palatino Linotype" w:hAnsi="Palatino Linotype"/>
                <w:i/>
                <w:iCs/>
                <w:sz w:val="20"/>
                <w:szCs w:val="20"/>
              </w:rPr>
              <w:t>Use the EPIC administrative budget template</w:t>
            </w:r>
            <w:r w:rsidRPr="00E7529D">
              <w:rPr>
                <w:rFonts w:ascii="Palatino Linotype" w:hAnsi="Palatino Linotype"/>
                <w:bCs/>
                <w:i/>
                <w:iCs/>
                <w:sz w:val="20"/>
                <w:szCs w:val="20"/>
              </w:rPr>
              <w:t>.</w:t>
            </w:r>
            <w:r w:rsidRPr="00E7529D">
              <w:rPr>
                <w:rStyle w:val="FootnoteReference"/>
                <w:rFonts w:ascii="Palatino Linotype" w:hAnsi="Palatino Linotype"/>
                <w:bCs/>
                <w:i/>
                <w:iCs/>
                <w:sz w:val="20"/>
                <w:szCs w:val="20"/>
              </w:rPr>
              <w:footnoteReference w:id="250"/>
            </w:r>
          </w:p>
        </w:tc>
        <w:tc>
          <w:tcPr>
            <w:tcW w:w="7920" w:type="dxa"/>
          </w:tcPr>
          <w:p w:rsidRPr="00FC40EE" w:rsidR="002F78F4" w:rsidP="00295E0C" w:rsidRDefault="00D74F56" w14:paraId="603494B7" w14:textId="3CCC4479">
            <w:pPr>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EA3E7D" w:rsidR="002F78F4">
              <w:rPr>
                <w:rFonts w:ascii="Palatino Linotype" w:hAnsi="Palatino Linotype"/>
                <w:bCs/>
                <w:color w:val="000000" w:themeColor="text1"/>
                <w:sz w:val="20"/>
                <w:szCs w:val="20"/>
              </w:rPr>
              <w:t>CEC presents its proposed Estimated Administrative Costs delineated by Program Administrative Cost Budget Items in Appendix F.</w:t>
            </w:r>
          </w:p>
        </w:tc>
        <w:tc>
          <w:tcPr>
            <w:tcW w:w="3240" w:type="dxa"/>
          </w:tcPr>
          <w:p w:rsidRPr="00FC40EE" w:rsidR="002F78F4" w:rsidP="00295E0C" w:rsidRDefault="00D74F56" w14:paraId="5C3A0D8A" w14:textId="52E29233">
            <w:pPr>
              <w:rPr>
                <w:rFonts w:ascii="Palatino Linotype" w:hAnsi="Palatino Linotype"/>
                <w:b/>
                <w:color w:val="A6A6A6" w:themeColor="background1" w:themeShade="A6"/>
                <w:sz w:val="20"/>
                <w:szCs w:val="20"/>
              </w:rPr>
            </w:pPr>
            <w:r>
              <w:rPr>
                <w:rFonts w:ascii="Palatino Linotype" w:hAnsi="Palatino Linotype"/>
                <w:bCs/>
                <w:sz w:val="20"/>
                <w:szCs w:val="20"/>
              </w:rPr>
              <w:t xml:space="preserve">The </w:t>
            </w:r>
            <w:r w:rsidRPr="00EA3E7D" w:rsidR="002F78F4">
              <w:rPr>
                <w:rFonts w:ascii="Palatino Linotype" w:hAnsi="Palatino Linotype"/>
                <w:bCs/>
                <w:color w:val="000000" w:themeColor="text1"/>
                <w:sz w:val="20"/>
                <w:szCs w:val="20"/>
              </w:rPr>
              <w:t>CEC’s proposed administrative budget utilizes the required EPIC template.</w:t>
            </w:r>
            <w:r w:rsidRPr="00EA3E7D" w:rsidR="002F78F4">
              <w:rPr>
                <w:rFonts w:ascii="Palatino Linotype" w:hAnsi="Palatino Linotype"/>
                <w:b/>
                <w:color w:val="000000" w:themeColor="text1"/>
                <w:sz w:val="20"/>
                <w:szCs w:val="20"/>
              </w:rPr>
              <w:t xml:space="preserve"> </w:t>
            </w:r>
            <w:r w:rsidRPr="00D74F56">
              <w:rPr>
                <w:rFonts w:ascii="Palatino Linotype" w:hAnsi="Palatino Linotype"/>
                <w:b/>
                <w:sz w:val="20"/>
                <w:szCs w:val="20"/>
              </w:rPr>
              <w:t>The</w:t>
            </w:r>
            <w:r>
              <w:rPr>
                <w:rFonts w:ascii="Palatino Linotype" w:hAnsi="Palatino Linotype"/>
                <w:bCs/>
                <w:sz w:val="20"/>
                <w:szCs w:val="20"/>
              </w:rPr>
              <w:t xml:space="preserve"> </w:t>
            </w:r>
            <w:r w:rsidRPr="00EA3E7D" w:rsidR="002F78F4">
              <w:rPr>
                <w:rFonts w:ascii="Palatino Linotype" w:hAnsi="Palatino Linotype"/>
                <w:b/>
                <w:color w:val="000000" w:themeColor="text1"/>
                <w:sz w:val="20"/>
                <w:szCs w:val="20"/>
              </w:rPr>
              <w:t>CEC is compliant with this requirement.</w:t>
            </w:r>
          </w:p>
        </w:tc>
      </w:tr>
      <w:tr w:rsidR="002F78F4" w:rsidTr="00295E0C" w14:paraId="1DCAED12" w14:textId="77777777">
        <w:trPr>
          <w:trHeight w:val="48"/>
        </w:trPr>
        <w:tc>
          <w:tcPr>
            <w:tcW w:w="3145" w:type="dxa"/>
          </w:tcPr>
          <w:p w:rsidRPr="00E7529D" w:rsidR="002F78F4" w:rsidP="00295E0C" w:rsidRDefault="002F78F4" w14:paraId="6C06FA8E" w14:textId="77777777">
            <w:pPr>
              <w:rPr>
                <w:rFonts w:ascii="Palatino Linotype" w:hAnsi="Palatino Linotype"/>
                <w:b/>
                <w:bCs/>
                <w:sz w:val="20"/>
                <w:szCs w:val="20"/>
              </w:rPr>
            </w:pPr>
            <w:hyperlink r:id="rId117">
              <w:r w:rsidRPr="003908AF">
                <w:rPr>
                  <w:rStyle w:val="Hyperlink"/>
                  <w:rFonts w:ascii="Palatino Linotype" w:hAnsi="Palatino Linotype"/>
                  <w:b/>
                  <w:bCs/>
                  <w:sz w:val="20"/>
                  <w:szCs w:val="20"/>
                </w:rPr>
                <w:t>Resolution G-3592</w:t>
              </w:r>
            </w:hyperlink>
            <w:r w:rsidRPr="003908AF">
              <w:rPr>
                <w:rFonts w:ascii="Palatino Linotype" w:hAnsi="Palatino Linotype"/>
                <w:b/>
                <w:bCs/>
                <w:sz w:val="20"/>
                <w:szCs w:val="20"/>
              </w:rPr>
              <w:t xml:space="preserve"> </w:t>
            </w:r>
            <w:r w:rsidRPr="003908AF">
              <w:rPr>
                <w:rFonts w:ascii="Palatino Linotype" w:hAnsi="Palatino Linotype"/>
                <w:sz w:val="20"/>
                <w:szCs w:val="20"/>
              </w:rPr>
              <w:t>(2023) at OP 7.</w:t>
            </w:r>
            <w:r w:rsidRPr="3F09D30F">
              <w:rPr>
                <w:rFonts w:ascii="Palatino Linotype" w:hAnsi="Palatino Linotype"/>
                <w:i/>
                <w:iCs/>
                <w:sz w:val="20"/>
                <w:szCs w:val="20"/>
              </w:rPr>
              <w:t xml:space="preserve"> </w:t>
            </w:r>
            <w:r w:rsidRPr="007A75DA">
              <w:rPr>
                <w:rFonts w:ascii="Palatino Linotype" w:hAnsi="Palatino Linotype"/>
                <w:i/>
                <w:iCs/>
                <w:sz w:val="20"/>
                <w:szCs w:val="20"/>
              </w:rPr>
              <w:t xml:space="preserve">In Fiscal Year 2023-2024 and all future plans, the CEC shall identify 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w:t>
            </w:r>
            <w:r w:rsidRPr="00ED68CC">
              <w:rPr>
                <w:rFonts w:ascii="Palatino Linotype" w:hAnsi="Palatino Linotype"/>
                <w:i/>
                <w:iCs/>
                <w:sz w:val="20"/>
                <w:szCs w:val="20"/>
              </w:rPr>
              <w:t>The CEC shall also list all spent, encumbered, and uncommitted funds organized by Gas R&amp;D initiative. Unencumbered and unspent funds shall be utilized prior to the utilization of new and/or additional ratepayer funds.</w:t>
            </w:r>
          </w:p>
          <w:p w:rsidRPr="00E7529D" w:rsidR="002F78F4" w:rsidP="00295E0C" w:rsidRDefault="002F78F4" w14:paraId="62C6F7EB" w14:textId="77777777">
            <w:pPr>
              <w:rPr>
                <w:rFonts w:ascii="Palatino Linotype" w:hAnsi="Palatino Linotype"/>
                <w:i/>
                <w:iCs/>
                <w:sz w:val="20"/>
                <w:szCs w:val="20"/>
              </w:rPr>
            </w:pPr>
          </w:p>
          <w:p w:rsidRPr="00E7529D" w:rsidR="002F78F4" w:rsidP="00295E0C" w:rsidRDefault="002F78F4" w14:paraId="0621E697" w14:textId="77777777">
            <w:pPr>
              <w:rPr>
                <w:rFonts w:ascii="Palatino Linotype" w:hAnsi="Palatino Linotype" w:eastAsia="Palatino Linotype" w:cs="Palatino Linotype"/>
                <w:sz w:val="20"/>
                <w:szCs w:val="20"/>
              </w:rPr>
            </w:pPr>
            <w:r w:rsidRPr="00EE29DF">
              <w:rPr>
                <w:rFonts w:ascii="Palatino Linotype" w:hAnsi="Palatino Linotype"/>
                <w:sz w:val="20"/>
                <w:szCs w:val="20"/>
              </w:rPr>
              <w:t>See also:</w:t>
            </w:r>
            <w:r w:rsidRPr="3F09D30F">
              <w:rPr>
                <w:rFonts w:ascii="Palatino Linotype" w:hAnsi="Palatino Linotype"/>
                <w:i/>
                <w:iCs/>
                <w:sz w:val="20"/>
                <w:szCs w:val="20"/>
              </w:rPr>
              <w:t xml:space="preserve"> </w:t>
            </w:r>
            <w:hyperlink r:id="rId118">
              <w:r w:rsidRPr="3F09D30F">
                <w:rPr>
                  <w:rStyle w:val="Hyperlink"/>
                  <w:rFonts w:ascii="Palatino Linotype" w:hAnsi="Palatino Linotype" w:eastAsia="Palatino Linotype" w:cs="Palatino Linotype"/>
                  <w:sz w:val="20"/>
                  <w:szCs w:val="20"/>
                </w:rPr>
                <w:t>Resolution G-3484</w:t>
              </w:r>
            </w:hyperlink>
            <w:r w:rsidRPr="3F09D30F">
              <w:rPr>
                <w:rFonts w:ascii="Palatino Linotype" w:hAnsi="Palatino Linotype" w:eastAsia="Palatino Linotype" w:cs="Palatino Linotype"/>
                <w:color w:val="000000" w:themeColor="text1"/>
                <w:sz w:val="20"/>
                <w:szCs w:val="20"/>
              </w:rPr>
              <w:t xml:space="preserve"> </w:t>
            </w:r>
            <w:r w:rsidRPr="00EE29DF">
              <w:rPr>
                <w:rFonts w:ascii="Palatino Linotype" w:hAnsi="Palatino Linotype" w:eastAsia="Palatino Linotype" w:cs="Palatino Linotype"/>
                <w:color w:val="000000" w:themeColor="text1"/>
                <w:sz w:val="20"/>
                <w:szCs w:val="20"/>
              </w:rPr>
              <w:t xml:space="preserve">(2013) at p. 5-6.  </w:t>
            </w:r>
          </w:p>
        </w:tc>
        <w:tc>
          <w:tcPr>
            <w:tcW w:w="7920" w:type="dxa"/>
          </w:tcPr>
          <w:p w:rsidRPr="007E0D2A" w:rsidR="002F78F4" w:rsidP="00295E0C" w:rsidRDefault="00D74F56" w14:paraId="5D97D7C4" w14:textId="0F44B282">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7E0D2A" w:rsidR="002F78F4">
              <w:rPr>
                <w:rFonts w:ascii="Palatino Linotype" w:hAnsi="Palatino Linotype"/>
                <w:bCs/>
                <w:color w:val="000000" w:themeColor="text1"/>
                <w:sz w:val="20"/>
                <w:szCs w:val="20"/>
              </w:rPr>
              <w:t>CEC provides balances of encumbered and unspent funds from CEC’s Plans from FY 2014-2015 through FY 2023-2024 as of January 2025 in Appendix B, including:</w:t>
            </w:r>
          </w:p>
          <w:p w:rsidRPr="007E0D2A" w:rsidR="002F78F4" w:rsidP="00295E0C" w:rsidRDefault="002F78F4" w14:paraId="253D5ACA"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$26.14M unspent from its FY 2023-2024 Plan, including approved supplemental funds:</w:t>
            </w:r>
          </w:p>
          <w:p w:rsidRPr="007E0D2A" w:rsidR="002F78F4" w:rsidP="00295E0C" w:rsidRDefault="002F78F4" w14:paraId="3DD0B007" w14:textId="77777777">
            <w:pPr>
              <w:pStyle w:val="ListParagraph"/>
              <w:numPr>
                <w:ilvl w:val="1"/>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$1.23M from its FY 2020-2021 Plan.</w:t>
            </w:r>
          </w:p>
          <w:p w:rsidRPr="007E0D2A" w:rsidR="002F78F4" w:rsidP="00295E0C" w:rsidRDefault="002F78F4" w14:paraId="09FDE2AD" w14:textId="77777777">
            <w:pPr>
              <w:pStyle w:val="ListParagraph"/>
              <w:numPr>
                <w:ilvl w:val="1"/>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$3.81 from its FY 2016-2017 Plan.</w:t>
            </w:r>
          </w:p>
          <w:p w:rsidRPr="007E0D2A" w:rsidR="002F78F4" w:rsidP="00295E0C" w:rsidRDefault="002F78F4" w14:paraId="6BEDAA10" w14:textId="77777777">
            <w:pPr>
              <w:pStyle w:val="ListParagraph"/>
              <w:numPr>
                <w:ilvl w:val="1"/>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$1.5M from its FY 2015-2016 Plan.</w:t>
            </w:r>
          </w:p>
          <w:p w:rsidRPr="007E0D2A" w:rsidR="002F78F4" w:rsidP="00295E0C" w:rsidRDefault="002F78F4" w14:paraId="17A20FE4"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$5.30M unspent from its FY 2022-2023 Plan, including $3.4M and $1.9M for which solicitations are anticipated in FY 2025 and $7,772 anticipated for a supplemental Plan.</w:t>
            </w:r>
          </w:p>
          <w:p w:rsidRPr="007E0D2A" w:rsidR="002F78F4" w:rsidP="00295E0C" w:rsidRDefault="002F78F4" w14:paraId="3F485CD8"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 xml:space="preserve">$865,642 unspent from its FY 2017-2018 Plan anticipated for a supplemental Plan. </w:t>
            </w:r>
          </w:p>
          <w:p w:rsidRPr="007E0D2A" w:rsidR="002F78F4" w:rsidP="00295E0C" w:rsidRDefault="002F78F4" w14:paraId="561E9B17" w14:textId="77777777">
            <w:pPr>
              <w:pStyle w:val="ListParagraph"/>
              <w:numPr>
                <w:ilvl w:val="0"/>
                <w:numId w:val="24"/>
              </w:numPr>
              <w:rPr>
                <w:rFonts w:ascii="Palatino Linotype" w:hAnsi="Palatino Linotype"/>
                <w:bCs/>
                <w:color w:val="000000" w:themeColor="text1"/>
                <w:sz w:val="20"/>
                <w:szCs w:val="20"/>
              </w:rPr>
            </w:pPr>
            <w:r w:rsidRPr="007E0D2A">
              <w:rPr>
                <w:rFonts w:ascii="Palatino Linotype" w:hAnsi="Palatino Linotype"/>
                <w:bCs/>
                <w:color w:val="000000" w:themeColor="text1"/>
                <w:sz w:val="20"/>
                <w:szCs w:val="20"/>
              </w:rPr>
              <w:t>$0 unspent, meaning all funds encumbered, from its FYs 2014-2015, 2018-2019, 2019-2020, and 2021-2022 Plans.</w:t>
            </w:r>
          </w:p>
          <w:p w:rsidR="002F78F4" w:rsidP="00295E0C" w:rsidRDefault="002F78F4" w14:paraId="6F30AC47" w14:textId="77777777">
            <w:pPr>
              <w:rPr>
                <w:rFonts w:ascii="Palatino Linotype" w:hAnsi="Palatino Linotype"/>
                <w:bCs/>
                <w:color w:val="A6A6A6" w:themeColor="background1" w:themeShade="A6"/>
                <w:sz w:val="20"/>
                <w:szCs w:val="20"/>
              </w:rPr>
            </w:pPr>
          </w:p>
          <w:p w:rsidRPr="00403057" w:rsidR="002F78F4" w:rsidP="00295E0C" w:rsidRDefault="002F78F4" w14:paraId="394E015A" w14:textId="3D03FC96">
            <w:p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However, </w:t>
            </w:r>
            <w:r w:rsidR="00D74F56">
              <w:rPr>
                <w:rFonts w:ascii="Palatino Linotype" w:hAnsi="Palatino Linotype"/>
                <w:bCs/>
                <w:color w:val="000000" w:themeColor="text1"/>
                <w:sz w:val="20"/>
                <w:szCs w:val="20"/>
              </w:rPr>
              <w:t xml:space="preserve">the </w:t>
            </w:r>
            <w:r w:rsidRPr="00C3122C">
              <w:rPr>
                <w:rFonts w:ascii="Palatino Linotype" w:hAnsi="Palatino Linotype"/>
                <w:bCs/>
                <w:color w:val="000000" w:themeColor="text1"/>
                <w:sz w:val="20"/>
                <w:szCs w:val="20"/>
              </w:rPr>
              <w:t xml:space="preserve">CEC </w:t>
            </w:r>
            <w:r>
              <w:rPr>
                <w:rFonts w:ascii="Palatino Linotype" w:hAnsi="Palatino Linotype"/>
                <w:bCs/>
                <w:color w:val="000000" w:themeColor="text1"/>
                <w:sz w:val="20"/>
                <w:szCs w:val="20"/>
              </w:rPr>
              <w:t xml:space="preserve">also </w:t>
            </w:r>
            <w:r w:rsidRPr="00C3122C">
              <w:rPr>
                <w:rFonts w:ascii="Palatino Linotype" w:hAnsi="Palatino Linotype"/>
                <w:bCs/>
                <w:color w:val="000000" w:themeColor="text1"/>
                <w:sz w:val="20"/>
                <w:szCs w:val="20"/>
              </w:rPr>
              <w:t xml:space="preserve">responded to a Spring 2026 CPUC </w:t>
            </w:r>
            <w:r w:rsidR="0056763F">
              <w:rPr>
                <w:rFonts w:ascii="Palatino Linotype" w:hAnsi="Palatino Linotype"/>
                <w:bCs/>
                <w:color w:val="000000" w:themeColor="text1"/>
                <w:sz w:val="20"/>
                <w:szCs w:val="20"/>
              </w:rPr>
              <w:t>d</w:t>
            </w:r>
            <w:r w:rsidRPr="00C3122C">
              <w:rPr>
                <w:rFonts w:ascii="Palatino Linotype" w:hAnsi="Palatino Linotype"/>
                <w:bCs/>
                <w:color w:val="000000" w:themeColor="text1"/>
                <w:sz w:val="20"/>
                <w:szCs w:val="20"/>
              </w:rPr>
              <w:t xml:space="preserve">ata </w:t>
            </w:r>
            <w:r w:rsidR="0056763F">
              <w:rPr>
                <w:rFonts w:ascii="Palatino Linotype" w:hAnsi="Palatino Linotype"/>
                <w:bCs/>
                <w:color w:val="000000" w:themeColor="text1"/>
                <w:sz w:val="20"/>
                <w:szCs w:val="20"/>
              </w:rPr>
              <w:t>r</w:t>
            </w:r>
            <w:r w:rsidRPr="00C3122C">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w:t>
            </w:r>
            <w:r>
              <w:rPr>
                <w:rFonts w:ascii="Palatino Linotype" w:hAnsi="Palatino Linotype"/>
                <w:bCs/>
                <w:color w:val="000000" w:themeColor="text1"/>
                <w:sz w:val="20"/>
                <w:szCs w:val="20"/>
              </w:rPr>
              <w:t xml:space="preserve"> </w:t>
            </w:r>
            <w:r w:rsidR="00D74F56">
              <w:rPr>
                <w:rFonts w:ascii="Palatino Linotype" w:hAnsi="Palatino Linotype"/>
                <w:bCs/>
                <w:sz w:val="20"/>
                <w:szCs w:val="20"/>
              </w:rPr>
              <w:t xml:space="preserve">The </w:t>
            </w:r>
            <w:r>
              <w:rPr>
                <w:rFonts w:ascii="Palatino Linotype" w:hAnsi="Palatino Linotype"/>
                <w:bCs/>
                <w:color w:val="000000" w:themeColor="text1"/>
                <w:sz w:val="20"/>
                <w:szCs w:val="20"/>
              </w:rPr>
              <w:t xml:space="preserve">CEC reports a total of $31,076,691 in Unspent Encumbered Funds and Unencumbered Funds </w:t>
            </w:r>
            <w:r w:rsidR="00FB3638">
              <w:rPr>
                <w:rFonts w:ascii="Palatino Linotype" w:hAnsi="Palatino Linotype"/>
                <w:bCs/>
                <w:color w:val="000000" w:themeColor="text1"/>
                <w:sz w:val="20"/>
                <w:szCs w:val="20"/>
              </w:rPr>
              <w:t>outside encumbrance and spending windows</w:t>
            </w:r>
            <w:r>
              <w:rPr>
                <w:rFonts w:ascii="Palatino Linotype" w:hAnsi="Palatino Linotype"/>
                <w:bCs/>
                <w:color w:val="000000" w:themeColor="text1"/>
                <w:sz w:val="20"/>
                <w:szCs w:val="20"/>
              </w:rPr>
              <w:t xml:space="preserve"> per this requirement: </w:t>
            </w:r>
            <w:r w:rsidRPr="00635844">
              <w:rPr>
                <w:rFonts w:ascii="Palatino Linotype" w:hAnsi="Palatino Linotype"/>
                <w:sz w:val="20"/>
                <w:szCs w:val="20"/>
              </w:rPr>
              <w:t>See Resolution G-</w:t>
            </w:r>
            <w:r w:rsidR="002E0702">
              <w:rPr>
                <w:rFonts w:ascii="Palatino Linotype" w:hAnsi="Palatino Linotype"/>
                <w:sz w:val="20"/>
                <w:szCs w:val="20"/>
              </w:rPr>
              <w:t>3622</w:t>
            </w:r>
            <w:r w:rsidRPr="00635844">
              <w:rPr>
                <w:rFonts w:ascii="Palatino Linotype" w:hAnsi="Palatino Linotype"/>
                <w:sz w:val="20"/>
                <w:szCs w:val="20"/>
              </w:rPr>
              <w:t xml:space="preserve"> at Appendix </w:t>
            </w:r>
            <w:r w:rsidR="004A55C8">
              <w:rPr>
                <w:rFonts w:ascii="Palatino Linotype" w:hAnsi="Palatino Linotype"/>
                <w:sz w:val="20"/>
                <w:szCs w:val="20"/>
              </w:rPr>
              <w:t>F</w:t>
            </w:r>
            <w:r w:rsidRPr="00635844">
              <w:rPr>
                <w:rFonts w:ascii="Palatino Linotype" w:hAnsi="Palatino Linotype"/>
                <w:sz w:val="20"/>
                <w:szCs w:val="20"/>
              </w:rPr>
              <w:t xml:space="preserve">: </w:t>
            </w:r>
            <w:r w:rsidRPr="00635844">
              <w:rPr>
                <w:rFonts w:ascii="Palatino Linotype" w:hAnsi="Palatino Linotype"/>
                <w:color w:val="000000" w:themeColor="text1"/>
                <w:sz w:val="20"/>
                <w:szCs w:val="20"/>
              </w:rPr>
              <w:t>CEC Balances of Unspent Funds from Previously Approved Gas RD&amp;D Plans.</w:t>
            </w:r>
          </w:p>
          <w:p w:rsidRPr="00FC40EE" w:rsidR="002F78F4" w:rsidP="00295E0C" w:rsidRDefault="00D74F56" w14:paraId="0096A05B" w14:textId="1E589ECE">
            <w:pPr>
              <w:spacing w:before="240"/>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7E0D2A" w:rsidR="002F78F4">
              <w:rPr>
                <w:rFonts w:ascii="Palatino Linotype" w:hAnsi="Palatino Linotype"/>
                <w:bCs/>
                <w:color w:val="000000" w:themeColor="text1"/>
                <w:sz w:val="20"/>
                <w:szCs w:val="20"/>
              </w:rPr>
              <w:t>CEC does not request to use unspent funds for any new projects in its FY 2025-2026 Plan, but states that it “will ensure that for any use of encumbered and unspent funds that the CEC requests for new projects, the request will identify the respective research areas for which the CPUC originally authorized the fu</w:t>
            </w:r>
            <w:r w:rsidRPr="006A6975" w:rsidR="002F78F4">
              <w:rPr>
                <w:rFonts w:ascii="Palatino Linotype" w:hAnsi="Palatino Linotype"/>
                <w:bCs/>
                <w:color w:val="000000" w:themeColor="text1"/>
                <w:sz w:val="20"/>
                <w:szCs w:val="20"/>
              </w:rPr>
              <w:t>nding.”</w:t>
            </w:r>
            <w:r w:rsidRPr="006A6975" w:rsidR="002F78F4">
              <w:rPr>
                <w:rStyle w:val="FootnoteReference"/>
                <w:rFonts w:ascii="Palatino Linotype" w:hAnsi="Palatino Linotype"/>
                <w:bCs/>
                <w:color w:val="000000" w:themeColor="text1"/>
                <w:sz w:val="20"/>
                <w:szCs w:val="20"/>
              </w:rPr>
              <w:footnoteReference w:id="251"/>
            </w:r>
            <w:r w:rsidRPr="006A6975"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6A6975" w:rsidR="002F78F4">
              <w:rPr>
                <w:rFonts w:ascii="Palatino Linotype" w:hAnsi="Palatino Linotype"/>
                <w:bCs/>
                <w:color w:val="000000" w:themeColor="text1"/>
                <w:sz w:val="20"/>
                <w:szCs w:val="20"/>
              </w:rPr>
              <w:t xml:space="preserve">CEC also states that, “[p]er Resolutions G-3584 and G-3592, the CEC will ensure that for any unspent funds that the CEC has identified and seeks to use for new Gas R&amp;D projects, </w:t>
            </w:r>
            <w:r w:rsidRPr="006A6975" w:rsidR="002F78F4">
              <w:rPr>
                <w:rFonts w:ascii="Palatino Linotype" w:hAnsi="Palatino Linotype"/>
                <w:bCs/>
                <w:color w:val="000000" w:themeColor="text1"/>
                <w:sz w:val="20"/>
                <w:szCs w:val="20"/>
              </w:rPr>
              <w:lastRenderedPageBreak/>
              <w:t>the CEC will apply this unused funding before any new or additional ratepayer funds are used</w:t>
            </w:r>
            <w:r w:rsidR="002F78F4">
              <w:rPr>
                <w:rFonts w:ascii="Palatino Linotype" w:hAnsi="Palatino Linotype"/>
                <w:bCs/>
                <w:color w:val="000000" w:themeColor="text1"/>
                <w:sz w:val="20"/>
                <w:szCs w:val="20"/>
              </w:rPr>
              <w:t>.</w:t>
            </w:r>
            <w:r w:rsidRPr="006A6975" w:rsidR="002F78F4">
              <w:rPr>
                <w:rFonts w:ascii="Palatino Linotype" w:hAnsi="Palatino Linotype"/>
                <w:bCs/>
                <w:color w:val="000000" w:themeColor="text1"/>
                <w:sz w:val="20"/>
                <w:szCs w:val="20"/>
              </w:rPr>
              <w:t>”</w:t>
            </w:r>
            <w:r w:rsidRPr="006A6975" w:rsidR="002F78F4">
              <w:rPr>
                <w:rStyle w:val="FootnoteReference"/>
                <w:rFonts w:ascii="Palatino Linotype" w:hAnsi="Palatino Linotype"/>
                <w:bCs/>
                <w:color w:val="000000" w:themeColor="text1"/>
                <w:sz w:val="20"/>
                <w:szCs w:val="20"/>
              </w:rPr>
              <w:footnoteReference w:id="252"/>
            </w:r>
            <w:r w:rsidRPr="006A6975" w:rsidR="002F78F4">
              <w:rPr>
                <w:rFonts w:ascii="Palatino Linotype" w:hAnsi="Palatino Linotype"/>
                <w:bCs/>
                <w:color w:val="000000" w:themeColor="text1"/>
                <w:sz w:val="20"/>
                <w:szCs w:val="20"/>
              </w:rPr>
              <w:t xml:space="preserve"> </w:t>
            </w:r>
          </w:p>
          <w:p w:rsidRPr="00FC40EE" w:rsidR="002F78F4" w:rsidP="00295E0C" w:rsidRDefault="00D74F56" w14:paraId="2D92818D" w14:textId="48D1136F">
            <w:pPr>
              <w:spacing w:before="240"/>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F93412" w:rsidR="002F78F4">
              <w:rPr>
                <w:rFonts w:ascii="Palatino Linotype" w:hAnsi="Palatino Linotype"/>
                <w:bCs/>
                <w:color w:val="000000" w:themeColor="text1"/>
                <w:sz w:val="20"/>
                <w:szCs w:val="20"/>
              </w:rPr>
              <w:t xml:space="preserve">CEC also lists $3.6M under “CPUC FY 2022-23 </w:t>
            </w:r>
            <w:r w:rsidRPr="00F93412" w:rsidR="002F78F4">
              <w:rPr>
                <w:rFonts w:ascii="Palatino Linotype" w:hAnsi="Palatino Linotype"/>
                <w:bCs/>
                <w:i/>
                <w:iCs/>
                <w:color w:val="000000" w:themeColor="text1"/>
                <w:sz w:val="20"/>
                <w:szCs w:val="20"/>
              </w:rPr>
              <w:t>Approved</w:t>
            </w:r>
            <w:r w:rsidRPr="00F93412" w:rsidR="002F78F4">
              <w:rPr>
                <w:rFonts w:ascii="Palatino Linotype" w:hAnsi="Palatino Linotype"/>
                <w:bCs/>
                <w:color w:val="000000" w:themeColor="text1"/>
                <w:sz w:val="20"/>
                <w:szCs w:val="20"/>
              </w:rPr>
              <w:t xml:space="preserve"> Budget Plan” versus $0 under “FY 2022-23 </w:t>
            </w:r>
            <w:r w:rsidRPr="00F93412" w:rsidR="002F78F4">
              <w:rPr>
                <w:rFonts w:ascii="Palatino Linotype" w:hAnsi="Palatino Linotype"/>
                <w:bCs/>
                <w:i/>
                <w:iCs/>
                <w:color w:val="000000" w:themeColor="text1"/>
                <w:sz w:val="20"/>
                <w:szCs w:val="20"/>
              </w:rPr>
              <w:t>Current</w:t>
            </w:r>
            <w:r w:rsidRPr="00F93412" w:rsidR="002F78F4">
              <w:rPr>
                <w:rFonts w:ascii="Palatino Linotype" w:hAnsi="Palatino Linotype"/>
                <w:bCs/>
                <w:color w:val="000000" w:themeColor="text1"/>
                <w:sz w:val="20"/>
                <w:szCs w:val="20"/>
              </w:rPr>
              <w:t xml:space="preserve"> Budget Plan” for an Entrepreneur Development Initiative, noting “CPUC modified the $3.6 million budget for Entrepreneur Development (CalSEED Initiative) and directed the CEC to submit a new proposal for reallocating the $3.6 million via a Tier 2 Advice Letter. CPUC approved CEC’s request to reallocate $600,000 to Targeted Gas System Decommissioning and $3,000,000 to Gas Pipeline Safety and Integrity.”</w:t>
            </w:r>
            <w:r w:rsidRPr="00F93412" w:rsidR="002F78F4">
              <w:rPr>
                <w:rStyle w:val="FootnoteReference"/>
                <w:rFonts w:ascii="Palatino Linotype" w:hAnsi="Palatino Linotype"/>
                <w:bCs/>
                <w:color w:val="000000" w:themeColor="text1"/>
                <w:sz w:val="20"/>
                <w:szCs w:val="20"/>
              </w:rPr>
              <w:footnoteReference w:id="253"/>
            </w:r>
          </w:p>
        </w:tc>
        <w:tc>
          <w:tcPr>
            <w:tcW w:w="3240" w:type="dxa"/>
          </w:tcPr>
          <w:p w:rsidR="002F78F4" w:rsidP="00295E0C" w:rsidRDefault="002F78F4" w14:paraId="6880C46E" w14:textId="3E080B19">
            <w:pPr>
              <w:rPr>
                <w:rFonts w:ascii="Palatino Linotype" w:hAnsi="Palatino Linotype"/>
                <w:b/>
                <w:color w:val="000000" w:themeColor="text1"/>
                <w:sz w:val="20"/>
                <w:szCs w:val="20"/>
              </w:rPr>
            </w:pPr>
            <w:r w:rsidRPr="00793BF7">
              <w:rPr>
                <w:rFonts w:ascii="Palatino Linotype" w:hAnsi="Palatino Linotype"/>
                <w:bCs/>
                <w:color w:val="000000" w:themeColor="text1"/>
                <w:sz w:val="20"/>
                <w:szCs w:val="20"/>
              </w:rPr>
              <w:lastRenderedPageBreak/>
              <w:t xml:space="preserve">Though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 xml:space="preserve">CEC reports unspent and encumbered funds,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 xml:space="preserve">CEC does not provide balances of spent and </w:t>
            </w:r>
            <w:r>
              <w:rPr>
                <w:rFonts w:ascii="Palatino Linotype" w:hAnsi="Palatino Linotype"/>
                <w:bCs/>
                <w:color w:val="000000" w:themeColor="text1"/>
                <w:sz w:val="20"/>
                <w:szCs w:val="20"/>
              </w:rPr>
              <w:t>unencumbered</w:t>
            </w:r>
            <w:r w:rsidRPr="00793BF7">
              <w:rPr>
                <w:rFonts w:ascii="Palatino Linotype" w:hAnsi="Palatino Linotype"/>
                <w:bCs/>
                <w:color w:val="000000" w:themeColor="text1"/>
                <w:sz w:val="20"/>
                <w:szCs w:val="20"/>
              </w:rPr>
              <w:t xml:space="preserve"> funds for these years nor does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 xml:space="preserve">CEC detail </w:t>
            </w:r>
            <w:r w:rsidR="00E377A3">
              <w:rPr>
                <w:rFonts w:ascii="Palatino Linotype" w:hAnsi="Palatino Linotype"/>
                <w:bCs/>
                <w:color w:val="000000" w:themeColor="text1"/>
                <w:sz w:val="20"/>
                <w:szCs w:val="20"/>
              </w:rPr>
              <w:t>encumbrance and spending windows</w:t>
            </w:r>
            <w:r w:rsidRPr="00793BF7">
              <w:rPr>
                <w:rFonts w:ascii="Palatino Linotype" w:hAnsi="Palatino Linotype"/>
                <w:bCs/>
                <w:color w:val="000000" w:themeColor="text1"/>
                <w:sz w:val="20"/>
                <w:szCs w:val="20"/>
              </w:rPr>
              <w:t xml:space="preserve"> to demonstrate compliance as described under the Commission’s compliance assessment of AL 10-G-A with Resolution G-3484. </w:t>
            </w:r>
            <w:r w:rsidR="00D74F56">
              <w:rPr>
                <w:rFonts w:ascii="Palatino Linotype" w:hAnsi="Palatino Linotype"/>
                <w:bCs/>
                <w:sz w:val="20"/>
                <w:szCs w:val="20"/>
              </w:rPr>
              <w:t xml:space="preserve">The </w:t>
            </w:r>
            <w:r w:rsidRPr="00793BF7">
              <w:rPr>
                <w:rFonts w:ascii="Palatino Linotype" w:hAnsi="Palatino Linotype"/>
                <w:bCs/>
                <w:color w:val="000000" w:themeColor="text1"/>
                <w:sz w:val="20"/>
                <w:szCs w:val="20"/>
              </w:rPr>
              <w:t xml:space="preserve">CEC reports unspent funds but does not demonstrate they have been or are being used to offset new or additional ratepayer costs; further, </w:t>
            </w:r>
            <w:r w:rsidR="00D74F56">
              <w:rPr>
                <w:rFonts w:ascii="Palatino Linotype" w:hAnsi="Palatino Linotype"/>
                <w:bCs/>
                <w:color w:val="000000" w:themeColor="text1"/>
                <w:sz w:val="20"/>
                <w:szCs w:val="20"/>
              </w:rPr>
              <w:t xml:space="preserve">the </w:t>
            </w:r>
            <w:r w:rsidRPr="00793BF7">
              <w:rPr>
                <w:rFonts w:ascii="Palatino Linotype" w:hAnsi="Palatino Linotype"/>
                <w:bCs/>
                <w:color w:val="000000" w:themeColor="text1"/>
                <w:sz w:val="20"/>
                <w:szCs w:val="20"/>
              </w:rPr>
              <w:t>CEC indicates it anticipates unspent funds will be used for a supplemental Plan.</w:t>
            </w:r>
            <w:r w:rsidR="00D74F56">
              <w:rPr>
                <w:rFonts w:ascii="Palatino Linotype" w:hAnsi="Palatino Linotype"/>
                <w:bCs/>
                <w:color w:val="000000" w:themeColor="text1"/>
                <w:sz w:val="20"/>
                <w:szCs w:val="20"/>
              </w:rPr>
              <w:t xml:space="preserve"> </w:t>
            </w:r>
            <w:r w:rsidR="00D74F56">
              <w:rPr>
                <w:rFonts w:ascii="Palatino Linotype" w:hAnsi="Palatino Linotype"/>
                <w:bCs/>
                <w:sz w:val="20"/>
                <w:szCs w:val="20"/>
              </w:rPr>
              <w:t>The</w:t>
            </w:r>
            <w:r w:rsidRPr="00793BF7">
              <w:rPr>
                <w:rFonts w:ascii="Palatino Linotype" w:hAnsi="Palatino Linotype"/>
                <w:bCs/>
                <w:color w:val="000000" w:themeColor="text1"/>
                <w:sz w:val="20"/>
                <w:szCs w:val="20"/>
              </w:rPr>
              <w:t xml:space="preserve"> CEC shall apply the cumulative </w:t>
            </w:r>
            <w:r w:rsidR="002B7EE9">
              <w:rPr>
                <w:rFonts w:ascii="Palatino Linotype" w:hAnsi="Palatino Linotype"/>
                <w:bCs/>
                <w:color w:val="000000" w:themeColor="text1"/>
                <w:sz w:val="20"/>
                <w:szCs w:val="20"/>
              </w:rPr>
              <w:t>applicable unspent</w:t>
            </w:r>
            <w:r w:rsidRPr="00793BF7">
              <w:rPr>
                <w:rFonts w:ascii="Palatino Linotype" w:hAnsi="Palatino Linotype"/>
                <w:bCs/>
                <w:color w:val="000000" w:themeColor="text1"/>
                <w:sz w:val="20"/>
                <w:szCs w:val="20"/>
              </w:rPr>
              <w:t xml:space="preserve"> funds from previous cycles to future funding requests, which will result in reducing the amount the CEC will need to draw out of the program funds for that cycle.</w:t>
            </w:r>
            <w:r w:rsidRPr="00793BF7">
              <w:rPr>
                <w:rStyle w:val="FootnoteReference"/>
                <w:rFonts w:ascii="Palatino Linotype" w:hAnsi="Palatino Linotype"/>
                <w:bCs/>
                <w:color w:val="000000" w:themeColor="text1"/>
                <w:sz w:val="20"/>
                <w:szCs w:val="20"/>
              </w:rPr>
              <w:footnoteReference w:id="254"/>
            </w:r>
            <w:r w:rsidRPr="00793BF7">
              <w:rPr>
                <w:rFonts w:ascii="Palatino Linotype" w:hAnsi="Palatino Linotype"/>
                <w:bCs/>
                <w:color w:val="000000" w:themeColor="text1"/>
                <w:sz w:val="20"/>
                <w:szCs w:val="20"/>
              </w:rPr>
              <w:t xml:space="preserve"> </w:t>
            </w:r>
            <w:r w:rsidR="00D74F56">
              <w:rPr>
                <w:rFonts w:ascii="Palatino Linotype" w:hAnsi="Palatino Linotype"/>
                <w:bCs/>
                <w:sz w:val="20"/>
                <w:szCs w:val="20"/>
              </w:rPr>
              <w:t xml:space="preserve">The </w:t>
            </w:r>
            <w:r w:rsidRPr="00793BF7">
              <w:rPr>
                <w:rFonts w:ascii="Palatino Linotype" w:hAnsi="Palatino Linotype"/>
                <w:bCs/>
                <w:color w:val="000000" w:themeColor="text1"/>
                <w:sz w:val="20"/>
                <w:szCs w:val="20"/>
              </w:rPr>
              <w:t xml:space="preserve">CEC also does not appear to accurately report CPUC-approved </w:t>
            </w:r>
            <w:r w:rsidRPr="00FA4708">
              <w:rPr>
                <w:rFonts w:ascii="Palatino Linotype" w:hAnsi="Palatino Linotype"/>
                <w:bCs/>
                <w:color w:val="000000" w:themeColor="text1"/>
                <w:sz w:val="20"/>
                <w:szCs w:val="20"/>
              </w:rPr>
              <w:t xml:space="preserve">budget allocations for each Plan in Appendix B. </w:t>
            </w:r>
            <w:r w:rsidRPr="00D74F56" w:rsidR="00D74F56">
              <w:rPr>
                <w:rFonts w:ascii="Palatino Linotype" w:hAnsi="Palatino Linotype"/>
                <w:b/>
                <w:sz w:val="20"/>
                <w:szCs w:val="20"/>
              </w:rPr>
              <w:t xml:space="preserve">The </w:t>
            </w:r>
            <w:r w:rsidRPr="00FA4708">
              <w:rPr>
                <w:rFonts w:ascii="Palatino Linotype" w:hAnsi="Palatino Linotype"/>
                <w:b/>
                <w:color w:val="000000" w:themeColor="text1"/>
                <w:sz w:val="20"/>
                <w:szCs w:val="20"/>
              </w:rPr>
              <w:lastRenderedPageBreak/>
              <w:t xml:space="preserve">CEC is </w:t>
            </w:r>
            <w:r w:rsidRPr="00FA4708">
              <w:rPr>
                <w:rFonts w:ascii="Palatino Linotype" w:hAnsi="Palatino Linotype"/>
                <w:b/>
                <w:i/>
                <w:iCs/>
                <w:color w:val="000000" w:themeColor="text1"/>
                <w:sz w:val="20"/>
                <w:szCs w:val="20"/>
              </w:rPr>
              <w:t>not</w:t>
            </w:r>
            <w:r w:rsidRPr="00FA4708">
              <w:rPr>
                <w:rFonts w:ascii="Palatino Linotype" w:hAnsi="Palatino Linotype"/>
                <w:b/>
                <w:color w:val="000000" w:themeColor="text1"/>
                <w:sz w:val="20"/>
                <w:szCs w:val="20"/>
              </w:rPr>
              <w:t xml:space="preserve"> compliant with this requirement.</w:t>
            </w:r>
            <w:r w:rsidRPr="00793BF7">
              <w:rPr>
                <w:rFonts w:ascii="Palatino Linotype" w:hAnsi="Palatino Linotype"/>
                <w:b/>
                <w:color w:val="000000" w:themeColor="text1"/>
                <w:sz w:val="20"/>
                <w:szCs w:val="20"/>
              </w:rPr>
              <w:t xml:space="preserve"> </w:t>
            </w:r>
          </w:p>
          <w:p w:rsidRPr="004444B3" w:rsidR="002F78F4" w:rsidP="00295E0C" w:rsidRDefault="002F78F4" w14:paraId="2EFC9CDF" w14:textId="77777777">
            <w:pPr>
              <w:rPr>
                <w:rFonts w:ascii="Palatino Linotype" w:hAnsi="Palatino Linotype"/>
                <w:b/>
                <w:color w:val="000000" w:themeColor="text1"/>
                <w:sz w:val="20"/>
                <w:szCs w:val="20"/>
              </w:rPr>
            </w:pPr>
          </w:p>
          <w:p w:rsidRPr="00FC40EE" w:rsidR="002F78F4" w:rsidP="00295E0C" w:rsidRDefault="002F78F4" w14:paraId="2C1ADE32" w14:textId="6EB31718">
            <w:pPr>
              <w:rPr>
                <w:rFonts w:ascii="Palatino Linotype" w:hAnsi="Palatino Linotype"/>
                <w:color w:val="A6A6A6" w:themeColor="background1" w:themeShade="A6"/>
                <w:sz w:val="20"/>
                <w:szCs w:val="20"/>
              </w:rPr>
            </w:pPr>
            <w:r w:rsidRPr="00793BF7">
              <w:rPr>
                <w:rFonts w:ascii="Palatino Linotype" w:hAnsi="Palatino Linotype"/>
                <w:bCs/>
                <w:color w:val="000000" w:themeColor="text1"/>
                <w:sz w:val="20"/>
                <w:szCs w:val="20"/>
              </w:rPr>
              <w:t>The CEC</w:t>
            </w:r>
            <w:r w:rsidR="00075198">
              <w:rPr>
                <w:rFonts w:ascii="Palatino Linotype" w:hAnsi="Palatino Linotype"/>
                <w:bCs/>
                <w:color w:val="000000" w:themeColor="text1"/>
                <w:sz w:val="20"/>
                <w:szCs w:val="20"/>
              </w:rPr>
              <w:t xml:space="preserve"> must</w:t>
            </w:r>
            <w:r w:rsidRPr="00793BF7">
              <w:rPr>
                <w:rFonts w:ascii="Palatino Linotype" w:hAnsi="Palatino Linotype"/>
                <w:bCs/>
                <w:color w:val="000000" w:themeColor="text1"/>
                <w:sz w:val="20"/>
                <w:szCs w:val="20"/>
              </w:rPr>
              <w:t xml:space="preserve"> ensure fund balances are listed by specific Gas RD&amp;D Initiative rather than broader “Initiative Themes</w:t>
            </w:r>
            <w:r w:rsidR="00440C8D">
              <w:rPr>
                <w:rFonts w:ascii="Palatino Linotype" w:hAnsi="Palatino Linotype"/>
                <w:bCs/>
                <w:color w:val="000000" w:themeColor="text1"/>
                <w:sz w:val="20"/>
                <w:szCs w:val="20"/>
              </w:rPr>
              <w:t xml:space="preserve">.” </w:t>
            </w:r>
            <w:r w:rsidRPr="00793BF7">
              <w:rPr>
                <w:rFonts w:ascii="Palatino Linotype" w:hAnsi="Palatino Linotype"/>
                <w:color w:val="000000" w:themeColor="text1"/>
                <w:sz w:val="20"/>
                <w:szCs w:val="20"/>
              </w:rPr>
              <w:t xml:space="preserve">To clearly demonstrate compliance with reporting requirements, the CEC </w:t>
            </w:r>
            <w:r w:rsidR="00075198">
              <w:rPr>
                <w:rFonts w:ascii="Palatino Linotype" w:hAnsi="Palatino Linotype"/>
                <w:color w:val="000000" w:themeColor="text1"/>
                <w:sz w:val="20"/>
                <w:szCs w:val="20"/>
              </w:rPr>
              <w:t>must</w:t>
            </w:r>
            <w:r w:rsidRPr="00793BF7">
              <w:rPr>
                <w:rFonts w:ascii="Palatino Linotype" w:hAnsi="Palatino Linotype"/>
                <w:color w:val="000000" w:themeColor="text1"/>
                <w:sz w:val="20"/>
                <w:szCs w:val="20"/>
              </w:rPr>
              <w:t xml:space="preserve"> also utilize Energy Division guidance, including the Annual Report Template.</w:t>
            </w:r>
          </w:p>
        </w:tc>
      </w:tr>
      <w:tr w:rsidR="002F78F4" w:rsidTr="00295E0C" w14:paraId="10008120" w14:textId="77777777">
        <w:trPr>
          <w:trHeight w:val="638"/>
        </w:trPr>
        <w:tc>
          <w:tcPr>
            <w:tcW w:w="3145" w:type="dxa"/>
          </w:tcPr>
          <w:p w:rsidRPr="00E7529D" w:rsidR="002F78F4" w:rsidP="00295E0C" w:rsidRDefault="002F78F4" w14:paraId="0CF59B44" w14:textId="77777777">
            <w:pPr>
              <w:rPr>
                <w:rFonts w:ascii="Palatino Linotype" w:hAnsi="Palatino Linotype"/>
                <w:b/>
                <w:sz w:val="20"/>
                <w:szCs w:val="20"/>
              </w:rPr>
            </w:pPr>
            <w:hyperlink w:history="1" r:id="rId119">
              <w:r w:rsidRPr="00FC40EE">
                <w:rPr>
                  <w:rStyle w:val="Hyperlink"/>
                  <w:rFonts w:ascii="Palatino Linotype" w:hAnsi="Palatino Linotype"/>
                  <w:b/>
                  <w:sz w:val="20"/>
                  <w:szCs w:val="20"/>
                </w:rPr>
                <w:t>Resolution G-3603</w:t>
              </w:r>
            </w:hyperlink>
            <w:r w:rsidRPr="00FC40EE">
              <w:rPr>
                <w:rFonts w:ascii="Palatino Linotype" w:hAnsi="Palatino Linotype"/>
                <w:b/>
                <w:sz w:val="20"/>
                <w:szCs w:val="20"/>
              </w:rPr>
              <w:t xml:space="preserve"> </w:t>
            </w:r>
            <w:r w:rsidRPr="00FC40EE">
              <w:rPr>
                <w:rFonts w:ascii="Palatino Linotype" w:hAnsi="Palatino Linotype"/>
                <w:bCs/>
                <w:sz w:val="20"/>
                <w:szCs w:val="20"/>
              </w:rPr>
              <w:t>(2024) at OP 4.</w:t>
            </w:r>
            <w:r w:rsidRPr="00E7529D">
              <w:rPr>
                <w:rFonts w:ascii="Palatino Linotype" w:hAnsi="Palatino Linotype"/>
                <w:bCs/>
                <w:sz w:val="20"/>
                <w:szCs w:val="20"/>
              </w:rPr>
              <w:t xml:space="preserve"> </w:t>
            </w:r>
            <w:r w:rsidRPr="00E7529D">
              <w:rPr>
                <w:rFonts w:ascii="Palatino Linotype" w:hAnsi="Palatino Linotype"/>
                <w:bCs/>
                <w:i/>
                <w:iCs/>
                <w:sz w:val="20"/>
                <w:szCs w:val="20"/>
              </w:rPr>
              <w:t xml:space="preserve">[The CEC] shall be proactive and specific in articulating its coordination and collaboration with the Investor-Owned Utilities (IOUs), </w:t>
            </w:r>
            <w:r w:rsidRPr="0012506F">
              <w:rPr>
                <w:rFonts w:ascii="Palatino Linotype" w:hAnsi="Palatino Linotype"/>
                <w:bCs/>
                <w:i/>
                <w:iCs/>
                <w:sz w:val="20"/>
                <w:szCs w:val="20"/>
              </w:rPr>
              <w:t>and other Gas Research and Development (R&amp;D) entities,</w:t>
            </w:r>
            <w:r w:rsidRPr="00E7529D">
              <w:rPr>
                <w:rFonts w:ascii="Palatino Linotype" w:hAnsi="Palatino Linotype"/>
                <w:bCs/>
                <w:i/>
                <w:iCs/>
                <w:sz w:val="20"/>
                <w:szCs w:val="20"/>
              </w:rPr>
              <w:t xml:space="preserve">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E7529D">
              <w:rPr>
                <w:rFonts w:ascii="Palatino Linotype" w:hAnsi="Palatino Linotype"/>
                <w:b/>
                <w:sz w:val="20"/>
                <w:szCs w:val="20"/>
              </w:rPr>
              <w:t xml:space="preserve">  </w:t>
            </w:r>
          </w:p>
        </w:tc>
        <w:tc>
          <w:tcPr>
            <w:tcW w:w="7920" w:type="dxa"/>
          </w:tcPr>
          <w:p w:rsidR="002F78F4" w:rsidP="00295E0C" w:rsidRDefault="002304B7" w14:paraId="45523D5E" w14:textId="4CBB77B4">
            <w:pPr>
              <w:rPr>
                <w:rFonts w:ascii="Palatino Linotype" w:hAnsi="Palatino Linotype"/>
                <w:bCs/>
                <w:color w:val="000000" w:themeColor="text1"/>
                <w:sz w:val="20"/>
                <w:szCs w:val="20"/>
              </w:rPr>
            </w:pPr>
            <w:r>
              <w:rPr>
                <w:rFonts w:ascii="Palatino Linotype" w:hAnsi="Palatino Linotype"/>
                <w:bCs/>
                <w:sz w:val="20"/>
                <w:szCs w:val="20"/>
              </w:rPr>
              <w:t xml:space="preserve">The </w:t>
            </w:r>
            <w:r w:rsidR="002F78F4">
              <w:rPr>
                <w:rFonts w:ascii="Palatino Linotype" w:hAnsi="Palatino Linotype"/>
                <w:bCs/>
                <w:color w:val="000000" w:themeColor="text1"/>
                <w:sz w:val="20"/>
                <w:szCs w:val="20"/>
              </w:rPr>
              <w:t xml:space="preserve">CEC </w:t>
            </w:r>
            <w:r w:rsidRPr="008B29D0" w:rsidR="002F78F4">
              <w:rPr>
                <w:rFonts w:ascii="Palatino Linotype" w:hAnsi="Palatino Linotype"/>
                <w:bCs/>
                <w:color w:val="000000" w:themeColor="text1"/>
                <w:sz w:val="20"/>
                <w:szCs w:val="20"/>
              </w:rPr>
              <w:t>includes a Public Workshop and Written Public Comment Summary and CEC Responses, including IOU comments</w:t>
            </w:r>
            <w:r w:rsidR="002F78F4">
              <w:rPr>
                <w:rFonts w:ascii="Palatino Linotype" w:hAnsi="Palatino Linotype"/>
                <w:bCs/>
                <w:color w:val="000000" w:themeColor="text1"/>
                <w:sz w:val="20"/>
                <w:szCs w:val="20"/>
              </w:rPr>
              <w:t>,</w:t>
            </w:r>
            <w:r w:rsidRPr="008B29D0" w:rsidR="002F78F4">
              <w:rPr>
                <w:rStyle w:val="FootnoteReference"/>
                <w:rFonts w:ascii="Palatino Linotype" w:hAnsi="Palatino Linotype"/>
                <w:bCs/>
                <w:color w:val="000000" w:themeColor="text1"/>
                <w:sz w:val="20"/>
                <w:szCs w:val="20"/>
              </w:rPr>
              <w:footnoteReference w:id="255"/>
            </w:r>
            <w:r w:rsidRPr="008B29D0" w:rsidR="002F78F4">
              <w:rPr>
                <w:rFonts w:ascii="Palatino Linotype" w:hAnsi="Palatino Linotype"/>
                <w:bCs/>
                <w:color w:val="000000" w:themeColor="text1"/>
                <w:sz w:val="20"/>
                <w:szCs w:val="20"/>
              </w:rPr>
              <w:t xml:space="preserve"> </w:t>
            </w:r>
            <w:r w:rsidR="002F78F4">
              <w:rPr>
                <w:rFonts w:ascii="Palatino Linotype" w:hAnsi="Palatino Linotype"/>
                <w:bCs/>
                <w:color w:val="000000" w:themeColor="text1"/>
                <w:sz w:val="20"/>
                <w:szCs w:val="20"/>
              </w:rPr>
              <w:t>and lists the following stakeholder events:</w:t>
            </w:r>
            <w:r w:rsidR="002F78F4">
              <w:rPr>
                <w:rStyle w:val="FootnoteReference"/>
                <w:rFonts w:ascii="Palatino Linotype" w:hAnsi="Palatino Linotype"/>
                <w:bCs/>
                <w:color w:val="000000" w:themeColor="text1"/>
                <w:sz w:val="20"/>
                <w:szCs w:val="20"/>
              </w:rPr>
              <w:footnoteReference w:id="256"/>
            </w:r>
            <w:r w:rsidR="002F78F4">
              <w:rPr>
                <w:rFonts w:ascii="Palatino Linotype" w:hAnsi="Palatino Linotype"/>
                <w:bCs/>
                <w:color w:val="000000" w:themeColor="text1"/>
                <w:sz w:val="20"/>
                <w:szCs w:val="20"/>
              </w:rPr>
              <w:t xml:space="preserve"> </w:t>
            </w:r>
          </w:p>
          <w:p w:rsidR="002F78F4" w:rsidP="00295E0C" w:rsidRDefault="002F78F4" w14:paraId="7F092BCA" w14:textId="6789E336">
            <w:pPr>
              <w:pStyle w:val="ListParagraph"/>
              <w:numPr>
                <w:ilvl w:val="0"/>
                <w:numId w:val="31"/>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“On August 12, 2024, CEC staff met with representatives from Southern California Gas Company (SoCalGas), Pacific Gas &amp; Electric (PG&amp;E), and Southwest Gas to gather feedback on the initial broad set of potential initiatives</w:t>
            </w:r>
            <w:r w:rsidR="00440C8D">
              <w:rPr>
                <w:rFonts w:ascii="Palatino Linotype" w:hAnsi="Palatino Linotype"/>
                <w:bCs/>
                <w:color w:val="000000" w:themeColor="text1"/>
                <w:sz w:val="20"/>
                <w:szCs w:val="20"/>
              </w:rPr>
              <w:t>.</w:t>
            </w:r>
            <w:r w:rsidRPr="003D6A8D">
              <w:rPr>
                <w:rFonts w:ascii="Palatino Linotype" w:hAnsi="Palatino Linotype"/>
                <w:bCs/>
                <w:color w:val="000000" w:themeColor="text1"/>
                <w:sz w:val="20"/>
                <w:szCs w:val="20"/>
              </w:rPr>
              <w:t xml:space="preserve">” </w:t>
            </w:r>
          </w:p>
          <w:p w:rsidR="002F78F4" w:rsidP="00295E0C" w:rsidRDefault="002F78F4" w14:paraId="1DE1F320" w14:textId="77777777">
            <w:pPr>
              <w:pStyle w:val="ListParagraph"/>
              <w:numPr>
                <w:ilvl w:val="0"/>
                <w:numId w:val="31"/>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 xml:space="preserve">“On October 9, 2024, CEC staff met with representatives from SoCalGas, Sempra, and PG&amp;E to gather further feedback on the selected proposed initiatives included in the Budget Plan.” </w:t>
            </w:r>
          </w:p>
          <w:p w:rsidRPr="003D6A8D" w:rsidR="002F78F4" w:rsidP="00295E0C" w:rsidRDefault="002F78F4" w14:paraId="0038C727" w14:textId="77777777">
            <w:pPr>
              <w:pStyle w:val="ListParagraph"/>
              <w:numPr>
                <w:ilvl w:val="0"/>
                <w:numId w:val="31"/>
              </w:numPr>
              <w:rPr>
                <w:rFonts w:ascii="Palatino Linotype" w:hAnsi="Palatino Linotype"/>
                <w:bCs/>
                <w:color w:val="000000" w:themeColor="text1"/>
                <w:sz w:val="20"/>
                <w:szCs w:val="20"/>
              </w:rPr>
            </w:pPr>
            <w:r w:rsidRPr="003D6A8D">
              <w:rPr>
                <w:rFonts w:ascii="Palatino Linotype" w:hAnsi="Palatino Linotype"/>
                <w:bCs/>
                <w:color w:val="000000" w:themeColor="text1"/>
                <w:sz w:val="20"/>
                <w:szCs w:val="20"/>
              </w:rPr>
              <w:t>“On February 7, 2025, CEC staff held a public workshop and invited additional written public comments on the proposed research initiatives.”</w:t>
            </w:r>
          </w:p>
          <w:p w:rsidR="002F78F4" w:rsidP="00295E0C" w:rsidRDefault="002304B7" w14:paraId="1D3CE34F" w14:textId="1187F7CE">
            <w:pPr>
              <w:rPr>
                <w:rFonts w:ascii="Palatino Linotype" w:hAnsi="Palatino Linotype"/>
                <w:bCs/>
                <w:color w:val="A6A6A6" w:themeColor="background1" w:themeShade="A6"/>
                <w:sz w:val="20"/>
                <w:szCs w:val="20"/>
              </w:rPr>
            </w:pPr>
            <w:r>
              <w:rPr>
                <w:rFonts w:ascii="Palatino Linotype" w:hAnsi="Palatino Linotype"/>
                <w:bCs/>
                <w:sz w:val="20"/>
                <w:szCs w:val="20"/>
              </w:rPr>
              <w:t xml:space="preserve">The </w:t>
            </w:r>
            <w:r w:rsidRPr="00F16F33" w:rsidR="002F78F4">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Pr="00F16F33" w:rsidR="002F78F4">
              <w:rPr>
                <w:rStyle w:val="FootnoteReference"/>
                <w:rFonts w:ascii="Palatino Linotype" w:hAnsi="Palatino Linotype"/>
                <w:bCs/>
                <w:color w:val="000000" w:themeColor="text1"/>
                <w:sz w:val="20"/>
                <w:szCs w:val="20"/>
              </w:rPr>
              <w:footnoteReference w:id="257"/>
            </w:r>
            <w:r w:rsidRPr="00F16F33" w:rsidR="002F78F4">
              <w:rPr>
                <w:rFonts w:ascii="Palatino Linotype" w:hAnsi="Palatino Linotype"/>
                <w:bCs/>
                <w:color w:val="000000" w:themeColor="text1"/>
                <w:sz w:val="20"/>
                <w:szCs w:val="20"/>
              </w:rPr>
              <w:t xml:space="preserve"> including coordination with IOUs and a public workshop. </w:t>
            </w:r>
            <w:r>
              <w:rPr>
                <w:rFonts w:ascii="Palatino Linotype" w:hAnsi="Palatino Linotype"/>
                <w:bCs/>
                <w:sz w:val="20"/>
                <w:szCs w:val="20"/>
              </w:rPr>
              <w:t xml:space="preserve">The </w:t>
            </w:r>
            <w:r w:rsidRPr="002D0BDA" w:rsidR="002F78F4">
              <w:rPr>
                <w:rFonts w:ascii="Palatino Linotype" w:hAnsi="Palatino Linotype"/>
                <w:bCs/>
                <w:color w:val="000000" w:themeColor="text1"/>
                <w:sz w:val="20"/>
                <w:szCs w:val="20"/>
              </w:rPr>
              <w:t xml:space="preserve">CEC describes Coordination and Strategic Partnerships primarily at the program and Plan levels, including regular </w:t>
            </w:r>
            <w:r w:rsidRPr="002D0BDA" w:rsidR="002F78F4">
              <w:rPr>
                <w:rFonts w:ascii="Palatino Linotype" w:hAnsi="Palatino Linotype"/>
                <w:bCs/>
                <w:color w:val="000000" w:themeColor="text1"/>
                <w:sz w:val="20"/>
                <w:szCs w:val="20"/>
              </w:rPr>
              <w:lastRenderedPageBreak/>
              <w:t xml:space="preserve">outreach meetings and general initiative coordination with the IOUs on </w:t>
            </w:r>
            <w:r w:rsidRPr="00FE5E46" w:rsidR="002F78F4">
              <w:rPr>
                <w:rFonts w:ascii="Palatino Linotype" w:hAnsi="Palatino Linotype"/>
                <w:bCs/>
                <w:color w:val="000000" w:themeColor="text1"/>
                <w:sz w:val="20"/>
                <w:szCs w:val="20"/>
              </w:rPr>
              <w:t>August 12</w:t>
            </w:r>
            <w:r w:rsidRPr="002D0BDA" w:rsidR="002F78F4">
              <w:rPr>
                <w:rFonts w:ascii="Palatino Linotype" w:hAnsi="Palatino Linotype"/>
                <w:bCs/>
                <w:color w:val="000000" w:themeColor="text1"/>
                <w:sz w:val="20"/>
                <w:szCs w:val="20"/>
              </w:rPr>
              <w:t xml:space="preserve"> and October 9</w:t>
            </w:r>
            <w:r w:rsidRPr="00FE5E46" w:rsidR="002F78F4">
              <w:rPr>
                <w:rFonts w:ascii="Palatino Linotype" w:hAnsi="Palatino Linotype"/>
                <w:bCs/>
                <w:color w:val="000000" w:themeColor="text1"/>
                <w:sz w:val="20"/>
                <w:szCs w:val="20"/>
              </w:rPr>
              <w:t>, 2024</w:t>
            </w:r>
            <w:r w:rsidRPr="002D0BDA" w:rsidR="002F78F4">
              <w:rPr>
                <w:rFonts w:ascii="Palatino Linotype" w:hAnsi="Palatino Linotype"/>
                <w:bCs/>
                <w:color w:val="000000" w:themeColor="text1"/>
                <w:sz w:val="20"/>
                <w:szCs w:val="20"/>
              </w:rPr>
              <w:t>.</w:t>
            </w:r>
            <w:r w:rsidRPr="002D0BDA" w:rsidR="002F78F4">
              <w:rPr>
                <w:rStyle w:val="FootnoteReference"/>
                <w:rFonts w:ascii="Palatino Linotype" w:hAnsi="Palatino Linotype"/>
                <w:bCs/>
                <w:color w:val="000000" w:themeColor="text1"/>
                <w:sz w:val="20"/>
                <w:szCs w:val="20"/>
              </w:rPr>
              <w:footnoteReference w:id="258"/>
            </w:r>
          </w:p>
          <w:p w:rsidRPr="00445FE6" w:rsidR="002F78F4" w:rsidP="00295E0C" w:rsidRDefault="002F78F4" w14:paraId="43E913C2" w14:textId="79D1A94E">
            <w:pPr>
              <w:rPr>
                <w:rFonts w:ascii="Palatino Linotype" w:hAnsi="Palatino Linotype"/>
                <w:bCs/>
                <w:color w:val="000000" w:themeColor="text1"/>
                <w:sz w:val="20"/>
                <w:szCs w:val="20"/>
              </w:rPr>
            </w:pPr>
            <w:r w:rsidRPr="00445FE6">
              <w:rPr>
                <w:rFonts w:ascii="Palatino Linotype" w:hAnsi="Palatino Linotype"/>
                <w:b/>
                <w:color w:val="000000" w:themeColor="text1"/>
                <w:sz w:val="20"/>
                <w:szCs w:val="20"/>
              </w:rPr>
              <w:t xml:space="preserve">    </w:t>
            </w:r>
            <w:r w:rsidRPr="003908AF">
              <w:rPr>
                <w:rFonts w:ascii="Palatino Linotype" w:hAnsi="Palatino Linotype"/>
                <w:b/>
                <w:color w:val="000000" w:themeColor="text1"/>
                <w:sz w:val="20"/>
                <w:szCs w:val="20"/>
              </w:rPr>
              <w:t>1.</w:t>
            </w:r>
            <w:r w:rsidRPr="00445FE6">
              <w:rPr>
                <w:rFonts w:ascii="Palatino Linotype" w:hAnsi="Palatino Linotype"/>
                <w:bCs/>
                <w:color w:val="000000" w:themeColor="text1"/>
                <w:sz w:val="20"/>
                <w:szCs w:val="20"/>
              </w:rPr>
              <w:t xml:space="preserve"> Social Science Research for Gas Decommissioning in the Mid and Long Term: Earthjustice </w:t>
            </w:r>
            <w:r>
              <w:rPr>
                <w:rFonts w:ascii="Palatino Linotype" w:hAnsi="Palatino Linotype"/>
                <w:bCs/>
                <w:color w:val="000000" w:themeColor="text1"/>
                <w:sz w:val="20"/>
                <w:szCs w:val="20"/>
              </w:rPr>
              <w:t>commented</w:t>
            </w:r>
            <w:r w:rsidRPr="00445FE6">
              <w:rPr>
                <w:rFonts w:ascii="Palatino Linotype" w:hAnsi="Palatino Linotype"/>
                <w:bCs/>
                <w:color w:val="000000" w:themeColor="text1"/>
                <w:sz w:val="20"/>
                <w:szCs w:val="20"/>
              </w:rPr>
              <w:t xml:space="preserve"> that CEC should explore barriers and solution related to: Structural or infrastructure constraints; Multifamily residential and renter barriers; Up-front costs and bill impacts; Resilience concerns and potential resilience benefits; and Customer attitudes and unfamiliarity with technologies </w:t>
            </w:r>
            <w:r w:rsidR="002304B7">
              <w:rPr>
                <w:rFonts w:ascii="Palatino Linotype" w:hAnsi="Palatino Linotype"/>
                <w:bCs/>
                <w:color w:val="000000" w:themeColor="text1"/>
                <w:sz w:val="20"/>
                <w:szCs w:val="20"/>
              </w:rPr>
              <w:t>–</w:t>
            </w:r>
            <w:r w:rsidRPr="00445FE6">
              <w:rPr>
                <w:rFonts w:ascii="Palatino Linotype" w:hAnsi="Palatino Linotype"/>
                <w:bCs/>
                <w:color w:val="000000" w:themeColor="text1"/>
                <w:sz w:val="20"/>
                <w:szCs w:val="20"/>
              </w:rPr>
              <w:t xml:space="preserve">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CEC responded that the "topics and considerations mentioned are well aligned with the types of investigation covered in</w:t>
            </w:r>
            <w:r>
              <w:rPr>
                <w:rFonts w:ascii="Palatino Linotype" w:hAnsi="Palatino Linotype"/>
                <w:bCs/>
                <w:color w:val="000000" w:themeColor="text1"/>
                <w:sz w:val="20"/>
                <w:szCs w:val="20"/>
              </w:rPr>
              <w:t xml:space="preserve"> </w:t>
            </w:r>
            <w:r w:rsidRPr="00445FE6">
              <w:rPr>
                <w:rFonts w:ascii="Palatino Linotype" w:hAnsi="Palatino Linotype"/>
                <w:bCs/>
                <w:color w:val="000000" w:themeColor="text1"/>
                <w:sz w:val="20"/>
                <w:szCs w:val="20"/>
              </w:rPr>
              <w:t>the initiative."</w:t>
            </w:r>
            <w:r>
              <w:rPr>
                <w:rStyle w:val="FootnoteReference"/>
                <w:rFonts w:ascii="Palatino Linotype" w:hAnsi="Palatino Linotype"/>
                <w:bCs/>
                <w:color w:val="000000" w:themeColor="text1"/>
                <w:sz w:val="20"/>
                <w:szCs w:val="20"/>
              </w:rPr>
              <w:footnoteReference w:id="259"/>
            </w:r>
            <w:r w:rsidRPr="00445FE6">
              <w:rPr>
                <w:rFonts w:ascii="Palatino Linotype" w:hAnsi="Palatino Linotype"/>
                <w:bCs/>
                <w:color w:val="000000" w:themeColor="text1"/>
                <w:sz w:val="20"/>
                <w:szCs w:val="20"/>
              </w:rPr>
              <w:t xml:space="preserve">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45FE6">
              <w:rPr>
                <w:rFonts w:ascii="Palatino Linotype" w:hAnsi="Palatino Linotype"/>
                <w:bCs/>
                <w:color w:val="000000" w:themeColor="text1"/>
                <w:sz w:val="20"/>
                <w:szCs w:val="20"/>
              </w:rPr>
              <w:t xml:space="preserve"> recommend</w:t>
            </w:r>
            <w:r>
              <w:rPr>
                <w:rFonts w:ascii="Palatino Linotype" w:hAnsi="Palatino Linotype"/>
                <w:bCs/>
                <w:color w:val="000000" w:themeColor="text1"/>
                <w:sz w:val="20"/>
                <w:szCs w:val="20"/>
              </w:rPr>
              <w:t>ed</w:t>
            </w:r>
            <w:r w:rsidRPr="00445FE6">
              <w:rPr>
                <w:rFonts w:ascii="Palatino Linotype" w:hAnsi="Palatino Linotype"/>
                <w:bCs/>
                <w:color w:val="000000" w:themeColor="text1"/>
                <w:sz w:val="20"/>
                <w:szCs w:val="20"/>
              </w:rPr>
              <w:t xml:space="preserve"> th</w:t>
            </w:r>
            <w:r>
              <w:rPr>
                <w:rFonts w:ascii="Palatino Linotype" w:hAnsi="Palatino Linotype"/>
                <w:bCs/>
                <w:color w:val="000000" w:themeColor="text1"/>
                <w:sz w:val="20"/>
                <w:szCs w:val="20"/>
              </w:rPr>
              <w:t>at</w:t>
            </w:r>
            <w:r w:rsidRPr="00445FE6">
              <w:rPr>
                <w:rFonts w:ascii="Palatino Linotype" w:hAnsi="Palatino Linotype"/>
                <w:bCs/>
                <w:color w:val="000000" w:themeColor="text1"/>
                <w:sz w:val="20"/>
                <w:szCs w:val="20"/>
              </w:rPr>
              <w:t xml:space="preserve">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 xml:space="preserve">CEC consider technologies and solutions to address "where there may be challenges to meeting increasing electric demand through the grid" when targeting gas decommissioning, and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CEC responded that projects will be "designed to accommodate consideration of varied technological possibilities and recognition of favorable opportunities for developing their potential as aligned with state goals."</w:t>
            </w:r>
            <w:r>
              <w:rPr>
                <w:rStyle w:val="FootnoteReference"/>
                <w:rFonts w:ascii="Palatino Linotype" w:hAnsi="Palatino Linotype"/>
                <w:bCs/>
                <w:color w:val="000000" w:themeColor="text1"/>
                <w:sz w:val="20"/>
                <w:szCs w:val="20"/>
              </w:rPr>
              <w:footnoteReference w:id="260"/>
            </w:r>
            <w:r w:rsidRPr="00445FE6">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445FE6">
              <w:rPr>
                <w:rFonts w:ascii="Palatino Linotype" w:hAnsi="Palatino Linotype"/>
                <w:bCs/>
                <w:color w:val="000000" w:themeColor="text1"/>
                <w:sz w:val="20"/>
                <w:szCs w:val="20"/>
              </w:rPr>
              <w:t xml:space="preserve">CEC details recommendations from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45FE6">
              <w:rPr>
                <w:rFonts w:ascii="Palatino Linotype" w:hAnsi="Palatino Linotype"/>
                <w:bCs/>
                <w:color w:val="000000" w:themeColor="text1"/>
                <w:sz w:val="20"/>
                <w:szCs w:val="20"/>
              </w:rPr>
              <w:t xml:space="preserve"> and PG&amp;E for </w:t>
            </w:r>
            <w:r w:rsidR="002304B7">
              <w:rPr>
                <w:rFonts w:ascii="Palatino Linotype" w:hAnsi="Palatino Linotype"/>
                <w:bCs/>
                <w:color w:val="000000" w:themeColor="text1"/>
                <w:sz w:val="20"/>
                <w:szCs w:val="20"/>
              </w:rPr>
              <w:t xml:space="preserve">the </w:t>
            </w:r>
            <w:r w:rsidRPr="00445FE6">
              <w:rPr>
                <w:rFonts w:ascii="Palatino Linotype" w:hAnsi="Palatino Linotype"/>
                <w:bCs/>
                <w:color w:val="000000" w:themeColor="text1"/>
                <w:sz w:val="20"/>
                <w:szCs w:val="20"/>
              </w:rPr>
              <w:t xml:space="preserve">CEC to lead and document coordination on similar RD&amp;D activities, including: </w:t>
            </w:r>
          </w:p>
          <w:p w:rsidR="002F78F4" w:rsidP="00295E0C" w:rsidRDefault="002F78F4" w14:paraId="5FA7DB55" w14:textId="77777777">
            <w:pPr>
              <w:pStyle w:val="ListParagraph"/>
              <w:numPr>
                <w:ilvl w:val="0"/>
                <w:numId w:val="36"/>
              </w:numPr>
              <w:rPr>
                <w:rFonts w:ascii="Palatino Linotype" w:hAnsi="Palatino Linotype"/>
                <w:bCs/>
                <w:color w:val="000000" w:themeColor="text1"/>
                <w:sz w:val="20"/>
                <w:szCs w:val="20"/>
              </w:rPr>
            </w:pPr>
            <w:r w:rsidRPr="009C1F05">
              <w:rPr>
                <w:rFonts w:ascii="Palatino Linotype" w:hAnsi="Palatino Linotype"/>
                <w:bCs/>
                <w:color w:val="000000" w:themeColor="text1"/>
                <w:sz w:val="20"/>
                <w:szCs w:val="20"/>
              </w:rPr>
              <w:t xml:space="preserve">"[P]revious CEC projects that assessed gas decommissioning in Environmental and Social Justice (ESJ) communities in Northern and Southern California. The ongoing Southern California-focused gas decommissioning study was co-funded by SoCalGas and overseen by the RAND Corporation. The results of this recent Southern California study, which have not yet been published by CEC, should help guide any follow-on research regarding gas decommissioning. The CEC also previously worked with PG&amp;E on a targeted gas decommissioning study focused on Northern California", which identified that the "obligation to serve (Public Utilities Code Section 4515) makes gas decommissioning projects very challenging to develop at any significant scale." CEC responded that this "initiative is intended to contribute to a more comprehensive understanding of the planned transition from fossil gas, generating results that help bridge energy system planning, policy </w:t>
            </w:r>
            <w:r w:rsidRPr="009C1F05">
              <w:rPr>
                <w:rFonts w:ascii="Palatino Linotype" w:hAnsi="Palatino Linotype"/>
                <w:bCs/>
                <w:color w:val="000000" w:themeColor="text1"/>
                <w:sz w:val="20"/>
                <w:szCs w:val="20"/>
              </w:rPr>
              <w:lastRenderedPageBreak/>
              <w:t>and programs, decommissioning efforts, and fair, empirically-centered assessments of associated environmental, economic, and social impacts."</w:t>
            </w:r>
            <w:r>
              <w:rPr>
                <w:rStyle w:val="FootnoteReference"/>
                <w:rFonts w:ascii="Palatino Linotype" w:hAnsi="Palatino Linotype"/>
                <w:bCs/>
                <w:color w:val="000000" w:themeColor="text1"/>
                <w:sz w:val="20"/>
                <w:szCs w:val="20"/>
              </w:rPr>
              <w:footnoteReference w:id="261"/>
            </w:r>
            <w:r w:rsidRPr="009C1F05">
              <w:rPr>
                <w:rFonts w:ascii="Palatino Linotype" w:hAnsi="Palatino Linotype"/>
                <w:bCs/>
                <w:color w:val="000000" w:themeColor="text1"/>
                <w:sz w:val="20"/>
                <w:szCs w:val="20"/>
              </w:rPr>
              <w:t xml:space="preserve"> </w:t>
            </w:r>
          </w:p>
          <w:p w:rsidRPr="009C1F05" w:rsidR="002F78F4" w:rsidP="00295E0C" w:rsidRDefault="002F78F4" w14:paraId="45962E42" w14:textId="77777777">
            <w:pPr>
              <w:pStyle w:val="ListParagraph"/>
              <w:numPr>
                <w:ilvl w:val="0"/>
                <w:numId w:val="36"/>
              </w:numPr>
              <w:rPr>
                <w:rFonts w:ascii="Palatino Linotype" w:hAnsi="Palatino Linotype"/>
                <w:bCs/>
                <w:color w:val="000000" w:themeColor="text1"/>
                <w:sz w:val="20"/>
                <w:szCs w:val="20"/>
              </w:rPr>
            </w:pPr>
            <w:r w:rsidRPr="009C1F05">
              <w:rPr>
                <w:rFonts w:ascii="Palatino Linotype" w:hAnsi="Palatino Linotype"/>
                <w:bCs/>
                <w:color w:val="000000" w:themeColor="text1"/>
                <w:sz w:val="20"/>
                <w:szCs w:val="20"/>
              </w:rPr>
              <w:t>PG&amp;E efforts to approach electrification by considering 1) cost-effectiveness 2) capacity 3) and customer willingness to convert in targeting upcoming distribution pipeline replacement projects as recommended by E3 via the CEC-funded project, “Analytical Framework Results for Strategic Gas Infrastructure Decommissioning in Northern CA.” PG&amp;E states that there may be "learnings there that can be applied to future projects, especially with the community outreach findings." CEC responded that "[s]taff are familiar with the E3 study and the approach of targeting properties based on distribution pipeline conditions as well as other infrastructural and community conditions (e.g., partly laid out in CPUC’s Staff Proposal on Gas Distribution Infrastructure Decommissioning Framework) and agree that E3’s study will be very useful for informing research resulting from these initiatives."</w:t>
            </w:r>
            <w:r>
              <w:rPr>
                <w:rStyle w:val="FootnoteReference"/>
                <w:rFonts w:ascii="Palatino Linotype" w:hAnsi="Palatino Linotype"/>
                <w:bCs/>
                <w:color w:val="000000" w:themeColor="text1"/>
                <w:sz w:val="20"/>
                <w:szCs w:val="20"/>
              </w:rPr>
              <w:footnoteReference w:id="262"/>
            </w:r>
            <w:r w:rsidRPr="009C1F05">
              <w:rPr>
                <w:rFonts w:ascii="Palatino Linotype" w:hAnsi="Palatino Linotype"/>
                <w:bCs/>
                <w:color w:val="000000" w:themeColor="text1"/>
                <w:sz w:val="20"/>
                <w:szCs w:val="20"/>
              </w:rPr>
              <w:t xml:space="preserve"> </w:t>
            </w:r>
          </w:p>
          <w:p w:rsidR="002F78F4" w:rsidP="00295E0C" w:rsidRDefault="002304B7" w14:paraId="2D7986C6" w14:textId="75AD9FB4">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445FE6" w:rsidR="002F78F4">
              <w:rPr>
                <w:rFonts w:ascii="Palatino Linotype" w:hAnsi="Palatino Linotype"/>
                <w:bCs/>
                <w:color w:val="000000" w:themeColor="text1"/>
                <w:sz w:val="20"/>
                <w:szCs w:val="20"/>
              </w:rPr>
              <w:t xml:space="preserve">CEC includes "a summary of the progression of the portfolio of gas decommissioning research projects and initiatives to date", reflective of the efforts mentioned by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45FE6" w:rsidR="002F78F4">
              <w:rPr>
                <w:rFonts w:ascii="Palatino Linotype" w:hAnsi="Palatino Linotype"/>
                <w:bCs/>
                <w:color w:val="000000" w:themeColor="text1"/>
                <w:sz w:val="20"/>
                <w:szCs w:val="20"/>
              </w:rPr>
              <w:t xml:space="preserve"> and PG&amp;E.</w:t>
            </w:r>
            <w:r w:rsidR="002F78F4">
              <w:rPr>
                <w:rStyle w:val="FootnoteReference"/>
                <w:rFonts w:ascii="Palatino Linotype" w:hAnsi="Palatino Linotype"/>
                <w:bCs/>
                <w:color w:val="000000" w:themeColor="text1"/>
                <w:sz w:val="20"/>
                <w:szCs w:val="20"/>
              </w:rPr>
              <w:footnoteReference w:id="263"/>
            </w:r>
            <w:r w:rsidR="002F78F4">
              <w:rPr>
                <w:rFonts w:ascii="Palatino Linotype" w:hAnsi="Palatino Linotype"/>
                <w:bCs/>
                <w:color w:val="000000" w:themeColor="text1"/>
                <w:sz w:val="20"/>
                <w:szCs w:val="20"/>
              </w:rPr>
              <w:t xml:space="preserve"> </w:t>
            </w:r>
            <w:r w:rsidRPr="00D460B7" w:rsidR="002F78F4">
              <w:rPr>
                <w:rFonts w:ascii="Palatino Linotype" w:hAnsi="Palatino Linotype"/>
                <w:bCs/>
                <w:color w:val="000000" w:themeColor="text1"/>
                <w:sz w:val="20"/>
                <w:szCs w:val="20"/>
              </w:rPr>
              <w:t>In Appendix C: List of Gas R&amp;D Event</w:t>
            </w:r>
            <w:r w:rsidRPr="00B83D64" w:rsidR="002F78F4">
              <w:rPr>
                <w:rFonts w:ascii="Palatino Linotype" w:hAnsi="Palatino Linotype"/>
                <w:bCs/>
                <w:color w:val="000000" w:themeColor="text1"/>
                <w:sz w:val="20"/>
                <w:szCs w:val="20"/>
              </w:rPr>
              <w:t>s,</w:t>
            </w:r>
            <w:r>
              <w:rPr>
                <w:rFonts w:ascii="Palatino Linotype" w:hAnsi="Palatino Linotype"/>
                <w:bCs/>
                <w:color w:val="000000" w:themeColor="text1"/>
                <w:sz w:val="20"/>
                <w:szCs w:val="20"/>
              </w:rPr>
              <w:t xml:space="preserve"> the</w:t>
            </w:r>
            <w:r w:rsidRPr="00B83D64" w:rsidR="002F78F4">
              <w:rPr>
                <w:rFonts w:ascii="Palatino Linotype" w:hAnsi="Palatino Linotype"/>
                <w:bCs/>
                <w:color w:val="000000" w:themeColor="text1"/>
                <w:sz w:val="20"/>
                <w:szCs w:val="20"/>
              </w:rPr>
              <w:t xml:space="preserve"> CEC lists </w:t>
            </w:r>
            <w:r w:rsidR="002F78F4">
              <w:rPr>
                <w:rFonts w:ascii="Palatino Linotype" w:hAnsi="Palatino Linotype"/>
                <w:bCs/>
                <w:color w:val="000000" w:themeColor="text1"/>
                <w:sz w:val="20"/>
                <w:szCs w:val="20"/>
              </w:rPr>
              <w:t xml:space="preserve">the following gas decommissioning-related events: </w:t>
            </w:r>
          </w:p>
          <w:p w:rsidR="002F78F4" w:rsidP="00295E0C" w:rsidRDefault="002F78F4" w14:paraId="2A3429E1" w14:textId="133FEDD9">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 xml:space="preserve">February 2024: </w:t>
            </w:r>
            <w:hyperlink w:history="1" r:id="rId120">
              <w:r w:rsidRPr="00220FEA">
                <w:rPr>
                  <w:rStyle w:val="Hyperlink"/>
                  <w:rFonts w:ascii="Palatino Linotype" w:hAnsi="Palatino Linotype"/>
                  <w:bCs/>
                  <w:sz w:val="20"/>
                  <w:szCs w:val="20"/>
                </w:rPr>
                <w:t>Workshop on Analytical Framework Results for Strategic Gas Infrastructure Decommissioning in Northern California</w:t>
              </w:r>
            </w:hyperlink>
            <w:r w:rsidRPr="00220FEA">
              <w:rPr>
                <w:rFonts w:ascii="Palatino Linotype" w:hAnsi="Palatino Linotype"/>
                <w:bCs/>
                <w:color w:val="000000" w:themeColor="text1"/>
                <w:sz w:val="20"/>
                <w:szCs w:val="20"/>
              </w:rPr>
              <w:t xml:space="preserve">, coordinated by </w:t>
            </w:r>
            <w:r w:rsidR="002304B7">
              <w:rPr>
                <w:rFonts w:ascii="Palatino Linotype" w:hAnsi="Palatino Linotype"/>
                <w:bCs/>
                <w:color w:val="000000" w:themeColor="text1"/>
                <w:sz w:val="20"/>
                <w:szCs w:val="20"/>
              </w:rPr>
              <w:t xml:space="preserve">the </w:t>
            </w:r>
            <w:r w:rsidRPr="00220FEA">
              <w:rPr>
                <w:rFonts w:ascii="Palatino Linotype" w:hAnsi="Palatino Linotype"/>
                <w:bCs/>
                <w:color w:val="000000" w:themeColor="text1"/>
                <w:sz w:val="20"/>
                <w:szCs w:val="20"/>
              </w:rPr>
              <w:t>CEC; E3 presented final results (PIR-20-009).</w:t>
            </w:r>
          </w:p>
          <w:p w:rsidR="002F78F4" w:rsidP="00295E0C" w:rsidRDefault="002F78F4" w14:paraId="2E376F50" w14:textId="77777777">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 xml:space="preserve">March 2024: </w:t>
            </w:r>
            <w:hyperlink w:history="1" w:anchor=":%7E:text=The%20California%20Energy%20Commission%20%28CEC%29%20will%20host%20a,research%20addressing%20location-specific%20aspects%20of%20long-term%20gas%20decommissioning." r:id="rId121">
              <w:r w:rsidRPr="00220FEA">
                <w:rPr>
                  <w:rStyle w:val="Hyperlink"/>
                  <w:rFonts w:ascii="Palatino Linotype" w:hAnsi="Palatino Linotype"/>
                  <w:bCs/>
                  <w:sz w:val="20"/>
                  <w:szCs w:val="20"/>
                </w:rPr>
                <w:t>Scoping Workshop</w:t>
              </w:r>
            </w:hyperlink>
            <w:r w:rsidRPr="00220FEA">
              <w:rPr>
                <w:rFonts w:ascii="Palatino Linotype" w:hAnsi="Palatino Linotype"/>
                <w:bCs/>
                <w:color w:val="000000" w:themeColor="text1"/>
                <w:sz w:val="20"/>
                <w:szCs w:val="20"/>
              </w:rPr>
              <w:t>: Location-Specific Gas System Decommissioning</w:t>
            </w:r>
            <w:r>
              <w:rPr>
                <w:rFonts w:ascii="Palatino Linotype" w:hAnsi="Palatino Linotype"/>
                <w:bCs/>
                <w:color w:val="000000" w:themeColor="text1"/>
                <w:sz w:val="20"/>
                <w:szCs w:val="20"/>
              </w:rPr>
              <w:t>.</w:t>
            </w:r>
          </w:p>
          <w:p w:rsidR="002F78F4" w:rsidP="00295E0C" w:rsidRDefault="002F78F4" w14:paraId="1FB609FC" w14:textId="77777777">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 xml:space="preserve">October 2024: </w:t>
            </w:r>
            <w:hyperlink w:history="1" r:id="rId122">
              <w:r w:rsidRPr="00220FEA">
                <w:rPr>
                  <w:rStyle w:val="Hyperlink"/>
                  <w:rFonts w:ascii="Palatino Linotype" w:hAnsi="Palatino Linotype"/>
                  <w:bCs/>
                  <w:sz w:val="20"/>
                  <w:szCs w:val="20"/>
                </w:rPr>
                <w:t>Community Workshop</w:t>
              </w:r>
            </w:hyperlink>
            <w:r w:rsidRPr="00220FEA">
              <w:rPr>
                <w:rFonts w:ascii="Palatino Linotype" w:hAnsi="Palatino Linotype"/>
                <w:bCs/>
                <w:color w:val="000000" w:themeColor="text1"/>
                <w:sz w:val="20"/>
                <w:szCs w:val="20"/>
              </w:rPr>
              <w:t>: Mindful Gas Decommissioning Study Workshop hosted by recipient, DNV-GL, to provide project updates and a beta tool demonstration and receive additional community input (PIR-22-002)</w:t>
            </w:r>
          </w:p>
          <w:p w:rsidRPr="00220FEA" w:rsidR="002F78F4" w:rsidP="00295E0C" w:rsidRDefault="002F78F4" w14:paraId="25A9CBAF" w14:textId="77777777">
            <w:pPr>
              <w:pStyle w:val="ListParagraph"/>
              <w:numPr>
                <w:ilvl w:val="0"/>
                <w:numId w:val="37"/>
              </w:numPr>
              <w:rPr>
                <w:rFonts w:ascii="Palatino Linotype" w:hAnsi="Palatino Linotype"/>
                <w:bCs/>
                <w:color w:val="000000" w:themeColor="text1"/>
                <w:sz w:val="20"/>
                <w:szCs w:val="20"/>
              </w:rPr>
            </w:pPr>
            <w:r w:rsidRPr="00220FEA">
              <w:rPr>
                <w:rFonts w:ascii="Palatino Linotype" w:hAnsi="Palatino Linotype"/>
                <w:bCs/>
                <w:color w:val="000000" w:themeColor="text1"/>
                <w:sz w:val="20"/>
                <w:szCs w:val="20"/>
              </w:rPr>
              <w:t>November 2024: CEC Healthy, Equitable Energy Transition (HEET) Working Group Meeting, covering asocial science approach to the residential transition from gas to electric and the role of energy sufficiency.</w:t>
            </w:r>
          </w:p>
          <w:p w:rsidRPr="00E72C71" w:rsidR="002F78F4" w:rsidP="00295E0C" w:rsidRDefault="002F78F4" w14:paraId="7DF7C8D2" w14:textId="06942D01">
            <w:pPr>
              <w:rPr>
                <w:rFonts w:ascii="Palatino Linotype" w:hAnsi="Palatino Linotype"/>
                <w:bCs/>
                <w:color w:val="000000" w:themeColor="text1"/>
                <w:sz w:val="20"/>
                <w:szCs w:val="20"/>
              </w:rPr>
            </w:pPr>
            <w:r w:rsidRPr="00E72C71">
              <w:rPr>
                <w:rFonts w:ascii="Palatino Linotype" w:hAnsi="Palatino Linotype"/>
                <w:b/>
                <w:color w:val="000000" w:themeColor="text1"/>
                <w:sz w:val="20"/>
                <w:szCs w:val="20"/>
              </w:rPr>
              <w:t xml:space="preserve">    </w:t>
            </w:r>
            <w:r w:rsidRPr="00BB5A0F">
              <w:rPr>
                <w:rFonts w:ascii="Palatino Linotype" w:hAnsi="Palatino Linotype"/>
                <w:b/>
                <w:color w:val="000000" w:themeColor="text1"/>
                <w:sz w:val="20"/>
                <w:szCs w:val="20"/>
              </w:rPr>
              <w:t>2.</w:t>
            </w:r>
            <w:r w:rsidRPr="00E72C71">
              <w:rPr>
                <w:rFonts w:ascii="Palatino Linotype" w:hAnsi="Palatino Linotype"/>
                <w:bCs/>
                <w:color w:val="000000" w:themeColor="text1"/>
                <w:sz w:val="20"/>
                <w:szCs w:val="20"/>
              </w:rPr>
              <w:t xml:space="preserve"> Pilot Projects to Advance Gas Decommissioning: </w:t>
            </w:r>
            <w:r w:rsidR="002304B7">
              <w:rPr>
                <w:rFonts w:ascii="Palatino Linotype" w:hAnsi="Palatino Linotype"/>
                <w:bCs/>
                <w:sz w:val="20"/>
                <w:szCs w:val="20"/>
              </w:rPr>
              <w:t xml:space="preserve">The </w:t>
            </w:r>
            <w:r w:rsidRPr="00E72C71">
              <w:rPr>
                <w:rFonts w:ascii="Palatino Linotype" w:hAnsi="Palatino Linotype"/>
                <w:bCs/>
                <w:color w:val="000000" w:themeColor="text1"/>
                <w:sz w:val="20"/>
                <w:szCs w:val="20"/>
              </w:rPr>
              <w:t xml:space="preserve">CEC states that "staff are tracking current efforts across other states as well as internationally and will explore </w:t>
            </w:r>
            <w:r w:rsidRPr="00E72C71">
              <w:rPr>
                <w:rFonts w:ascii="Palatino Linotype" w:hAnsi="Palatino Linotype"/>
                <w:bCs/>
                <w:color w:val="000000" w:themeColor="text1"/>
                <w:sz w:val="20"/>
                <w:szCs w:val="20"/>
              </w:rPr>
              <w:lastRenderedPageBreak/>
              <w:t>opportunities for exchanging information, such as data, best practices, and lessons learned."</w:t>
            </w:r>
            <w:r>
              <w:rPr>
                <w:rStyle w:val="FootnoteReference"/>
                <w:rFonts w:ascii="Palatino Linotype" w:hAnsi="Palatino Linotype"/>
                <w:bCs/>
                <w:color w:val="000000" w:themeColor="text1"/>
                <w:sz w:val="20"/>
                <w:szCs w:val="20"/>
              </w:rPr>
              <w:footnoteReference w:id="264"/>
            </w:r>
            <w:r w:rsidRPr="00E72C71">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E72C71">
              <w:rPr>
                <w:rFonts w:ascii="Palatino Linotype" w:hAnsi="Palatino Linotype"/>
                <w:bCs/>
                <w:color w:val="000000" w:themeColor="text1"/>
                <w:sz w:val="20"/>
                <w:szCs w:val="20"/>
              </w:rPr>
              <w:t xml:space="preserve">CEC includes a "a summary of the progression of the portfolio of gas decommissioning research projects and initiatives to date", reflective of the efforts mentioned by Earthjustice,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E72C71">
              <w:rPr>
                <w:rFonts w:ascii="Palatino Linotype" w:hAnsi="Palatino Linotype"/>
                <w:bCs/>
                <w:color w:val="000000" w:themeColor="text1"/>
                <w:sz w:val="20"/>
                <w:szCs w:val="20"/>
              </w:rPr>
              <w:t>, and PG&amp;E.</w:t>
            </w:r>
            <w:r>
              <w:rPr>
                <w:rStyle w:val="FootnoteReference"/>
                <w:rFonts w:ascii="Palatino Linotype" w:hAnsi="Palatino Linotype"/>
                <w:bCs/>
                <w:color w:val="000000" w:themeColor="text1"/>
                <w:sz w:val="20"/>
                <w:szCs w:val="20"/>
              </w:rPr>
              <w:footnoteReference w:id="265"/>
            </w:r>
            <w:r w:rsidRPr="00E72C71">
              <w:rPr>
                <w:rFonts w:ascii="Palatino Linotype" w:hAnsi="Palatino Linotype"/>
                <w:bCs/>
                <w:color w:val="000000" w:themeColor="text1"/>
                <w:sz w:val="20"/>
                <w:szCs w:val="20"/>
              </w:rPr>
              <w:t xml:space="preserve"> In contrast to the previous Initiative,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states this Initiative "aims to demonstrate decommissioning at street segment or neighborhood scales. These pilots will consider and leverage previous and ongoing efforts, such as existing site-selection framework tools, census or pre-evaluated sites, and SB 1221 implementation for gas conversion. The pilots will provide real world data on performance, costs, and challenges. Additionally, information resulting from these pilots can inform models, templates, and best practices for future decommissioning efforts. Successful demonstrations can also help to build customer confidence, fostering higher levels of consent within neighborhoods, counties, and cities and encouraging them to pursue similar decommissioning efforts."</w:t>
            </w:r>
            <w:r>
              <w:rPr>
                <w:rStyle w:val="FootnoteReference"/>
                <w:rFonts w:ascii="Palatino Linotype" w:hAnsi="Palatino Linotype"/>
                <w:bCs/>
                <w:color w:val="000000" w:themeColor="text1"/>
                <w:sz w:val="20"/>
                <w:szCs w:val="20"/>
              </w:rPr>
              <w:footnoteReference w:id="266"/>
            </w:r>
          </w:p>
          <w:p w:rsidRPr="00E72C71" w:rsidR="002F78F4" w:rsidP="00295E0C" w:rsidRDefault="002F78F4" w14:paraId="25E00EBC" w14:textId="515EA2FD">
            <w:pPr>
              <w:rPr>
                <w:rFonts w:ascii="Palatino Linotype" w:hAnsi="Palatino Linotype"/>
                <w:bCs/>
                <w:color w:val="000000" w:themeColor="text1"/>
                <w:sz w:val="20"/>
                <w:szCs w:val="20"/>
              </w:rPr>
            </w:pPr>
            <w:r w:rsidRPr="00E72C71">
              <w:rPr>
                <w:rFonts w:ascii="Palatino Linotype" w:hAnsi="Palatino Linotype"/>
                <w:bCs/>
                <w:color w:val="000000" w:themeColor="text1"/>
                <w:sz w:val="20"/>
                <w:szCs w:val="20"/>
              </w:rPr>
              <w:t xml:space="preserve">In response to concern expressed by the public on data availability to ensure project success,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states that it "will utilize data from</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previous and ongoing studies as well as resources resulting from SB 1221, such as zonal maps. The zonal maps developed are anticipated to include information on</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potential gas distribution pipeline replacement projects to inform pilot project site selection.</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 xml:space="preserve">"In alignment with Earthjustice's recommendation,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states that "[p]rojects funded under this initiative will consider existing research and emerging experience in a range of low-carbon technologies and leverage work under SB 1221 where feasible." In response to Biovind's recommendation that decommissioning efforts should utilize "a standardized, risk-based framework that</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 xml:space="preserve">integrates corrosion detection, predictive modeling, and equity considerations in determining pilot site selection", </w:t>
            </w:r>
            <w:r w:rsidR="002304B7">
              <w:rPr>
                <w:rFonts w:ascii="Palatino Linotype" w:hAnsi="Palatino Linotype"/>
                <w:bCs/>
                <w:color w:val="000000" w:themeColor="text1"/>
                <w:sz w:val="20"/>
                <w:szCs w:val="20"/>
              </w:rPr>
              <w:t xml:space="preserve">the </w:t>
            </w:r>
            <w:r w:rsidRPr="00E72C71">
              <w:rPr>
                <w:rFonts w:ascii="Palatino Linotype" w:hAnsi="Palatino Linotype"/>
                <w:bCs/>
                <w:color w:val="000000" w:themeColor="text1"/>
                <w:sz w:val="20"/>
                <w:szCs w:val="20"/>
              </w:rPr>
              <w:t>CEC responded that it "will consider them as this initiative is further refined during the solicitation scoping process" and that "staff will be working with the CPUC to position the gas decommissioning research to</w:t>
            </w:r>
            <w:r>
              <w:rPr>
                <w:rFonts w:ascii="Palatino Linotype" w:hAnsi="Palatino Linotype"/>
                <w:bCs/>
                <w:color w:val="000000" w:themeColor="text1"/>
                <w:sz w:val="20"/>
                <w:szCs w:val="20"/>
              </w:rPr>
              <w:t xml:space="preserve"> </w:t>
            </w:r>
            <w:r w:rsidRPr="00E72C71">
              <w:rPr>
                <w:rFonts w:ascii="Palatino Linotype" w:hAnsi="Palatino Linotype"/>
                <w:bCs/>
                <w:color w:val="000000" w:themeColor="text1"/>
                <w:sz w:val="20"/>
                <w:szCs w:val="20"/>
              </w:rPr>
              <w:t>inform and support efforts related to SB 1221."</w:t>
            </w:r>
            <w:r>
              <w:rPr>
                <w:rStyle w:val="FootnoteReference"/>
                <w:rFonts w:ascii="Palatino Linotype" w:hAnsi="Palatino Linotype"/>
                <w:bCs/>
                <w:color w:val="000000" w:themeColor="text1"/>
                <w:sz w:val="20"/>
                <w:szCs w:val="20"/>
              </w:rPr>
              <w:footnoteReference w:id="267"/>
            </w:r>
            <w:r w:rsidRPr="00E72C71">
              <w:rPr>
                <w:rFonts w:ascii="Palatino Linotype" w:hAnsi="Palatino Linotype"/>
                <w:bCs/>
                <w:color w:val="000000" w:themeColor="text1"/>
                <w:sz w:val="20"/>
                <w:szCs w:val="20"/>
              </w:rPr>
              <w:t xml:space="preserve"> </w:t>
            </w:r>
          </w:p>
          <w:p w:rsidRPr="00405654" w:rsidR="002F78F4" w:rsidP="00295E0C" w:rsidRDefault="002F78F4" w14:paraId="1FA2123F" w14:textId="584C5EAD">
            <w:pPr>
              <w:rPr>
                <w:rFonts w:ascii="Palatino Linotype" w:hAnsi="Palatino Linotype"/>
                <w:bCs/>
                <w:color w:val="000000" w:themeColor="text1"/>
                <w:sz w:val="20"/>
                <w:szCs w:val="20"/>
              </w:rPr>
            </w:pPr>
            <w:r w:rsidRPr="00C53A4A">
              <w:rPr>
                <w:rFonts w:ascii="Palatino Linotype" w:hAnsi="Palatino Linotype"/>
                <w:b/>
                <w:color w:val="A6A6A6" w:themeColor="background1" w:themeShade="A6"/>
                <w:sz w:val="20"/>
                <w:szCs w:val="20"/>
              </w:rPr>
              <w:lastRenderedPageBreak/>
              <w:t xml:space="preserve">    </w:t>
            </w:r>
            <w:r w:rsidRPr="00405654">
              <w:rPr>
                <w:rFonts w:ascii="Palatino Linotype" w:hAnsi="Palatino Linotype"/>
                <w:b/>
                <w:color w:val="000000" w:themeColor="text1"/>
                <w:sz w:val="20"/>
                <w:szCs w:val="20"/>
              </w:rPr>
              <w:t>3.</w:t>
            </w:r>
            <w:r w:rsidRPr="00405654">
              <w:rPr>
                <w:rFonts w:ascii="Palatino Linotype" w:hAnsi="Palatino Linotype"/>
                <w:bCs/>
                <w:color w:val="000000" w:themeColor="text1"/>
                <w:sz w:val="20"/>
                <w:szCs w:val="20"/>
              </w:rPr>
              <w:t xml:space="preserve"> Networked Geothermal Heat Pumps:</w:t>
            </w:r>
            <w:r w:rsidR="002304B7">
              <w:rPr>
                <w:rFonts w:ascii="Palatino Linotype" w:hAnsi="Palatino Linotype"/>
                <w:bCs/>
                <w:color w:val="000000" w:themeColor="text1"/>
                <w:sz w:val="20"/>
                <w:szCs w:val="20"/>
              </w:rPr>
              <w:t xml:space="preserve"> </w:t>
            </w:r>
            <w:r w:rsidR="002304B7">
              <w:rPr>
                <w:rFonts w:ascii="Palatino Linotype" w:hAnsi="Palatino Linotype"/>
                <w:bCs/>
                <w:sz w:val="20"/>
                <w:szCs w:val="20"/>
              </w:rPr>
              <w:t>The</w:t>
            </w:r>
            <w:r w:rsidRPr="00405654">
              <w:rPr>
                <w:rFonts w:ascii="Palatino Linotype" w:hAnsi="Palatino Linotype"/>
                <w:bCs/>
                <w:color w:val="000000" w:themeColor="text1"/>
                <w:sz w:val="20"/>
                <w:szCs w:val="20"/>
              </w:rPr>
              <w:t xml:space="preserve"> CEC states that "[t]o ensure CEC is tracking and learning from these various efforts, CEC along with CPUC staff participate in the Geothermal Network Regulator Forum</w:t>
            </w:r>
            <w:r>
              <w:rPr>
                <w:rFonts w:ascii="Palatino Linotype" w:hAnsi="Palatino Linotype"/>
                <w:bCs/>
                <w:color w:val="000000" w:themeColor="text1"/>
                <w:sz w:val="20"/>
                <w:szCs w:val="20"/>
              </w:rPr>
              <w:t>.</w:t>
            </w:r>
            <w:r w:rsidRPr="0040565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68"/>
            </w:r>
            <w:r w:rsidRPr="00405654">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405654">
              <w:rPr>
                <w:rFonts w:ascii="Palatino Linotype" w:hAnsi="Palatino Linotype"/>
                <w:bCs/>
                <w:color w:val="000000" w:themeColor="text1"/>
                <w:sz w:val="20"/>
                <w:szCs w:val="20"/>
              </w:rPr>
              <w:t>CEC affirms it will employ "SB 1221 maps to identify potential sites for</w:t>
            </w:r>
            <w:r>
              <w:rPr>
                <w:rFonts w:ascii="Palatino Linotype" w:hAnsi="Palatino Linotype"/>
                <w:bCs/>
                <w:color w:val="000000" w:themeColor="text1"/>
                <w:sz w:val="20"/>
                <w:szCs w:val="20"/>
              </w:rPr>
              <w:t xml:space="preserve"> </w:t>
            </w:r>
            <w:r w:rsidRPr="00405654">
              <w:rPr>
                <w:rFonts w:ascii="Palatino Linotype" w:hAnsi="Palatino Linotype"/>
                <w:bCs/>
                <w:color w:val="000000" w:themeColor="text1"/>
                <w:sz w:val="20"/>
                <w:szCs w:val="20"/>
              </w:rPr>
              <w:t>near- and medium-term networked GHP pilots" (per Earthjustice's recommendation)</w:t>
            </w:r>
            <w:r>
              <w:rPr>
                <w:rStyle w:val="FootnoteReference"/>
                <w:rFonts w:ascii="Palatino Linotype" w:hAnsi="Palatino Linotype"/>
                <w:bCs/>
                <w:color w:val="000000" w:themeColor="text1"/>
                <w:sz w:val="20"/>
                <w:szCs w:val="20"/>
              </w:rPr>
              <w:footnoteReference w:id="269"/>
            </w:r>
            <w:r w:rsidRPr="00405654">
              <w:rPr>
                <w:rFonts w:ascii="Palatino Linotype" w:hAnsi="Palatino Linotype"/>
                <w:bCs/>
                <w:color w:val="000000" w:themeColor="text1"/>
                <w:sz w:val="20"/>
                <w:szCs w:val="20"/>
              </w:rPr>
              <w:t xml:space="preserve"> and consider a "cost performance study by the National Renewable Energy Laboratory on single-owner networked GHPs [which] reported coefficients of performance for ground loops between three and 10, indicating extreme efficiency</w:t>
            </w:r>
            <w:r>
              <w:rPr>
                <w:rFonts w:ascii="Palatino Linotype" w:hAnsi="Palatino Linotype"/>
                <w:bCs/>
                <w:color w:val="000000" w:themeColor="text1"/>
                <w:sz w:val="20"/>
                <w:szCs w:val="20"/>
              </w:rPr>
              <w:t>.</w:t>
            </w:r>
            <w:r w:rsidRPr="0040565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70"/>
            </w:r>
            <w:r w:rsidRPr="00405654">
              <w:rPr>
                <w:rFonts w:ascii="Palatino Linotype" w:hAnsi="Palatino Linotype"/>
                <w:bCs/>
                <w:color w:val="000000" w:themeColor="text1"/>
                <w:sz w:val="20"/>
                <w:szCs w:val="20"/>
              </w:rPr>
              <w:t xml:space="preserve"> Though PG&amp;E conducted an "initiative in San Jose connecting datacenters to nearby housing to provide</w:t>
            </w:r>
            <w:r>
              <w:rPr>
                <w:rFonts w:ascii="Palatino Linotype" w:hAnsi="Palatino Linotype"/>
                <w:bCs/>
                <w:color w:val="000000" w:themeColor="text1"/>
                <w:sz w:val="20"/>
                <w:szCs w:val="20"/>
              </w:rPr>
              <w:t xml:space="preserve"> </w:t>
            </w:r>
            <w:r w:rsidRPr="00405654">
              <w:rPr>
                <w:rFonts w:ascii="Palatino Linotype" w:hAnsi="Palatino Linotype"/>
                <w:bCs/>
                <w:color w:val="000000" w:themeColor="text1"/>
                <w:sz w:val="20"/>
                <w:szCs w:val="20"/>
              </w:rPr>
              <w:t>energy and heat",</w:t>
            </w:r>
            <w:r w:rsidR="002304B7">
              <w:rPr>
                <w:rFonts w:ascii="Palatino Linotype" w:hAnsi="Palatino Linotype"/>
                <w:bCs/>
                <w:color w:val="000000" w:themeColor="text1"/>
                <w:sz w:val="20"/>
                <w:szCs w:val="20"/>
              </w:rPr>
              <w:t xml:space="preserve"> the</w:t>
            </w:r>
            <w:r w:rsidRPr="00405654">
              <w:rPr>
                <w:rFonts w:ascii="Palatino Linotype" w:hAnsi="Palatino Linotype"/>
                <w:bCs/>
                <w:color w:val="000000" w:themeColor="text1"/>
                <w:sz w:val="20"/>
                <w:szCs w:val="20"/>
              </w:rPr>
              <w:t xml:space="preserve"> CEC states that "PG&amp;E subject matter experts indicated they are not actively pursuing networked GHP research and would be interested in following the progress of this initiative</w:t>
            </w:r>
            <w:r>
              <w:rPr>
                <w:rFonts w:ascii="Palatino Linotype" w:hAnsi="Palatino Linotype"/>
                <w:bCs/>
                <w:color w:val="000000" w:themeColor="text1"/>
                <w:sz w:val="20"/>
                <w:szCs w:val="20"/>
              </w:rPr>
              <w:t>.</w:t>
            </w:r>
            <w:r w:rsidRPr="00405654">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71"/>
            </w:r>
          </w:p>
          <w:p w:rsidRPr="00405654" w:rsidR="002F78F4" w:rsidP="00295E0C" w:rsidRDefault="002F78F4" w14:paraId="27A2CD76" w14:textId="39242C0D">
            <w:pPr>
              <w:spacing w:before="240"/>
              <w:rPr>
                <w:rFonts w:ascii="Palatino Linotype" w:hAnsi="Palatino Linotype"/>
                <w:bCs/>
                <w:color w:val="000000" w:themeColor="text1"/>
                <w:sz w:val="20"/>
                <w:szCs w:val="20"/>
              </w:rPr>
            </w:pPr>
            <w:r w:rsidRPr="00405654">
              <w:rPr>
                <w:rFonts w:ascii="Palatino Linotype" w:hAnsi="Palatino Linotype"/>
                <w:bCs/>
                <w:color w:val="000000" w:themeColor="text1"/>
                <w:sz w:val="20"/>
                <w:szCs w:val="20"/>
              </w:rPr>
              <w:t xml:space="preserve">In response to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05654">
              <w:rPr>
                <w:rFonts w:ascii="Palatino Linotype" w:hAnsi="Palatino Linotype"/>
                <w:bCs/>
                <w:color w:val="000000" w:themeColor="text1"/>
                <w:sz w:val="20"/>
                <w:szCs w:val="20"/>
              </w:rPr>
              <w:t xml:space="preserve"> flagging issues with decreasing capacity of geothermal power generation over time, </w:t>
            </w:r>
            <w:r w:rsidR="002304B7">
              <w:rPr>
                <w:rFonts w:ascii="Palatino Linotype" w:hAnsi="Palatino Linotype"/>
                <w:bCs/>
                <w:color w:val="000000" w:themeColor="text1"/>
                <w:sz w:val="20"/>
                <w:szCs w:val="20"/>
              </w:rPr>
              <w:t xml:space="preserve">the </w:t>
            </w:r>
            <w:r w:rsidRPr="00405654">
              <w:rPr>
                <w:rFonts w:ascii="Palatino Linotype" w:hAnsi="Palatino Linotype"/>
                <w:bCs/>
                <w:color w:val="000000" w:themeColor="text1"/>
                <w:sz w:val="20"/>
                <w:szCs w:val="20"/>
              </w:rPr>
              <w:t>CEC responded that "CEC staff will consider evaluations of the estimated life span of the well and anticipated performance degradation, so stakeholders can understand the long-term impacts of the project."</w:t>
            </w:r>
            <w:r>
              <w:rPr>
                <w:rStyle w:val="FootnoteReference"/>
                <w:rFonts w:ascii="Palatino Linotype" w:hAnsi="Palatino Linotype"/>
                <w:bCs/>
                <w:color w:val="000000" w:themeColor="text1"/>
                <w:sz w:val="20"/>
                <w:szCs w:val="20"/>
              </w:rPr>
              <w:footnoteReference w:id="272"/>
            </w:r>
            <w:r w:rsidRPr="00405654">
              <w:rPr>
                <w:rFonts w:ascii="Palatino Linotype" w:hAnsi="Palatino Linotype"/>
                <w:bCs/>
                <w:color w:val="000000" w:themeColor="text1"/>
                <w:sz w:val="20"/>
                <w:szCs w:val="20"/>
              </w:rPr>
              <w:t xml:space="preserve"> In response to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05654">
              <w:rPr>
                <w:rFonts w:ascii="Palatino Linotype" w:hAnsi="Palatino Linotype"/>
                <w:bCs/>
                <w:color w:val="000000" w:themeColor="text1"/>
                <w:sz w:val="20"/>
                <w:szCs w:val="20"/>
              </w:rPr>
              <w:t xml:space="preserve"> flagging issues with brine production and seismic concerns, </w:t>
            </w:r>
            <w:r w:rsidR="002304B7">
              <w:rPr>
                <w:rFonts w:ascii="Palatino Linotype" w:hAnsi="Palatino Linotype"/>
                <w:bCs/>
                <w:color w:val="000000" w:themeColor="text1"/>
                <w:sz w:val="20"/>
                <w:szCs w:val="20"/>
              </w:rPr>
              <w:t xml:space="preserve">the </w:t>
            </w:r>
            <w:r w:rsidRPr="00405654">
              <w:rPr>
                <w:rFonts w:ascii="Palatino Linotype" w:hAnsi="Palatino Linotype"/>
                <w:bCs/>
                <w:color w:val="000000" w:themeColor="text1"/>
                <w:sz w:val="20"/>
                <w:szCs w:val="20"/>
              </w:rPr>
              <w:t>CEC</w:t>
            </w:r>
            <w:r w:rsidR="002304B7">
              <w:rPr>
                <w:rFonts w:ascii="Palatino Linotype" w:hAnsi="Palatino Linotype"/>
                <w:bCs/>
                <w:color w:val="000000" w:themeColor="text1"/>
                <w:sz w:val="20"/>
                <w:szCs w:val="20"/>
              </w:rPr>
              <w:t xml:space="preserve"> stated</w:t>
            </w:r>
            <w:r w:rsidRPr="00405654">
              <w:rPr>
                <w:rFonts w:ascii="Palatino Linotype" w:hAnsi="Palatino Linotype"/>
                <w:bCs/>
                <w:color w:val="000000" w:themeColor="text1"/>
                <w:sz w:val="20"/>
                <w:szCs w:val="20"/>
              </w:rPr>
              <w:t xml:space="preserve"> that "[s]ince the drilling is relatively less deep, the potential impact may be minimal. However, as part of the study, this concern will be investigated to ensure a comprehensive understanding of any potential effects."</w:t>
            </w:r>
            <w:r>
              <w:rPr>
                <w:rStyle w:val="FootnoteReference"/>
                <w:rFonts w:ascii="Palatino Linotype" w:hAnsi="Palatino Linotype"/>
                <w:bCs/>
                <w:color w:val="000000" w:themeColor="text1"/>
                <w:sz w:val="20"/>
                <w:szCs w:val="20"/>
              </w:rPr>
              <w:footnoteReference w:id="273"/>
            </w:r>
            <w:r w:rsidRPr="00405654">
              <w:rPr>
                <w:rFonts w:ascii="Palatino Linotype" w:hAnsi="Palatino Linotype"/>
                <w:bCs/>
                <w:color w:val="000000" w:themeColor="text1"/>
                <w:sz w:val="20"/>
                <w:szCs w:val="20"/>
              </w:rPr>
              <w:t xml:space="preserve"> In alignment with </w:t>
            </w:r>
            <w:r w:rsidRPr="003E6583" w:rsidR="00D86396">
              <w:rPr>
                <w:rFonts w:ascii="Palatino Linotype" w:hAnsi="Palatino Linotype"/>
                <w:bCs/>
                <w:color w:val="000000" w:themeColor="text1"/>
                <w:sz w:val="20"/>
                <w:szCs w:val="20"/>
              </w:rPr>
              <w:t>S</w:t>
            </w:r>
            <w:r w:rsidR="00D86396">
              <w:rPr>
                <w:rFonts w:ascii="Palatino Linotype" w:hAnsi="Palatino Linotype"/>
                <w:bCs/>
                <w:color w:val="000000" w:themeColor="text1"/>
                <w:sz w:val="20"/>
                <w:szCs w:val="20"/>
              </w:rPr>
              <w:t>oCalGas</w:t>
            </w:r>
            <w:r w:rsidRPr="00405654">
              <w:rPr>
                <w:rFonts w:ascii="Palatino Linotype" w:hAnsi="Palatino Linotype"/>
                <w:bCs/>
                <w:color w:val="000000" w:themeColor="text1"/>
                <w:sz w:val="20"/>
                <w:szCs w:val="20"/>
              </w:rPr>
              <w:t xml:space="preserve">' and PG&amp;E's recommendation, </w:t>
            </w:r>
            <w:r w:rsidR="002304B7">
              <w:rPr>
                <w:rFonts w:ascii="Palatino Linotype" w:hAnsi="Palatino Linotype"/>
                <w:bCs/>
                <w:color w:val="000000" w:themeColor="text1"/>
                <w:sz w:val="20"/>
                <w:szCs w:val="20"/>
              </w:rPr>
              <w:t xml:space="preserve">the </w:t>
            </w:r>
            <w:r w:rsidRPr="00405654">
              <w:rPr>
                <w:rFonts w:ascii="Palatino Linotype" w:hAnsi="Palatino Linotype"/>
                <w:bCs/>
                <w:color w:val="000000" w:themeColor="text1"/>
                <w:sz w:val="20"/>
                <w:szCs w:val="20"/>
              </w:rPr>
              <w:t>CEC states it will consider how networked geothermal technology being studied and deployed in other states, including the first utility-scale networked geothermal system pilot being commissioned in Massachusetts in June 2024</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74"/>
            </w:r>
          </w:p>
          <w:p w:rsidRPr="000D58E0" w:rsidR="002F78F4" w:rsidP="00295E0C" w:rsidRDefault="002304B7" w14:paraId="2BB0E1CA" w14:textId="6F1AD63A">
            <w:pPr>
              <w:rPr>
                <w:rFonts w:ascii="Palatino Linotype" w:hAnsi="Palatino Linotype"/>
                <w:bCs/>
                <w:color w:val="000000" w:themeColor="text1"/>
                <w:sz w:val="20"/>
                <w:szCs w:val="20"/>
              </w:rPr>
            </w:pPr>
            <w:r>
              <w:rPr>
                <w:rFonts w:ascii="Palatino Linotype" w:hAnsi="Palatino Linotype"/>
                <w:bCs/>
                <w:sz w:val="20"/>
                <w:szCs w:val="20"/>
              </w:rPr>
              <w:lastRenderedPageBreak/>
              <w:t xml:space="preserve">The </w:t>
            </w:r>
            <w:r w:rsidRPr="00405654" w:rsidR="002F78F4">
              <w:rPr>
                <w:rFonts w:ascii="Palatino Linotype" w:hAnsi="Palatino Linotype"/>
                <w:bCs/>
                <w:color w:val="000000" w:themeColor="text1"/>
                <w:sz w:val="20"/>
                <w:szCs w:val="20"/>
              </w:rPr>
              <w:t xml:space="preserve">CEC states that given networked geothermal technology "could also offer a new potential business model for utilities to provide gas customers with a suitable zero-emission substitute", </w:t>
            </w:r>
            <w:r>
              <w:rPr>
                <w:rFonts w:ascii="Palatino Linotype" w:hAnsi="Palatino Linotype"/>
                <w:bCs/>
                <w:color w:val="000000" w:themeColor="text1"/>
                <w:sz w:val="20"/>
                <w:szCs w:val="20"/>
              </w:rPr>
              <w:t xml:space="preserve">the </w:t>
            </w:r>
            <w:r w:rsidRPr="00405654" w:rsidR="002F78F4">
              <w:rPr>
                <w:rFonts w:ascii="Palatino Linotype" w:hAnsi="Palatino Linotype"/>
                <w:bCs/>
                <w:color w:val="000000" w:themeColor="text1"/>
                <w:sz w:val="20"/>
                <w:szCs w:val="20"/>
              </w:rPr>
              <w:t>CEC would conduct a "comparison of ratepayer monthly bills among networked GHPs, other decarbonized solutions, and existing gas systems, modeled using existing utility business models (e.g., for fossil gas) and allowable rates of return</w:t>
            </w:r>
            <w:r w:rsidR="002F78F4">
              <w:rPr>
                <w:rFonts w:ascii="Palatino Linotype" w:hAnsi="Palatino Linotype"/>
                <w:bCs/>
                <w:color w:val="000000" w:themeColor="text1"/>
                <w:sz w:val="20"/>
                <w:szCs w:val="20"/>
              </w:rPr>
              <w:t>.</w:t>
            </w:r>
            <w:r w:rsidRPr="00405654"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275"/>
            </w:r>
            <w:r w:rsidRPr="00405654"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405654" w:rsidR="002F78F4">
              <w:rPr>
                <w:rFonts w:ascii="Palatino Linotype" w:hAnsi="Palatino Linotype"/>
                <w:bCs/>
                <w:color w:val="000000" w:themeColor="text1"/>
                <w:sz w:val="20"/>
                <w:szCs w:val="20"/>
              </w:rPr>
              <w:t>CEC also states that adaptation benefits could be assessed via the "[u]se of study results in utility long-term planning and development of business models to incorporate the technology and support the clean energy transition</w:t>
            </w:r>
            <w:r w:rsidR="002F78F4">
              <w:rPr>
                <w:rFonts w:ascii="Palatino Linotype" w:hAnsi="Palatino Linotype"/>
                <w:bCs/>
                <w:color w:val="000000" w:themeColor="text1"/>
                <w:sz w:val="20"/>
                <w:szCs w:val="20"/>
              </w:rPr>
              <w:t>.</w:t>
            </w:r>
            <w:r w:rsidRPr="00405654"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276"/>
            </w:r>
            <w:r w:rsidRPr="00405654" w:rsidR="002F78F4">
              <w:rPr>
                <w:rFonts w:ascii="Palatino Linotype" w:hAnsi="Palatino Linotype"/>
                <w:bCs/>
                <w:color w:val="000000" w:themeColor="text1"/>
                <w:sz w:val="20"/>
                <w:szCs w:val="20"/>
              </w:rPr>
              <w:t xml:space="preserve"> In alignment with comments from the Lawrence Berkeley National Laboratory (LBNL), </w:t>
            </w:r>
            <w:r>
              <w:rPr>
                <w:rFonts w:ascii="Palatino Linotype" w:hAnsi="Palatino Linotype"/>
                <w:bCs/>
                <w:color w:val="000000" w:themeColor="text1"/>
                <w:sz w:val="20"/>
                <w:szCs w:val="20"/>
              </w:rPr>
              <w:t xml:space="preserve">the </w:t>
            </w:r>
            <w:r w:rsidRPr="00405654" w:rsidR="002F78F4">
              <w:rPr>
                <w:rFonts w:ascii="Palatino Linotype" w:hAnsi="Palatino Linotype"/>
                <w:bCs/>
                <w:color w:val="000000" w:themeColor="text1"/>
                <w:sz w:val="20"/>
                <w:szCs w:val="20"/>
              </w:rPr>
              <w:t>CEC states that reductions in GHG emissions will be evaluated and that "by decreasing electricity demand during both cooling and heating seasons and gas demand during heating season, networked GHPs will decrease the strain on power generation and transmission infrastructure, thereby reducing the risk of overload and equipment failure and increasing reliability</w:t>
            </w:r>
            <w:r w:rsidR="002F78F4">
              <w:rPr>
                <w:rFonts w:ascii="Palatino Linotype" w:hAnsi="Palatino Linotype"/>
                <w:bCs/>
                <w:color w:val="000000" w:themeColor="text1"/>
                <w:sz w:val="20"/>
                <w:szCs w:val="20"/>
              </w:rPr>
              <w:t>.</w:t>
            </w:r>
            <w:r w:rsidRPr="00405654" w:rsidR="002F78F4">
              <w:rPr>
                <w:rFonts w:ascii="Palatino Linotype" w:hAnsi="Palatino Linotype"/>
                <w:bCs/>
                <w:color w:val="000000" w:themeColor="text1"/>
                <w:sz w:val="20"/>
                <w:szCs w:val="20"/>
              </w:rPr>
              <w:t>"</w:t>
            </w:r>
            <w:r w:rsidR="002F78F4">
              <w:rPr>
                <w:rStyle w:val="FootnoteReference"/>
                <w:rFonts w:ascii="Palatino Linotype" w:hAnsi="Palatino Linotype"/>
                <w:bCs/>
                <w:color w:val="000000" w:themeColor="text1"/>
                <w:sz w:val="20"/>
                <w:szCs w:val="20"/>
              </w:rPr>
              <w:footnoteReference w:id="277"/>
            </w:r>
            <w:r w:rsidRPr="00405654" w:rsidR="002F78F4">
              <w:rPr>
                <w:rFonts w:ascii="Palatino Linotype" w:hAnsi="Palatino Linotype"/>
                <w:bCs/>
                <w:color w:val="000000" w:themeColor="text1"/>
                <w:sz w:val="20"/>
                <w:szCs w:val="20"/>
              </w:rPr>
              <w:t xml:space="preserve"> </w:t>
            </w:r>
          </w:p>
        </w:tc>
        <w:tc>
          <w:tcPr>
            <w:tcW w:w="3240" w:type="dxa"/>
          </w:tcPr>
          <w:p w:rsidRPr="00E41B6A" w:rsidR="002F78F4" w:rsidP="00295E0C" w:rsidRDefault="002F78F4" w14:paraId="3BD2C585" w14:textId="650B21F1">
            <w:pPr>
              <w:rPr>
                <w:rFonts w:ascii="Palatino Linotype" w:hAnsi="Palatino Linotype"/>
                <w:b/>
                <w:color w:val="000000" w:themeColor="text1"/>
                <w:sz w:val="20"/>
                <w:szCs w:val="20"/>
              </w:rPr>
            </w:pPr>
            <w:r w:rsidRPr="00E41B6A">
              <w:rPr>
                <w:rFonts w:ascii="Palatino Linotype" w:hAnsi="Palatino Linotype"/>
                <w:b/>
                <w:color w:val="000000" w:themeColor="text1"/>
                <w:sz w:val="20"/>
                <w:szCs w:val="20"/>
              </w:rPr>
              <w:lastRenderedPageBreak/>
              <w:t xml:space="preserve">  1.</w:t>
            </w:r>
            <w:r w:rsidRPr="00E41B6A">
              <w:rPr>
                <w:rFonts w:ascii="Palatino Linotype" w:hAnsi="Palatino Linotype"/>
                <w:color w:val="000000" w:themeColor="text1"/>
                <w:sz w:val="20"/>
                <w:szCs w:val="20"/>
              </w:rPr>
              <w:t xml:space="preserve"> </w:t>
            </w:r>
            <w:r w:rsidR="002304B7">
              <w:rPr>
                <w:rFonts w:ascii="Palatino Linotype" w:hAnsi="Palatino Linotype"/>
                <w:bCs/>
                <w:sz w:val="20"/>
                <w:szCs w:val="20"/>
              </w:rPr>
              <w:t xml:space="preserve">The </w:t>
            </w:r>
            <w:r w:rsidRPr="00E41B6A">
              <w:rPr>
                <w:rFonts w:ascii="Palatino Linotype" w:hAnsi="Palatino Linotype"/>
                <w:color w:val="000000" w:themeColor="text1"/>
                <w:sz w:val="20"/>
                <w:szCs w:val="20"/>
              </w:rPr>
              <w:t>CEC thoroughly details coordination on and results from related efforts previously conducted by the CEC and the IOUs in this space</w:t>
            </w:r>
            <w:r w:rsidR="001135A0">
              <w:rPr>
                <w:rFonts w:ascii="Palatino Linotype" w:hAnsi="Palatino Linotype"/>
                <w:color w:val="000000" w:themeColor="text1"/>
                <w:sz w:val="20"/>
                <w:szCs w:val="20"/>
              </w:rPr>
              <w:t>. The CEC</w:t>
            </w:r>
            <w:r w:rsidRPr="00E41B6A">
              <w:rPr>
                <w:rFonts w:ascii="Palatino Linotype" w:hAnsi="Palatino Linotype"/>
                <w:color w:val="000000" w:themeColor="text1"/>
                <w:sz w:val="20"/>
                <w:szCs w:val="20"/>
              </w:rPr>
              <w:t xml:space="preserve"> demonstrates that this Initiative appropriately considers and leverages these efforts.</w:t>
            </w:r>
            <w:r w:rsidRPr="00C53A4A">
              <w:rPr>
                <w:rFonts w:ascii="Palatino Linotype" w:hAnsi="Palatino Linotype"/>
                <w:b/>
                <w:color w:val="A6A6A6" w:themeColor="background1" w:themeShade="A6"/>
                <w:sz w:val="20"/>
                <w:szCs w:val="20"/>
              </w:rPr>
              <w:t xml:space="preserve"> </w:t>
            </w:r>
          </w:p>
          <w:p w:rsidRPr="00C54308" w:rsidR="002F78F4" w:rsidP="00295E0C" w:rsidRDefault="002F78F4" w14:paraId="1FF04F91" w14:textId="05C19627">
            <w:pPr>
              <w:rPr>
                <w:rFonts w:ascii="Palatino Linotype" w:hAnsi="Palatino Linotype"/>
                <w:b/>
                <w:color w:val="000000" w:themeColor="text1"/>
                <w:sz w:val="20"/>
                <w:szCs w:val="20"/>
              </w:rPr>
            </w:pPr>
            <w:r w:rsidRPr="00C54308">
              <w:rPr>
                <w:rFonts w:ascii="Palatino Linotype" w:hAnsi="Palatino Linotype"/>
                <w:b/>
                <w:color w:val="000000" w:themeColor="text1"/>
                <w:sz w:val="20"/>
                <w:szCs w:val="20"/>
              </w:rPr>
              <w:t xml:space="preserve">  2. </w:t>
            </w:r>
            <w:r w:rsidR="002304B7">
              <w:rPr>
                <w:rFonts w:ascii="Palatino Linotype" w:hAnsi="Palatino Linotype"/>
                <w:bCs/>
                <w:sz w:val="20"/>
                <w:szCs w:val="20"/>
              </w:rPr>
              <w:t xml:space="preserve">The </w:t>
            </w:r>
            <w:r w:rsidRPr="00C54308">
              <w:rPr>
                <w:rFonts w:ascii="Palatino Linotype" w:hAnsi="Palatino Linotype"/>
                <w:bCs/>
                <w:color w:val="000000" w:themeColor="text1"/>
                <w:sz w:val="20"/>
                <w:szCs w:val="20"/>
              </w:rPr>
              <w:t xml:space="preserve">CEC demonstrates that this Initiative is coordinated with previous and ongoing efforts conducted by the CEC and the IOUs as well as activities associated with SB 1221. </w:t>
            </w:r>
            <w:r w:rsidR="002304B7">
              <w:rPr>
                <w:rFonts w:ascii="Palatino Linotype" w:hAnsi="Palatino Linotype"/>
                <w:bCs/>
                <w:sz w:val="20"/>
                <w:szCs w:val="20"/>
              </w:rPr>
              <w:t xml:space="preserve">The </w:t>
            </w:r>
            <w:r w:rsidRPr="00C54308">
              <w:rPr>
                <w:rFonts w:ascii="Palatino Linotype" w:hAnsi="Palatino Linotype"/>
                <w:bCs/>
                <w:color w:val="000000" w:themeColor="text1"/>
                <w:sz w:val="20"/>
                <w:szCs w:val="20"/>
              </w:rPr>
              <w:t xml:space="preserve">CEC </w:t>
            </w:r>
            <w:r w:rsidR="00075198">
              <w:rPr>
                <w:rFonts w:ascii="Palatino Linotype" w:hAnsi="Palatino Linotype"/>
                <w:bCs/>
                <w:color w:val="000000" w:themeColor="text1"/>
                <w:sz w:val="20"/>
                <w:szCs w:val="20"/>
              </w:rPr>
              <w:t>must</w:t>
            </w:r>
            <w:r w:rsidRPr="00C54308">
              <w:rPr>
                <w:rFonts w:ascii="Palatino Linotype" w:hAnsi="Palatino Linotype"/>
                <w:bCs/>
                <w:color w:val="000000" w:themeColor="text1"/>
                <w:sz w:val="20"/>
                <w:szCs w:val="20"/>
              </w:rPr>
              <w:t xml:space="preserve"> continue to be proactive and </w:t>
            </w:r>
            <w:r w:rsidRPr="00C54308">
              <w:rPr>
                <w:rFonts w:ascii="Palatino Linotype" w:hAnsi="Palatino Linotype"/>
                <w:bCs/>
                <w:color w:val="000000" w:themeColor="text1"/>
                <w:sz w:val="20"/>
                <w:szCs w:val="20"/>
              </w:rPr>
              <w:lastRenderedPageBreak/>
              <w:t>specific in articulating these coordination efforts and consider Biovind's recommendations in the solicitation phase of this Initiative.</w:t>
            </w:r>
          </w:p>
          <w:p w:rsidR="002304B7" w:rsidP="00295E0C" w:rsidRDefault="002F78F4" w14:paraId="6443A118" w14:textId="364B5D57">
            <w:pPr>
              <w:rPr>
                <w:rFonts w:ascii="Palatino Linotype" w:hAnsi="Palatino Linotype"/>
                <w:bCs/>
                <w:color w:val="000000" w:themeColor="text1"/>
                <w:sz w:val="20"/>
                <w:szCs w:val="20"/>
              </w:rPr>
            </w:pPr>
            <w:r w:rsidRPr="00FC40EE">
              <w:rPr>
                <w:rFonts w:ascii="Palatino Linotype" w:hAnsi="Palatino Linotype"/>
                <w:b/>
                <w:color w:val="A6A6A6" w:themeColor="background1" w:themeShade="A6"/>
                <w:sz w:val="20"/>
                <w:szCs w:val="20"/>
              </w:rPr>
              <w:t xml:space="preserve">  </w:t>
            </w:r>
            <w:r w:rsidRPr="00BB5A0F">
              <w:rPr>
                <w:rFonts w:ascii="Palatino Linotype" w:hAnsi="Palatino Linotype"/>
                <w:b/>
                <w:color w:val="000000" w:themeColor="text1"/>
                <w:sz w:val="20"/>
                <w:szCs w:val="20"/>
              </w:rPr>
              <w:t xml:space="preserve">3. </w:t>
            </w:r>
            <w:r w:rsidR="002304B7">
              <w:rPr>
                <w:rFonts w:ascii="Palatino Linotype" w:hAnsi="Palatino Linotype"/>
                <w:bCs/>
                <w:sz w:val="20"/>
                <w:szCs w:val="20"/>
              </w:rPr>
              <w:t xml:space="preserve">The </w:t>
            </w:r>
            <w:r w:rsidRPr="00BB5A0F">
              <w:rPr>
                <w:rFonts w:ascii="Palatino Linotype" w:hAnsi="Palatino Linotype"/>
                <w:bCs/>
                <w:color w:val="000000" w:themeColor="text1"/>
                <w:sz w:val="20"/>
                <w:szCs w:val="20"/>
              </w:rPr>
              <w:t>CEC appears to have</w:t>
            </w:r>
            <w:r w:rsidR="00754BD5">
              <w:rPr>
                <w:rFonts w:ascii="Palatino Linotype" w:hAnsi="Palatino Linotype"/>
                <w:bCs/>
                <w:color w:val="000000" w:themeColor="text1"/>
                <w:sz w:val="20"/>
                <w:szCs w:val="20"/>
              </w:rPr>
              <w:t xml:space="preserve"> </w:t>
            </w:r>
            <w:r w:rsidR="001135A0">
              <w:rPr>
                <w:rFonts w:ascii="Palatino Linotype" w:hAnsi="Palatino Linotype"/>
                <w:bCs/>
                <w:color w:val="000000" w:themeColor="text1"/>
                <w:sz w:val="20"/>
                <w:szCs w:val="20"/>
              </w:rPr>
              <w:t>demonstrate</w:t>
            </w:r>
            <w:r w:rsidR="00754BD5">
              <w:rPr>
                <w:rFonts w:ascii="Palatino Linotype" w:hAnsi="Palatino Linotype"/>
                <w:bCs/>
                <w:color w:val="000000" w:themeColor="text1"/>
                <w:sz w:val="20"/>
                <w:szCs w:val="20"/>
              </w:rPr>
              <w:t>d</w:t>
            </w:r>
            <w:r w:rsidRPr="00BB5A0F">
              <w:rPr>
                <w:rFonts w:ascii="Palatino Linotype" w:hAnsi="Palatino Linotype"/>
                <w:bCs/>
                <w:color w:val="000000" w:themeColor="text1"/>
                <w:sz w:val="20"/>
                <w:szCs w:val="20"/>
              </w:rPr>
              <w:t xml:space="preserve"> engage</w:t>
            </w:r>
            <w:r w:rsidR="001135A0">
              <w:rPr>
                <w:rFonts w:ascii="Palatino Linotype" w:hAnsi="Palatino Linotype"/>
                <w:bCs/>
                <w:color w:val="000000" w:themeColor="text1"/>
                <w:sz w:val="20"/>
                <w:szCs w:val="20"/>
              </w:rPr>
              <w:t>ment</w:t>
            </w:r>
            <w:r w:rsidRPr="00BB5A0F">
              <w:rPr>
                <w:rFonts w:ascii="Palatino Linotype" w:hAnsi="Palatino Linotype"/>
                <w:bCs/>
                <w:color w:val="000000" w:themeColor="text1"/>
                <w:sz w:val="20"/>
                <w:szCs w:val="20"/>
              </w:rPr>
              <w:t xml:space="preserve"> and </w:t>
            </w:r>
            <w:r w:rsidRPr="00BB5A0F" w:rsidR="001135A0">
              <w:rPr>
                <w:rFonts w:ascii="Palatino Linotype" w:hAnsi="Palatino Linotype"/>
                <w:bCs/>
                <w:color w:val="000000" w:themeColor="text1"/>
                <w:sz w:val="20"/>
                <w:szCs w:val="20"/>
              </w:rPr>
              <w:t>consid</w:t>
            </w:r>
            <w:r w:rsidR="001135A0">
              <w:rPr>
                <w:rFonts w:ascii="Palatino Linotype" w:hAnsi="Palatino Linotype"/>
                <w:bCs/>
                <w:color w:val="000000" w:themeColor="text1"/>
                <w:sz w:val="20"/>
                <w:szCs w:val="20"/>
              </w:rPr>
              <w:t>eration of</w:t>
            </w:r>
            <w:r w:rsidRPr="00BB5A0F" w:rsidR="001135A0">
              <w:rPr>
                <w:rFonts w:ascii="Palatino Linotype" w:hAnsi="Palatino Linotype"/>
                <w:bCs/>
                <w:color w:val="000000" w:themeColor="text1"/>
                <w:sz w:val="20"/>
                <w:szCs w:val="20"/>
              </w:rPr>
              <w:t xml:space="preserve"> </w:t>
            </w:r>
            <w:r w:rsidR="00433F7D">
              <w:rPr>
                <w:rFonts w:ascii="Palatino Linotype" w:hAnsi="Palatino Linotype"/>
                <w:bCs/>
                <w:color w:val="000000" w:themeColor="text1"/>
                <w:sz w:val="20"/>
                <w:szCs w:val="20"/>
              </w:rPr>
              <w:t>public</w:t>
            </w:r>
            <w:r w:rsidRPr="00BB5A0F">
              <w:rPr>
                <w:rFonts w:ascii="Palatino Linotype" w:hAnsi="Palatino Linotype"/>
                <w:bCs/>
                <w:color w:val="000000" w:themeColor="text1"/>
                <w:sz w:val="20"/>
                <w:szCs w:val="20"/>
              </w:rPr>
              <w:t xml:space="preserve"> concerns related to this Initiative</w:t>
            </w:r>
            <w:r w:rsidR="00433F7D">
              <w:rPr>
                <w:rFonts w:ascii="Palatino Linotype" w:hAnsi="Palatino Linotype"/>
                <w:bCs/>
                <w:color w:val="000000" w:themeColor="text1"/>
                <w:sz w:val="20"/>
                <w:szCs w:val="20"/>
              </w:rPr>
              <w:t xml:space="preserve">. The CEC </w:t>
            </w:r>
            <w:r w:rsidRPr="00BB5A0F" w:rsidR="00433F7D">
              <w:rPr>
                <w:rFonts w:ascii="Palatino Linotype" w:hAnsi="Palatino Linotype"/>
                <w:bCs/>
                <w:color w:val="000000" w:themeColor="text1"/>
                <w:sz w:val="20"/>
                <w:szCs w:val="20"/>
              </w:rPr>
              <w:t>demonstrate</w:t>
            </w:r>
            <w:r w:rsidR="00433F7D">
              <w:rPr>
                <w:rFonts w:ascii="Palatino Linotype" w:hAnsi="Palatino Linotype"/>
                <w:bCs/>
                <w:color w:val="000000" w:themeColor="text1"/>
                <w:sz w:val="20"/>
                <w:szCs w:val="20"/>
              </w:rPr>
              <w:t>s</w:t>
            </w:r>
            <w:r w:rsidRPr="00BB5A0F" w:rsidR="00433F7D">
              <w:rPr>
                <w:rFonts w:ascii="Palatino Linotype" w:hAnsi="Palatino Linotype"/>
                <w:bCs/>
                <w:color w:val="000000" w:themeColor="text1"/>
                <w:sz w:val="20"/>
                <w:szCs w:val="20"/>
              </w:rPr>
              <w:t xml:space="preserve"> </w:t>
            </w:r>
            <w:r w:rsidRPr="00BB5A0F">
              <w:rPr>
                <w:rFonts w:ascii="Palatino Linotype" w:hAnsi="Palatino Linotype"/>
                <w:bCs/>
                <w:color w:val="000000" w:themeColor="text1"/>
                <w:sz w:val="20"/>
                <w:szCs w:val="20"/>
              </w:rPr>
              <w:t>coordination with the IOUs, including by considering findings from related RD&amp;D conducted in California and other states.</w:t>
            </w:r>
            <w:r w:rsidR="00162F5D">
              <w:rPr>
                <w:rFonts w:ascii="Palatino Linotype" w:hAnsi="Palatino Linotype"/>
                <w:bCs/>
                <w:color w:val="000000" w:themeColor="text1"/>
                <w:sz w:val="20"/>
                <w:szCs w:val="20"/>
              </w:rPr>
              <w:t xml:space="preserve"> </w:t>
            </w:r>
          </w:p>
          <w:p w:rsidRPr="00BB5A0F" w:rsidR="002F78F4" w:rsidP="00295E0C" w:rsidRDefault="002304B7" w14:paraId="05002347" w14:textId="2371EAA6">
            <w:pPr>
              <w:rPr>
                <w:rFonts w:ascii="Palatino Linotype" w:hAnsi="Palatino Linotype"/>
                <w:b/>
                <w:color w:val="000000" w:themeColor="text1"/>
                <w:sz w:val="20"/>
                <w:szCs w:val="20"/>
              </w:rPr>
            </w:pPr>
            <w:r w:rsidRPr="002304B7">
              <w:rPr>
                <w:rFonts w:ascii="Palatino Linotype" w:hAnsi="Palatino Linotype"/>
                <w:b/>
                <w:sz w:val="20"/>
                <w:szCs w:val="20"/>
              </w:rPr>
              <w:t>The</w:t>
            </w:r>
            <w:r>
              <w:rPr>
                <w:rFonts w:ascii="Palatino Linotype" w:hAnsi="Palatino Linotype"/>
                <w:bCs/>
                <w:sz w:val="20"/>
                <w:szCs w:val="20"/>
              </w:rPr>
              <w:t xml:space="preserve"> </w:t>
            </w:r>
            <w:r w:rsidRPr="00BB5A0F" w:rsidR="002F78F4">
              <w:rPr>
                <w:rFonts w:ascii="Palatino Linotype" w:hAnsi="Palatino Linotype"/>
                <w:b/>
                <w:color w:val="000000" w:themeColor="text1"/>
                <w:sz w:val="20"/>
                <w:szCs w:val="20"/>
              </w:rPr>
              <w:t>CEC is</w:t>
            </w:r>
            <w:r w:rsidRPr="00BB5A0F" w:rsidR="002F78F4">
              <w:rPr>
                <w:rFonts w:ascii="Palatino Linotype" w:hAnsi="Palatino Linotype"/>
                <w:b/>
                <w:i/>
                <w:iCs/>
                <w:color w:val="000000" w:themeColor="text1"/>
                <w:sz w:val="20"/>
                <w:szCs w:val="20"/>
              </w:rPr>
              <w:t xml:space="preserve"> </w:t>
            </w:r>
            <w:r w:rsidRPr="00BB5A0F" w:rsidR="002F78F4">
              <w:rPr>
                <w:rFonts w:ascii="Palatino Linotype" w:hAnsi="Palatino Linotype"/>
                <w:b/>
                <w:color w:val="000000" w:themeColor="text1"/>
                <w:sz w:val="20"/>
                <w:szCs w:val="20"/>
              </w:rPr>
              <w:t>compliant with this requirement.</w:t>
            </w:r>
          </w:p>
          <w:p w:rsidRPr="00FC40EE" w:rsidR="002F78F4" w:rsidP="00295E0C" w:rsidRDefault="002F78F4" w14:paraId="71561F6D" w14:textId="77777777">
            <w:pPr>
              <w:rPr>
                <w:rFonts w:ascii="Palatino Linotype" w:hAnsi="Palatino Linotype"/>
                <w:b/>
                <w:color w:val="A6A6A6" w:themeColor="background1" w:themeShade="A6"/>
                <w:sz w:val="20"/>
                <w:szCs w:val="20"/>
              </w:rPr>
            </w:pPr>
          </w:p>
        </w:tc>
      </w:tr>
      <w:tr w:rsidR="002F78F4" w:rsidTr="00295E0C" w14:paraId="2FE86676" w14:textId="77777777">
        <w:trPr>
          <w:trHeight w:val="241"/>
        </w:trPr>
        <w:tc>
          <w:tcPr>
            <w:tcW w:w="3145" w:type="dxa"/>
          </w:tcPr>
          <w:p w:rsidRPr="00E7529D" w:rsidR="002F78F4" w:rsidP="00295E0C" w:rsidRDefault="002F78F4" w14:paraId="7E666B15" w14:textId="77777777">
            <w:pPr>
              <w:rPr>
                <w:rFonts w:ascii="Palatino Linotype" w:hAnsi="Palatino Linotype"/>
                <w:b/>
                <w:sz w:val="20"/>
                <w:szCs w:val="20"/>
              </w:rPr>
            </w:pPr>
            <w:hyperlink w:history="1" r:id="rId123">
              <w:r w:rsidRPr="00FC40EE">
                <w:rPr>
                  <w:rStyle w:val="Hyperlink"/>
                  <w:rFonts w:ascii="Palatino Linotype" w:hAnsi="Palatino Linotype"/>
                  <w:b/>
                  <w:sz w:val="20"/>
                  <w:szCs w:val="20"/>
                </w:rPr>
                <w:t>Resolution G-3603</w:t>
              </w:r>
            </w:hyperlink>
            <w:r w:rsidRPr="00FC40EE">
              <w:rPr>
                <w:rFonts w:ascii="Palatino Linotype" w:hAnsi="Palatino Linotype"/>
                <w:b/>
                <w:sz w:val="20"/>
                <w:szCs w:val="20"/>
              </w:rPr>
              <w:t xml:space="preserve"> </w:t>
            </w:r>
            <w:r w:rsidRPr="00FC40EE">
              <w:rPr>
                <w:rFonts w:ascii="Palatino Linotype" w:hAnsi="Palatino Linotype"/>
                <w:bCs/>
                <w:sz w:val="20"/>
                <w:szCs w:val="20"/>
              </w:rPr>
              <w:t>(2024) at OP 5.</w:t>
            </w:r>
            <w:r w:rsidRPr="00E7529D">
              <w:rPr>
                <w:rFonts w:ascii="Palatino Linotype" w:hAnsi="Palatino Linotype"/>
                <w:bCs/>
                <w:sz w:val="20"/>
                <w:szCs w:val="20"/>
              </w:rPr>
              <w:t xml:space="preserve"> </w:t>
            </w:r>
            <w:r w:rsidRPr="00E7529D">
              <w:rPr>
                <w:rFonts w:ascii="Palatino Linotype" w:hAnsi="Palatino Linotype"/>
                <w:bCs/>
                <w:i/>
                <w:iCs/>
                <w:sz w:val="20"/>
                <w:szCs w:val="20"/>
              </w:rPr>
              <w:t>To ensure that research plans are coordinated, consistent, and aligned with CPUC policies and proceedings, the California Energy Commission shall coordinate with Energy Division and CPUC Staff in advance of commencing its plan.</w:t>
            </w:r>
          </w:p>
        </w:tc>
        <w:tc>
          <w:tcPr>
            <w:tcW w:w="7920" w:type="dxa"/>
          </w:tcPr>
          <w:p w:rsidR="002F78F4" w:rsidP="00295E0C" w:rsidRDefault="002304B7" w14:paraId="3A270941" w14:textId="2D53F8AE">
            <w:pPr>
              <w:rPr>
                <w:rFonts w:ascii="Palatino Linotype" w:hAnsi="Palatino Linotype"/>
                <w:bCs/>
                <w:color w:val="000000" w:themeColor="text1"/>
                <w:sz w:val="20"/>
                <w:szCs w:val="20"/>
              </w:rPr>
            </w:pPr>
            <w:r>
              <w:rPr>
                <w:rFonts w:ascii="Palatino Linotype" w:hAnsi="Palatino Linotype"/>
                <w:bCs/>
                <w:sz w:val="20"/>
                <w:szCs w:val="20"/>
              </w:rPr>
              <w:t xml:space="preserve">The </w:t>
            </w:r>
            <w:r w:rsidRPr="00C53A4A" w:rsidR="002F78F4">
              <w:rPr>
                <w:rFonts w:ascii="Palatino Linotype" w:hAnsi="Palatino Linotype"/>
                <w:bCs/>
                <w:color w:val="000000" w:themeColor="text1"/>
                <w:sz w:val="20"/>
                <w:szCs w:val="20"/>
              </w:rPr>
              <w:t>CEC provides a Summary of Key Input Activities for the CEC Gas R&amp;D Program Grant Solicitation and Agreement Management Process at Figure 1,</w:t>
            </w:r>
            <w:r w:rsidRPr="00C53A4A" w:rsidR="002F78F4">
              <w:rPr>
                <w:rStyle w:val="FootnoteReference"/>
                <w:rFonts w:ascii="Palatino Linotype" w:hAnsi="Palatino Linotype"/>
                <w:bCs/>
                <w:color w:val="000000" w:themeColor="text1"/>
                <w:sz w:val="20"/>
                <w:szCs w:val="20"/>
              </w:rPr>
              <w:footnoteReference w:id="278"/>
            </w:r>
            <w:r w:rsidRPr="00C53A4A" w:rsidR="002F78F4">
              <w:rPr>
                <w:rFonts w:ascii="Palatino Linotype" w:hAnsi="Palatino Linotype"/>
                <w:bCs/>
                <w:color w:val="000000" w:themeColor="text1"/>
                <w:sz w:val="20"/>
                <w:szCs w:val="20"/>
              </w:rPr>
              <w:t xml:space="preserve"> including coordination with CPUC on Proposed and Final Research Initiatives. </w:t>
            </w:r>
            <w:r>
              <w:rPr>
                <w:rFonts w:ascii="Palatino Linotype" w:hAnsi="Palatino Linotype"/>
                <w:bCs/>
                <w:sz w:val="20"/>
                <w:szCs w:val="20"/>
              </w:rPr>
              <w:t xml:space="preserve">The </w:t>
            </w:r>
            <w:r w:rsidRPr="00C53A4A" w:rsidR="002F78F4">
              <w:rPr>
                <w:rFonts w:ascii="Palatino Linotype" w:hAnsi="Palatino Linotype"/>
                <w:bCs/>
                <w:color w:val="000000" w:themeColor="text1"/>
                <w:sz w:val="20"/>
                <w:szCs w:val="20"/>
              </w:rPr>
              <w:t>CEC details Coordination and Strategic Partnerships with CPUC, including specifi</w:t>
            </w:r>
            <w:r w:rsidR="002F78F4">
              <w:rPr>
                <w:rFonts w:ascii="Palatino Linotype" w:hAnsi="Palatino Linotype"/>
                <w:bCs/>
                <w:color w:val="000000" w:themeColor="text1"/>
                <w:sz w:val="20"/>
                <w:szCs w:val="20"/>
              </w:rPr>
              <w:t>c</w:t>
            </w:r>
            <w:r w:rsidRPr="00C53A4A" w:rsidR="002F78F4">
              <w:rPr>
                <w:rFonts w:ascii="Palatino Linotype" w:hAnsi="Palatino Linotype"/>
                <w:bCs/>
                <w:color w:val="000000" w:themeColor="text1"/>
                <w:sz w:val="20"/>
                <w:szCs w:val="20"/>
              </w:rPr>
              <w:t xml:space="preserve"> meeting</w:t>
            </w:r>
            <w:r w:rsidR="002F78F4">
              <w:rPr>
                <w:rFonts w:ascii="Palatino Linotype" w:hAnsi="Palatino Linotype"/>
                <w:bCs/>
                <w:color w:val="000000" w:themeColor="text1"/>
                <w:sz w:val="20"/>
                <w:szCs w:val="20"/>
              </w:rPr>
              <w:t>s</w:t>
            </w:r>
            <w:r w:rsidRPr="00C53A4A" w:rsidR="002F78F4">
              <w:rPr>
                <w:rFonts w:ascii="Palatino Linotype" w:hAnsi="Palatino Linotype"/>
                <w:bCs/>
                <w:color w:val="000000" w:themeColor="text1"/>
                <w:sz w:val="20"/>
                <w:szCs w:val="20"/>
              </w:rPr>
              <w:t xml:space="preserve"> on its FY</w:t>
            </w:r>
            <w:r w:rsidR="002F78F4">
              <w:rPr>
                <w:rFonts w:ascii="Palatino Linotype" w:hAnsi="Palatino Linotype"/>
                <w:bCs/>
                <w:color w:val="000000" w:themeColor="text1"/>
                <w:sz w:val="20"/>
                <w:szCs w:val="20"/>
              </w:rPr>
              <w:t xml:space="preserve"> </w:t>
            </w:r>
            <w:r w:rsidRPr="00C53A4A"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5</w:t>
            </w:r>
            <w:r w:rsidRPr="00C53A4A" w:rsidR="002F78F4">
              <w:rPr>
                <w:rFonts w:ascii="Palatino Linotype" w:hAnsi="Palatino Linotype"/>
                <w:bCs/>
                <w:color w:val="000000" w:themeColor="text1"/>
                <w:sz w:val="20"/>
                <w:szCs w:val="20"/>
              </w:rPr>
              <w:t>-202</w:t>
            </w:r>
            <w:r w:rsidR="002F78F4">
              <w:rPr>
                <w:rFonts w:ascii="Palatino Linotype" w:hAnsi="Palatino Linotype"/>
                <w:bCs/>
                <w:color w:val="000000" w:themeColor="text1"/>
                <w:sz w:val="20"/>
                <w:szCs w:val="20"/>
              </w:rPr>
              <w:t>6</w:t>
            </w:r>
            <w:r w:rsidRPr="00C53A4A" w:rsidR="002F78F4">
              <w:rPr>
                <w:rFonts w:ascii="Palatino Linotype" w:hAnsi="Palatino Linotype"/>
                <w:bCs/>
                <w:color w:val="000000" w:themeColor="text1"/>
                <w:sz w:val="20"/>
                <w:szCs w:val="20"/>
              </w:rPr>
              <w:t xml:space="preserve"> Plan on the following dates:</w:t>
            </w:r>
            <w:r w:rsidR="002F78F4">
              <w:rPr>
                <w:rStyle w:val="FootnoteReference"/>
                <w:rFonts w:ascii="Palatino Linotype" w:hAnsi="Palatino Linotype"/>
                <w:bCs/>
                <w:color w:val="000000" w:themeColor="text1"/>
                <w:sz w:val="20"/>
                <w:szCs w:val="20"/>
              </w:rPr>
              <w:footnoteReference w:id="279"/>
            </w:r>
            <w:r w:rsidRPr="00C53A4A" w:rsidR="002F78F4">
              <w:rPr>
                <w:rFonts w:ascii="Palatino Linotype" w:hAnsi="Palatino Linotype"/>
                <w:bCs/>
                <w:color w:val="000000" w:themeColor="text1"/>
                <w:sz w:val="20"/>
                <w:szCs w:val="20"/>
              </w:rPr>
              <w:t xml:space="preserve"> </w:t>
            </w:r>
          </w:p>
          <w:p w:rsidR="002F78F4" w:rsidP="00295E0C" w:rsidRDefault="002F78F4" w14:paraId="069AC993" w14:textId="77777777">
            <w:pPr>
              <w:pStyle w:val="ListParagraph"/>
              <w:numPr>
                <w:ilvl w:val="0"/>
                <w:numId w:val="28"/>
              </w:numPr>
              <w:rPr>
                <w:rFonts w:ascii="Palatino Linotype" w:hAnsi="Palatino Linotype"/>
                <w:bCs/>
                <w:color w:val="000000" w:themeColor="text1"/>
                <w:sz w:val="20"/>
                <w:szCs w:val="20"/>
              </w:rPr>
            </w:pPr>
            <w:r>
              <w:rPr>
                <w:rFonts w:ascii="Palatino Linotype" w:hAnsi="Palatino Linotype"/>
                <w:bCs/>
                <w:color w:val="000000" w:themeColor="text1"/>
                <w:sz w:val="20"/>
                <w:szCs w:val="20"/>
              </w:rPr>
              <w:t>July 24, 2024: First briefing soliciting early and ongoing feedback.</w:t>
            </w:r>
          </w:p>
          <w:p w:rsidR="002F78F4" w:rsidP="00295E0C" w:rsidRDefault="002F78F4" w14:paraId="7B33C066" w14:textId="77777777">
            <w:pPr>
              <w:pStyle w:val="ListParagraph"/>
              <w:numPr>
                <w:ilvl w:val="0"/>
                <w:numId w:val="28"/>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August 27 and October 29, 2024: Subsequent updates provided during </w:t>
            </w:r>
            <w:r w:rsidRPr="006C5108">
              <w:rPr>
                <w:rFonts w:ascii="Palatino Linotype" w:hAnsi="Palatino Linotype"/>
                <w:bCs/>
                <w:color w:val="000000" w:themeColor="text1"/>
                <w:sz w:val="20"/>
                <w:szCs w:val="20"/>
              </w:rPr>
              <w:t>monthly CEC-CPUC Gas R&amp;D Working Group meetings</w:t>
            </w:r>
            <w:r>
              <w:rPr>
                <w:rFonts w:ascii="Palatino Linotype" w:hAnsi="Palatino Linotype"/>
                <w:bCs/>
                <w:color w:val="000000" w:themeColor="text1"/>
                <w:sz w:val="20"/>
                <w:szCs w:val="20"/>
              </w:rPr>
              <w:t>.</w:t>
            </w:r>
          </w:p>
          <w:p w:rsidRPr="00CD1EBB" w:rsidR="002F78F4" w:rsidP="00295E0C" w:rsidRDefault="002F78F4" w14:paraId="0B690B82" w14:textId="77777777">
            <w:pPr>
              <w:pStyle w:val="ListParagraph"/>
              <w:numPr>
                <w:ilvl w:val="0"/>
                <w:numId w:val="28"/>
              </w:numPr>
              <w:rPr>
                <w:rFonts w:ascii="Palatino Linotype" w:hAnsi="Palatino Linotype"/>
                <w:bCs/>
                <w:color w:val="000000" w:themeColor="text1"/>
                <w:sz w:val="20"/>
                <w:szCs w:val="20"/>
              </w:rPr>
            </w:pPr>
            <w:r>
              <w:rPr>
                <w:rFonts w:ascii="Palatino Linotype" w:hAnsi="Palatino Linotype"/>
                <w:bCs/>
                <w:color w:val="000000" w:themeColor="text1"/>
                <w:sz w:val="20"/>
                <w:szCs w:val="20"/>
              </w:rPr>
              <w:t>September 9 and November 22, 2024: Additional coordination via Initiative-specific meetings.</w:t>
            </w:r>
          </w:p>
          <w:p w:rsidRPr="00CB1B03" w:rsidR="002F78F4" w:rsidP="00295E0C" w:rsidRDefault="002304B7" w14:paraId="57EB36D8" w14:textId="2E25C056">
            <w:pPr>
              <w:rPr>
                <w:rFonts w:ascii="Palatino Linotype" w:hAnsi="Palatino Linotype"/>
                <w:bCs/>
                <w:color w:val="000000" w:themeColor="text1"/>
                <w:sz w:val="20"/>
                <w:szCs w:val="20"/>
              </w:rPr>
            </w:pPr>
            <w:r>
              <w:rPr>
                <w:rFonts w:ascii="Palatino Linotype" w:hAnsi="Palatino Linotype"/>
                <w:bCs/>
                <w:sz w:val="20"/>
                <w:szCs w:val="20"/>
              </w:rPr>
              <w:t xml:space="preserve">The </w:t>
            </w:r>
            <w:r w:rsidR="002F78F4">
              <w:rPr>
                <w:rFonts w:ascii="Palatino Linotype" w:hAnsi="Palatino Linotype"/>
                <w:bCs/>
                <w:color w:val="000000" w:themeColor="text1"/>
                <w:sz w:val="20"/>
                <w:szCs w:val="20"/>
              </w:rPr>
              <w:t>CEC states that “[b]</w:t>
            </w:r>
            <w:r w:rsidRPr="00F26089" w:rsidR="002F78F4">
              <w:rPr>
                <w:rFonts w:ascii="Palatino Linotype" w:hAnsi="Palatino Linotype"/>
                <w:bCs/>
                <w:color w:val="000000" w:themeColor="text1"/>
                <w:sz w:val="20"/>
                <w:szCs w:val="20"/>
              </w:rPr>
              <w:t xml:space="preserve">ased on feedback received throughout this process, CEC staff elected to exclude a previously proposed initiative on Scaling Technology to Decarbonize California’s Gas Sector in the FY 2025-2026 Budget Plan and redirected </w:t>
            </w:r>
            <w:r w:rsidRPr="00F26089" w:rsidR="002F78F4">
              <w:rPr>
                <w:rFonts w:ascii="Palatino Linotype" w:hAnsi="Palatino Linotype"/>
                <w:bCs/>
                <w:color w:val="000000" w:themeColor="text1"/>
                <w:sz w:val="20"/>
                <w:szCs w:val="20"/>
              </w:rPr>
              <w:lastRenderedPageBreak/>
              <w:t>the associated funds.”</w:t>
            </w:r>
            <w:r w:rsidR="002F78F4">
              <w:rPr>
                <w:rStyle w:val="FootnoteReference"/>
                <w:rFonts w:ascii="Palatino Linotype" w:hAnsi="Palatino Linotype"/>
                <w:bCs/>
                <w:color w:val="000000" w:themeColor="text1"/>
                <w:sz w:val="20"/>
                <w:szCs w:val="20"/>
              </w:rPr>
              <w:footnoteReference w:id="280"/>
            </w:r>
            <w:r w:rsidR="002F78F4">
              <w:rPr>
                <w:rFonts w:ascii="Palatino Linotype" w:hAnsi="Palatino Linotype"/>
                <w:bCs/>
                <w:color w:val="000000" w:themeColor="text1"/>
                <w:sz w:val="20"/>
                <w:szCs w:val="20"/>
              </w:rPr>
              <w:t xml:space="preserve"> </w:t>
            </w:r>
            <w:r>
              <w:rPr>
                <w:rFonts w:ascii="Palatino Linotype" w:hAnsi="Palatino Linotype"/>
                <w:bCs/>
                <w:sz w:val="20"/>
                <w:szCs w:val="20"/>
              </w:rPr>
              <w:t xml:space="preserve">The </w:t>
            </w:r>
            <w:r w:rsidRPr="00CB1B03" w:rsidR="002F78F4">
              <w:rPr>
                <w:rFonts w:ascii="Palatino Linotype" w:hAnsi="Palatino Linotype"/>
                <w:bCs/>
                <w:color w:val="000000" w:themeColor="text1"/>
                <w:sz w:val="20"/>
                <w:szCs w:val="20"/>
              </w:rPr>
              <w:t>CEC also includes a list of Policies Supported by FY 2025-2026 Gas R&amp;D Program Initiative Themes at Appendix A and information on Roadmaps and Long-Term Strategies, representing “types of planning mechanisms and prioritization tools that help establish a clear link between research and energy policy goals”.</w:t>
            </w:r>
            <w:r w:rsidRPr="00CB1B03" w:rsidR="002F78F4">
              <w:rPr>
                <w:rStyle w:val="FootnoteReference"/>
                <w:rFonts w:ascii="Palatino Linotype" w:hAnsi="Palatino Linotype"/>
                <w:bCs/>
                <w:color w:val="000000" w:themeColor="text1"/>
                <w:sz w:val="20"/>
                <w:szCs w:val="20"/>
              </w:rPr>
              <w:footnoteReference w:id="281"/>
            </w:r>
          </w:p>
          <w:p w:rsidRPr="004A5B01" w:rsidR="002F78F4" w:rsidP="00295E0C" w:rsidRDefault="002F78F4" w14:paraId="75A3D448" w14:textId="73F9113F">
            <w:pPr>
              <w:rPr>
                <w:rFonts w:ascii="Palatino Linotype" w:hAnsi="Palatino Linotype"/>
                <w:bCs/>
                <w:color w:val="000000" w:themeColor="text1"/>
                <w:sz w:val="20"/>
                <w:szCs w:val="20"/>
              </w:rPr>
            </w:pPr>
            <w:r w:rsidRPr="004A5B01">
              <w:rPr>
                <w:rFonts w:ascii="Palatino Linotype" w:hAnsi="Palatino Linotype"/>
                <w:bCs/>
                <w:color w:val="000000" w:themeColor="text1"/>
                <w:sz w:val="20"/>
                <w:szCs w:val="20"/>
              </w:rPr>
              <w:t xml:space="preserve">In Appendix D, </w:t>
            </w:r>
            <w:r w:rsidR="002304B7">
              <w:rPr>
                <w:rFonts w:ascii="Palatino Linotype" w:hAnsi="Palatino Linotype"/>
                <w:bCs/>
                <w:color w:val="000000" w:themeColor="text1"/>
                <w:sz w:val="20"/>
                <w:szCs w:val="20"/>
              </w:rPr>
              <w:t xml:space="preserve">the </w:t>
            </w:r>
            <w:r w:rsidRPr="004A5B01">
              <w:rPr>
                <w:rFonts w:ascii="Palatino Linotype" w:hAnsi="Palatino Linotype"/>
                <w:bCs/>
                <w:color w:val="000000" w:themeColor="text1"/>
                <w:sz w:val="20"/>
                <w:szCs w:val="20"/>
              </w:rPr>
              <w:t xml:space="preserve">CEC includes CPUC Subject Matter Expert Feedback </w:t>
            </w:r>
            <w:r>
              <w:rPr>
                <w:rFonts w:ascii="Palatino Linotype" w:hAnsi="Palatino Linotype"/>
                <w:bCs/>
                <w:color w:val="000000" w:themeColor="text1"/>
                <w:sz w:val="20"/>
                <w:szCs w:val="20"/>
              </w:rPr>
              <w:t xml:space="preserve">provided December 23, 2025, </w:t>
            </w:r>
            <w:r w:rsidRPr="004A5B01">
              <w:rPr>
                <w:rFonts w:ascii="Palatino Linotype" w:hAnsi="Palatino Linotype"/>
                <w:bCs/>
                <w:color w:val="000000" w:themeColor="text1"/>
                <w:sz w:val="20"/>
                <w:szCs w:val="20"/>
              </w:rPr>
              <w:t>and CEC Responses:</w:t>
            </w:r>
            <w:r w:rsidRPr="004A5B01">
              <w:rPr>
                <w:rStyle w:val="FootnoteReference"/>
                <w:rFonts w:ascii="Palatino Linotype" w:hAnsi="Palatino Linotype"/>
                <w:bCs/>
                <w:color w:val="000000" w:themeColor="text1"/>
                <w:sz w:val="20"/>
                <w:szCs w:val="20"/>
              </w:rPr>
              <w:footnoteReference w:id="282"/>
            </w:r>
          </w:p>
          <w:p w:rsidRPr="00F95C33" w:rsidR="002F78F4" w:rsidP="00295E0C" w:rsidRDefault="002F78F4" w14:paraId="2913C9DD" w14:textId="250CCC3D">
            <w:pPr>
              <w:rPr>
                <w:rFonts w:ascii="Palatino Linotype" w:hAnsi="Palatino Linotype"/>
                <w:bCs/>
                <w:color w:val="000000" w:themeColor="text1"/>
                <w:sz w:val="20"/>
                <w:szCs w:val="20"/>
              </w:rPr>
            </w:pPr>
            <w:r w:rsidRPr="00F95C33">
              <w:rPr>
                <w:rFonts w:ascii="Palatino Linotype" w:hAnsi="Palatino Linotype"/>
                <w:b/>
                <w:color w:val="000000" w:themeColor="text1"/>
                <w:sz w:val="20"/>
                <w:szCs w:val="20"/>
              </w:rPr>
              <w:t xml:space="preserve">    </w:t>
            </w:r>
            <w:r w:rsidRPr="00B15E80">
              <w:rPr>
                <w:rFonts w:ascii="Palatino Linotype" w:hAnsi="Palatino Linotype"/>
                <w:b/>
                <w:color w:val="000000" w:themeColor="text1"/>
                <w:sz w:val="20"/>
                <w:szCs w:val="20"/>
              </w:rPr>
              <w:t>1.</w:t>
            </w:r>
            <w:r w:rsidRPr="00F95C33">
              <w:rPr>
                <w:rFonts w:ascii="Palatino Linotype" w:hAnsi="Palatino Linotype"/>
                <w:bCs/>
                <w:color w:val="000000" w:themeColor="text1"/>
                <w:sz w:val="20"/>
                <w:szCs w:val="20"/>
              </w:rPr>
              <w:t xml:space="preserve"> Social Science Research for Gas Decommissioning in the Mid and Long Term:</w:t>
            </w:r>
            <w:r>
              <w:rPr>
                <w:rStyle w:val="FootnoteReference"/>
                <w:rFonts w:ascii="Palatino Linotype" w:hAnsi="Palatino Linotype"/>
                <w:bCs/>
                <w:color w:val="000000" w:themeColor="text1"/>
                <w:sz w:val="20"/>
                <w:szCs w:val="20"/>
              </w:rPr>
              <w:footnoteReference w:id="283"/>
            </w:r>
            <w:r w:rsidRPr="00F95C33">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F95C33">
              <w:rPr>
                <w:rFonts w:ascii="Palatino Linotype" w:hAnsi="Palatino Linotype"/>
                <w:bCs/>
                <w:color w:val="000000" w:themeColor="text1"/>
                <w:sz w:val="20"/>
                <w:szCs w:val="20"/>
              </w:rPr>
              <w:t xml:space="preserve">CEC also states that this "initiative responds to key needs identified in state processes and studies", including "CPUC’s Long-Term Gas Planning Rulemaking (R.20-01-007 and R.24-09-012) documents, which point to the need to align gas planning and electric system planning, as well as to manage impacts on 'transition-vulnerable' customers." </w:t>
            </w:r>
            <w:r w:rsidR="00AA7CCD">
              <w:rPr>
                <w:rFonts w:ascii="Palatino Linotype" w:hAnsi="Palatino Linotype"/>
                <w:bCs/>
                <w:sz w:val="20"/>
                <w:szCs w:val="20"/>
              </w:rPr>
              <w:t xml:space="preserve">The </w:t>
            </w:r>
            <w:r w:rsidRPr="00F95C33">
              <w:rPr>
                <w:rFonts w:ascii="Palatino Linotype" w:hAnsi="Palatino Linotype"/>
                <w:bCs/>
                <w:color w:val="000000" w:themeColor="text1"/>
                <w:sz w:val="20"/>
                <w:szCs w:val="20"/>
              </w:rPr>
              <w:t xml:space="preserve">CEC states that this Initiative targets needs discussed in conversations with CPUC staff, who "identified information gaps such as understanding gas customer attitudes toward electrification of cooking and other end uses, supply chain limitations for heat pumps and other barriers to electrification faced by these customers, and the impacts of gas use electrification on peak loads." </w:t>
            </w:r>
          </w:p>
          <w:p w:rsidRPr="004A5B01" w:rsidR="002F78F4" w:rsidP="00295E0C" w:rsidRDefault="002F78F4" w14:paraId="7733F8ED" w14:textId="0EBDB498">
            <w:pPr>
              <w:rPr>
                <w:rFonts w:ascii="Palatino Linotype" w:hAnsi="Palatino Linotype"/>
                <w:bCs/>
                <w:color w:val="A6A6A6" w:themeColor="background1" w:themeShade="A6"/>
                <w:sz w:val="20"/>
                <w:szCs w:val="20"/>
              </w:rPr>
            </w:pPr>
            <w:r w:rsidRPr="004A5B01">
              <w:rPr>
                <w:rFonts w:ascii="Palatino Linotype" w:hAnsi="Palatino Linotype"/>
                <w:b/>
                <w:color w:val="A6A6A6" w:themeColor="background1" w:themeShade="A6"/>
                <w:sz w:val="20"/>
                <w:szCs w:val="20"/>
              </w:rPr>
              <w:t xml:space="preserve">    </w:t>
            </w:r>
            <w:r w:rsidRPr="00B15E80">
              <w:rPr>
                <w:rFonts w:ascii="Palatino Linotype" w:hAnsi="Palatino Linotype"/>
                <w:b/>
                <w:color w:val="000000" w:themeColor="text1"/>
                <w:sz w:val="20"/>
                <w:szCs w:val="20"/>
              </w:rPr>
              <w:t>2.</w:t>
            </w:r>
            <w:r w:rsidRPr="009314A6">
              <w:rPr>
                <w:rFonts w:ascii="Palatino Linotype" w:hAnsi="Palatino Linotype"/>
                <w:bCs/>
                <w:color w:val="000000" w:themeColor="text1"/>
                <w:sz w:val="20"/>
                <w:szCs w:val="20"/>
              </w:rPr>
              <w:t xml:space="preserve"> Pilot Projects to Advance Gas Decommissioning: </w:t>
            </w:r>
            <w:r w:rsidR="00AA7CCD">
              <w:rPr>
                <w:rFonts w:ascii="Palatino Linotype" w:hAnsi="Palatino Linotype"/>
                <w:bCs/>
                <w:sz w:val="20"/>
                <w:szCs w:val="20"/>
              </w:rPr>
              <w:t xml:space="preserve">The </w:t>
            </w:r>
            <w:r w:rsidRPr="009314A6">
              <w:rPr>
                <w:rFonts w:ascii="Palatino Linotype" w:hAnsi="Palatino Linotype"/>
                <w:bCs/>
                <w:color w:val="000000" w:themeColor="text1"/>
                <w:sz w:val="20"/>
                <w:szCs w:val="20"/>
              </w:rPr>
              <w:t>CEC reports that CPUC staff recommended increasing funding allocated to this Initiative to meet objectives;</w:t>
            </w:r>
            <w:r>
              <w:rPr>
                <w:rStyle w:val="FootnoteReference"/>
                <w:rFonts w:ascii="Palatino Linotype" w:hAnsi="Palatino Linotype"/>
                <w:bCs/>
                <w:color w:val="000000" w:themeColor="text1"/>
                <w:sz w:val="20"/>
                <w:szCs w:val="20"/>
              </w:rPr>
              <w:footnoteReference w:id="284"/>
            </w:r>
            <w:r>
              <w:rPr>
                <w:rFonts w:ascii="Palatino Linotype" w:hAnsi="Palatino Linotype"/>
                <w:bCs/>
                <w:color w:val="000000" w:themeColor="text1"/>
                <w:sz w:val="20"/>
                <w:szCs w:val="20"/>
              </w:rPr>
              <w:t xml:space="preserve"> </w:t>
            </w:r>
            <w:r w:rsidR="00AA7CCD">
              <w:rPr>
                <w:rFonts w:ascii="Palatino Linotype" w:hAnsi="Palatino Linotype"/>
                <w:bCs/>
                <w:color w:val="000000" w:themeColor="text1"/>
                <w:sz w:val="20"/>
                <w:szCs w:val="20"/>
              </w:rPr>
              <w:t xml:space="preserve">the </w:t>
            </w:r>
            <w:r w:rsidRPr="009314A6">
              <w:rPr>
                <w:rFonts w:ascii="Palatino Linotype" w:hAnsi="Palatino Linotype"/>
                <w:bCs/>
                <w:color w:val="000000" w:themeColor="text1"/>
                <w:sz w:val="20"/>
                <w:szCs w:val="20"/>
              </w:rPr>
              <w:t>CEC increased funding allocated to this Initiative when removing the Scaling Technology Alternatives to Gas (STAG) Initiative.</w:t>
            </w:r>
          </w:p>
          <w:p w:rsidRPr="00E1378A" w:rsidR="002F78F4" w:rsidP="00295E0C" w:rsidRDefault="002F78F4" w14:paraId="1FE18D8B" w14:textId="1EC5E6B7">
            <w:pPr>
              <w:rPr>
                <w:rFonts w:ascii="Palatino Linotype" w:hAnsi="Palatino Linotype"/>
                <w:bCs/>
                <w:color w:val="000000" w:themeColor="text1"/>
                <w:sz w:val="20"/>
                <w:szCs w:val="20"/>
              </w:rPr>
            </w:pPr>
            <w:r w:rsidRPr="00B15E80">
              <w:rPr>
                <w:rFonts w:ascii="Palatino Linotype" w:hAnsi="Palatino Linotype"/>
                <w:b/>
                <w:color w:val="000000" w:themeColor="text1"/>
                <w:sz w:val="20"/>
                <w:szCs w:val="20"/>
              </w:rPr>
              <w:t xml:space="preserve">    3.</w:t>
            </w:r>
            <w:r w:rsidRPr="00B15E80">
              <w:rPr>
                <w:rFonts w:ascii="Palatino Linotype" w:hAnsi="Palatino Linotype"/>
                <w:bCs/>
                <w:color w:val="000000" w:themeColor="text1"/>
                <w:sz w:val="20"/>
                <w:szCs w:val="20"/>
              </w:rPr>
              <w:t xml:space="preserve"> Networked Geothermal Heat Pumps: </w:t>
            </w:r>
            <w:r w:rsidR="00AA7CCD">
              <w:rPr>
                <w:rFonts w:ascii="Palatino Linotype" w:hAnsi="Palatino Linotype"/>
                <w:bCs/>
                <w:sz w:val="20"/>
                <w:szCs w:val="20"/>
              </w:rPr>
              <w:t xml:space="preserve">The </w:t>
            </w:r>
            <w:r w:rsidRPr="00B15E80">
              <w:rPr>
                <w:rFonts w:ascii="Palatino Linotype" w:hAnsi="Palatino Linotype"/>
                <w:bCs/>
                <w:color w:val="000000" w:themeColor="text1"/>
                <w:sz w:val="20"/>
                <w:szCs w:val="20"/>
              </w:rPr>
              <w:t>CEC will consider how networked geothermal technology being studied and deployed in other states, including the first utility-scale networked geothermal system pilot being commissioned in Massachusetts in June 2024</w:t>
            </w:r>
            <w:r>
              <w:rPr>
                <w:rFonts w:ascii="Palatino Linotype" w:hAnsi="Palatino Linotype"/>
                <w:bCs/>
                <w:color w:val="000000" w:themeColor="text1"/>
                <w:sz w:val="20"/>
                <w:szCs w:val="20"/>
              </w:rPr>
              <w:t>.</w:t>
            </w:r>
            <w:r>
              <w:rPr>
                <w:rStyle w:val="FootnoteReference"/>
                <w:rFonts w:ascii="Palatino Linotype" w:hAnsi="Palatino Linotype"/>
                <w:bCs/>
                <w:color w:val="000000" w:themeColor="text1"/>
                <w:sz w:val="20"/>
                <w:szCs w:val="20"/>
              </w:rPr>
              <w:footnoteReference w:id="285"/>
            </w:r>
          </w:p>
        </w:tc>
        <w:tc>
          <w:tcPr>
            <w:tcW w:w="3240" w:type="dxa"/>
          </w:tcPr>
          <w:p w:rsidRPr="005E3240" w:rsidR="002F78F4" w:rsidP="00295E0C" w:rsidRDefault="002F78F4" w14:paraId="2AFFC146" w14:textId="0977F312">
            <w:pPr>
              <w:rPr>
                <w:rFonts w:ascii="Palatino Linotype" w:hAnsi="Palatino Linotype"/>
                <w:b/>
                <w:color w:val="000000" w:themeColor="text1"/>
                <w:sz w:val="20"/>
                <w:szCs w:val="20"/>
              </w:rPr>
            </w:pPr>
            <w:r>
              <w:rPr>
                <w:rFonts w:ascii="Palatino Linotype" w:hAnsi="Palatino Linotype"/>
                <w:b/>
                <w:color w:val="000000" w:themeColor="text1"/>
                <w:sz w:val="20"/>
                <w:szCs w:val="20"/>
              </w:rPr>
              <w:lastRenderedPageBreak/>
              <w:t xml:space="preserve">    </w:t>
            </w:r>
            <w:r w:rsidRPr="00AE3F51">
              <w:rPr>
                <w:rFonts w:ascii="Palatino Linotype" w:hAnsi="Palatino Linotype"/>
                <w:b/>
                <w:color w:val="000000" w:themeColor="text1"/>
                <w:sz w:val="20"/>
                <w:szCs w:val="20"/>
              </w:rPr>
              <w:t>1</w:t>
            </w:r>
            <w:r w:rsidRPr="00AE3F51">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C302A3">
              <w:rPr>
                <w:rFonts w:ascii="Palatino Linotype" w:hAnsi="Palatino Linotype"/>
                <w:bCs/>
                <w:color w:val="000000" w:themeColor="text1"/>
                <w:sz w:val="20"/>
                <w:szCs w:val="20"/>
              </w:rPr>
              <w:t>CEC demonstrates that it has reflected CPUC staff feedback in this Initiative and aligned with CPUC proceedings.</w:t>
            </w:r>
          </w:p>
          <w:p w:rsidRPr="00FC40EE" w:rsidR="002F78F4" w:rsidP="00295E0C" w:rsidRDefault="002F78F4" w14:paraId="30A6619D" w14:textId="21257492">
            <w:pPr>
              <w:rPr>
                <w:rFonts w:ascii="Palatino Linotype" w:hAnsi="Palatino Linotype"/>
                <w:bCs/>
                <w:color w:val="000000" w:themeColor="text1"/>
                <w:sz w:val="20"/>
                <w:szCs w:val="20"/>
              </w:rPr>
            </w:pPr>
            <w:r>
              <w:rPr>
                <w:rFonts w:ascii="Palatino Linotype" w:hAnsi="Palatino Linotype"/>
                <w:b/>
                <w:color w:val="000000" w:themeColor="text1"/>
                <w:sz w:val="20"/>
                <w:szCs w:val="20"/>
              </w:rPr>
              <w:t xml:space="preserve">    </w:t>
            </w:r>
            <w:r w:rsidRPr="00FC40EE">
              <w:rPr>
                <w:rFonts w:ascii="Palatino Linotype" w:hAnsi="Palatino Linotype"/>
                <w:b/>
                <w:color w:val="000000" w:themeColor="text1"/>
                <w:sz w:val="20"/>
                <w:szCs w:val="20"/>
              </w:rPr>
              <w:t>2.</w:t>
            </w:r>
            <w:r w:rsidRPr="00FC40EE">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1B7A9D">
              <w:rPr>
                <w:rFonts w:ascii="Palatino Linotype" w:hAnsi="Palatino Linotype"/>
                <w:bCs/>
                <w:color w:val="000000" w:themeColor="text1"/>
                <w:sz w:val="20"/>
                <w:szCs w:val="20"/>
              </w:rPr>
              <w:t xml:space="preserve">CEC demonstrates that it has reflected CPUC staff feedback in this Initiative and aligned with CPUC proceedings, however, </w:t>
            </w:r>
            <w:r w:rsidR="002304B7">
              <w:rPr>
                <w:rFonts w:ascii="Palatino Linotype" w:hAnsi="Palatino Linotype"/>
                <w:bCs/>
                <w:color w:val="000000" w:themeColor="text1"/>
                <w:sz w:val="20"/>
                <w:szCs w:val="20"/>
              </w:rPr>
              <w:t xml:space="preserve">the </w:t>
            </w:r>
            <w:r w:rsidRPr="001B7A9D">
              <w:rPr>
                <w:rFonts w:ascii="Palatino Linotype" w:hAnsi="Palatino Linotype"/>
                <w:bCs/>
                <w:color w:val="000000" w:themeColor="text1"/>
                <w:sz w:val="20"/>
                <w:szCs w:val="20"/>
              </w:rPr>
              <w:t xml:space="preserve">CEC </w:t>
            </w:r>
            <w:r w:rsidR="00075198">
              <w:rPr>
                <w:rFonts w:ascii="Palatino Linotype" w:hAnsi="Palatino Linotype"/>
                <w:bCs/>
                <w:color w:val="000000" w:themeColor="text1"/>
                <w:sz w:val="20"/>
                <w:szCs w:val="20"/>
              </w:rPr>
              <w:t>must</w:t>
            </w:r>
            <w:r w:rsidRPr="001B7A9D">
              <w:rPr>
                <w:rFonts w:ascii="Palatino Linotype" w:hAnsi="Palatino Linotype"/>
                <w:bCs/>
                <w:color w:val="000000" w:themeColor="text1"/>
                <w:sz w:val="20"/>
                <w:szCs w:val="20"/>
              </w:rPr>
              <w:t xml:space="preserve"> strive to provide greater clarity on the scale and composition of Initiative outputs, such as the number of projects </w:t>
            </w:r>
            <w:r w:rsidRPr="001B7A9D">
              <w:rPr>
                <w:rFonts w:ascii="Palatino Linotype" w:hAnsi="Palatino Linotype"/>
                <w:bCs/>
                <w:color w:val="000000" w:themeColor="text1"/>
                <w:sz w:val="20"/>
                <w:szCs w:val="20"/>
              </w:rPr>
              <w:lastRenderedPageBreak/>
              <w:t>anticipated to be delivered with a given amount of funding.</w:t>
            </w:r>
          </w:p>
          <w:p w:rsidR="002F78F4" w:rsidP="00295E0C" w:rsidRDefault="002F78F4" w14:paraId="79FB8CF0" w14:textId="0E00D523">
            <w:pPr>
              <w:rPr>
                <w:rFonts w:ascii="Palatino Linotype" w:hAnsi="Palatino Linotype"/>
                <w:bCs/>
                <w:color w:val="000000" w:themeColor="text1"/>
                <w:sz w:val="20"/>
                <w:szCs w:val="20"/>
              </w:rPr>
            </w:pPr>
            <w:r w:rsidRPr="001F7493">
              <w:rPr>
                <w:rFonts w:ascii="Palatino Linotype" w:hAnsi="Palatino Linotype"/>
                <w:b/>
                <w:color w:val="000000" w:themeColor="text1"/>
                <w:sz w:val="20"/>
                <w:szCs w:val="20"/>
              </w:rPr>
              <w:t xml:space="preserve">    3</w:t>
            </w:r>
            <w:r w:rsidRPr="001F7493">
              <w:rPr>
                <w:rFonts w:ascii="Palatino Linotype" w:hAnsi="Palatino Linotype"/>
                <w:bCs/>
                <w:color w:val="000000" w:themeColor="text1"/>
                <w:sz w:val="20"/>
                <w:szCs w:val="20"/>
              </w:rPr>
              <w:t xml:space="preserve">. </w:t>
            </w:r>
            <w:r w:rsidR="002304B7">
              <w:rPr>
                <w:rFonts w:ascii="Palatino Linotype" w:hAnsi="Palatino Linotype"/>
                <w:bCs/>
                <w:sz w:val="20"/>
                <w:szCs w:val="20"/>
              </w:rPr>
              <w:t xml:space="preserve">The </w:t>
            </w:r>
            <w:r w:rsidRPr="009F0C9E">
              <w:rPr>
                <w:rFonts w:ascii="Palatino Linotype" w:hAnsi="Palatino Linotype"/>
                <w:bCs/>
                <w:color w:val="000000" w:themeColor="text1"/>
                <w:sz w:val="20"/>
                <w:szCs w:val="20"/>
              </w:rPr>
              <w:t xml:space="preserve">CEC </w:t>
            </w:r>
            <w:r w:rsidR="00765AE7">
              <w:rPr>
                <w:rFonts w:ascii="Palatino Linotype" w:hAnsi="Palatino Linotype"/>
                <w:bCs/>
                <w:color w:val="000000" w:themeColor="text1"/>
                <w:sz w:val="20"/>
                <w:szCs w:val="20"/>
              </w:rPr>
              <w:t>includes</w:t>
            </w:r>
            <w:r w:rsidRPr="009F0C9E">
              <w:rPr>
                <w:rFonts w:ascii="Palatino Linotype" w:hAnsi="Palatino Linotype"/>
                <w:bCs/>
                <w:color w:val="000000" w:themeColor="text1"/>
                <w:sz w:val="20"/>
                <w:szCs w:val="20"/>
              </w:rPr>
              <w:t xml:space="preserve"> </w:t>
            </w:r>
            <w:r w:rsidR="004F26C4">
              <w:rPr>
                <w:rFonts w:ascii="Palatino Linotype" w:hAnsi="Palatino Linotype"/>
                <w:bCs/>
                <w:color w:val="000000" w:themeColor="text1"/>
                <w:sz w:val="20"/>
                <w:szCs w:val="20"/>
              </w:rPr>
              <w:t>consideration of</w:t>
            </w:r>
            <w:r w:rsidRPr="009F0C9E" w:rsidR="004F26C4">
              <w:rPr>
                <w:rFonts w:ascii="Palatino Linotype" w:hAnsi="Palatino Linotype"/>
                <w:bCs/>
                <w:color w:val="000000" w:themeColor="text1"/>
                <w:sz w:val="20"/>
                <w:szCs w:val="20"/>
              </w:rPr>
              <w:t xml:space="preserve"> </w:t>
            </w:r>
            <w:r w:rsidRPr="009F0C9E">
              <w:rPr>
                <w:rFonts w:ascii="Palatino Linotype" w:hAnsi="Palatino Linotype"/>
                <w:bCs/>
                <w:color w:val="000000" w:themeColor="text1"/>
                <w:sz w:val="20"/>
                <w:szCs w:val="20"/>
              </w:rPr>
              <w:t>findings from related RD&amp;D conducted in California and other states</w:t>
            </w:r>
            <w:r w:rsidR="004F26C4">
              <w:rPr>
                <w:rFonts w:ascii="Palatino Linotype" w:hAnsi="Palatino Linotype"/>
                <w:bCs/>
                <w:color w:val="000000" w:themeColor="text1"/>
                <w:sz w:val="20"/>
                <w:szCs w:val="20"/>
              </w:rPr>
              <w:t>,</w:t>
            </w:r>
            <w:r w:rsidRPr="009F0C9E">
              <w:rPr>
                <w:rFonts w:ascii="Palatino Linotype" w:hAnsi="Palatino Linotype"/>
                <w:bCs/>
                <w:color w:val="000000" w:themeColor="text1"/>
                <w:sz w:val="20"/>
                <w:szCs w:val="20"/>
              </w:rPr>
              <w:t xml:space="preserve"> </w:t>
            </w:r>
            <w:r w:rsidR="004F26C4">
              <w:rPr>
                <w:rFonts w:ascii="Palatino Linotype" w:hAnsi="Palatino Linotype"/>
                <w:bCs/>
                <w:color w:val="000000" w:themeColor="text1"/>
                <w:sz w:val="20"/>
                <w:szCs w:val="20"/>
              </w:rPr>
              <w:t>aligning</w:t>
            </w:r>
            <w:r w:rsidRPr="009F0C9E" w:rsidR="004F26C4">
              <w:rPr>
                <w:rFonts w:ascii="Palatino Linotype" w:hAnsi="Palatino Linotype"/>
                <w:bCs/>
                <w:color w:val="000000" w:themeColor="text1"/>
                <w:sz w:val="20"/>
                <w:szCs w:val="20"/>
              </w:rPr>
              <w:t xml:space="preserve"> </w:t>
            </w:r>
            <w:r w:rsidRPr="009F0C9E">
              <w:rPr>
                <w:rFonts w:ascii="Palatino Linotype" w:hAnsi="Palatino Linotype"/>
                <w:bCs/>
                <w:color w:val="000000" w:themeColor="text1"/>
                <w:sz w:val="20"/>
                <w:szCs w:val="20"/>
              </w:rPr>
              <w:t>with CPUC staff feedback.</w:t>
            </w:r>
          </w:p>
          <w:p w:rsidRPr="001B7A9D" w:rsidR="002F78F4" w:rsidP="00295E0C" w:rsidRDefault="002304B7" w14:paraId="425AC946" w14:textId="7EA38599">
            <w:pPr>
              <w:rPr>
                <w:rFonts w:ascii="Palatino Linotype" w:hAnsi="Palatino Linotype"/>
                <w:b/>
                <w:color w:val="000000" w:themeColor="text1"/>
                <w:sz w:val="20"/>
                <w:szCs w:val="20"/>
              </w:rPr>
            </w:pPr>
            <w:r>
              <w:rPr>
                <w:rFonts w:ascii="Palatino Linotype" w:hAnsi="Palatino Linotype"/>
                <w:b/>
                <w:color w:val="000000" w:themeColor="text1"/>
                <w:sz w:val="20"/>
                <w:szCs w:val="20"/>
              </w:rPr>
              <w:t xml:space="preserve">The </w:t>
            </w:r>
            <w:r w:rsidRPr="009F0C9E" w:rsidR="002F78F4">
              <w:rPr>
                <w:rFonts w:ascii="Palatino Linotype" w:hAnsi="Palatino Linotype"/>
                <w:b/>
                <w:color w:val="000000" w:themeColor="text1"/>
                <w:sz w:val="20"/>
                <w:szCs w:val="20"/>
              </w:rPr>
              <w:t>CEC is compliant with this requirement.</w:t>
            </w:r>
          </w:p>
        </w:tc>
      </w:tr>
      <w:tr w:rsidR="002F78F4" w:rsidTr="00295E0C" w14:paraId="53D0DE52" w14:textId="77777777">
        <w:trPr>
          <w:trHeight w:val="638"/>
        </w:trPr>
        <w:tc>
          <w:tcPr>
            <w:tcW w:w="3145" w:type="dxa"/>
          </w:tcPr>
          <w:p w:rsidRPr="00E7529D" w:rsidR="002F78F4" w:rsidP="00295E0C" w:rsidRDefault="002F78F4" w14:paraId="01AF8327" w14:textId="77777777">
            <w:pPr>
              <w:rPr>
                <w:rFonts w:ascii="Palatino Linotype" w:hAnsi="Palatino Linotype"/>
                <w:b/>
                <w:sz w:val="20"/>
                <w:szCs w:val="20"/>
              </w:rPr>
            </w:pPr>
            <w:hyperlink w:history="1" r:id="rId124">
              <w:r w:rsidRPr="00FC40EE">
                <w:rPr>
                  <w:rStyle w:val="Hyperlink"/>
                  <w:rFonts w:ascii="Palatino Linotype" w:hAnsi="Palatino Linotype"/>
                  <w:b/>
                  <w:sz w:val="20"/>
                  <w:szCs w:val="20"/>
                </w:rPr>
                <w:t>Resolution G-3603</w:t>
              </w:r>
            </w:hyperlink>
            <w:r w:rsidRPr="00FC40EE">
              <w:rPr>
                <w:rFonts w:ascii="Palatino Linotype" w:hAnsi="Palatino Linotype"/>
                <w:b/>
                <w:sz w:val="20"/>
                <w:szCs w:val="20"/>
              </w:rPr>
              <w:t xml:space="preserve"> </w:t>
            </w:r>
            <w:r w:rsidRPr="00FC40EE">
              <w:rPr>
                <w:rFonts w:ascii="Palatino Linotype" w:hAnsi="Palatino Linotype"/>
                <w:bCs/>
                <w:sz w:val="20"/>
                <w:szCs w:val="20"/>
              </w:rPr>
              <w:t>(2024) at OP 6.</w:t>
            </w:r>
            <w:r w:rsidRPr="00E7529D">
              <w:rPr>
                <w:rFonts w:ascii="Palatino Linotype" w:hAnsi="Palatino Linotype"/>
                <w:bCs/>
                <w:sz w:val="20"/>
                <w:szCs w:val="20"/>
              </w:rPr>
              <w:t xml:space="preserve"> </w:t>
            </w:r>
            <w:r w:rsidRPr="00E7529D">
              <w:rPr>
                <w:rFonts w:ascii="Palatino Linotype" w:hAnsi="Palatino Linotype"/>
                <w:bCs/>
                <w:i/>
                <w:iCs/>
                <w:sz w:val="20"/>
                <w:szCs w:val="20"/>
              </w:rPr>
              <w:t>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p>
        </w:tc>
        <w:tc>
          <w:tcPr>
            <w:tcW w:w="7920" w:type="dxa"/>
          </w:tcPr>
          <w:p w:rsidRPr="00902085" w:rsidR="002F78F4" w:rsidP="00295E0C" w:rsidRDefault="00AA7CCD" w14:paraId="4547312E" w14:textId="4CD612EF">
            <w:pPr>
              <w:pStyle w:val="10sp0"/>
              <w:spacing w:after="0"/>
              <w:rPr>
                <w:rFonts w:ascii="Palatino Linotype" w:hAnsi="Palatino Linotype"/>
                <w:bCs/>
                <w:color w:val="000000" w:themeColor="text1"/>
                <w:sz w:val="20"/>
              </w:rPr>
            </w:pPr>
            <w:r>
              <w:rPr>
                <w:rFonts w:ascii="Palatino Linotype" w:hAnsi="Palatino Linotype"/>
                <w:bCs/>
                <w:sz w:val="20"/>
              </w:rPr>
              <w:t xml:space="preserve">The </w:t>
            </w:r>
            <w:r w:rsidRPr="008C14E8" w:rsidR="002F78F4">
              <w:rPr>
                <w:rFonts w:ascii="Palatino Linotype" w:hAnsi="Palatino Linotype"/>
                <w:bCs/>
                <w:color w:val="000000" w:themeColor="text1"/>
                <w:sz w:val="20"/>
              </w:rPr>
              <w:t>CEC describes how its “current processes align with these principles in several ways, and impact assessment occurs throughout the Gas R&amp;D Program administration process” in its Foundational Principles for Uniform Impact Analysis section.</w:t>
            </w:r>
            <w:r w:rsidRPr="008C14E8" w:rsidR="002F78F4">
              <w:rPr>
                <w:rStyle w:val="FootnoteReference"/>
                <w:rFonts w:ascii="Palatino Linotype" w:hAnsi="Palatino Linotype"/>
                <w:bCs/>
                <w:color w:val="000000" w:themeColor="text1"/>
                <w:sz w:val="20"/>
              </w:rPr>
              <w:footnoteReference w:id="286"/>
            </w:r>
            <w:r w:rsidRPr="008C14E8" w:rsidR="002F78F4">
              <w:rPr>
                <w:rFonts w:ascii="Palatino Linotype" w:hAnsi="Palatino Linotype"/>
                <w:bCs/>
                <w:color w:val="000000" w:themeColor="text1"/>
                <w:sz w:val="20"/>
              </w:rPr>
              <w:t xml:space="preserve"> </w:t>
            </w:r>
            <w:r>
              <w:rPr>
                <w:rFonts w:ascii="Palatino Linotype" w:hAnsi="Palatino Linotype"/>
                <w:bCs/>
                <w:sz w:val="20"/>
              </w:rPr>
              <w:t xml:space="preserve">The </w:t>
            </w:r>
            <w:r w:rsidRPr="008C14E8" w:rsidR="002F78F4">
              <w:rPr>
                <w:rFonts w:ascii="Palatino Linotype" w:hAnsi="Palatino Linotype"/>
                <w:bCs/>
                <w:color w:val="000000" w:themeColor="text1"/>
                <w:sz w:val="20"/>
              </w:rPr>
              <w:t>CEC lists the following anticipated Benefits to Californians and associated metrics under each Initiative</w:t>
            </w:r>
            <w:r w:rsidR="002F78F4">
              <w:rPr>
                <w:rFonts w:ascii="Palatino Linotype" w:hAnsi="Palatino Linotype"/>
                <w:bCs/>
                <w:color w:val="000000" w:themeColor="text1"/>
                <w:sz w:val="20"/>
              </w:rPr>
              <w:t>:</w:t>
            </w:r>
            <w:r w:rsidRPr="008C14E8" w:rsidR="002F78F4">
              <w:rPr>
                <w:rStyle w:val="FootnoteReference"/>
                <w:rFonts w:ascii="Palatino Linotype" w:hAnsi="Palatino Linotype"/>
                <w:bCs/>
                <w:color w:val="000000" w:themeColor="text1"/>
                <w:sz w:val="20"/>
              </w:rPr>
              <w:footnoteReference w:id="287"/>
            </w:r>
          </w:p>
          <w:p w:rsidR="002F78F4" w:rsidP="00295E0C" w:rsidRDefault="002F78F4" w14:paraId="57368C86" w14:textId="77777777">
            <w:pPr>
              <w:rPr>
                <w:rFonts w:ascii="Palatino Linotype" w:hAnsi="Palatino Linotype"/>
                <w:bCs/>
                <w:color w:val="000000" w:themeColor="text1"/>
                <w:sz w:val="20"/>
                <w:szCs w:val="20"/>
              </w:rPr>
            </w:pPr>
            <w:r w:rsidRPr="00BB4E33">
              <w:rPr>
                <w:rFonts w:ascii="Palatino Linotype" w:hAnsi="Palatino Linotype"/>
                <w:b/>
                <w:color w:val="000000" w:themeColor="text1"/>
                <w:sz w:val="20"/>
                <w:szCs w:val="20"/>
              </w:rPr>
              <w:t xml:space="preserve">    </w:t>
            </w:r>
            <w:r w:rsidRPr="00F43617">
              <w:rPr>
                <w:rFonts w:ascii="Palatino Linotype" w:hAnsi="Palatino Linotype"/>
                <w:b/>
                <w:color w:val="000000" w:themeColor="text1"/>
                <w:sz w:val="20"/>
                <w:szCs w:val="20"/>
              </w:rPr>
              <w:t>1.</w:t>
            </w:r>
            <w:r>
              <w:rPr>
                <w:rFonts w:ascii="Palatino Linotype" w:hAnsi="Palatino Linotype"/>
                <w:bCs/>
                <w:color w:val="000000" w:themeColor="text1"/>
                <w:sz w:val="20"/>
                <w:szCs w:val="20"/>
              </w:rPr>
              <w:t xml:space="preserve"> </w:t>
            </w:r>
            <w:r w:rsidRPr="00F62247">
              <w:rPr>
                <w:rFonts w:ascii="Palatino Linotype" w:hAnsi="Palatino Linotype"/>
                <w:bCs/>
                <w:color w:val="000000" w:themeColor="text1"/>
                <w:sz w:val="20"/>
                <w:szCs w:val="20"/>
              </w:rPr>
              <w:t>Social Science Research for Gas Decommissioning in the Mid and Long Term</w:t>
            </w:r>
            <w:r>
              <w:rPr>
                <w:rFonts w:ascii="Palatino Linotype" w:hAnsi="Palatino Linotype"/>
                <w:bCs/>
                <w:color w:val="000000" w:themeColor="text1"/>
                <w:sz w:val="20"/>
                <w:szCs w:val="20"/>
              </w:rPr>
              <w:t>:</w:t>
            </w:r>
          </w:p>
          <w:p w:rsidRPr="00A30EB6" w:rsidR="002F78F4" w:rsidP="00295E0C" w:rsidRDefault="002F78F4" w14:paraId="62B9E737"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Affordability: Assessed via the “[i]dentification of barriers to adoption of equipment that could reduce individual consumer costs”; Adaptation: Assessed via the “actualization of strategies and pathways that overcome or mitigate these barriers (e.g., through workforce training or improved technologies).”</w:t>
            </w:r>
          </w:p>
          <w:p w:rsidRPr="00A30EB6" w:rsidR="002F78F4" w:rsidP="00295E0C" w:rsidRDefault="002F78F4" w14:paraId="10E81076"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Safety and reliability: Assessed via the "[i]dentification of prospective energy reliability and/or safety challenges based on modeling the impacts of gas end use conversion.”</w:t>
            </w:r>
          </w:p>
          <w:p w:rsidRPr="00A30EB6" w:rsidR="002F78F4" w:rsidP="00295E0C" w:rsidRDefault="002F78F4" w14:paraId="31CC2C6D"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Environmental sustainability: Assessed via "[e]stimates of air quality impacts of any </w:t>
            </w:r>
            <w:r w:rsidRPr="00A30EB6">
              <w:rPr>
                <w:rFonts w:ascii="Palatino Linotype" w:hAnsi="Palatino Linotype"/>
                <w:bCs/>
                <w:i/>
                <w:iCs/>
                <w:color w:val="000000" w:themeColor="text1"/>
                <w:sz w:val="20"/>
                <w:szCs w:val="20"/>
              </w:rPr>
              <w:t>acceleration</w:t>
            </w:r>
            <w:r w:rsidRPr="00A30EB6">
              <w:rPr>
                <w:rFonts w:ascii="Palatino Linotype" w:hAnsi="Palatino Linotype"/>
                <w:bCs/>
                <w:color w:val="000000" w:themeColor="text1"/>
                <w:sz w:val="20"/>
                <w:szCs w:val="20"/>
              </w:rPr>
              <w:t xml:space="preserve"> of transition away from gas.”</w:t>
            </w:r>
          </w:p>
          <w:p w:rsidRPr="00A30EB6" w:rsidR="002F78F4" w:rsidP="00295E0C" w:rsidRDefault="002F78F4" w14:paraId="00D115DD" w14:textId="77777777">
            <w:pPr>
              <w:pStyle w:val="ListParagraph"/>
              <w:numPr>
                <w:ilvl w:val="0"/>
                <w:numId w:val="32"/>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Equity: Assessed via the “[i]dentification and/or dissemination of resilience strategies tailored for lower-income households and businesses.”</w:t>
            </w:r>
          </w:p>
          <w:p w:rsidR="002F78F4" w:rsidP="00295E0C" w:rsidRDefault="002F78F4" w14:paraId="70405E9A" w14:textId="77777777">
            <w:pPr>
              <w:rPr>
                <w:rFonts w:ascii="Palatino Linotype" w:hAnsi="Palatino Linotype"/>
                <w:bCs/>
                <w:color w:val="000000" w:themeColor="text1"/>
                <w:sz w:val="20"/>
                <w:szCs w:val="20"/>
              </w:rPr>
            </w:pPr>
            <w:r w:rsidRPr="00BB4E33">
              <w:rPr>
                <w:rFonts w:ascii="Palatino Linotype" w:hAnsi="Palatino Linotype"/>
                <w:b/>
                <w:color w:val="000000" w:themeColor="text1"/>
                <w:sz w:val="20"/>
                <w:szCs w:val="20"/>
              </w:rPr>
              <w:t xml:space="preserve">    </w:t>
            </w:r>
            <w:r w:rsidRPr="00F43617">
              <w:rPr>
                <w:rFonts w:ascii="Palatino Linotype" w:hAnsi="Palatino Linotype"/>
                <w:b/>
                <w:color w:val="000000" w:themeColor="text1"/>
                <w:sz w:val="20"/>
                <w:szCs w:val="20"/>
              </w:rPr>
              <w:t>2.</w:t>
            </w:r>
            <w:r w:rsidRPr="00F56023">
              <w:rPr>
                <w:rFonts w:ascii="Palatino Linotype" w:hAnsi="Palatino Linotype"/>
                <w:bCs/>
                <w:color w:val="000000" w:themeColor="text1"/>
                <w:sz w:val="20"/>
                <w:szCs w:val="20"/>
              </w:rPr>
              <w:t xml:space="preserve"> </w:t>
            </w:r>
            <w:r w:rsidRPr="00143D25">
              <w:rPr>
                <w:rFonts w:ascii="Palatino Linotype" w:hAnsi="Palatino Linotype"/>
                <w:bCs/>
                <w:color w:val="000000" w:themeColor="text1"/>
                <w:sz w:val="20"/>
                <w:szCs w:val="20"/>
              </w:rPr>
              <w:t>Pilot Projects to Advance Gas Decommissioning</w:t>
            </w:r>
            <w:r>
              <w:rPr>
                <w:rFonts w:ascii="Palatino Linotype" w:hAnsi="Palatino Linotype"/>
                <w:bCs/>
                <w:color w:val="000000" w:themeColor="text1"/>
                <w:sz w:val="20"/>
                <w:szCs w:val="20"/>
              </w:rPr>
              <w:t xml:space="preserve">: </w:t>
            </w:r>
          </w:p>
          <w:p w:rsidRPr="008713D8" w:rsidR="002F78F4" w:rsidP="00295E0C" w:rsidRDefault="002F78F4" w14:paraId="707A374D"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Affordability: Assessed via</w:t>
            </w:r>
            <w:r>
              <w:rPr>
                <w:rFonts w:ascii="Palatino Linotype" w:hAnsi="Palatino Linotype"/>
                <w:bCs/>
                <w:color w:val="000000" w:themeColor="text1"/>
                <w:sz w:val="20"/>
                <w:szCs w:val="20"/>
              </w:rPr>
              <w:t xml:space="preserve"> “[c]</w:t>
            </w:r>
            <w:r w:rsidRPr="008713D8">
              <w:rPr>
                <w:rFonts w:ascii="Palatino Linotype" w:hAnsi="Palatino Linotype"/>
                <w:bCs/>
                <w:color w:val="000000" w:themeColor="text1"/>
                <w:sz w:val="20"/>
                <w:szCs w:val="20"/>
              </w:rPr>
              <w:t>ost comparisons to existing systems per household</w:t>
            </w:r>
            <w:r>
              <w:rPr>
                <w:rFonts w:ascii="Palatino Linotype" w:hAnsi="Palatino Linotype"/>
                <w:bCs/>
                <w:color w:val="000000" w:themeColor="text1"/>
                <w:sz w:val="20"/>
                <w:szCs w:val="20"/>
              </w:rPr>
              <w:t>.”</w:t>
            </w:r>
          </w:p>
          <w:p w:rsidRPr="00AF6D2B" w:rsidR="002F78F4" w:rsidP="00295E0C" w:rsidRDefault="002F78F4" w14:paraId="1BA86602"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Safety and reliability: Assessed via </w:t>
            </w:r>
            <w:r>
              <w:rPr>
                <w:rFonts w:ascii="Palatino Linotype" w:hAnsi="Palatino Linotype"/>
                <w:bCs/>
                <w:color w:val="000000" w:themeColor="text1"/>
                <w:sz w:val="20"/>
                <w:szCs w:val="20"/>
              </w:rPr>
              <w:t>the “[i]</w:t>
            </w:r>
            <w:r w:rsidRPr="00AF6D2B">
              <w:rPr>
                <w:rFonts w:ascii="Palatino Linotype" w:hAnsi="Palatino Linotype"/>
                <w:bCs/>
                <w:color w:val="000000" w:themeColor="text1"/>
                <w:sz w:val="20"/>
                <w:szCs w:val="20"/>
              </w:rPr>
              <w:t>dentification and reduction of environmental harms (e.g., soil and water contamination from corroded metal and pipeline coating substances) from abandoned pipe segments</w:t>
            </w:r>
            <w:r>
              <w:rPr>
                <w:rFonts w:ascii="Palatino Linotype" w:hAnsi="Palatino Linotype"/>
                <w:bCs/>
                <w:color w:val="000000" w:themeColor="text1"/>
                <w:sz w:val="20"/>
                <w:szCs w:val="20"/>
              </w:rPr>
              <w:t>.”</w:t>
            </w:r>
          </w:p>
          <w:p w:rsidR="002F78F4" w:rsidP="00295E0C" w:rsidRDefault="002F78F4" w14:paraId="265E16E5" w14:textId="77777777">
            <w:pPr>
              <w:pStyle w:val="ListParagraph"/>
              <w:numPr>
                <w:ilvl w:val="0"/>
                <w:numId w:val="34"/>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Adaptation: </w:t>
            </w:r>
            <w:r w:rsidRPr="00A30EB6">
              <w:rPr>
                <w:rFonts w:ascii="Palatino Linotype" w:hAnsi="Palatino Linotype"/>
                <w:bCs/>
                <w:color w:val="000000" w:themeColor="text1"/>
                <w:sz w:val="20"/>
                <w:szCs w:val="20"/>
              </w:rPr>
              <w:t>Assessed via</w:t>
            </w:r>
            <w:r>
              <w:rPr>
                <w:rFonts w:ascii="Palatino Linotype" w:hAnsi="Palatino Linotype"/>
                <w:bCs/>
                <w:color w:val="000000" w:themeColor="text1"/>
                <w:sz w:val="20"/>
                <w:szCs w:val="20"/>
              </w:rPr>
              <w:t xml:space="preserve"> the “[n]</w:t>
            </w:r>
            <w:r w:rsidRPr="007D0DF7">
              <w:rPr>
                <w:rFonts w:ascii="Palatino Linotype" w:hAnsi="Palatino Linotype"/>
                <w:bCs/>
                <w:color w:val="000000" w:themeColor="text1"/>
                <w:sz w:val="20"/>
                <w:szCs w:val="20"/>
              </w:rPr>
              <w:t>umber and criticality of potential points of failure identified and addressed</w:t>
            </w:r>
            <w:r>
              <w:rPr>
                <w:rFonts w:ascii="Palatino Linotype" w:hAnsi="Palatino Linotype"/>
                <w:bCs/>
                <w:color w:val="000000" w:themeColor="text1"/>
                <w:sz w:val="20"/>
                <w:szCs w:val="20"/>
              </w:rPr>
              <w:t>.”</w:t>
            </w:r>
          </w:p>
          <w:p w:rsidRPr="00297449" w:rsidR="002F78F4" w:rsidP="00295E0C" w:rsidRDefault="002F78F4" w14:paraId="02A12391"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Environmental sustainability: </w:t>
            </w:r>
            <w:r>
              <w:rPr>
                <w:rFonts w:ascii="Palatino Linotype" w:hAnsi="Palatino Linotype"/>
                <w:bCs/>
                <w:color w:val="000000" w:themeColor="text1"/>
                <w:sz w:val="20"/>
                <w:szCs w:val="20"/>
              </w:rPr>
              <w:t>Assessed via “[c]</w:t>
            </w:r>
            <w:r w:rsidRPr="00297449">
              <w:rPr>
                <w:rFonts w:ascii="Palatino Linotype" w:hAnsi="Palatino Linotype"/>
                <w:bCs/>
                <w:color w:val="000000" w:themeColor="text1"/>
                <w:sz w:val="20"/>
                <w:szCs w:val="20"/>
              </w:rPr>
              <w:t xml:space="preserve">alculated reductions in local air pollutants </w:t>
            </w:r>
            <w:r>
              <w:rPr>
                <w:rFonts w:ascii="Palatino Linotype" w:hAnsi="Palatino Linotype"/>
                <w:bCs/>
                <w:color w:val="000000" w:themeColor="text1"/>
                <w:sz w:val="20"/>
                <w:szCs w:val="20"/>
              </w:rPr>
              <w:t>and GHG emissions.”</w:t>
            </w:r>
          </w:p>
          <w:p w:rsidRPr="00B27DE9" w:rsidR="002F78F4" w:rsidP="00295E0C" w:rsidRDefault="002F78F4" w14:paraId="7ADE1304" w14:textId="77777777">
            <w:pPr>
              <w:pStyle w:val="ListParagraph"/>
              <w:numPr>
                <w:ilvl w:val="0"/>
                <w:numId w:val="34"/>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Equity: Assessed via</w:t>
            </w:r>
            <w:r>
              <w:rPr>
                <w:rFonts w:ascii="Palatino Linotype" w:hAnsi="Palatino Linotype"/>
                <w:bCs/>
                <w:color w:val="000000" w:themeColor="text1"/>
                <w:sz w:val="20"/>
                <w:szCs w:val="20"/>
              </w:rPr>
              <w:t xml:space="preserve"> “[n]</w:t>
            </w:r>
            <w:r w:rsidRPr="00B27DE9">
              <w:rPr>
                <w:rFonts w:ascii="Palatino Linotype" w:hAnsi="Palatino Linotype"/>
                <w:bCs/>
                <w:color w:val="000000" w:themeColor="text1"/>
                <w:sz w:val="20"/>
                <w:szCs w:val="20"/>
              </w:rPr>
              <w:t>umber of communities engaged or involved in pilots and proportion of which are considered ESJ communities</w:t>
            </w:r>
            <w:r>
              <w:rPr>
                <w:rFonts w:ascii="Palatino Linotype" w:hAnsi="Palatino Linotype"/>
                <w:bCs/>
                <w:color w:val="000000" w:themeColor="text1"/>
                <w:sz w:val="20"/>
                <w:szCs w:val="20"/>
              </w:rPr>
              <w:t>.”</w:t>
            </w:r>
          </w:p>
          <w:p w:rsidR="002F78F4" w:rsidP="00295E0C" w:rsidRDefault="002F78F4" w14:paraId="348C7A24" w14:textId="77777777">
            <w:pPr>
              <w:rPr>
                <w:rFonts w:ascii="Palatino Linotype" w:hAnsi="Palatino Linotype"/>
                <w:bCs/>
                <w:color w:val="000000" w:themeColor="text1"/>
                <w:sz w:val="20"/>
                <w:szCs w:val="20"/>
              </w:rPr>
            </w:pPr>
            <w:r w:rsidRPr="007753E8">
              <w:rPr>
                <w:rFonts w:ascii="Palatino Linotype" w:hAnsi="Palatino Linotype"/>
                <w:b/>
                <w:color w:val="000000" w:themeColor="text1"/>
                <w:sz w:val="20"/>
                <w:szCs w:val="20"/>
              </w:rPr>
              <w:t xml:space="preserve">    3.</w:t>
            </w:r>
            <w:r w:rsidRPr="007753E8">
              <w:rPr>
                <w:rFonts w:ascii="Palatino Linotype" w:hAnsi="Palatino Linotype"/>
                <w:bCs/>
                <w:color w:val="000000" w:themeColor="text1"/>
                <w:sz w:val="20"/>
                <w:szCs w:val="20"/>
              </w:rPr>
              <w:t xml:space="preserve"> </w:t>
            </w:r>
            <w:r w:rsidRPr="00143D25">
              <w:rPr>
                <w:rFonts w:ascii="Palatino Linotype" w:hAnsi="Palatino Linotype"/>
                <w:bCs/>
                <w:color w:val="000000" w:themeColor="text1"/>
                <w:sz w:val="20"/>
                <w:szCs w:val="20"/>
              </w:rPr>
              <w:t>Networked Geothermal Heat Pumps</w:t>
            </w:r>
            <w:r>
              <w:rPr>
                <w:rFonts w:ascii="Palatino Linotype" w:hAnsi="Palatino Linotype"/>
                <w:bCs/>
                <w:color w:val="000000" w:themeColor="text1"/>
                <w:sz w:val="20"/>
                <w:szCs w:val="20"/>
              </w:rPr>
              <w:t>:</w:t>
            </w:r>
          </w:p>
          <w:p w:rsidRPr="003C69E0" w:rsidR="002F78F4" w:rsidP="00295E0C" w:rsidRDefault="002F78F4" w14:paraId="0C368109" w14:textId="77777777">
            <w:pPr>
              <w:pStyle w:val="ListParagraph"/>
              <w:numPr>
                <w:ilvl w:val="0"/>
                <w:numId w:val="35"/>
              </w:numPr>
              <w:rPr>
                <w:rFonts w:ascii="Palatino Linotype" w:hAnsi="Palatino Linotype"/>
                <w:bCs/>
                <w:color w:val="000000" w:themeColor="text1"/>
                <w:sz w:val="20"/>
                <w:szCs w:val="20"/>
              </w:rPr>
            </w:pPr>
            <w:r w:rsidRPr="009F0C9E">
              <w:rPr>
                <w:rFonts w:ascii="Palatino Linotype" w:hAnsi="Palatino Linotype"/>
                <w:bCs/>
                <w:color w:val="000000" w:themeColor="text1"/>
                <w:sz w:val="20"/>
                <w:szCs w:val="20"/>
              </w:rPr>
              <w:lastRenderedPageBreak/>
              <w:t xml:space="preserve">Affordability: </w:t>
            </w:r>
            <w:r w:rsidRPr="00A30EB6">
              <w:rPr>
                <w:rFonts w:ascii="Palatino Linotype" w:hAnsi="Palatino Linotype"/>
                <w:bCs/>
                <w:color w:val="000000" w:themeColor="text1"/>
                <w:sz w:val="20"/>
                <w:szCs w:val="20"/>
              </w:rPr>
              <w:t>Assessed via</w:t>
            </w:r>
            <w:r>
              <w:rPr>
                <w:rFonts w:ascii="Palatino Linotype" w:hAnsi="Palatino Linotype"/>
                <w:bCs/>
                <w:color w:val="000000" w:themeColor="text1"/>
                <w:sz w:val="20"/>
                <w:szCs w:val="20"/>
              </w:rPr>
              <w:t xml:space="preserve"> “[c]</w:t>
            </w:r>
            <w:r w:rsidRPr="003C69E0">
              <w:rPr>
                <w:rFonts w:ascii="Palatino Linotype" w:hAnsi="Palatino Linotype"/>
                <w:bCs/>
                <w:color w:val="000000" w:themeColor="text1"/>
                <w:sz w:val="20"/>
                <w:szCs w:val="20"/>
              </w:rPr>
              <w:t>omparison of ratepayer monthly bills among networked GHPs, other decarbonized solutions, and existing gas systems, modeled using existing utility business models (e.g., for fossil gas) and allowable rates of return.</w:t>
            </w:r>
            <w:r>
              <w:rPr>
                <w:rFonts w:ascii="Palatino Linotype" w:hAnsi="Palatino Linotype"/>
                <w:bCs/>
                <w:color w:val="000000" w:themeColor="text1"/>
                <w:sz w:val="20"/>
                <w:szCs w:val="20"/>
              </w:rPr>
              <w:t>”</w:t>
            </w:r>
          </w:p>
          <w:p w:rsidRPr="00D94997" w:rsidR="002F78F4" w:rsidP="00295E0C" w:rsidRDefault="002F78F4" w14:paraId="2200F476" w14:textId="77777777">
            <w:pPr>
              <w:pStyle w:val="ListParagraph"/>
              <w:numPr>
                <w:ilvl w:val="0"/>
                <w:numId w:val="35"/>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Safety and reliability: Assessed via</w:t>
            </w:r>
            <w:r>
              <w:rPr>
                <w:rFonts w:ascii="Palatino Linotype" w:hAnsi="Palatino Linotype"/>
                <w:bCs/>
                <w:color w:val="000000" w:themeColor="text1"/>
                <w:sz w:val="20"/>
                <w:szCs w:val="20"/>
              </w:rPr>
              <w:t xml:space="preserve"> (decreased) </w:t>
            </w:r>
            <w:r w:rsidRPr="00D94997">
              <w:rPr>
                <w:rFonts w:ascii="Palatino Linotype" w:hAnsi="Palatino Linotype"/>
                <w:bCs/>
                <w:color w:val="000000" w:themeColor="text1"/>
                <w:sz w:val="20"/>
                <w:szCs w:val="20"/>
              </w:rPr>
              <w:t xml:space="preserve">risk of power </w:t>
            </w:r>
            <w:r>
              <w:rPr>
                <w:rFonts w:ascii="Palatino Linotype" w:hAnsi="Palatino Linotype"/>
                <w:bCs/>
                <w:color w:val="000000" w:themeColor="text1"/>
                <w:sz w:val="20"/>
                <w:szCs w:val="20"/>
              </w:rPr>
              <w:t>and gas system failures.</w:t>
            </w:r>
          </w:p>
          <w:p w:rsidRPr="007C03C3" w:rsidR="002F78F4" w:rsidP="00295E0C" w:rsidRDefault="002F78F4" w14:paraId="19AF2391" w14:textId="77777777">
            <w:pPr>
              <w:pStyle w:val="ListParagraph"/>
              <w:numPr>
                <w:ilvl w:val="0"/>
                <w:numId w:val="35"/>
              </w:numPr>
              <w:rPr>
                <w:rFonts w:ascii="Palatino Linotype" w:hAnsi="Palatino Linotype"/>
                <w:bCs/>
                <w:color w:val="000000" w:themeColor="text1"/>
                <w:sz w:val="20"/>
                <w:szCs w:val="20"/>
              </w:rPr>
            </w:pPr>
            <w:r>
              <w:rPr>
                <w:rFonts w:ascii="Palatino Linotype" w:hAnsi="Palatino Linotype"/>
                <w:bCs/>
                <w:color w:val="000000" w:themeColor="text1"/>
                <w:sz w:val="20"/>
                <w:szCs w:val="20"/>
              </w:rPr>
              <w:t xml:space="preserve">Adaptation: </w:t>
            </w:r>
            <w:r w:rsidRPr="00A30EB6">
              <w:rPr>
                <w:rFonts w:ascii="Palatino Linotype" w:hAnsi="Palatino Linotype"/>
                <w:bCs/>
                <w:color w:val="000000" w:themeColor="text1"/>
                <w:sz w:val="20"/>
                <w:szCs w:val="20"/>
              </w:rPr>
              <w:t>Assessed via</w:t>
            </w:r>
            <w:r>
              <w:rPr>
                <w:rFonts w:ascii="Palatino Linotype" w:hAnsi="Palatino Linotype"/>
                <w:bCs/>
                <w:color w:val="000000" w:themeColor="text1"/>
                <w:sz w:val="20"/>
                <w:szCs w:val="20"/>
              </w:rPr>
              <w:t xml:space="preserve"> “[c]</w:t>
            </w:r>
            <w:r w:rsidRPr="007C03C3">
              <w:rPr>
                <w:rFonts w:ascii="Palatino Linotype" w:hAnsi="Palatino Linotype"/>
                <w:bCs/>
                <w:color w:val="000000" w:themeColor="text1"/>
                <w:sz w:val="20"/>
                <w:szCs w:val="20"/>
              </w:rPr>
              <w:t>omparison of resilience metrics, such as performance loss ratios, probabilities of recovery, and adaptive capacity, between the existing and proposed technologies.”</w:t>
            </w:r>
          </w:p>
          <w:p w:rsidR="002F78F4" w:rsidP="00295E0C" w:rsidRDefault="002F78F4" w14:paraId="6EF43D33" w14:textId="77777777">
            <w:pPr>
              <w:pStyle w:val="ListParagraph"/>
              <w:numPr>
                <w:ilvl w:val="0"/>
                <w:numId w:val="35"/>
              </w:numPr>
              <w:rPr>
                <w:rFonts w:ascii="Palatino Linotype" w:hAnsi="Palatino Linotype"/>
                <w:bCs/>
                <w:color w:val="000000" w:themeColor="text1"/>
                <w:sz w:val="20"/>
                <w:szCs w:val="20"/>
              </w:rPr>
            </w:pPr>
            <w:r w:rsidRPr="00A30EB6">
              <w:rPr>
                <w:rFonts w:ascii="Palatino Linotype" w:hAnsi="Palatino Linotype"/>
                <w:bCs/>
                <w:color w:val="000000" w:themeColor="text1"/>
                <w:sz w:val="20"/>
                <w:szCs w:val="20"/>
              </w:rPr>
              <w:t xml:space="preserve">Environmental sustainability: </w:t>
            </w:r>
            <w:r>
              <w:rPr>
                <w:rFonts w:ascii="Palatino Linotype" w:hAnsi="Palatino Linotype"/>
                <w:bCs/>
                <w:color w:val="000000" w:themeColor="text1"/>
                <w:sz w:val="20"/>
                <w:szCs w:val="20"/>
              </w:rPr>
              <w:t>Assessed via “[r]</w:t>
            </w:r>
            <w:r w:rsidRPr="00DF1355">
              <w:rPr>
                <w:rFonts w:ascii="Palatino Linotype" w:hAnsi="Palatino Linotype"/>
                <w:bCs/>
                <w:color w:val="000000" w:themeColor="text1"/>
                <w:sz w:val="20"/>
                <w:szCs w:val="20"/>
              </w:rPr>
              <w:t>eduction in GHG emissions, criteria air pollutant emissions, and water use</w:t>
            </w:r>
            <w:r>
              <w:rPr>
                <w:rFonts w:ascii="Palatino Linotype" w:hAnsi="Palatino Linotype"/>
                <w:bCs/>
                <w:color w:val="000000" w:themeColor="text1"/>
                <w:sz w:val="20"/>
                <w:szCs w:val="20"/>
              </w:rPr>
              <w:t>.”</w:t>
            </w:r>
          </w:p>
          <w:p w:rsidRPr="00FF0662" w:rsidR="002F78F4" w:rsidP="00295E0C" w:rsidRDefault="002F78F4" w14:paraId="2ADCD154" w14:textId="77777777">
            <w:pPr>
              <w:pStyle w:val="ListParagraph"/>
              <w:numPr>
                <w:ilvl w:val="0"/>
                <w:numId w:val="35"/>
              </w:numPr>
              <w:rPr>
                <w:rFonts w:ascii="Palatino Linotype" w:hAnsi="Palatino Linotype"/>
                <w:bCs/>
                <w:color w:val="000000" w:themeColor="text1"/>
                <w:sz w:val="20"/>
                <w:szCs w:val="20"/>
              </w:rPr>
            </w:pPr>
            <w:r w:rsidRPr="00FF0662">
              <w:rPr>
                <w:rFonts w:ascii="Palatino Linotype" w:hAnsi="Palatino Linotype"/>
                <w:bCs/>
                <w:color w:val="000000" w:themeColor="text1"/>
                <w:sz w:val="20"/>
                <w:szCs w:val="20"/>
              </w:rPr>
              <w:t>Equity: Assessed via “[s]avings on monthly overall energy bill cost for ESJ communities based on historical data of gas and electric price spikes.”</w:t>
            </w:r>
          </w:p>
        </w:tc>
        <w:tc>
          <w:tcPr>
            <w:tcW w:w="3240" w:type="dxa"/>
          </w:tcPr>
          <w:p w:rsidRPr="005A7F2A" w:rsidR="002F78F4" w:rsidP="00295E0C" w:rsidRDefault="00AA7CCD" w14:paraId="74574A78" w14:textId="2A71B252">
            <w:pPr>
              <w:contextualSpacing/>
              <w:rPr>
                <w:rFonts w:ascii="Palatino Linotype" w:hAnsi="Palatino Linotype"/>
                <w:bCs/>
                <w:color w:val="000000" w:themeColor="text1"/>
                <w:sz w:val="20"/>
                <w:szCs w:val="20"/>
              </w:rPr>
            </w:pPr>
            <w:r>
              <w:rPr>
                <w:rFonts w:ascii="Palatino Linotype" w:hAnsi="Palatino Linotype"/>
                <w:bCs/>
                <w:sz w:val="20"/>
                <w:szCs w:val="20"/>
              </w:rPr>
              <w:lastRenderedPageBreak/>
              <w:t xml:space="preserve">The </w:t>
            </w:r>
            <w:r w:rsidRPr="00371408" w:rsidR="002F78F4">
              <w:rPr>
                <w:rFonts w:ascii="Palatino Linotype" w:hAnsi="Palatino Linotype"/>
                <w:bCs/>
                <w:color w:val="000000" w:themeColor="text1"/>
                <w:sz w:val="20"/>
                <w:szCs w:val="20"/>
              </w:rPr>
              <w:t xml:space="preserve">CEC demonstrates attention to the Uniform Impacts Analysis Foundational Principles by selecting metrics to quantify ratepayer benefit that appear to be directly attributable to each of the proposed Initiatives. </w:t>
            </w:r>
            <w:r w:rsidRPr="00AA7CCD">
              <w:rPr>
                <w:rFonts w:ascii="Palatino Linotype" w:hAnsi="Palatino Linotype"/>
                <w:b/>
                <w:color w:val="000000" w:themeColor="text1"/>
                <w:sz w:val="20"/>
                <w:szCs w:val="20"/>
              </w:rPr>
              <w:t xml:space="preserve">The </w:t>
            </w:r>
            <w:r w:rsidRPr="00371408" w:rsidR="002F78F4">
              <w:rPr>
                <w:rFonts w:ascii="Palatino Linotype" w:hAnsi="Palatino Linotype"/>
                <w:b/>
                <w:color w:val="000000" w:themeColor="text1"/>
                <w:sz w:val="20"/>
                <w:szCs w:val="20"/>
              </w:rPr>
              <w:t>CEC is compliant with this requirement.</w:t>
            </w:r>
          </w:p>
        </w:tc>
      </w:tr>
    </w:tbl>
    <w:p w:rsidR="00F85930" w:rsidP="00446A7E" w:rsidRDefault="00295E0C" w14:paraId="4F07D558" w14:textId="5399ABF1">
      <w:pPr>
        <w:spacing w:line="276" w:lineRule="auto"/>
      </w:pPr>
      <w:r>
        <w:br w:type="textWrapping" w:clear="all"/>
      </w:r>
    </w:p>
    <w:sectPr w:rsidR="00F85930" w:rsidSect="006A4170">
      <w:footerReference w:type="default" r:id="rId125"/>
      <w:pgSz w:w="15840" w:h="12240" w:orient="landscape"/>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9619" w14:textId="77777777" w:rsidR="003D2A47" w:rsidRDefault="003D2A47" w:rsidP="00A76F4A">
      <w:pPr>
        <w:spacing w:after="0" w:line="240" w:lineRule="auto"/>
      </w:pPr>
      <w:r>
        <w:separator/>
      </w:r>
    </w:p>
  </w:endnote>
  <w:endnote w:type="continuationSeparator" w:id="0">
    <w:p w14:paraId="0D0537D0" w14:textId="77777777" w:rsidR="003D2A47" w:rsidRDefault="003D2A47" w:rsidP="00A7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Segoe UI Historic"/>
    <w:charset w:val="00"/>
    <w:family w:val="auto"/>
    <w:pitch w:val="variable"/>
    <w:sig w:usb0="20000A87" w:usb1="08000000" w:usb2="00000008" w:usb3="00000000" w:csb0="0000011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04394281"/>
      <w:docPartObj>
        <w:docPartGallery w:val="Page Numbers (Bottom of Page)"/>
        <w:docPartUnique/>
      </w:docPartObj>
    </w:sdtPr>
    <w:sdtEndPr>
      <w:rPr>
        <w:noProof/>
      </w:rPr>
    </w:sdtEndPr>
    <w:sdtContent>
      <w:p w14:paraId="3615C756" w14:textId="73F1B610" w:rsidR="00FC571F" w:rsidRPr="00DC7721" w:rsidRDefault="00FC571F">
        <w:pPr>
          <w:pStyle w:val="Footer"/>
          <w:jc w:val="center"/>
          <w:rPr>
            <w:rFonts w:ascii="Palatino Linotype" w:hAnsi="Palatino Linotype"/>
          </w:rPr>
        </w:pPr>
        <w:r w:rsidRPr="00DC7721">
          <w:rPr>
            <w:rFonts w:ascii="Palatino Linotype" w:hAnsi="Palatino Linotype"/>
          </w:rPr>
          <w:fldChar w:fldCharType="begin"/>
        </w:r>
        <w:r w:rsidRPr="00DC7721">
          <w:rPr>
            <w:rFonts w:ascii="Palatino Linotype" w:hAnsi="Palatino Linotype"/>
          </w:rPr>
          <w:instrText xml:space="preserve"> PAGE   \* MERGEFORMAT </w:instrText>
        </w:r>
        <w:r w:rsidRPr="00DC7721">
          <w:rPr>
            <w:rFonts w:ascii="Palatino Linotype" w:hAnsi="Palatino Linotype"/>
          </w:rPr>
          <w:fldChar w:fldCharType="separate"/>
        </w:r>
        <w:r w:rsidRPr="00DC7721">
          <w:rPr>
            <w:rFonts w:ascii="Palatino Linotype" w:hAnsi="Palatino Linotype"/>
            <w:noProof/>
          </w:rPr>
          <w:t>2</w:t>
        </w:r>
        <w:r w:rsidRPr="00DC7721">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760066384"/>
      <w:docPartObj>
        <w:docPartGallery w:val="Page Numbers (Bottom of Page)"/>
        <w:docPartUnique/>
      </w:docPartObj>
    </w:sdtPr>
    <w:sdtEndPr>
      <w:rPr>
        <w:noProof/>
      </w:rPr>
    </w:sdtEndPr>
    <w:sdtContent>
      <w:p w14:paraId="33A4B04C" w14:textId="0510C2A8" w:rsidR="00FC571F" w:rsidRPr="004A7A4C" w:rsidRDefault="00706E93" w:rsidP="004A7A4C">
        <w:pPr>
          <w:pStyle w:val="Footer"/>
          <w:rPr>
            <w:rFonts w:ascii="Palatino Linotype" w:hAnsi="Palatino Linotype"/>
          </w:rPr>
        </w:pPr>
        <w:r w:rsidRPr="00706E93">
          <w:rPr>
            <w:rFonts w:ascii="Tahoma" w:hAnsi="Tahoma" w:cs="Tahoma"/>
            <w:sz w:val="18"/>
            <w:szCs w:val="18"/>
          </w:rPr>
          <w:t>623985055</w:t>
        </w:r>
        <w:r w:rsidR="00FC571F" w:rsidRPr="00286CBA">
          <w:rPr>
            <w:rFonts w:ascii="Palatino Linotype" w:hAnsi="Palatino Linotype"/>
          </w:rPr>
          <w:t xml:space="preserve">  </w:t>
        </w:r>
        <w:r w:rsidR="00FC571F">
          <w:rPr>
            <w:rFonts w:ascii="Palatino Linotype" w:hAnsi="Palatino Linotype"/>
          </w:rPr>
          <w:t xml:space="preserve"> </w:t>
        </w:r>
        <w:r w:rsidR="00FC571F">
          <w:rPr>
            <w:rFonts w:ascii="Palatino Linotype" w:hAnsi="Palatino Linotype"/>
          </w:rPr>
          <w:tab/>
        </w:r>
        <w:r w:rsidR="00FC571F" w:rsidRPr="004A7A4C">
          <w:rPr>
            <w:rFonts w:ascii="Palatino Linotype" w:hAnsi="Palatino Linotype"/>
          </w:rPr>
          <w:fldChar w:fldCharType="begin"/>
        </w:r>
        <w:r w:rsidR="00FC571F" w:rsidRPr="004A7A4C">
          <w:rPr>
            <w:rFonts w:ascii="Palatino Linotype" w:hAnsi="Palatino Linotype"/>
          </w:rPr>
          <w:instrText xml:space="preserve"> PAGE   \* MERGEFORMAT </w:instrText>
        </w:r>
        <w:r w:rsidR="00FC571F" w:rsidRPr="004A7A4C">
          <w:rPr>
            <w:rFonts w:ascii="Palatino Linotype" w:hAnsi="Palatino Linotype"/>
          </w:rPr>
          <w:fldChar w:fldCharType="separate"/>
        </w:r>
        <w:r w:rsidR="00FC571F" w:rsidRPr="004A7A4C">
          <w:rPr>
            <w:rFonts w:ascii="Palatino Linotype" w:hAnsi="Palatino Linotype"/>
            <w:noProof/>
          </w:rPr>
          <w:t>2</w:t>
        </w:r>
        <w:r w:rsidR="00FC571F" w:rsidRPr="004A7A4C">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83193416"/>
      <w:docPartObj>
        <w:docPartGallery w:val="Page Numbers (Bottom of Page)"/>
        <w:docPartUnique/>
      </w:docPartObj>
    </w:sdtPr>
    <w:sdtEndPr>
      <w:rPr>
        <w:noProof/>
      </w:rPr>
    </w:sdtEndPr>
    <w:sdtContent>
      <w:p w14:paraId="0A7AE7FB" w14:textId="517DDB84" w:rsidR="00731C08" w:rsidRPr="00DC7721" w:rsidRDefault="00731C08">
        <w:pPr>
          <w:pStyle w:val="Footer"/>
          <w:jc w:val="center"/>
          <w:rPr>
            <w:rFonts w:ascii="Palatino Linotype" w:hAnsi="Palatino Linotype"/>
          </w:rPr>
        </w:pPr>
        <w:r>
          <w:rPr>
            <w:rFonts w:ascii="Palatino Linotype" w:hAnsi="Palatino Linotype"/>
          </w:rPr>
          <w:t>A-</w:t>
        </w:r>
        <w:r w:rsidRPr="00DC7721">
          <w:rPr>
            <w:rFonts w:ascii="Palatino Linotype" w:hAnsi="Palatino Linotype"/>
          </w:rPr>
          <w:fldChar w:fldCharType="begin"/>
        </w:r>
        <w:r w:rsidRPr="00DC7721">
          <w:rPr>
            <w:rFonts w:ascii="Palatino Linotype" w:hAnsi="Palatino Linotype"/>
          </w:rPr>
          <w:instrText xml:space="preserve"> PAGE   \* MERGEFORMAT </w:instrText>
        </w:r>
        <w:r w:rsidRPr="00DC7721">
          <w:rPr>
            <w:rFonts w:ascii="Palatino Linotype" w:hAnsi="Palatino Linotype"/>
          </w:rPr>
          <w:fldChar w:fldCharType="separate"/>
        </w:r>
        <w:r w:rsidRPr="00DC7721">
          <w:rPr>
            <w:rFonts w:ascii="Palatino Linotype" w:hAnsi="Palatino Linotype"/>
            <w:noProof/>
          </w:rPr>
          <w:t>2</w:t>
        </w:r>
        <w:r w:rsidRPr="00DC7721">
          <w:rPr>
            <w:rFonts w:ascii="Palatino Linotype" w:hAnsi="Palatino Linotype"/>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13327845"/>
      <w:docPartObj>
        <w:docPartGallery w:val="Page Numbers (Bottom of Page)"/>
        <w:docPartUnique/>
      </w:docPartObj>
    </w:sdtPr>
    <w:sdtEndPr>
      <w:rPr>
        <w:noProof/>
      </w:rPr>
    </w:sdtEndPr>
    <w:sdtContent>
      <w:p w14:paraId="583741BA" w14:textId="479F7581" w:rsidR="00930C35" w:rsidRPr="004A7A4C" w:rsidRDefault="00BE02E6" w:rsidP="00DF5C57">
        <w:pPr>
          <w:pStyle w:val="Footer"/>
          <w:jc w:val="center"/>
          <w:rPr>
            <w:rFonts w:ascii="Palatino Linotype" w:hAnsi="Palatino Linotype"/>
          </w:rPr>
        </w:pPr>
        <w:r>
          <w:rPr>
            <w:rFonts w:ascii="Palatino Linotype" w:hAnsi="Palatino Linotype"/>
          </w:rPr>
          <w:t>A</w:t>
        </w:r>
        <w:r w:rsidR="00DF5C57">
          <w:rPr>
            <w:rFonts w:ascii="Palatino Linotype" w:hAnsi="Palatino Linotype"/>
          </w:rPr>
          <w:t>-</w:t>
        </w:r>
        <w:r w:rsidR="00930C35" w:rsidRPr="004A7A4C">
          <w:rPr>
            <w:rFonts w:ascii="Palatino Linotype" w:hAnsi="Palatino Linotype"/>
          </w:rPr>
          <w:fldChar w:fldCharType="begin"/>
        </w:r>
        <w:r w:rsidR="00930C35" w:rsidRPr="004A7A4C">
          <w:rPr>
            <w:rFonts w:ascii="Palatino Linotype" w:hAnsi="Palatino Linotype"/>
          </w:rPr>
          <w:instrText xml:space="preserve"> PAGE   \* MERGEFORMAT </w:instrText>
        </w:r>
        <w:r w:rsidR="00930C35" w:rsidRPr="004A7A4C">
          <w:rPr>
            <w:rFonts w:ascii="Palatino Linotype" w:hAnsi="Palatino Linotype"/>
          </w:rPr>
          <w:fldChar w:fldCharType="separate"/>
        </w:r>
        <w:r w:rsidR="00930C35" w:rsidRPr="004A7A4C">
          <w:rPr>
            <w:rFonts w:ascii="Palatino Linotype" w:hAnsi="Palatino Linotype"/>
            <w:noProof/>
          </w:rPr>
          <w:t>2</w:t>
        </w:r>
        <w:r w:rsidR="00930C35" w:rsidRPr="004A7A4C">
          <w:rPr>
            <w:rFonts w:ascii="Palatino Linotype" w:hAnsi="Palatino Linotype"/>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84706685"/>
      <w:docPartObj>
        <w:docPartGallery w:val="Page Numbers (Bottom of Page)"/>
        <w:docPartUnique/>
      </w:docPartObj>
    </w:sdtPr>
    <w:sdtEndPr>
      <w:rPr>
        <w:noProof/>
      </w:rPr>
    </w:sdtEndPr>
    <w:sdtContent>
      <w:p w14:paraId="74C9CB4B" w14:textId="46E27840" w:rsidR="00A1288B" w:rsidRPr="00DC7721" w:rsidRDefault="000417CC">
        <w:pPr>
          <w:pStyle w:val="Footer"/>
          <w:jc w:val="center"/>
          <w:rPr>
            <w:rFonts w:ascii="Palatino Linotype" w:hAnsi="Palatino Linotype"/>
          </w:rPr>
        </w:pPr>
        <w:r>
          <w:rPr>
            <w:rFonts w:ascii="Palatino Linotype" w:hAnsi="Palatino Linotype"/>
          </w:rPr>
          <w:t>B</w:t>
        </w:r>
        <w:r w:rsidR="00A1288B" w:rsidRPr="00DC7721">
          <w:rPr>
            <w:rFonts w:ascii="Palatino Linotype" w:hAnsi="Palatino Linotype"/>
          </w:rPr>
          <w:t>-</w:t>
        </w:r>
        <w:r w:rsidR="00A1288B" w:rsidRPr="00DC7721">
          <w:rPr>
            <w:rFonts w:ascii="Palatino Linotype" w:hAnsi="Palatino Linotype"/>
          </w:rPr>
          <w:fldChar w:fldCharType="begin"/>
        </w:r>
        <w:r w:rsidR="00A1288B" w:rsidRPr="00DC7721">
          <w:rPr>
            <w:rFonts w:ascii="Palatino Linotype" w:hAnsi="Palatino Linotype"/>
          </w:rPr>
          <w:instrText xml:space="preserve"> PAGE   \* MERGEFORMAT </w:instrText>
        </w:r>
        <w:r w:rsidR="00A1288B" w:rsidRPr="00DC7721">
          <w:rPr>
            <w:rFonts w:ascii="Palatino Linotype" w:hAnsi="Palatino Linotype"/>
          </w:rPr>
          <w:fldChar w:fldCharType="separate"/>
        </w:r>
        <w:r w:rsidR="00A1288B" w:rsidRPr="00DC7721">
          <w:rPr>
            <w:rFonts w:ascii="Palatino Linotype" w:hAnsi="Palatino Linotype"/>
            <w:noProof/>
          </w:rPr>
          <w:t>2</w:t>
        </w:r>
        <w:r w:rsidR="00A1288B" w:rsidRPr="00DC7721">
          <w:rPr>
            <w:rFonts w:ascii="Palatino Linotype" w:hAnsi="Palatino Linotype"/>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078278948"/>
      <w:docPartObj>
        <w:docPartGallery w:val="Page Numbers (Bottom of Page)"/>
        <w:docPartUnique/>
      </w:docPartObj>
    </w:sdtPr>
    <w:sdtEndPr>
      <w:rPr>
        <w:noProof/>
      </w:rPr>
    </w:sdtEndPr>
    <w:sdtContent>
      <w:p w14:paraId="212364C3" w14:textId="30BF1BCF" w:rsidR="00A1288B" w:rsidRPr="004A7A4C" w:rsidRDefault="000417CC" w:rsidP="00DF5C57">
        <w:pPr>
          <w:pStyle w:val="Footer"/>
          <w:jc w:val="center"/>
          <w:rPr>
            <w:rFonts w:ascii="Palatino Linotype" w:hAnsi="Palatino Linotype"/>
          </w:rPr>
        </w:pPr>
        <w:r>
          <w:rPr>
            <w:rFonts w:ascii="Palatino Linotype" w:hAnsi="Palatino Linotype"/>
          </w:rPr>
          <w:t>B</w:t>
        </w:r>
        <w:r w:rsidR="00A1288B">
          <w:rPr>
            <w:rFonts w:ascii="Palatino Linotype" w:hAnsi="Palatino Linotype"/>
          </w:rPr>
          <w:t>-</w:t>
        </w:r>
        <w:r w:rsidR="00A1288B" w:rsidRPr="004A7A4C">
          <w:rPr>
            <w:rFonts w:ascii="Palatino Linotype" w:hAnsi="Palatino Linotype"/>
          </w:rPr>
          <w:fldChar w:fldCharType="begin"/>
        </w:r>
        <w:r w:rsidR="00A1288B" w:rsidRPr="004A7A4C">
          <w:rPr>
            <w:rFonts w:ascii="Palatino Linotype" w:hAnsi="Palatino Linotype"/>
          </w:rPr>
          <w:instrText xml:space="preserve"> PAGE   \* MERGEFORMAT </w:instrText>
        </w:r>
        <w:r w:rsidR="00A1288B" w:rsidRPr="004A7A4C">
          <w:rPr>
            <w:rFonts w:ascii="Palatino Linotype" w:hAnsi="Palatino Linotype"/>
          </w:rPr>
          <w:fldChar w:fldCharType="separate"/>
        </w:r>
        <w:r w:rsidR="00A1288B" w:rsidRPr="004A7A4C">
          <w:rPr>
            <w:rFonts w:ascii="Palatino Linotype" w:hAnsi="Palatino Linotype"/>
            <w:noProof/>
          </w:rPr>
          <w:t>2</w:t>
        </w:r>
        <w:r w:rsidR="00A1288B" w:rsidRPr="004A7A4C">
          <w:rPr>
            <w:rFonts w:ascii="Palatino Linotype" w:hAnsi="Palatino Linotype"/>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24271DCE" w:rsidR="002514A5" w:rsidRPr="002514A5" w:rsidRDefault="00144EB1">
        <w:pPr>
          <w:pStyle w:val="Footer"/>
          <w:jc w:val="center"/>
          <w:rPr>
            <w:rFonts w:ascii="Palatino Linotype" w:hAnsi="Palatino Linotype"/>
          </w:rPr>
        </w:pPr>
        <w:r>
          <w:rPr>
            <w:rFonts w:ascii="Palatino Linotype" w:hAnsi="Palatino Linotype"/>
          </w:rPr>
          <w:t>C</w:t>
        </w:r>
        <w:r w:rsidR="00F54A85">
          <w:rPr>
            <w:rFonts w:ascii="Palatino Linotype" w:hAnsi="Palatino Linotype"/>
          </w:rPr>
          <w:t>-</w:t>
        </w:r>
        <w:r w:rsidR="002514A5" w:rsidRPr="002514A5">
          <w:rPr>
            <w:rFonts w:ascii="Palatino Linotype" w:hAnsi="Palatino Linotype"/>
          </w:rPr>
          <w:fldChar w:fldCharType="begin"/>
        </w:r>
        <w:r w:rsidR="002514A5" w:rsidRPr="002514A5">
          <w:rPr>
            <w:rFonts w:ascii="Palatino Linotype" w:hAnsi="Palatino Linotype"/>
          </w:rPr>
          <w:instrText xml:space="preserve"> PAGE   \* MERGEFORMAT </w:instrText>
        </w:r>
        <w:r w:rsidR="002514A5" w:rsidRPr="002514A5">
          <w:rPr>
            <w:rFonts w:ascii="Palatino Linotype" w:hAnsi="Palatino Linotype"/>
          </w:rPr>
          <w:fldChar w:fldCharType="separate"/>
        </w:r>
        <w:r w:rsidR="002514A5" w:rsidRPr="002514A5">
          <w:rPr>
            <w:rFonts w:ascii="Palatino Linotype" w:hAnsi="Palatino Linotype"/>
            <w:noProof/>
          </w:rPr>
          <w:t>2</w:t>
        </w:r>
        <w:r w:rsidR="002514A5" w:rsidRPr="002514A5">
          <w:rPr>
            <w:rFonts w:ascii="Palatino Linotype" w:hAnsi="Palatino Linotype"/>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1C65EB4F" w:rsidR="004A7A4C" w:rsidRPr="004A7A4C" w:rsidRDefault="00FB7C7C" w:rsidP="004A7A4C">
        <w:pPr>
          <w:pStyle w:val="Footer"/>
          <w:rPr>
            <w:rFonts w:ascii="Palatino Linotype" w:hAnsi="Palatino Linotype"/>
          </w:rPr>
        </w:pPr>
        <w:r>
          <w:rPr>
            <w:rFonts w:ascii="Palatino Linotype" w:hAnsi="Palatino Linotype"/>
          </w:rPr>
          <w:tab/>
        </w:r>
        <w:r w:rsidR="00F54A85">
          <w:rPr>
            <w:rFonts w:ascii="Palatino Linotype" w:hAnsi="Palatino Linotype"/>
          </w:rPr>
          <w:t>C</w:t>
        </w:r>
        <w:r w:rsidR="000417CC">
          <w:rPr>
            <w:rFonts w:ascii="Palatino Linotype" w:hAnsi="Palatino Linotype"/>
          </w:rPr>
          <w:t>-</w:t>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889952282"/>
      <w:docPartObj>
        <w:docPartGallery w:val="Page Numbers (Bottom of Page)"/>
        <w:docPartUnique/>
      </w:docPartObj>
    </w:sdtPr>
    <w:sdtEndPr>
      <w:rPr>
        <w:noProof/>
      </w:rPr>
    </w:sdtEndPr>
    <w:sdtContent>
      <w:p w14:paraId="6E2D1F05" w14:textId="1C8FAAF9" w:rsidR="00092A73" w:rsidRPr="002514A5" w:rsidRDefault="00046301">
        <w:pPr>
          <w:pStyle w:val="Footer"/>
          <w:jc w:val="center"/>
          <w:rPr>
            <w:rFonts w:ascii="Palatino Linotype" w:hAnsi="Palatino Linotype"/>
          </w:rPr>
        </w:pPr>
        <w:r>
          <w:rPr>
            <w:rFonts w:ascii="Palatino Linotype" w:hAnsi="Palatino Linotype"/>
          </w:rPr>
          <w:t>D</w:t>
        </w:r>
        <w:r w:rsidR="00092A73">
          <w:rPr>
            <w:rFonts w:ascii="Palatino Linotype" w:hAnsi="Palatino Linotype"/>
          </w:rPr>
          <w:t>-</w:t>
        </w:r>
        <w:r w:rsidR="00092A73" w:rsidRPr="002514A5">
          <w:rPr>
            <w:rFonts w:ascii="Palatino Linotype" w:hAnsi="Palatino Linotype"/>
          </w:rPr>
          <w:fldChar w:fldCharType="begin"/>
        </w:r>
        <w:r w:rsidR="00092A73" w:rsidRPr="002514A5">
          <w:rPr>
            <w:rFonts w:ascii="Palatino Linotype" w:hAnsi="Palatino Linotype"/>
          </w:rPr>
          <w:instrText xml:space="preserve"> PAGE   \* MERGEFORMAT </w:instrText>
        </w:r>
        <w:r w:rsidR="00092A73" w:rsidRPr="002514A5">
          <w:rPr>
            <w:rFonts w:ascii="Palatino Linotype" w:hAnsi="Palatino Linotype"/>
          </w:rPr>
          <w:fldChar w:fldCharType="separate"/>
        </w:r>
        <w:r w:rsidR="00092A73" w:rsidRPr="002514A5">
          <w:rPr>
            <w:rFonts w:ascii="Palatino Linotype" w:hAnsi="Palatino Linotype"/>
            <w:noProof/>
          </w:rPr>
          <w:t>2</w:t>
        </w:r>
        <w:r w:rsidR="00092A73" w:rsidRPr="002514A5">
          <w:rPr>
            <w:rFonts w:ascii="Palatino Linotype" w:hAnsi="Palatino Linotype"/>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842661587"/>
      <w:docPartObj>
        <w:docPartGallery w:val="Page Numbers (Bottom of Page)"/>
        <w:docPartUnique/>
      </w:docPartObj>
    </w:sdtPr>
    <w:sdtEndPr>
      <w:rPr>
        <w:noProof/>
      </w:rPr>
    </w:sdtEndPr>
    <w:sdtContent>
      <w:p w14:paraId="23C5DAF5" w14:textId="7F645E21" w:rsidR="00092A73" w:rsidRPr="004A7A4C" w:rsidRDefault="00092A73" w:rsidP="00092A73">
        <w:pPr>
          <w:pStyle w:val="Footer"/>
          <w:jc w:val="center"/>
          <w:rPr>
            <w:rFonts w:ascii="Palatino Linotype" w:hAnsi="Palatino Linotype"/>
          </w:rPr>
        </w:pPr>
        <w:r>
          <w:rPr>
            <w:rFonts w:ascii="Palatino Linotype" w:hAnsi="Palatino Linotype"/>
          </w:rPr>
          <w:t>D-</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937649044"/>
      <w:docPartObj>
        <w:docPartGallery w:val="Page Numbers (Bottom of Page)"/>
        <w:docPartUnique/>
      </w:docPartObj>
    </w:sdtPr>
    <w:sdtEndPr>
      <w:rPr>
        <w:noProof/>
      </w:rPr>
    </w:sdtEndPr>
    <w:sdtContent>
      <w:p w14:paraId="35B25DE2" w14:textId="790C4BE3" w:rsidR="00D06B4C" w:rsidRPr="002514A5" w:rsidRDefault="00D06B4C">
        <w:pPr>
          <w:pStyle w:val="Footer"/>
          <w:jc w:val="center"/>
          <w:rPr>
            <w:rFonts w:ascii="Palatino Linotype" w:hAnsi="Palatino Linotype"/>
          </w:rPr>
        </w:pPr>
        <w:r>
          <w:rPr>
            <w:rFonts w:ascii="Palatino Linotype" w:hAnsi="Palatino Linotype"/>
          </w:rPr>
          <w:t>E-</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87181196"/>
      <w:docPartObj>
        <w:docPartGallery w:val="Page Numbers (Bottom of Page)"/>
        <w:docPartUnique/>
      </w:docPartObj>
    </w:sdtPr>
    <w:sdtEndPr>
      <w:rPr>
        <w:noProof/>
      </w:rPr>
    </w:sdtEndPr>
    <w:sdtContent>
      <w:p w14:paraId="3BD6060D" w14:textId="24E210E8" w:rsidR="00D06B4C" w:rsidRPr="004A7A4C" w:rsidRDefault="00D06B4C" w:rsidP="00092A73">
        <w:pPr>
          <w:pStyle w:val="Footer"/>
          <w:jc w:val="center"/>
          <w:rPr>
            <w:rFonts w:ascii="Palatino Linotype" w:hAnsi="Palatino Linotype"/>
          </w:rPr>
        </w:pPr>
        <w:r>
          <w:rPr>
            <w:rFonts w:ascii="Palatino Linotype" w:hAnsi="Palatino Linotype"/>
          </w:rPr>
          <w:t>E-</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142698381"/>
      <w:docPartObj>
        <w:docPartGallery w:val="Page Numbers (Bottom of Page)"/>
        <w:docPartUnique/>
      </w:docPartObj>
    </w:sdtPr>
    <w:sdtEndPr>
      <w:rPr>
        <w:noProof/>
      </w:rPr>
    </w:sdtEndPr>
    <w:sdtContent>
      <w:p w14:paraId="21ACEAAE" w14:textId="2B0B94EC" w:rsidR="007008A4" w:rsidRPr="002514A5" w:rsidRDefault="00E96408">
        <w:pPr>
          <w:pStyle w:val="Footer"/>
          <w:jc w:val="center"/>
          <w:rPr>
            <w:rFonts w:ascii="Palatino Linotype" w:hAnsi="Palatino Linotype"/>
          </w:rPr>
        </w:pPr>
        <w:r>
          <w:rPr>
            <w:rFonts w:ascii="Palatino Linotype" w:hAnsi="Palatino Linotype"/>
          </w:rPr>
          <w:t>F</w:t>
        </w:r>
        <w:r w:rsidR="007008A4">
          <w:rPr>
            <w:rFonts w:ascii="Palatino Linotype" w:hAnsi="Palatino Linotype"/>
          </w:rPr>
          <w:t>-</w:t>
        </w:r>
        <w:r w:rsidR="007008A4" w:rsidRPr="002514A5">
          <w:rPr>
            <w:rFonts w:ascii="Palatino Linotype" w:hAnsi="Palatino Linotype"/>
          </w:rPr>
          <w:fldChar w:fldCharType="begin"/>
        </w:r>
        <w:r w:rsidR="007008A4" w:rsidRPr="002514A5">
          <w:rPr>
            <w:rFonts w:ascii="Palatino Linotype" w:hAnsi="Palatino Linotype"/>
          </w:rPr>
          <w:instrText xml:space="preserve"> PAGE   \* MERGEFORMAT </w:instrText>
        </w:r>
        <w:r w:rsidR="007008A4" w:rsidRPr="002514A5">
          <w:rPr>
            <w:rFonts w:ascii="Palatino Linotype" w:hAnsi="Palatino Linotype"/>
          </w:rPr>
          <w:fldChar w:fldCharType="separate"/>
        </w:r>
        <w:r w:rsidR="007008A4" w:rsidRPr="002514A5">
          <w:rPr>
            <w:rFonts w:ascii="Palatino Linotype" w:hAnsi="Palatino Linotype"/>
            <w:noProof/>
          </w:rPr>
          <w:t>2</w:t>
        </w:r>
        <w:r w:rsidR="007008A4" w:rsidRPr="002514A5">
          <w:rPr>
            <w:rFonts w:ascii="Palatino Linotype" w:hAnsi="Palatino Linotype"/>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03828647"/>
      <w:docPartObj>
        <w:docPartGallery w:val="Page Numbers (Bottom of Page)"/>
        <w:docPartUnique/>
      </w:docPartObj>
    </w:sdtPr>
    <w:sdtEndPr>
      <w:rPr>
        <w:noProof/>
      </w:rPr>
    </w:sdtEndPr>
    <w:sdtContent>
      <w:p w14:paraId="08C29EC6" w14:textId="0E414B2B" w:rsidR="00073B2C" w:rsidRPr="002514A5" w:rsidRDefault="008145AA">
        <w:pPr>
          <w:pStyle w:val="Footer"/>
          <w:jc w:val="center"/>
          <w:rPr>
            <w:rFonts w:ascii="Palatino Linotype" w:hAnsi="Palatino Linotype"/>
          </w:rPr>
        </w:pPr>
        <w:r>
          <w:rPr>
            <w:rFonts w:ascii="Palatino Linotype" w:hAnsi="Palatino Linotype"/>
          </w:rPr>
          <w:t>F</w:t>
        </w:r>
        <w:r w:rsidR="00073B2C">
          <w:rPr>
            <w:rFonts w:ascii="Palatino Linotype" w:hAnsi="Palatino Linotype"/>
          </w:rPr>
          <w:t>-</w:t>
        </w:r>
        <w:r w:rsidR="00073B2C" w:rsidRPr="002514A5">
          <w:rPr>
            <w:rFonts w:ascii="Palatino Linotype" w:hAnsi="Palatino Linotype"/>
          </w:rPr>
          <w:fldChar w:fldCharType="begin"/>
        </w:r>
        <w:r w:rsidR="00073B2C" w:rsidRPr="002514A5">
          <w:rPr>
            <w:rFonts w:ascii="Palatino Linotype" w:hAnsi="Palatino Linotype"/>
          </w:rPr>
          <w:instrText xml:space="preserve"> PAGE   \* MERGEFORMAT </w:instrText>
        </w:r>
        <w:r w:rsidR="00073B2C" w:rsidRPr="002514A5">
          <w:rPr>
            <w:rFonts w:ascii="Palatino Linotype" w:hAnsi="Palatino Linotype"/>
          </w:rPr>
          <w:fldChar w:fldCharType="separate"/>
        </w:r>
        <w:r w:rsidR="00073B2C" w:rsidRPr="002514A5">
          <w:rPr>
            <w:rFonts w:ascii="Palatino Linotype" w:hAnsi="Palatino Linotype"/>
            <w:noProof/>
          </w:rPr>
          <w:t>2</w:t>
        </w:r>
        <w:r w:rsidR="00073B2C" w:rsidRPr="002514A5">
          <w:rPr>
            <w:rFonts w:ascii="Palatino Linotype" w:hAnsi="Palatino Linotype"/>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089598416"/>
      <w:docPartObj>
        <w:docPartGallery w:val="Page Numbers (Bottom of Page)"/>
        <w:docPartUnique/>
      </w:docPartObj>
    </w:sdtPr>
    <w:sdtEndPr>
      <w:rPr>
        <w:noProof/>
      </w:rPr>
    </w:sdtEndPr>
    <w:sdtContent>
      <w:p w14:paraId="3F070ECB" w14:textId="0AD6B136" w:rsidR="000E341C" w:rsidRPr="002514A5" w:rsidRDefault="000E341C">
        <w:pPr>
          <w:pStyle w:val="Footer"/>
          <w:jc w:val="center"/>
          <w:rPr>
            <w:rFonts w:ascii="Palatino Linotype" w:hAnsi="Palatino Linotype"/>
          </w:rPr>
        </w:pPr>
        <w:r>
          <w:rPr>
            <w:rFonts w:ascii="Palatino Linotype" w:hAnsi="Palatino Linotype"/>
          </w:rPr>
          <w:t>G-</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061938053"/>
      <w:docPartObj>
        <w:docPartGallery w:val="Page Numbers (Bottom of Page)"/>
        <w:docPartUnique/>
      </w:docPartObj>
    </w:sdtPr>
    <w:sdtEndPr>
      <w:rPr>
        <w:noProof/>
      </w:rPr>
    </w:sdtEndPr>
    <w:sdtContent>
      <w:p w14:paraId="6E39F4D7" w14:textId="0EBD3401" w:rsidR="00694A25" w:rsidRPr="002514A5" w:rsidRDefault="00694A25">
        <w:pPr>
          <w:pStyle w:val="Footer"/>
          <w:jc w:val="center"/>
          <w:rPr>
            <w:rFonts w:ascii="Palatino Linotype" w:hAnsi="Palatino Linotype"/>
          </w:rPr>
        </w:pPr>
        <w:r>
          <w:rPr>
            <w:rFonts w:ascii="Palatino Linotype" w:hAnsi="Palatino Linotype"/>
          </w:rPr>
          <w:t>H-</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9FC89" w14:textId="77777777" w:rsidR="003D2A47" w:rsidRDefault="003D2A47" w:rsidP="00A76F4A">
      <w:pPr>
        <w:spacing w:after="0" w:line="240" w:lineRule="auto"/>
      </w:pPr>
      <w:r>
        <w:separator/>
      </w:r>
    </w:p>
  </w:footnote>
  <w:footnote w:type="continuationSeparator" w:id="0">
    <w:p w14:paraId="7D32E5B9" w14:textId="77777777" w:rsidR="003D2A47" w:rsidRDefault="003D2A47" w:rsidP="00A76F4A">
      <w:pPr>
        <w:spacing w:after="0" w:line="240" w:lineRule="auto"/>
      </w:pPr>
      <w:r>
        <w:continuationSeparator/>
      </w:r>
    </w:p>
  </w:footnote>
  <w:footnote w:id="1">
    <w:p w14:paraId="377B870C" w14:textId="2BF6ED0E" w:rsidR="00003805" w:rsidRDefault="00003805" w:rsidP="00003805">
      <w:pPr>
        <w:pStyle w:val="FootnoteText"/>
      </w:pPr>
      <w:r>
        <w:rPr>
          <w:rStyle w:val="FootnoteReference"/>
        </w:rPr>
        <w:footnoteRef/>
      </w:r>
      <w:r>
        <w:t xml:space="preserve"> </w:t>
      </w:r>
      <w:r w:rsidRPr="002C5A15">
        <w:rPr>
          <w:rFonts w:ascii="Palatino Linotype" w:hAnsi="Palatino Linotype"/>
        </w:rPr>
        <w:t xml:space="preserve">See </w:t>
      </w:r>
      <w:r w:rsidRPr="002E0702">
        <w:rPr>
          <w:rFonts w:ascii="Palatino Linotype" w:hAnsi="Palatino Linotype"/>
        </w:rPr>
        <w:t>Resolution G-</w:t>
      </w:r>
      <w:r w:rsidRPr="002E0702">
        <w:rPr>
          <w:rFonts w:ascii="Palatino Linotype" w:hAnsi="Palatino Linotype"/>
          <w:color w:val="000000" w:themeColor="text1"/>
        </w:rPr>
        <w:t>3622</w:t>
      </w:r>
      <w:r w:rsidRPr="002C5A15">
        <w:rPr>
          <w:rFonts w:ascii="Palatino Linotype" w:hAnsi="Palatino Linotype"/>
        </w:rPr>
        <w:t xml:space="preserve"> at Appendix</w:t>
      </w:r>
      <w:r>
        <w:rPr>
          <w:rFonts w:ascii="Palatino Linotype" w:hAnsi="Palatino Linotype"/>
        </w:rPr>
        <w:t xml:space="preserve"> </w:t>
      </w:r>
      <w:r w:rsidR="004A55C8">
        <w:rPr>
          <w:rFonts w:ascii="Palatino Linotype" w:hAnsi="Palatino Linotype"/>
        </w:rPr>
        <w:t>F</w:t>
      </w:r>
      <w:r>
        <w:rPr>
          <w:rFonts w:ascii="Palatino Linotype" w:hAnsi="Palatino Linotype"/>
        </w:rPr>
        <w:t xml:space="preserve">: </w:t>
      </w:r>
      <w:r w:rsidRPr="002C5A15">
        <w:rPr>
          <w:rFonts w:ascii="Palatino Linotype" w:hAnsi="Palatino Linotype"/>
          <w:color w:val="000000" w:themeColor="text1"/>
        </w:rPr>
        <w:t>CEC Balances of Unspent Funds from Previously Approved Gas RD&amp;D Plans</w:t>
      </w:r>
      <w:r>
        <w:rPr>
          <w:rFonts w:ascii="Palatino Linotype" w:hAnsi="Palatino Linotype"/>
          <w:color w:val="000000" w:themeColor="text1"/>
        </w:rPr>
        <w:t>.</w:t>
      </w:r>
    </w:p>
  </w:footnote>
  <w:footnote w:id="2">
    <w:p w14:paraId="03D00203" w14:textId="6EC50E39" w:rsidR="0056250F" w:rsidRPr="007033DF" w:rsidRDefault="0056250F">
      <w:pPr>
        <w:pStyle w:val="FootnoteText"/>
        <w:rPr>
          <w:rFonts w:ascii="Palatino Linotype" w:hAnsi="Palatino Linotype"/>
          <w:color w:val="000000" w:themeColor="text1"/>
        </w:rPr>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w:t>
      </w:r>
      <w:r w:rsidR="004B43A3" w:rsidRPr="007033DF">
        <w:rPr>
          <w:rFonts w:ascii="Palatino Linotype" w:hAnsi="Palatino Linotype"/>
          <w:color w:val="000000" w:themeColor="text1"/>
        </w:rPr>
        <w:t xml:space="preserve">$12,123,309 is the </w:t>
      </w:r>
      <w:r w:rsidR="0048494D" w:rsidRPr="007033DF">
        <w:rPr>
          <w:rFonts w:ascii="Palatino Linotype" w:hAnsi="Palatino Linotype"/>
          <w:color w:val="000000" w:themeColor="text1"/>
        </w:rPr>
        <w:t xml:space="preserve">remaining </w:t>
      </w:r>
      <w:r w:rsidR="009E4574" w:rsidRPr="007033DF">
        <w:rPr>
          <w:rFonts w:ascii="Palatino Linotype" w:hAnsi="Palatino Linotype"/>
          <w:color w:val="000000" w:themeColor="text1"/>
        </w:rPr>
        <w:t xml:space="preserve">portion of Initiative funds ($21.6M total) CEC is eligible for </w:t>
      </w:r>
      <w:r w:rsidR="008138A3" w:rsidRPr="007033DF">
        <w:rPr>
          <w:rFonts w:ascii="Palatino Linotype" w:hAnsi="Palatino Linotype"/>
          <w:color w:val="000000" w:themeColor="text1"/>
        </w:rPr>
        <w:t xml:space="preserve">annually </w:t>
      </w:r>
      <w:r w:rsidR="009E4574" w:rsidRPr="007033DF">
        <w:rPr>
          <w:rFonts w:ascii="Palatino Linotype" w:hAnsi="Palatino Linotype"/>
          <w:color w:val="000000" w:themeColor="text1"/>
        </w:rPr>
        <w:t xml:space="preserve">after utilizing the remaining balance of </w:t>
      </w:r>
      <w:r w:rsidR="00725169" w:rsidRPr="007033DF">
        <w:rPr>
          <w:rFonts w:ascii="Palatino Linotype" w:hAnsi="Palatino Linotype"/>
          <w:color w:val="000000" w:themeColor="text1"/>
        </w:rPr>
        <w:t>applicable unspent funds ($9,476,691).</w:t>
      </w:r>
    </w:p>
  </w:footnote>
  <w:footnote w:id="3">
    <w:p w14:paraId="1FB71BEA" w14:textId="77777777" w:rsidR="0068562C" w:rsidRDefault="0068562C" w:rsidP="0068562C">
      <w:pPr>
        <w:pStyle w:val="FootnoteText"/>
      </w:pPr>
      <w:r w:rsidRPr="007033DF">
        <w:rPr>
          <w:rStyle w:val="FootnoteReference"/>
          <w:color w:val="000000" w:themeColor="text1"/>
        </w:rPr>
        <w:footnoteRef/>
      </w:r>
      <w:r w:rsidRPr="007033DF">
        <w:rPr>
          <w:color w:val="000000" w:themeColor="text1"/>
        </w:rPr>
        <w:t xml:space="preserve"> </w:t>
      </w:r>
      <w:r w:rsidRPr="007033DF">
        <w:rPr>
          <w:rFonts w:ascii="Palatino Linotype" w:hAnsi="Palatino Linotype"/>
          <w:color w:val="000000" w:themeColor="text1"/>
        </w:rPr>
        <w:t xml:space="preserve">To fund its 2025 Plan, the CEC shall first utilize its remaining balance of applicable unspent funds after funding its 2024 Plan ($9,476,691), which the Commission approved via previous CEC Gas RD&amp;D Plans with associated Program Administration budgets. Accordingly, the CEC is authorized to supplement the balance of unspent funds with $12,123,309 in new ratepayer funds for Initiatives, amounting to the authorized $21.6 million budget cap for approved RD&amp;D Initiatives. As a result, proportionally the CEC is eligible for approximately 56.13% of the authorized $2.4 million Program Administration budget cap from new ratepayer funds, amounting to $1,347,120. </w:t>
      </w:r>
    </w:p>
  </w:footnote>
  <w:footnote w:id="4">
    <w:p w14:paraId="35DD380A" w14:textId="05E628A9" w:rsidR="006A476A" w:rsidRDefault="006A476A" w:rsidP="006A476A">
      <w:pPr>
        <w:pStyle w:val="FootnoteText"/>
      </w:pPr>
      <w:r w:rsidRPr="00254B66">
        <w:rPr>
          <w:rStyle w:val="FootnoteReference"/>
        </w:rPr>
        <w:footnoteRef/>
      </w:r>
      <w:r w:rsidRPr="00254B66">
        <w:t xml:space="preserve"> </w:t>
      </w:r>
      <w:r w:rsidRPr="00254B66">
        <w:rPr>
          <w:rFonts w:ascii="Palatino Linotype" w:hAnsi="Palatino Linotype"/>
          <w:color w:val="000000" w:themeColor="text1"/>
        </w:rPr>
        <w:t>Modifies</w:t>
      </w:r>
      <w:r w:rsidRPr="00254B66">
        <w:rPr>
          <w:rFonts w:ascii="Palatino Linotype" w:hAnsi="Palatino Linotype"/>
          <w:b/>
          <w:bCs/>
          <w:color w:val="EE0000"/>
        </w:rPr>
        <w:t xml:space="preserve"> </w:t>
      </w:r>
      <w:hyperlink r:id="rId1" w:history="1">
        <w:r w:rsidRPr="00254B66">
          <w:rPr>
            <w:rStyle w:val="Hyperlink"/>
            <w:rFonts w:ascii="Palatino Linotype" w:hAnsi="Palatino Linotype"/>
          </w:rPr>
          <w:t>Resolution G-3394</w:t>
        </w:r>
      </w:hyperlink>
      <w:r w:rsidRPr="00254B66">
        <w:rPr>
          <w:rFonts w:ascii="Palatino Linotype" w:hAnsi="Palatino Linotype"/>
          <w:color w:val="000000" w:themeColor="text1"/>
        </w:rPr>
        <w:t xml:space="preserve"> (2006)</w:t>
      </w:r>
      <w:r>
        <w:rPr>
          <w:rFonts w:ascii="Palatino Linotype" w:hAnsi="Palatino Linotype"/>
          <w:color w:val="000000" w:themeColor="text1"/>
        </w:rPr>
        <w:t>: Approving CEC’s CY 2007 Gas RD&amp;D Plan</w:t>
      </w:r>
      <w:r w:rsidRPr="00254B66">
        <w:rPr>
          <w:rFonts w:ascii="Palatino Linotype" w:hAnsi="Palatino Linotype"/>
          <w:color w:val="000000" w:themeColor="text1"/>
        </w:rPr>
        <w:t xml:space="preserve"> at O</w:t>
      </w:r>
      <w:r w:rsidR="00FB35FF">
        <w:rPr>
          <w:rFonts w:ascii="Palatino Linotype" w:hAnsi="Palatino Linotype"/>
          <w:color w:val="000000" w:themeColor="text1"/>
        </w:rPr>
        <w:t>rdering Paragraph (O</w:t>
      </w:r>
      <w:r w:rsidRPr="00254B66">
        <w:rPr>
          <w:rFonts w:ascii="Palatino Linotype" w:hAnsi="Palatino Linotype"/>
          <w:color w:val="000000" w:themeColor="text1"/>
        </w:rPr>
        <w:t>P</w:t>
      </w:r>
      <w:r w:rsidR="00FB35FF">
        <w:rPr>
          <w:rFonts w:ascii="Palatino Linotype" w:hAnsi="Palatino Linotype"/>
          <w:color w:val="000000" w:themeColor="text1"/>
        </w:rPr>
        <w:t>)</w:t>
      </w:r>
      <w:r w:rsidRPr="00254B66">
        <w:rPr>
          <w:rFonts w:ascii="Palatino Linotype" w:hAnsi="Palatino Linotype"/>
          <w:color w:val="000000" w:themeColor="text1"/>
        </w:rPr>
        <w:t xml:space="preserve"> 2. “The CEC shall submit its… Annual [Report] by October 31st.</w:t>
      </w:r>
      <w:r w:rsidRPr="00254B66">
        <w:rPr>
          <w:rFonts w:ascii="Times New Roman" w:hAnsi="Times New Roman" w:cs="Times New Roman"/>
          <w:color w:val="000000" w:themeColor="text1"/>
        </w:rPr>
        <w:t xml:space="preserve">” </w:t>
      </w:r>
    </w:p>
  </w:footnote>
  <w:footnote w:id="5">
    <w:p w14:paraId="476F744E" w14:textId="130E28B0" w:rsidR="00AA23D7" w:rsidRPr="00A848AF" w:rsidRDefault="00AA23D7">
      <w:pPr>
        <w:pStyle w:val="FootnoteText"/>
        <w:rPr>
          <w:rFonts w:ascii="Palatino Linotype" w:hAnsi="Palatino Linotype"/>
        </w:rPr>
      </w:pPr>
      <w:r w:rsidRPr="00A848AF">
        <w:rPr>
          <w:rStyle w:val="FootnoteReference"/>
          <w:rFonts w:ascii="Palatino Linotype" w:hAnsi="Palatino Linotype"/>
        </w:rPr>
        <w:footnoteRef/>
      </w:r>
      <w:r w:rsidRPr="00A848AF">
        <w:rPr>
          <w:rFonts w:ascii="Palatino Linotype" w:hAnsi="Palatino Linotype"/>
        </w:rPr>
        <w:t xml:space="preserve"> </w:t>
      </w:r>
      <w:hyperlink r:id="rId2" w:history="1">
        <w:r w:rsidR="00A848AF" w:rsidRPr="00A848AF">
          <w:rPr>
            <w:rStyle w:val="Hyperlink"/>
            <w:rFonts w:ascii="Palatino Linotype" w:hAnsi="Palatino Linotype"/>
          </w:rPr>
          <w:t>AB 1002</w:t>
        </w:r>
      </w:hyperlink>
      <w:r w:rsidR="00A848AF" w:rsidRPr="00A848AF">
        <w:rPr>
          <w:rFonts w:ascii="Palatino Linotype" w:hAnsi="Palatino Linotype"/>
        </w:rPr>
        <w:t xml:space="preserve">, Wright. </w:t>
      </w:r>
      <w:r w:rsidR="00A848AF" w:rsidRPr="00A848AF">
        <w:rPr>
          <w:rFonts w:ascii="Palatino Linotype" w:hAnsi="Palatino Linotype"/>
          <w:i/>
          <w:iCs/>
        </w:rPr>
        <w:t>Natural Gas: Consumption Surcharge</w:t>
      </w:r>
      <w:r w:rsidR="00E34BE1">
        <w:rPr>
          <w:rFonts w:ascii="Palatino Linotype" w:hAnsi="Palatino Linotype"/>
          <w:i/>
          <w:iCs/>
        </w:rPr>
        <w:t xml:space="preserve"> </w:t>
      </w:r>
      <w:r w:rsidR="00E34BE1" w:rsidRPr="008E166C">
        <w:rPr>
          <w:rFonts w:ascii="Palatino Linotype" w:hAnsi="Palatino Linotype"/>
        </w:rPr>
        <w:t xml:space="preserve">at Section 2 Article 10 </w:t>
      </w:r>
      <w:r w:rsidR="00F17648" w:rsidRPr="008E166C">
        <w:rPr>
          <w:rFonts w:ascii="Palatino Linotype" w:hAnsi="Palatino Linotype"/>
        </w:rPr>
        <w:t xml:space="preserve">added </w:t>
      </w:r>
      <w:r w:rsidR="008E166C" w:rsidRPr="008E166C">
        <w:rPr>
          <w:rFonts w:ascii="Palatino Linotype" w:hAnsi="Palatino Linotype"/>
        </w:rPr>
        <w:t>Sections</w:t>
      </w:r>
      <w:r w:rsidR="00F17648" w:rsidRPr="008E166C">
        <w:rPr>
          <w:rFonts w:ascii="Palatino Linotype" w:hAnsi="Palatino Linotype"/>
        </w:rPr>
        <w:t xml:space="preserve"> </w:t>
      </w:r>
      <w:r w:rsidR="008E166C" w:rsidRPr="008E166C">
        <w:rPr>
          <w:rFonts w:ascii="Palatino Linotype" w:hAnsi="Palatino Linotype"/>
        </w:rPr>
        <w:t>890-900 to Chapter 4 of Part 1 of Division 1 of the Public Utilities Code.</w:t>
      </w:r>
    </w:p>
  </w:footnote>
  <w:footnote w:id="6">
    <w:p w14:paraId="531F21AC" w14:textId="4255519E" w:rsidR="00AC49EA" w:rsidRDefault="00AC49EA">
      <w:pPr>
        <w:pStyle w:val="FootnoteText"/>
      </w:pPr>
      <w:r>
        <w:rPr>
          <w:rStyle w:val="FootnoteReference"/>
        </w:rPr>
        <w:footnoteRef/>
      </w:r>
      <w:r>
        <w:t xml:space="preserve"> </w:t>
      </w:r>
      <w:hyperlink r:id="rId3" w:history="1">
        <w:r w:rsidRPr="00104AB5">
          <w:rPr>
            <w:rStyle w:val="Hyperlink"/>
            <w:rFonts w:ascii="Palatino Linotype" w:hAnsi="Palatino Linotype"/>
          </w:rPr>
          <w:t>D.04-08-010</w:t>
        </w:r>
      </w:hyperlink>
      <w:r w:rsidRPr="00104AB5">
        <w:rPr>
          <w:rFonts w:ascii="Palatino Linotype" w:hAnsi="Palatino Linotype"/>
        </w:rPr>
        <w:t>: Opinion Regarding Implementation of Assembly Bill 1002</w:t>
      </w:r>
      <w:r>
        <w:rPr>
          <w:rFonts w:ascii="Palatino Linotype" w:hAnsi="Palatino Linotype"/>
        </w:rPr>
        <w:t>, Establishing a Natural Gas Surcharge.</w:t>
      </w:r>
    </w:p>
  </w:footnote>
  <w:footnote w:id="7">
    <w:p w14:paraId="10FA68E5" w14:textId="2633995F" w:rsidR="00B00D19" w:rsidRPr="00D234AA" w:rsidRDefault="00B00D19" w:rsidP="00B00D19">
      <w:pPr>
        <w:pStyle w:val="10sp0"/>
        <w:spacing w:after="0"/>
        <w:rPr>
          <w:rFonts w:ascii="Palatino Linotype" w:hAnsi="Palatino Linotype"/>
        </w:rPr>
      </w:pPr>
      <w:r w:rsidRPr="536B290F">
        <w:rPr>
          <w:rStyle w:val="FootnoteReference"/>
          <w:rFonts w:asciiTheme="minorHAnsi" w:eastAsiaTheme="minorEastAsia" w:hAnsiTheme="minorHAnsi" w:cstheme="minorBidi"/>
          <w:kern w:val="2"/>
          <w:sz w:val="20"/>
          <w14:ligatures w14:val="standardContextual"/>
        </w:rPr>
        <w:footnoteRef/>
      </w:r>
      <w:r w:rsidR="5A58DA07" w:rsidRPr="536B290F">
        <w:rPr>
          <w:rStyle w:val="FootnoteReference"/>
          <w:rFonts w:asciiTheme="minorHAnsi" w:eastAsiaTheme="minorEastAsia" w:hAnsiTheme="minorHAnsi" w:cstheme="minorBidi"/>
          <w:kern w:val="2"/>
          <w:sz w:val="20"/>
          <w14:ligatures w14:val="standardContextual"/>
        </w:rPr>
        <w:t xml:space="preserve"> </w:t>
      </w:r>
      <w:hyperlink r:id="rId4">
        <w:r w:rsidR="5A58DA07" w:rsidRPr="5A58DA07">
          <w:rPr>
            <w:rStyle w:val="Hyperlink"/>
            <w:rFonts w:ascii="Palatino Linotype" w:hAnsi="Palatino Linotype"/>
            <w:sz w:val="20"/>
          </w:rPr>
          <w:t>D.04-08-010</w:t>
        </w:r>
      </w:hyperlink>
      <w:r w:rsidR="5A58DA07" w:rsidRPr="5A58DA07">
        <w:rPr>
          <w:sz w:val="20"/>
        </w:rPr>
        <w:t xml:space="preserve"> at </w:t>
      </w:r>
      <w:r w:rsidR="5A58DA07" w:rsidRPr="5A58DA07">
        <w:rPr>
          <w:rFonts w:ascii="Palatino Linotype" w:hAnsi="Palatino Linotype"/>
          <w:sz w:val="20"/>
        </w:rPr>
        <w:t>OP 18.</w:t>
      </w:r>
    </w:p>
  </w:footnote>
  <w:footnote w:id="8">
    <w:p w14:paraId="2748FE19" w14:textId="5C56B958" w:rsidR="0033190A" w:rsidRDefault="0033190A" w:rsidP="0033190A">
      <w:pPr>
        <w:pStyle w:val="FootnoteText"/>
      </w:pPr>
      <w:r w:rsidRPr="006C480C">
        <w:rPr>
          <w:rStyle w:val="FootnoteReference"/>
        </w:rPr>
        <w:footnoteRef/>
      </w:r>
      <w:r w:rsidRPr="006C480C">
        <w:rPr>
          <w:rStyle w:val="FootnoteReference"/>
        </w:rPr>
        <w:t xml:space="preserve"> </w:t>
      </w:r>
      <w:r w:rsidR="005C2761">
        <w:t xml:space="preserve"> </w:t>
      </w:r>
      <w:hyperlink r:id="rId5" w:history="1">
        <w:r w:rsidRPr="002B1A2F">
          <w:rPr>
            <w:rStyle w:val="Hyperlink"/>
            <w:rFonts w:ascii="Palatino Linotype" w:hAnsi="Palatino Linotype"/>
          </w:rPr>
          <w:t>D.04-08-010</w:t>
        </w:r>
      </w:hyperlink>
      <w:r>
        <w:rPr>
          <w:rFonts w:ascii="Palatino Linotype" w:hAnsi="Palatino Linotype"/>
        </w:rPr>
        <w:t xml:space="preserve"> at p. 37 &amp; 42.</w:t>
      </w:r>
    </w:p>
  </w:footnote>
  <w:footnote w:id="9">
    <w:p w14:paraId="2F5799D9" w14:textId="77777777" w:rsidR="0033190A" w:rsidRDefault="0033190A" w:rsidP="0033190A">
      <w:pPr>
        <w:pStyle w:val="FootnoteText"/>
      </w:pPr>
      <w:r w:rsidRPr="006C480C">
        <w:rPr>
          <w:rStyle w:val="FootnoteReference"/>
        </w:rPr>
        <w:footnoteRef/>
      </w:r>
      <w:r w:rsidRPr="006C480C">
        <w:rPr>
          <w:rStyle w:val="FootnoteReference"/>
        </w:rPr>
        <w:t xml:space="preserve"> </w:t>
      </w:r>
      <w:hyperlink r:id="rId6" w:history="1">
        <w:r w:rsidRPr="002B1A2F">
          <w:rPr>
            <w:rStyle w:val="Hyperlink"/>
            <w:rFonts w:ascii="Palatino Linotype" w:hAnsi="Palatino Linotype"/>
          </w:rPr>
          <w:t>D.04-08-010</w:t>
        </w:r>
      </w:hyperlink>
      <w:r>
        <w:rPr>
          <w:rFonts w:ascii="Palatino Linotype" w:hAnsi="Palatino Linotype"/>
        </w:rPr>
        <w:t xml:space="preserve"> at p. 32.</w:t>
      </w:r>
    </w:p>
  </w:footnote>
  <w:footnote w:id="10">
    <w:p w14:paraId="4C3ED3C2" w14:textId="0321F59D" w:rsidR="00C766CC" w:rsidRDefault="00C766CC" w:rsidP="00C766CC">
      <w:pPr>
        <w:pStyle w:val="FootnoteText"/>
      </w:pPr>
      <w:r>
        <w:rPr>
          <w:rStyle w:val="FootnoteReference"/>
        </w:rPr>
        <w:footnoteRef/>
      </w:r>
      <w:r>
        <w:t xml:space="preserve"> </w:t>
      </w:r>
      <w:hyperlink r:id="rId7" w:history="1">
        <w:r w:rsidRPr="002B1A2F">
          <w:rPr>
            <w:rStyle w:val="Hyperlink"/>
            <w:rFonts w:ascii="Palatino Linotype" w:hAnsi="Palatino Linotype"/>
          </w:rPr>
          <w:t>D.04-08-010</w:t>
        </w:r>
      </w:hyperlink>
      <w:r>
        <w:rPr>
          <w:rFonts w:ascii="Palatino Linotype" w:hAnsi="Palatino Linotype"/>
        </w:rPr>
        <w:t xml:space="preserve"> at </w:t>
      </w:r>
      <w:r w:rsidR="00244BBC">
        <w:rPr>
          <w:rFonts w:ascii="Palatino Linotype" w:hAnsi="Palatino Linotype"/>
        </w:rPr>
        <w:t>Finding of Fact (</w:t>
      </w:r>
      <w:r>
        <w:rPr>
          <w:rFonts w:ascii="Palatino Linotype" w:hAnsi="Palatino Linotype"/>
        </w:rPr>
        <w:t>FOF</w:t>
      </w:r>
      <w:r w:rsidR="00244BBC">
        <w:rPr>
          <w:rFonts w:ascii="Palatino Linotype" w:hAnsi="Palatino Linotype"/>
        </w:rPr>
        <w:t>)</w:t>
      </w:r>
      <w:r>
        <w:rPr>
          <w:rFonts w:ascii="Palatino Linotype" w:hAnsi="Palatino Linotype"/>
        </w:rPr>
        <w:t xml:space="preserve"> 31 &amp; OP 17.</w:t>
      </w:r>
    </w:p>
  </w:footnote>
  <w:footnote w:id="11">
    <w:p w14:paraId="11E00113" w14:textId="459CC041" w:rsidR="00BD4655" w:rsidRPr="005E1F44" w:rsidRDefault="00BD4655" w:rsidP="00BD4655">
      <w:pPr>
        <w:spacing w:after="0" w:line="240" w:lineRule="auto"/>
        <w:rPr>
          <w:rFonts w:ascii="Palatino Linotype" w:hAnsi="Palatino Linotype"/>
          <w:sz w:val="20"/>
          <w:szCs w:val="20"/>
        </w:rPr>
      </w:pPr>
      <w:r w:rsidRPr="005E1F44">
        <w:rPr>
          <w:rStyle w:val="FootnoteReference"/>
          <w:rFonts w:ascii="Palatino Linotype" w:hAnsi="Palatino Linotype"/>
          <w:sz w:val="20"/>
          <w:szCs w:val="20"/>
        </w:rPr>
        <w:footnoteRef/>
      </w:r>
      <w:r w:rsidRPr="005E1F44">
        <w:rPr>
          <w:rFonts w:ascii="Palatino Linotype" w:hAnsi="Palatino Linotype"/>
          <w:sz w:val="20"/>
          <w:szCs w:val="20"/>
        </w:rPr>
        <w:t xml:space="preserve"> The Commission’s compliance assessments of Public Utilities Code 740.1 at (a) and (b) are captured in the compliance assessments of AL 12-G and 10-G-A with </w:t>
      </w:r>
      <w:hyperlink r:id="rId8" w:history="1">
        <w:r w:rsidRPr="005E1F44">
          <w:rPr>
            <w:rStyle w:val="Hyperlink"/>
            <w:rFonts w:ascii="Palatino Linotype" w:hAnsi="Palatino Linotype"/>
            <w:sz w:val="20"/>
            <w:szCs w:val="20"/>
          </w:rPr>
          <w:t>Resolution G-3603</w:t>
        </w:r>
      </w:hyperlink>
      <w:r w:rsidRPr="005E1F44">
        <w:rPr>
          <w:rFonts w:ascii="Palatino Linotype" w:hAnsi="Palatino Linotype"/>
          <w:sz w:val="20"/>
          <w:szCs w:val="20"/>
        </w:rPr>
        <w:t xml:space="preserve"> (2024): Approving CEC’s FY 2023-2024 Gas RD&amp;D Plan at </w:t>
      </w:r>
      <w:r w:rsidR="00EE61EA">
        <w:rPr>
          <w:rFonts w:ascii="Palatino Linotype" w:hAnsi="Palatino Linotype"/>
          <w:sz w:val="20"/>
          <w:szCs w:val="20"/>
        </w:rPr>
        <w:t>OP</w:t>
      </w:r>
      <w:r w:rsidRPr="005E1F44">
        <w:rPr>
          <w:rFonts w:ascii="Palatino Linotype" w:hAnsi="Palatino Linotype"/>
          <w:sz w:val="20"/>
          <w:szCs w:val="20"/>
        </w:rPr>
        <w:t xml:space="preserve"> 6. “Once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p>
  </w:footnote>
  <w:footnote w:id="12">
    <w:p w14:paraId="5995F0DF" w14:textId="77777777" w:rsidR="00BD4655" w:rsidRPr="001A4CE5" w:rsidRDefault="00BD4655" w:rsidP="00BD4655">
      <w:pPr>
        <w:pStyle w:val="FootnoteText"/>
        <w:rPr>
          <w:rFonts w:ascii="Palatino Linotype" w:hAnsi="Palatino Linotype"/>
        </w:rPr>
      </w:pPr>
      <w:r>
        <w:rPr>
          <w:rStyle w:val="FootnoteReference"/>
        </w:rPr>
        <w:footnoteRef/>
      </w:r>
      <w:r>
        <w:t xml:space="preserve"> </w:t>
      </w:r>
      <w:r w:rsidRPr="003B3B6D">
        <w:rPr>
          <w:rFonts w:ascii="Palatino Linotype" w:hAnsi="Palatino Linotype"/>
        </w:rPr>
        <w:t>The Commission’s compliance assessment o</w:t>
      </w:r>
      <w:r>
        <w:rPr>
          <w:rFonts w:ascii="Palatino Linotype" w:hAnsi="Palatino Linotype"/>
        </w:rPr>
        <w:t xml:space="preserve">f Public Utilities Code 740.1 </w:t>
      </w:r>
      <w:r w:rsidRPr="003B3B6D">
        <w:rPr>
          <w:rFonts w:ascii="Palatino Linotype" w:hAnsi="Palatino Linotype"/>
        </w:rPr>
        <w:t xml:space="preserve">at </w:t>
      </w:r>
      <w:r>
        <w:rPr>
          <w:rFonts w:ascii="Palatino Linotype" w:hAnsi="Palatino Linotype"/>
        </w:rPr>
        <w:t>(c)</w:t>
      </w:r>
      <w:r w:rsidRPr="003B3B6D">
        <w:rPr>
          <w:rFonts w:ascii="Palatino Linotype" w:hAnsi="Palatino Linotype"/>
        </w:rPr>
        <w:t xml:space="preserve"> </w:t>
      </w:r>
      <w:r>
        <w:rPr>
          <w:rFonts w:ascii="Palatino Linotype" w:hAnsi="Palatino Linotype"/>
        </w:rPr>
        <w:t>is</w:t>
      </w:r>
      <w:r w:rsidRPr="003B3B6D">
        <w:rPr>
          <w:rFonts w:ascii="Palatino Linotype" w:hAnsi="Palatino Linotype"/>
        </w:rPr>
        <w:t xml:space="preserve"> captured in the compliance assessments of AL 12-G and 10-G-A with </w:t>
      </w:r>
      <w:hyperlink r:id="rId9" w:history="1">
        <w:r w:rsidRPr="00034076">
          <w:rPr>
            <w:rStyle w:val="Hyperlink"/>
            <w:rFonts w:ascii="Palatino Linotype" w:hAnsi="Palatino Linotype"/>
          </w:rPr>
          <w:t>Resolution G-3592</w:t>
        </w:r>
      </w:hyperlink>
      <w:r w:rsidRPr="003908AF">
        <w:rPr>
          <w:rFonts w:ascii="Palatino Linotype" w:hAnsi="Palatino Linotype"/>
          <w:b/>
        </w:rPr>
        <w:t xml:space="preserve"> </w:t>
      </w:r>
      <w:r w:rsidRPr="003908AF">
        <w:rPr>
          <w:rFonts w:ascii="Palatino Linotype" w:hAnsi="Palatino Linotype"/>
          <w:bCs/>
        </w:rPr>
        <w:t>(2023)</w:t>
      </w:r>
      <w:r>
        <w:rPr>
          <w:rFonts w:ascii="Palatino Linotype" w:hAnsi="Palatino Linotype"/>
          <w:bCs/>
        </w:rPr>
        <w:t xml:space="preserve">: </w:t>
      </w:r>
      <w:r>
        <w:rPr>
          <w:rFonts w:ascii="Palatino Linotype" w:hAnsi="Palatino Linotype"/>
        </w:rPr>
        <w:t>Approving CEC’s FY 2022-2023 Gas RD&amp;D Plan</w:t>
      </w:r>
      <w:r w:rsidRPr="003908AF">
        <w:rPr>
          <w:rFonts w:ascii="Palatino Linotype" w:hAnsi="Palatino Linotype"/>
          <w:bCs/>
        </w:rPr>
        <w:t xml:space="preserve"> at OP 5c &amp; d.</w:t>
      </w:r>
      <w:r w:rsidRPr="00E7529D">
        <w:rPr>
          <w:rFonts w:ascii="Palatino Linotype" w:hAnsi="Palatino Linotype"/>
          <w:bCs/>
          <w:i/>
          <w:iCs/>
        </w:rPr>
        <w:t xml:space="preserve"> </w:t>
      </w:r>
      <w:r>
        <w:rPr>
          <w:rFonts w:ascii="Palatino Linotype" w:hAnsi="Palatino Linotype"/>
          <w:bCs/>
          <w:i/>
          <w:iCs/>
        </w:rPr>
        <w:t>“</w:t>
      </w:r>
      <w:r w:rsidRPr="00034076">
        <w:rPr>
          <w:rFonts w:ascii="Palatino Linotype" w:hAnsi="Palatino Linotype"/>
          <w:bCs/>
        </w:rPr>
        <w:t>Describe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w:t>
      </w:r>
      <w:r>
        <w:rPr>
          <w:rFonts w:ascii="Palatino Linotype" w:hAnsi="Palatino Linotype"/>
          <w:bCs/>
        </w:rPr>
        <w:t>”</w:t>
      </w:r>
      <w:r w:rsidRPr="00034076">
        <w:rPr>
          <w:rFonts w:ascii="Palatino Linotype" w:hAnsi="Palatino Linotype"/>
          <w:bCs/>
        </w:rPr>
        <w:t xml:space="preserve">  </w:t>
      </w:r>
    </w:p>
  </w:footnote>
  <w:footnote w:id="13">
    <w:p w14:paraId="684672FA" w14:textId="77777777" w:rsidR="00BD4655" w:rsidRDefault="00BD4655" w:rsidP="00BD4655">
      <w:pPr>
        <w:pStyle w:val="FootnoteText"/>
      </w:pPr>
      <w:r>
        <w:rPr>
          <w:rStyle w:val="FootnoteReference"/>
        </w:rPr>
        <w:footnoteRef/>
      </w:r>
      <w:r>
        <w:t xml:space="preserve"> </w:t>
      </w:r>
      <w:r>
        <w:rPr>
          <w:rFonts w:ascii="Palatino Linotype" w:hAnsi="Palatino Linotype"/>
        </w:rPr>
        <w:t xml:space="preserve">Consistent with </w:t>
      </w:r>
      <w:hyperlink r:id="rId10" w:history="1">
        <w:r w:rsidRPr="0084476C">
          <w:rPr>
            <w:rStyle w:val="Hyperlink"/>
            <w:rFonts w:ascii="Palatino Linotype" w:hAnsi="Palatino Linotype"/>
          </w:rPr>
          <w:t>Executive Order (EO) N-5-24</w:t>
        </w:r>
      </w:hyperlink>
      <w:r w:rsidRPr="00960D65">
        <w:rPr>
          <w:rFonts w:ascii="Palatino Linotype" w:hAnsi="Palatino Linotype"/>
        </w:rPr>
        <w:t xml:space="preserve"> (</w:t>
      </w:r>
      <w:r>
        <w:rPr>
          <w:rFonts w:ascii="Palatino Linotype" w:hAnsi="Palatino Linotype"/>
        </w:rPr>
        <w:t xml:space="preserve">October 30, </w:t>
      </w:r>
      <w:r w:rsidRPr="00960D65">
        <w:rPr>
          <w:rFonts w:ascii="Palatino Linotype" w:hAnsi="Palatino Linotype"/>
        </w:rPr>
        <w:t xml:space="preserve">2024) </w:t>
      </w:r>
      <w:r>
        <w:rPr>
          <w:rFonts w:ascii="Palatino Linotype" w:hAnsi="Palatino Linotype"/>
        </w:rPr>
        <w:t>O</w:t>
      </w:r>
      <w:r w:rsidRPr="00960D65">
        <w:rPr>
          <w:rFonts w:ascii="Palatino Linotype" w:hAnsi="Palatino Linotype"/>
        </w:rPr>
        <w:t>n reducing rates</w:t>
      </w:r>
      <w:r>
        <w:rPr>
          <w:rFonts w:ascii="Palatino Linotype" w:hAnsi="Palatino Linotype"/>
        </w:rPr>
        <w:t>.</w:t>
      </w:r>
    </w:p>
  </w:footnote>
  <w:footnote w:id="14">
    <w:p w14:paraId="214E90FF" w14:textId="77777777" w:rsidR="00C766CC" w:rsidRDefault="00C766CC" w:rsidP="00C766CC">
      <w:pPr>
        <w:pStyle w:val="FootnoteText"/>
      </w:pPr>
      <w:r>
        <w:rPr>
          <w:rStyle w:val="FootnoteReference"/>
        </w:rPr>
        <w:footnoteRef/>
      </w:r>
      <w:r>
        <w:t xml:space="preserve"> </w:t>
      </w:r>
      <w:r w:rsidRPr="003B3B6D">
        <w:rPr>
          <w:rFonts w:ascii="Palatino Linotype" w:hAnsi="Palatino Linotype"/>
        </w:rPr>
        <w:t xml:space="preserve">The Commission’s compliance assessments of </w:t>
      </w:r>
      <w:hyperlink r:id="rId11" w:history="1">
        <w:r w:rsidRPr="003B3B6D">
          <w:rPr>
            <w:rStyle w:val="Hyperlink"/>
            <w:rFonts w:ascii="Palatino Linotype" w:hAnsi="Palatino Linotype"/>
          </w:rPr>
          <w:t>D.04-08-010</w:t>
        </w:r>
      </w:hyperlink>
      <w:r w:rsidRPr="003B3B6D">
        <w:rPr>
          <w:rFonts w:ascii="Palatino Linotype" w:hAnsi="Palatino Linotype"/>
        </w:rPr>
        <w:t xml:space="preserve"> at </w:t>
      </w:r>
      <w:r>
        <w:rPr>
          <w:rFonts w:ascii="Palatino Linotype" w:hAnsi="Palatino Linotype"/>
        </w:rPr>
        <w:t>1)</w:t>
      </w:r>
      <w:r w:rsidRPr="003B3B6D">
        <w:rPr>
          <w:rFonts w:ascii="Palatino Linotype" w:hAnsi="Palatino Linotype"/>
        </w:rPr>
        <w:t xml:space="preserve"> is captured in the compliance assessments of AL 12-G and 10-G-A with Public Utilities Code 740.1 at </w:t>
      </w:r>
      <w:r w:rsidRPr="00E7529D">
        <w:rPr>
          <w:rFonts w:ascii="Palatino Linotype" w:hAnsi="Palatino Linotype"/>
          <w:bCs/>
        </w:rPr>
        <w:t>(e)</w:t>
      </w:r>
      <w:r w:rsidRPr="00E7529D">
        <w:rPr>
          <w:rFonts w:ascii="Palatino Linotype" w:hAnsi="Palatino Linotype"/>
          <w:bCs/>
          <w:i/>
          <w:iCs/>
        </w:rPr>
        <w:t xml:space="preserve"> </w:t>
      </w:r>
      <w:r w:rsidRPr="00623E1A">
        <w:rPr>
          <w:rFonts w:ascii="Palatino Linotype" w:hAnsi="Palatino Linotype"/>
          <w:bCs/>
        </w:rPr>
        <w:t>“Each project should also support one or more of the following objective</w:t>
      </w:r>
      <w:r>
        <w:rPr>
          <w:rFonts w:ascii="Palatino Linotype" w:hAnsi="Palatino Linotype"/>
          <w:bCs/>
        </w:rPr>
        <w:t>s…”</w:t>
      </w:r>
    </w:p>
  </w:footnote>
  <w:footnote w:id="15">
    <w:p w14:paraId="5E1D401B" w14:textId="77777777" w:rsidR="00C766CC" w:rsidRPr="003B3B6D" w:rsidRDefault="00C766CC" w:rsidP="00C766CC">
      <w:pPr>
        <w:pStyle w:val="FootnoteText"/>
      </w:pPr>
      <w:r w:rsidRPr="003B3B6D">
        <w:rPr>
          <w:rStyle w:val="FootnoteReference"/>
        </w:rPr>
        <w:footnoteRef/>
      </w:r>
      <w:r w:rsidRPr="003B3B6D">
        <w:t xml:space="preserve"> </w:t>
      </w:r>
      <w:r w:rsidRPr="003B3B6D">
        <w:rPr>
          <w:rFonts w:ascii="Palatino Linotype" w:hAnsi="Palatino Linotype"/>
        </w:rPr>
        <w:t xml:space="preserve">The Commission’s compliance assessments of </w:t>
      </w:r>
      <w:hyperlink r:id="rId12" w:history="1">
        <w:r w:rsidRPr="003B3B6D">
          <w:rPr>
            <w:rStyle w:val="Hyperlink"/>
            <w:rFonts w:ascii="Palatino Linotype" w:hAnsi="Palatino Linotype"/>
          </w:rPr>
          <w:t>D.04-08-010</w:t>
        </w:r>
      </w:hyperlink>
      <w:r w:rsidRPr="003B3B6D">
        <w:rPr>
          <w:rFonts w:ascii="Palatino Linotype" w:hAnsi="Palatino Linotype"/>
        </w:rPr>
        <w:t xml:space="preserve"> at 3</w:t>
      </w:r>
      <w:r>
        <w:rPr>
          <w:rFonts w:ascii="Palatino Linotype" w:hAnsi="Palatino Linotype"/>
        </w:rPr>
        <w:t>)</w:t>
      </w:r>
      <w:r w:rsidRPr="003B3B6D">
        <w:rPr>
          <w:rFonts w:ascii="Palatino Linotype" w:hAnsi="Palatino Linotype"/>
        </w:rPr>
        <w:t xml:space="preserve"> is captured in the compliance assessments of AL 12-G and 10-G-A with </w:t>
      </w:r>
      <w:hyperlink r:id="rId13" w:history="1">
        <w:r w:rsidRPr="001E0A44">
          <w:rPr>
            <w:rStyle w:val="Hyperlink"/>
            <w:rFonts w:ascii="Palatino Linotype" w:hAnsi="Palatino Linotype"/>
          </w:rPr>
          <w:t>Resolution G-3603</w:t>
        </w:r>
      </w:hyperlink>
      <w:r>
        <w:rPr>
          <w:rFonts w:ascii="Palatino Linotype" w:hAnsi="Palatino Linotype"/>
        </w:rPr>
        <w:t xml:space="preserve"> (2024) at OP 6.</w:t>
      </w:r>
    </w:p>
  </w:footnote>
  <w:footnote w:id="16">
    <w:p w14:paraId="233131DD" w14:textId="77777777" w:rsidR="00C766CC" w:rsidRDefault="00C766CC" w:rsidP="00C766CC">
      <w:pPr>
        <w:pStyle w:val="FootnoteText"/>
      </w:pPr>
      <w:r w:rsidRPr="003B3B6D">
        <w:rPr>
          <w:rStyle w:val="FootnoteReference"/>
        </w:rPr>
        <w:footnoteRef/>
      </w:r>
      <w:r w:rsidRPr="003B3B6D">
        <w:t xml:space="preserve"> </w:t>
      </w:r>
      <w:r w:rsidRPr="003B3B6D">
        <w:rPr>
          <w:rFonts w:ascii="Palatino Linotype" w:hAnsi="Palatino Linotype"/>
        </w:rPr>
        <w:t xml:space="preserve">The Commission’s compliance assessments of </w:t>
      </w:r>
      <w:hyperlink r:id="rId14" w:history="1">
        <w:r w:rsidRPr="003B3B6D">
          <w:rPr>
            <w:rStyle w:val="Hyperlink"/>
            <w:rFonts w:ascii="Palatino Linotype" w:hAnsi="Palatino Linotype"/>
          </w:rPr>
          <w:t>D.04-08-010</w:t>
        </w:r>
      </w:hyperlink>
      <w:r w:rsidRPr="003B3B6D">
        <w:rPr>
          <w:rFonts w:ascii="Palatino Linotype" w:hAnsi="Palatino Linotype"/>
        </w:rPr>
        <w:t xml:space="preserve"> at 4</w:t>
      </w:r>
      <w:r>
        <w:rPr>
          <w:rFonts w:ascii="Palatino Linotype" w:hAnsi="Palatino Linotype"/>
        </w:rPr>
        <w:t>)</w:t>
      </w:r>
      <w:r w:rsidRPr="003B3B6D">
        <w:rPr>
          <w:rFonts w:ascii="Palatino Linotype" w:hAnsi="Palatino Linotype"/>
        </w:rPr>
        <w:t xml:space="preserve"> is captured in the compliance assessments of AL 12-G and 10-G-A with </w:t>
      </w:r>
      <w:hyperlink r:id="rId15" w:history="1">
        <w:r w:rsidRPr="003B3B6D">
          <w:rPr>
            <w:rStyle w:val="Hyperlink"/>
            <w:rFonts w:ascii="Palatino Linotype" w:hAnsi="Palatino Linotype"/>
          </w:rPr>
          <w:t>Resolution G-3592</w:t>
        </w:r>
      </w:hyperlink>
      <w:r w:rsidRPr="003B3B6D">
        <w:rPr>
          <w:rFonts w:ascii="Palatino Linotype" w:hAnsi="Palatino Linotype"/>
        </w:rPr>
        <w:t xml:space="preserve"> </w:t>
      </w:r>
      <w:r>
        <w:rPr>
          <w:rFonts w:ascii="Palatino Linotype" w:hAnsi="Palatino Linotype"/>
        </w:rPr>
        <w:t xml:space="preserve">(2023) </w:t>
      </w:r>
      <w:r w:rsidRPr="003B3B6D">
        <w:rPr>
          <w:rFonts w:ascii="Palatino Linotype" w:hAnsi="Palatino Linotype"/>
        </w:rPr>
        <w:t>at OP 5c. “[The CEC shall] describe its process for seeking collaborative and co-funding opportunitie</w:t>
      </w:r>
      <w:r>
        <w:rPr>
          <w:rFonts w:ascii="Palatino Linotype" w:hAnsi="Palatino Linotype"/>
        </w:rPr>
        <w:t>s.”</w:t>
      </w:r>
    </w:p>
  </w:footnote>
  <w:footnote w:id="17">
    <w:p w14:paraId="3152ADE6" w14:textId="77777777" w:rsidR="00C766CC" w:rsidRDefault="00C766CC" w:rsidP="00C766CC">
      <w:pPr>
        <w:pStyle w:val="FootnoteText"/>
      </w:pPr>
      <w:r>
        <w:rPr>
          <w:rStyle w:val="FootnoteReference"/>
        </w:rPr>
        <w:footnoteRef/>
      </w:r>
      <w:r>
        <w:t xml:space="preserve"> </w:t>
      </w:r>
      <w:hyperlink r:id="rId16" w:history="1">
        <w:r w:rsidRPr="002B1A2F">
          <w:rPr>
            <w:rStyle w:val="Hyperlink"/>
            <w:rFonts w:ascii="Palatino Linotype" w:hAnsi="Palatino Linotype"/>
          </w:rPr>
          <w:t>D.04-08-010</w:t>
        </w:r>
      </w:hyperlink>
      <w:r>
        <w:rPr>
          <w:rFonts w:ascii="Palatino Linotype" w:hAnsi="Palatino Linotype"/>
        </w:rPr>
        <w:t xml:space="preserve"> at FOF 32</w:t>
      </w:r>
      <w:r>
        <w:rPr>
          <w:rFonts w:ascii="Palatino Linotype" w:hAnsi="Palatino Linotype"/>
          <w:color w:val="000000" w:themeColor="text1"/>
        </w:rPr>
        <w:t>.</w:t>
      </w:r>
    </w:p>
  </w:footnote>
  <w:footnote w:id="18">
    <w:p w14:paraId="2E516C45" w14:textId="77777777" w:rsidR="00E0086A" w:rsidRDefault="00E0086A" w:rsidP="00E0086A">
      <w:pPr>
        <w:pStyle w:val="FootnoteText"/>
      </w:pPr>
      <w:r w:rsidRPr="006C480C">
        <w:rPr>
          <w:rStyle w:val="FootnoteReference"/>
        </w:rPr>
        <w:footnoteRef/>
      </w:r>
      <w:r w:rsidRPr="006C480C">
        <w:rPr>
          <w:rStyle w:val="FootnoteReference"/>
        </w:rPr>
        <w:t xml:space="preserve"> </w:t>
      </w:r>
      <w:hyperlink r:id="rId17" w:history="1">
        <w:r w:rsidRPr="002B1A2F">
          <w:rPr>
            <w:rStyle w:val="Hyperlink"/>
            <w:rFonts w:ascii="Palatino Linotype" w:hAnsi="Palatino Linotype"/>
          </w:rPr>
          <w:t>D.04-08-010</w:t>
        </w:r>
      </w:hyperlink>
      <w:r>
        <w:rPr>
          <w:rFonts w:ascii="Palatino Linotype" w:hAnsi="Palatino Linotype"/>
        </w:rPr>
        <w:t xml:space="preserve"> at p. </w:t>
      </w:r>
      <w:r w:rsidRPr="003C7ED1">
        <w:rPr>
          <w:rFonts w:ascii="Palatino Linotype" w:hAnsi="Palatino Linotype"/>
          <w:color w:val="000000" w:themeColor="text1"/>
        </w:rPr>
        <w:t>37-</w:t>
      </w:r>
      <w:r>
        <w:rPr>
          <w:rFonts w:ascii="Palatino Linotype" w:hAnsi="Palatino Linotype"/>
        </w:rPr>
        <w:t>38.</w:t>
      </w:r>
    </w:p>
  </w:footnote>
  <w:footnote w:id="19">
    <w:p w14:paraId="3290C553" w14:textId="77777777" w:rsidR="00CC68C2" w:rsidRPr="00676D5D" w:rsidRDefault="00CC68C2" w:rsidP="00CC68C2">
      <w:pPr>
        <w:pStyle w:val="FootnoteText"/>
        <w:rPr>
          <w:rFonts w:ascii="Palatino Linotype" w:hAnsi="Palatino Linotype"/>
        </w:rPr>
      </w:pPr>
      <w:r w:rsidRPr="00676D5D">
        <w:rPr>
          <w:rStyle w:val="FootnoteReference"/>
          <w:rFonts w:ascii="Palatino Linotype" w:hAnsi="Palatino Linotype"/>
        </w:rPr>
        <w:footnoteRef/>
      </w:r>
      <w:r w:rsidRPr="00676D5D">
        <w:rPr>
          <w:rFonts w:ascii="Palatino Linotype" w:hAnsi="Palatino Linotype"/>
        </w:rPr>
        <w:t xml:space="preserve"> </w:t>
      </w:r>
      <w:hyperlink r:id="rId18" w:history="1">
        <w:r w:rsidRPr="00676D5D">
          <w:rPr>
            <w:rStyle w:val="Hyperlink"/>
            <w:rFonts w:ascii="Palatino Linotype" w:hAnsi="Palatino Linotype"/>
          </w:rPr>
          <w:t>D.04-08-010</w:t>
        </w:r>
      </w:hyperlink>
      <w:r w:rsidRPr="00676D5D">
        <w:rPr>
          <w:rFonts w:ascii="Palatino Linotype" w:hAnsi="Palatino Linotype"/>
        </w:rPr>
        <w:t xml:space="preserve"> </w:t>
      </w:r>
      <w:r w:rsidRPr="007033DF">
        <w:rPr>
          <w:rFonts w:ascii="Palatino Linotype" w:hAnsi="Palatino Linotype"/>
          <w:color w:val="000000" w:themeColor="text1"/>
        </w:rPr>
        <w:t>at fn. 48. “Under zero-based budgeting, projects that qualify would be identified, including cost and benefit analysis, and then summed.  The Commission would determine the total appropriate funding, and include this amount in determining a surcharge.  In the event a zero-based budget has not been set in time for January 1 surcharge rate updates, the surcharge will be set using the amount of the annual program spending cap.  Over or under collections (including balances in excess of project costs) of R&amp;D costs will be adjusted for in the following January 1 surcharge rates.”</w:t>
      </w:r>
    </w:p>
  </w:footnote>
  <w:footnote w:id="20">
    <w:p w14:paraId="5E810E83" w14:textId="77777777" w:rsidR="006A069B" w:rsidRDefault="006A069B" w:rsidP="006A069B">
      <w:pPr>
        <w:pStyle w:val="FootnoteText"/>
      </w:pPr>
      <w:r>
        <w:rPr>
          <w:rStyle w:val="FootnoteReference"/>
        </w:rPr>
        <w:footnoteRef/>
      </w:r>
      <w:r>
        <w:t xml:space="preserve"> </w:t>
      </w:r>
      <w:hyperlink r:id="rId19" w:history="1">
        <w:r w:rsidRPr="002B1A2F">
          <w:rPr>
            <w:rStyle w:val="Hyperlink"/>
            <w:rFonts w:ascii="Palatino Linotype" w:hAnsi="Palatino Linotype"/>
          </w:rPr>
          <w:t>D.04-08-010</w:t>
        </w:r>
      </w:hyperlink>
      <w:r>
        <w:rPr>
          <w:rFonts w:ascii="Palatino Linotype" w:hAnsi="Palatino Linotype"/>
        </w:rPr>
        <w:t xml:space="preserve"> at p. 44.</w:t>
      </w:r>
    </w:p>
  </w:footnote>
  <w:footnote w:id="21">
    <w:p w14:paraId="4B0DF5EA" w14:textId="77777777" w:rsidR="00B00D19" w:rsidRPr="00E73D03" w:rsidRDefault="00B00D19" w:rsidP="00B00D19">
      <w:pPr>
        <w:pStyle w:val="FootnoteText"/>
      </w:pPr>
      <w:r w:rsidRPr="00E73D03">
        <w:rPr>
          <w:rStyle w:val="FootnoteReference"/>
        </w:rPr>
        <w:footnoteRef/>
      </w:r>
      <w:r w:rsidRPr="00E73D03">
        <w:t xml:space="preserve"> </w:t>
      </w:r>
      <w:hyperlink r:id="rId20" w:history="1">
        <w:r w:rsidRPr="00E73D03">
          <w:rPr>
            <w:rStyle w:val="Hyperlink"/>
            <w:rFonts w:ascii="Palatino Linotype" w:hAnsi="Palatino Linotype"/>
          </w:rPr>
          <w:t>D.04-08-010</w:t>
        </w:r>
      </w:hyperlink>
      <w:r w:rsidRPr="00E73D03">
        <w:rPr>
          <w:rFonts w:ascii="Palatino Linotype" w:hAnsi="Palatino Linotype"/>
        </w:rPr>
        <w:t xml:space="preserve"> at p. 41-42 &amp; OP 20.</w:t>
      </w:r>
    </w:p>
  </w:footnote>
  <w:footnote w:id="22">
    <w:p w14:paraId="3194947E" w14:textId="62DEB0FC" w:rsidR="00E432C6" w:rsidRDefault="00E432C6">
      <w:pPr>
        <w:pStyle w:val="FootnoteText"/>
      </w:pPr>
      <w:r>
        <w:rPr>
          <w:rStyle w:val="FootnoteReference"/>
        </w:rPr>
        <w:footnoteRef/>
      </w:r>
      <w:r>
        <w:t xml:space="preserve"> </w:t>
      </w:r>
      <w:hyperlink r:id="rId21" w:history="1">
        <w:r w:rsidRPr="002B1A2F">
          <w:rPr>
            <w:rStyle w:val="Hyperlink"/>
            <w:rFonts w:ascii="Palatino Linotype" w:hAnsi="Palatino Linotype"/>
          </w:rPr>
          <w:t>D.04-08-010</w:t>
        </w:r>
      </w:hyperlink>
      <w:r>
        <w:rPr>
          <w:rFonts w:ascii="Palatino Linotype" w:hAnsi="Palatino Linotype"/>
        </w:rPr>
        <w:t xml:space="preserve"> at p. 41</w:t>
      </w:r>
      <w:r w:rsidR="00887E4C">
        <w:rPr>
          <w:rFonts w:ascii="Palatino Linotype" w:hAnsi="Palatino Linotype"/>
        </w:rPr>
        <w:t>-42.</w:t>
      </w:r>
    </w:p>
  </w:footnote>
  <w:footnote w:id="23">
    <w:p w14:paraId="1D417DCA" w14:textId="3A924E6A" w:rsidR="0097167A" w:rsidRDefault="0097167A">
      <w:pPr>
        <w:pStyle w:val="FootnoteText"/>
      </w:pPr>
      <w:r>
        <w:rPr>
          <w:rStyle w:val="FootnoteReference"/>
        </w:rPr>
        <w:footnoteRef/>
      </w:r>
      <w:r>
        <w:t xml:space="preserve"> </w:t>
      </w:r>
      <w:hyperlink r:id="rId22" w:history="1">
        <w:r w:rsidRPr="001F2655">
          <w:rPr>
            <w:rStyle w:val="Hyperlink"/>
            <w:rFonts w:ascii="Palatino Linotype" w:hAnsi="Palatino Linotype"/>
          </w:rPr>
          <w:t>Resolution G-3371</w:t>
        </w:r>
      </w:hyperlink>
      <w:r w:rsidRPr="008B4E20">
        <w:rPr>
          <w:rFonts w:ascii="Palatino Linotype" w:hAnsi="Palatino Linotype"/>
        </w:rPr>
        <w:t xml:space="preserve"> (2004): </w:t>
      </w:r>
      <w:r w:rsidR="008B4E20" w:rsidRPr="008B4E20">
        <w:rPr>
          <w:rFonts w:ascii="Palatino Linotype" w:hAnsi="Palatino Linotype"/>
        </w:rPr>
        <w:t>Approving CEC’s CY 2005 Gas RD&amp;D Plan.</w:t>
      </w:r>
    </w:p>
  </w:footnote>
  <w:footnote w:id="24">
    <w:p w14:paraId="5BFA5A97" w14:textId="77777777" w:rsidR="00617B23" w:rsidRPr="0024782B" w:rsidRDefault="00617B23" w:rsidP="00677332">
      <w:pPr>
        <w:pStyle w:val="FootnoteText"/>
        <w:rPr>
          <w:rFonts w:ascii="Palatino Linotype" w:hAnsi="Palatino Linotype"/>
        </w:rPr>
      </w:pPr>
      <w:r w:rsidRPr="0024782B">
        <w:rPr>
          <w:rStyle w:val="FootnoteReference"/>
          <w:rFonts w:ascii="Palatino Linotype" w:hAnsi="Palatino Linotype"/>
        </w:rPr>
        <w:footnoteRef/>
      </w:r>
      <w:r w:rsidRPr="0024782B">
        <w:rPr>
          <w:rFonts w:ascii="Palatino Linotype" w:hAnsi="Palatino Linotype"/>
        </w:rPr>
        <w:t xml:space="preserve"> AL 12-G at p. 2 &amp; 24.</w:t>
      </w:r>
    </w:p>
  </w:footnote>
  <w:footnote w:id="25">
    <w:p w14:paraId="0405A4DF" w14:textId="7073C72E" w:rsidR="00EB2216" w:rsidRPr="0024782B" w:rsidRDefault="00EB2216" w:rsidP="00EB2216">
      <w:pPr>
        <w:pStyle w:val="FootnoteText"/>
        <w:rPr>
          <w:rFonts w:ascii="Palatino Linotype" w:hAnsi="Palatino Linotype"/>
        </w:rPr>
      </w:pPr>
      <w:r w:rsidRPr="0024782B">
        <w:rPr>
          <w:rStyle w:val="FootnoteReference"/>
          <w:rFonts w:ascii="Palatino Linotype" w:hAnsi="Palatino Linotype"/>
        </w:rPr>
        <w:footnoteRef/>
      </w:r>
      <w:r w:rsidRPr="0024782B">
        <w:rPr>
          <w:rFonts w:ascii="Palatino Linotype" w:hAnsi="Palatino Linotype"/>
        </w:rPr>
        <w:t xml:space="preserve"> AL 12-G at p. </w:t>
      </w:r>
      <w:r w:rsidR="001E618C" w:rsidRPr="0024782B">
        <w:rPr>
          <w:rFonts w:ascii="Palatino Linotype" w:hAnsi="Palatino Linotype"/>
        </w:rPr>
        <w:t>24-</w:t>
      </w:r>
      <w:r w:rsidRPr="0024782B">
        <w:rPr>
          <w:rFonts w:ascii="Palatino Linotype" w:hAnsi="Palatino Linotype"/>
        </w:rPr>
        <w:t>25.</w:t>
      </w:r>
    </w:p>
  </w:footnote>
  <w:footnote w:id="26">
    <w:p w14:paraId="78290693" w14:textId="31F58EF9" w:rsidR="004115E3" w:rsidRPr="0024782B" w:rsidRDefault="004115E3">
      <w:pPr>
        <w:pStyle w:val="FootnoteText"/>
        <w:rPr>
          <w:rFonts w:ascii="Palatino Linotype" w:hAnsi="Palatino Linotype"/>
        </w:rPr>
      </w:pPr>
      <w:r w:rsidRPr="0024782B">
        <w:rPr>
          <w:rStyle w:val="FootnoteReference"/>
          <w:rFonts w:ascii="Palatino Linotype" w:hAnsi="Palatino Linotype"/>
        </w:rPr>
        <w:footnoteRef/>
      </w:r>
      <w:r w:rsidRPr="0024782B">
        <w:rPr>
          <w:rFonts w:ascii="Palatino Linotype" w:hAnsi="Palatino Linotype"/>
        </w:rPr>
        <w:t xml:space="preserve"> AL 12-G at p. 2</w:t>
      </w:r>
      <w:r w:rsidR="00BA2BC9" w:rsidRPr="0024782B">
        <w:rPr>
          <w:rFonts w:ascii="Palatino Linotype" w:hAnsi="Palatino Linotype"/>
        </w:rPr>
        <w:t>5-</w:t>
      </w:r>
      <w:r w:rsidR="001E618C" w:rsidRPr="0024782B">
        <w:rPr>
          <w:rFonts w:ascii="Palatino Linotype" w:hAnsi="Palatino Linotype"/>
        </w:rPr>
        <w:t>32</w:t>
      </w:r>
      <w:r w:rsidRPr="0024782B">
        <w:rPr>
          <w:rFonts w:ascii="Palatino Linotype" w:hAnsi="Palatino Linotype"/>
        </w:rPr>
        <w:t>.</w:t>
      </w:r>
    </w:p>
  </w:footnote>
  <w:footnote w:id="27">
    <w:p w14:paraId="2F47417D" w14:textId="21051B96" w:rsidR="009C0FE9" w:rsidRDefault="009C0FE9">
      <w:pPr>
        <w:pStyle w:val="FootnoteText"/>
      </w:pPr>
      <w:r w:rsidRPr="0024782B">
        <w:rPr>
          <w:rStyle w:val="FootnoteReference"/>
          <w:rFonts w:ascii="Palatino Linotype" w:hAnsi="Palatino Linotype"/>
        </w:rPr>
        <w:footnoteRef/>
      </w:r>
      <w:r w:rsidRPr="0024782B">
        <w:rPr>
          <w:rFonts w:ascii="Palatino Linotype" w:hAnsi="Palatino Linotype"/>
        </w:rPr>
        <w:t xml:space="preserve"> AL 12-G at p. 2</w:t>
      </w:r>
      <w:r w:rsidR="00060E1A" w:rsidRPr="0024782B">
        <w:rPr>
          <w:rFonts w:ascii="Palatino Linotype" w:hAnsi="Palatino Linotype"/>
        </w:rPr>
        <w:t xml:space="preserve"> &amp; 24</w:t>
      </w:r>
      <w:r w:rsidRPr="0024782B">
        <w:rPr>
          <w:rFonts w:ascii="Palatino Linotype" w:hAnsi="Palatino Linotype"/>
        </w:rPr>
        <w:t>.</w:t>
      </w:r>
    </w:p>
  </w:footnote>
  <w:footnote w:id="28">
    <w:p w14:paraId="1E2BAA5D" w14:textId="23D0C3C2" w:rsidR="00E7449B" w:rsidRPr="002537CB" w:rsidRDefault="00E7449B">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AL 12-G at p. 32-33.</w:t>
      </w:r>
    </w:p>
  </w:footnote>
  <w:footnote w:id="29">
    <w:p w14:paraId="6E9A4CE6" w14:textId="5BE7134F" w:rsidR="00F40B9C" w:rsidRPr="002537CB" w:rsidRDefault="00F40B9C">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AL 12-G at p. 33</w:t>
      </w:r>
      <w:r w:rsidR="005B5B1B" w:rsidRPr="002537CB">
        <w:rPr>
          <w:rFonts w:ascii="Palatino Linotype" w:hAnsi="Palatino Linotype"/>
        </w:rPr>
        <w:t>-38.</w:t>
      </w:r>
    </w:p>
  </w:footnote>
  <w:footnote w:id="30">
    <w:p w14:paraId="0C685C82" w14:textId="28CA49B3" w:rsidR="009C0FE9" w:rsidRPr="002537CB" w:rsidRDefault="009C0FE9">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w:t>
      </w:r>
      <w:r w:rsidR="00060E1A" w:rsidRPr="002537CB">
        <w:rPr>
          <w:rFonts w:ascii="Palatino Linotype" w:hAnsi="Palatino Linotype"/>
        </w:rPr>
        <w:t>AL 12-G at p. 2 &amp; 24.</w:t>
      </w:r>
    </w:p>
  </w:footnote>
  <w:footnote w:id="31">
    <w:p w14:paraId="1AF3698F" w14:textId="16B0BA26" w:rsidR="00041D44" w:rsidRDefault="00041D44">
      <w:pPr>
        <w:pStyle w:val="FootnoteText"/>
      </w:pPr>
      <w:r w:rsidRPr="002537CB">
        <w:rPr>
          <w:rStyle w:val="FootnoteReference"/>
          <w:rFonts w:ascii="Palatino Linotype" w:hAnsi="Palatino Linotype"/>
        </w:rPr>
        <w:footnoteRef/>
      </w:r>
      <w:r w:rsidRPr="002537CB">
        <w:rPr>
          <w:rFonts w:ascii="Palatino Linotype" w:hAnsi="Palatino Linotype"/>
        </w:rPr>
        <w:t xml:space="preserve"> AL 12-G at p. 39</w:t>
      </w:r>
      <w:r w:rsidR="00381225" w:rsidRPr="002537CB">
        <w:rPr>
          <w:rFonts w:ascii="Palatino Linotype" w:hAnsi="Palatino Linotype"/>
        </w:rPr>
        <w:t>-40</w:t>
      </w:r>
      <w:r w:rsidRPr="002537CB">
        <w:rPr>
          <w:rFonts w:ascii="Palatino Linotype" w:hAnsi="Palatino Linotype"/>
        </w:rPr>
        <w:t>.</w:t>
      </w:r>
    </w:p>
  </w:footnote>
  <w:footnote w:id="32">
    <w:p w14:paraId="43016A9C" w14:textId="20F9FDC0" w:rsidR="00122E08" w:rsidRPr="005E547D" w:rsidRDefault="00122E08">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AL 12-G at p. 40-4</w:t>
      </w:r>
      <w:r w:rsidR="009D1DD6" w:rsidRPr="005E547D">
        <w:rPr>
          <w:rFonts w:ascii="Palatino Linotype" w:hAnsi="Palatino Linotype"/>
        </w:rPr>
        <w:t>9</w:t>
      </w:r>
      <w:r w:rsidRPr="005E547D">
        <w:rPr>
          <w:rFonts w:ascii="Palatino Linotype" w:hAnsi="Palatino Linotype"/>
        </w:rPr>
        <w:t>.</w:t>
      </w:r>
    </w:p>
  </w:footnote>
  <w:footnote w:id="33">
    <w:p w14:paraId="2F62D31B" w14:textId="2FE0D9F4" w:rsidR="00914B89" w:rsidRPr="005E547D" w:rsidRDefault="00914B89">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w:t>
      </w:r>
      <w:r w:rsidR="00060E1A" w:rsidRPr="005E547D">
        <w:rPr>
          <w:rFonts w:ascii="Palatino Linotype" w:hAnsi="Palatino Linotype"/>
        </w:rPr>
        <w:t>AL 12-G at p. 2 &amp; 24.</w:t>
      </w:r>
    </w:p>
  </w:footnote>
  <w:footnote w:id="34">
    <w:p w14:paraId="2B1A6163" w14:textId="4F57B152" w:rsidR="009C0FE9" w:rsidRPr="005E547D" w:rsidRDefault="009C0FE9">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w:t>
      </w:r>
      <w:r w:rsidR="00060E1A" w:rsidRPr="005E547D">
        <w:rPr>
          <w:rFonts w:ascii="Palatino Linotype" w:hAnsi="Palatino Linotype"/>
        </w:rPr>
        <w:t>AL 12-G at p. 2 &amp; 24.</w:t>
      </w:r>
    </w:p>
  </w:footnote>
  <w:footnote w:id="35">
    <w:p w14:paraId="77446F73" w14:textId="119BE32E" w:rsidR="009C0FE9" w:rsidRDefault="009C0FE9">
      <w:pPr>
        <w:pStyle w:val="FootnoteText"/>
      </w:pPr>
      <w:r w:rsidRPr="005E547D">
        <w:rPr>
          <w:rStyle w:val="FootnoteReference"/>
          <w:rFonts w:ascii="Palatino Linotype" w:hAnsi="Palatino Linotype"/>
        </w:rPr>
        <w:footnoteRef/>
      </w:r>
      <w:r w:rsidRPr="005E547D">
        <w:rPr>
          <w:rFonts w:ascii="Palatino Linotype" w:hAnsi="Palatino Linotype"/>
        </w:rPr>
        <w:t xml:space="preserve"> </w:t>
      </w:r>
      <w:r w:rsidR="00EE39ED" w:rsidRPr="005E547D">
        <w:rPr>
          <w:rFonts w:ascii="Palatino Linotype" w:hAnsi="Palatino Linotype"/>
        </w:rPr>
        <w:t>AL 12-G at p. 2, p. 24, &amp; Appendix F</w:t>
      </w:r>
      <w:r w:rsidR="00221BF7" w:rsidRPr="005E547D">
        <w:rPr>
          <w:rFonts w:ascii="Palatino Linotype" w:hAnsi="Palatino Linotype"/>
        </w:rPr>
        <w:t>.</w:t>
      </w:r>
    </w:p>
  </w:footnote>
  <w:footnote w:id="36">
    <w:p w14:paraId="41B9D3D3" w14:textId="77777777" w:rsidR="00B55A62" w:rsidRPr="008F3DB5" w:rsidRDefault="00B55A62" w:rsidP="00677332">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 &amp; 22.</w:t>
      </w:r>
    </w:p>
  </w:footnote>
  <w:footnote w:id="37">
    <w:p w14:paraId="0B455387" w14:textId="5A878182" w:rsidR="000C3FB4" w:rsidRPr="008F3DB5" w:rsidRDefault="000C3FB4">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w:t>
      </w:r>
      <w:r w:rsidR="004B067B" w:rsidRPr="008F3DB5">
        <w:rPr>
          <w:rFonts w:ascii="Palatino Linotype" w:hAnsi="Palatino Linotype"/>
        </w:rPr>
        <w:t>0</w:t>
      </w:r>
      <w:r w:rsidRPr="008F3DB5">
        <w:rPr>
          <w:rFonts w:ascii="Palatino Linotype" w:hAnsi="Palatino Linotype"/>
        </w:rPr>
        <w:t>-G-</w:t>
      </w:r>
      <w:r w:rsidRPr="008F3DB5">
        <w:rPr>
          <w:rFonts w:ascii="Palatino Linotype" w:hAnsi="Palatino Linotype"/>
          <w:color w:val="0D0D0D" w:themeColor="text1" w:themeTint="F2"/>
        </w:rPr>
        <w:t xml:space="preserve">A at p. </w:t>
      </w:r>
      <w:r w:rsidR="004B067B" w:rsidRPr="008F3DB5">
        <w:rPr>
          <w:rFonts w:ascii="Palatino Linotype" w:hAnsi="Palatino Linotype"/>
          <w:color w:val="0D0D0D" w:themeColor="text1" w:themeTint="F2"/>
        </w:rPr>
        <w:t>2</w:t>
      </w:r>
      <w:r w:rsidR="00D24CB1" w:rsidRPr="008F3DB5">
        <w:rPr>
          <w:rFonts w:ascii="Palatino Linotype" w:hAnsi="Palatino Linotype"/>
          <w:color w:val="0D0D0D" w:themeColor="text1" w:themeTint="F2"/>
        </w:rPr>
        <w:t>3-25</w:t>
      </w:r>
      <w:r w:rsidR="004B067B" w:rsidRPr="008F3DB5">
        <w:rPr>
          <w:rFonts w:ascii="Palatino Linotype" w:hAnsi="Palatino Linotype"/>
          <w:color w:val="0D0D0D" w:themeColor="text1" w:themeTint="F2"/>
        </w:rPr>
        <w:t>.</w:t>
      </w:r>
    </w:p>
  </w:footnote>
  <w:footnote w:id="38">
    <w:p w14:paraId="6BB87027" w14:textId="51121A88" w:rsidR="00953778" w:rsidRPr="008F3DB5" w:rsidRDefault="00953778">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w:t>
      </w:r>
      <w:r w:rsidR="0028687B" w:rsidRPr="008F3DB5">
        <w:rPr>
          <w:rFonts w:ascii="Palatino Linotype" w:hAnsi="Palatino Linotype"/>
          <w:color w:val="0D0D0D" w:themeColor="text1" w:themeTint="F2"/>
        </w:rPr>
        <w:t>5-31</w:t>
      </w:r>
      <w:r w:rsidRPr="008F3DB5">
        <w:rPr>
          <w:rFonts w:ascii="Palatino Linotype" w:hAnsi="Palatino Linotype"/>
          <w:color w:val="0D0D0D" w:themeColor="text1" w:themeTint="F2"/>
        </w:rPr>
        <w:t>.</w:t>
      </w:r>
    </w:p>
  </w:footnote>
  <w:footnote w:id="39">
    <w:p w14:paraId="183E11A1" w14:textId="6177ED47" w:rsidR="00DD07C6" w:rsidRDefault="00DD07C6">
      <w:pPr>
        <w:pStyle w:val="FootnoteText"/>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 &amp; 22.</w:t>
      </w:r>
    </w:p>
  </w:footnote>
  <w:footnote w:id="40">
    <w:p w14:paraId="7912F661" w14:textId="1D1EF31A" w:rsidR="00EB2157" w:rsidRPr="008F3DB5" w:rsidRDefault="00EB215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581538" w:rsidRPr="008F3DB5">
        <w:rPr>
          <w:rFonts w:ascii="Palatino Linotype" w:hAnsi="Palatino Linotype"/>
          <w:color w:val="0D0D0D" w:themeColor="text1" w:themeTint="F2"/>
        </w:rPr>
        <w:t>31-3</w:t>
      </w:r>
      <w:r w:rsidR="00DD624B" w:rsidRPr="008F3DB5">
        <w:rPr>
          <w:rFonts w:ascii="Palatino Linotype" w:hAnsi="Palatino Linotype"/>
          <w:color w:val="0D0D0D" w:themeColor="text1" w:themeTint="F2"/>
        </w:rPr>
        <w:t>7</w:t>
      </w:r>
      <w:r w:rsidR="00581538" w:rsidRPr="008F3DB5">
        <w:rPr>
          <w:rFonts w:ascii="Palatino Linotype" w:hAnsi="Palatino Linotype"/>
          <w:color w:val="0D0D0D" w:themeColor="text1" w:themeTint="F2"/>
        </w:rPr>
        <w:t>.</w:t>
      </w:r>
    </w:p>
  </w:footnote>
  <w:footnote w:id="41">
    <w:p w14:paraId="111D7AB3" w14:textId="61580456" w:rsidR="00221BF7" w:rsidRPr="008F3DB5" w:rsidRDefault="00221BF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A at p. 2 &amp; 22.</w:t>
      </w:r>
    </w:p>
  </w:footnote>
  <w:footnote w:id="42">
    <w:p w14:paraId="0739DD6D" w14:textId="4C4455A5" w:rsidR="004A0BA5" w:rsidRPr="008F3DB5" w:rsidRDefault="004A0BA5" w:rsidP="004A0BA5">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DD624B" w:rsidRPr="008F3DB5">
        <w:rPr>
          <w:rFonts w:ascii="Palatino Linotype" w:hAnsi="Palatino Linotype"/>
          <w:color w:val="0D0D0D" w:themeColor="text1" w:themeTint="F2"/>
        </w:rPr>
        <w:t>37-38</w:t>
      </w:r>
      <w:r w:rsidRPr="008F3DB5">
        <w:rPr>
          <w:rFonts w:ascii="Palatino Linotype" w:hAnsi="Palatino Linotype"/>
          <w:color w:val="0D0D0D" w:themeColor="text1" w:themeTint="F2"/>
        </w:rPr>
        <w:t>.</w:t>
      </w:r>
    </w:p>
  </w:footnote>
  <w:footnote w:id="43">
    <w:p w14:paraId="433AB53C" w14:textId="1BB41374" w:rsidR="00024E40" w:rsidRPr="008F3DB5" w:rsidRDefault="00024E40">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DD624B" w:rsidRPr="008F3DB5">
        <w:rPr>
          <w:rFonts w:ascii="Palatino Linotype" w:hAnsi="Palatino Linotype"/>
          <w:color w:val="0D0D0D" w:themeColor="text1" w:themeTint="F2"/>
        </w:rPr>
        <w:t>38-45.</w:t>
      </w:r>
    </w:p>
  </w:footnote>
  <w:footnote w:id="44">
    <w:p w14:paraId="2F61E7CB" w14:textId="1B6089EE" w:rsidR="00221BF7" w:rsidRPr="008F3DB5" w:rsidRDefault="00221BF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A at p. 2 &amp; 22.</w:t>
      </w:r>
    </w:p>
  </w:footnote>
  <w:footnote w:id="45">
    <w:p w14:paraId="6953775A" w14:textId="3B8583EE" w:rsidR="00EE39ED" w:rsidRDefault="00EE39ED">
      <w:pPr>
        <w:pStyle w:val="FootnoteText"/>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 xml:space="preserve">A at p. 2, p. 22, </w:t>
      </w:r>
      <w:r w:rsidRPr="008F3DB5">
        <w:rPr>
          <w:rFonts w:ascii="Palatino Linotype" w:hAnsi="Palatino Linotype"/>
        </w:rPr>
        <w:t>&amp; Appendix F.</w:t>
      </w:r>
    </w:p>
  </w:footnote>
  <w:footnote w:id="46">
    <w:p w14:paraId="00BDB40E" w14:textId="11939794" w:rsidR="0019372D" w:rsidRDefault="0019372D">
      <w:pPr>
        <w:pStyle w:val="FootnoteText"/>
      </w:pPr>
      <w:r>
        <w:rPr>
          <w:rStyle w:val="FootnoteReference"/>
        </w:rPr>
        <w:footnoteRef/>
      </w:r>
      <w:r>
        <w:t xml:space="preserve"> </w:t>
      </w:r>
      <w:r w:rsidRPr="00096EBA">
        <w:rPr>
          <w:rFonts w:ascii="Palatino Linotype" w:hAnsi="Palatino Linotype"/>
        </w:rPr>
        <w:t>California Public Utilities Code Section 740.1</w:t>
      </w:r>
      <w:r>
        <w:t xml:space="preserve"> </w:t>
      </w:r>
      <w:r w:rsidRPr="00CD1B3E">
        <w:rPr>
          <w:rFonts w:ascii="Palatino Linotype" w:hAnsi="Palatino Linotype"/>
        </w:rPr>
        <w:t>at (d).</w:t>
      </w:r>
    </w:p>
  </w:footnote>
  <w:footnote w:id="47">
    <w:p w14:paraId="6F59DE75" w14:textId="04D41AE8" w:rsidR="0019372D" w:rsidRDefault="0019372D" w:rsidP="0019372D">
      <w:pPr>
        <w:pStyle w:val="FootnoteText"/>
      </w:pPr>
      <w:r>
        <w:rPr>
          <w:rStyle w:val="FootnoteReference"/>
        </w:rPr>
        <w:footnoteRef/>
      </w:r>
      <w:r>
        <w:t xml:space="preserve"> </w:t>
      </w:r>
      <w:hyperlink r:id="rId23" w:history="1">
        <w:r w:rsidRPr="00CD1B3E">
          <w:rPr>
            <w:rStyle w:val="Hyperlink"/>
            <w:rFonts w:ascii="Palatino Linotype" w:hAnsi="Palatino Linotype"/>
          </w:rPr>
          <w:t>D.04-08-010</w:t>
        </w:r>
      </w:hyperlink>
      <w:r w:rsidRPr="00CD1B3E">
        <w:rPr>
          <w:rFonts w:ascii="Palatino Linotype" w:hAnsi="Palatino Linotype"/>
        </w:rPr>
        <w:t xml:space="preserve"> at </w:t>
      </w:r>
      <w:r>
        <w:rPr>
          <w:rFonts w:ascii="Palatino Linotype" w:hAnsi="Palatino Linotype"/>
        </w:rPr>
        <w:t xml:space="preserve">p. </w:t>
      </w:r>
      <w:r w:rsidRPr="00CD1B3E">
        <w:rPr>
          <w:rFonts w:ascii="Palatino Linotype" w:hAnsi="Palatino Linotype"/>
        </w:rPr>
        <w:t>47 &amp; 50.</w:t>
      </w:r>
    </w:p>
  </w:footnote>
  <w:footnote w:id="48">
    <w:p w14:paraId="262B74B9" w14:textId="6479DB8B" w:rsidR="0019372D" w:rsidRPr="00EF3753" w:rsidRDefault="0019372D">
      <w:pPr>
        <w:pStyle w:val="FootnoteText"/>
        <w:rPr>
          <w:color w:val="EE0000"/>
        </w:rPr>
      </w:pPr>
      <w:r>
        <w:rPr>
          <w:rStyle w:val="FootnoteReference"/>
        </w:rPr>
        <w:footnoteRef/>
      </w:r>
      <w:r>
        <w:t xml:space="preserve"> </w:t>
      </w:r>
      <w:hyperlink r:id="rId24" w:history="1">
        <w:r w:rsidR="00BD59ED">
          <w:rPr>
            <w:rStyle w:val="Hyperlink"/>
            <w:rFonts w:ascii="Palatino Linotype" w:hAnsi="Palatino Linotype"/>
          </w:rPr>
          <w:t>Resolution G-3603</w:t>
        </w:r>
      </w:hyperlink>
      <w:r w:rsidR="00BB7E9C">
        <w:rPr>
          <w:rFonts w:ascii="Palatino Linotype" w:hAnsi="Palatino Linotype"/>
        </w:rPr>
        <w:t xml:space="preserve"> (202</w:t>
      </w:r>
      <w:r w:rsidR="00BD59ED">
        <w:rPr>
          <w:rFonts w:ascii="Palatino Linotype" w:hAnsi="Palatino Linotype"/>
        </w:rPr>
        <w:t>4</w:t>
      </w:r>
      <w:r w:rsidR="00BB7E9C">
        <w:rPr>
          <w:rFonts w:ascii="Palatino Linotype" w:hAnsi="Palatino Linotype"/>
        </w:rPr>
        <w:t>)</w:t>
      </w:r>
      <w:r w:rsidR="00BD59ED">
        <w:rPr>
          <w:rFonts w:ascii="Palatino Linotype" w:hAnsi="Palatino Linotype"/>
        </w:rPr>
        <w:t xml:space="preserve"> </w:t>
      </w:r>
      <w:r w:rsidR="00C268EB">
        <w:rPr>
          <w:rStyle w:val="eop"/>
          <w:rFonts w:ascii="Palatino Linotype" w:eastAsiaTheme="majorEastAsia" w:hAnsi="Palatino Linotype"/>
        </w:rPr>
        <w:t>at OP 4.</w:t>
      </w:r>
    </w:p>
  </w:footnote>
  <w:footnote w:id="49">
    <w:p w14:paraId="3D32B2A8" w14:textId="3B607C96" w:rsidR="00036DB0" w:rsidRDefault="00036DB0">
      <w:pPr>
        <w:pStyle w:val="FootnoteText"/>
      </w:pPr>
      <w:r>
        <w:rPr>
          <w:rStyle w:val="FootnoteReference"/>
        </w:rPr>
        <w:footnoteRef/>
      </w:r>
      <w:r>
        <w:t xml:space="preserve"> </w:t>
      </w:r>
      <w:hyperlink r:id="rId25" w:history="1">
        <w:r w:rsidR="00A7552B" w:rsidRPr="00685BF8">
          <w:rPr>
            <w:rStyle w:val="Hyperlink"/>
            <w:rFonts w:ascii="Palatino Linotype" w:hAnsi="Palatino Linotype"/>
          </w:rPr>
          <w:t>Senate Bill (SB) 1221</w:t>
        </w:r>
      </w:hyperlink>
      <w:r w:rsidR="00A7552B" w:rsidRPr="00685BF8">
        <w:rPr>
          <w:rFonts w:ascii="Palatino Linotype" w:hAnsi="Palatino Linotype"/>
        </w:rPr>
        <w:t xml:space="preserve"> (</w:t>
      </w:r>
      <w:r w:rsidR="00685BF8" w:rsidRPr="00685BF8">
        <w:rPr>
          <w:rFonts w:ascii="Palatino Linotype" w:hAnsi="Palatino Linotype"/>
        </w:rPr>
        <w:t>2024).</w:t>
      </w:r>
      <w:r w:rsidR="00BB509C">
        <w:rPr>
          <w:rFonts w:ascii="Palatino Linotype" w:hAnsi="Palatino Linotype"/>
        </w:rPr>
        <w:t xml:space="preserve"> </w:t>
      </w:r>
      <w:r w:rsidR="00BB509C" w:rsidRPr="00D24B8F">
        <w:rPr>
          <w:rFonts w:ascii="Palatino Linotype" w:hAnsi="Palatino Linotype"/>
          <w:i/>
          <w:iCs/>
        </w:rPr>
        <w:t>Gas Corporations: Ceasing Service: Priority Neighborhood Decarbonization Zones.</w:t>
      </w:r>
    </w:p>
  </w:footnote>
  <w:footnote w:id="50">
    <w:p w14:paraId="66B7BD78" w14:textId="5351E10E" w:rsidR="008A1CF0" w:rsidRDefault="008A1CF0">
      <w:pPr>
        <w:pStyle w:val="FootnoteText"/>
      </w:pPr>
      <w:r>
        <w:rPr>
          <w:rStyle w:val="FootnoteReference"/>
        </w:rPr>
        <w:footnoteRef/>
      </w:r>
      <w:r>
        <w:t xml:space="preserve"> </w:t>
      </w:r>
      <w:hyperlink r:id="rId26" w:history="1">
        <w:r w:rsidRPr="00380AAF">
          <w:rPr>
            <w:rStyle w:val="Hyperlink"/>
            <w:rFonts w:ascii="Palatino Linotype" w:hAnsi="Palatino Linotype"/>
          </w:rPr>
          <w:t>R.24-09-012</w:t>
        </w:r>
      </w:hyperlink>
      <w:r w:rsidR="00BB509C">
        <w:rPr>
          <w:rFonts w:ascii="Palatino Linotype" w:hAnsi="Palatino Linotype"/>
        </w:rPr>
        <w:t xml:space="preserve"> (2024)</w:t>
      </w:r>
      <w:r w:rsidRPr="008A1CF0">
        <w:rPr>
          <w:rFonts w:ascii="Palatino Linotype" w:hAnsi="Palatino Linotype"/>
        </w:rPr>
        <w:t xml:space="preserve">: </w:t>
      </w:r>
      <w:r w:rsidR="00163EAF">
        <w:rPr>
          <w:rFonts w:ascii="Palatino Linotype" w:hAnsi="Palatino Linotype"/>
        </w:rPr>
        <w:t>O</w:t>
      </w:r>
      <w:r w:rsidR="00ED2F77">
        <w:rPr>
          <w:rFonts w:ascii="Palatino Linotype" w:hAnsi="Palatino Linotype"/>
        </w:rPr>
        <w:t>rder Instituting Rulemaking (OIR)</w:t>
      </w:r>
      <w:r w:rsidRPr="008A1CF0">
        <w:rPr>
          <w:rFonts w:ascii="Palatino Linotype" w:hAnsi="Palatino Linotype"/>
        </w:rPr>
        <w:t xml:space="preserve"> to Establish Policies, Processes, and Rules to Ensure Safe and Reliable Gas Systems in California and Perform Long-Term Gas System Planning.</w:t>
      </w:r>
    </w:p>
  </w:footnote>
  <w:footnote w:id="51">
    <w:p w14:paraId="6A64403D" w14:textId="5A36CAC7" w:rsidR="00F8378A" w:rsidRDefault="00F8378A">
      <w:pPr>
        <w:pStyle w:val="FootnoteText"/>
      </w:pPr>
      <w:r>
        <w:rPr>
          <w:rStyle w:val="FootnoteReference"/>
        </w:rPr>
        <w:footnoteRef/>
      </w:r>
      <w:r>
        <w:t xml:space="preserve"> </w:t>
      </w:r>
      <w:r w:rsidRPr="00F8378A">
        <w:rPr>
          <w:rFonts w:ascii="Palatino Linotype" w:hAnsi="Palatino Linotype"/>
        </w:rPr>
        <w:t xml:space="preserve">University of California, Los Angeles (UCLA), Institute of the Environment and Sustainability, </w:t>
      </w:r>
      <w:hyperlink r:id="rId27" w:history="1">
        <w:r w:rsidRPr="00ED2F77">
          <w:rPr>
            <w:rStyle w:val="Hyperlink"/>
            <w:rFonts w:ascii="Palatino Linotype" w:hAnsi="Palatino Linotype"/>
            <w:i/>
            <w:iCs/>
          </w:rPr>
          <w:t>Mindful Gas Decommissioning Research Project</w:t>
        </w:r>
      </w:hyperlink>
      <w:r w:rsidRPr="00F8378A">
        <w:rPr>
          <w:rFonts w:ascii="Palatino Linotype" w:hAnsi="Palatino Linotype"/>
        </w:rPr>
        <w:t xml:space="preserve"> </w:t>
      </w:r>
      <w:r w:rsidR="00233C07">
        <w:rPr>
          <w:rFonts w:ascii="Palatino Linotype" w:hAnsi="Palatino Linotype"/>
        </w:rPr>
        <w:t>(2023).</w:t>
      </w:r>
    </w:p>
  </w:footnote>
  <w:footnote w:id="52">
    <w:p w14:paraId="7CD4D2E3" w14:textId="442FE301" w:rsidR="00C84C4C" w:rsidRDefault="00C84C4C">
      <w:pPr>
        <w:pStyle w:val="FootnoteText"/>
      </w:pPr>
      <w:r>
        <w:rPr>
          <w:rStyle w:val="FootnoteReference"/>
        </w:rPr>
        <w:footnoteRef/>
      </w:r>
      <w:r>
        <w:t xml:space="preserve"> </w:t>
      </w:r>
      <w:r w:rsidR="001C5D2E">
        <w:rPr>
          <w:rFonts w:ascii="Palatino Linotype" w:hAnsi="Palatino Linotype"/>
        </w:rPr>
        <w:t>S</w:t>
      </w:r>
      <w:r w:rsidR="00D86396">
        <w:rPr>
          <w:rFonts w:ascii="Palatino Linotype" w:hAnsi="Palatino Linotype"/>
        </w:rPr>
        <w:t>oCalGas</w:t>
      </w:r>
      <w:r w:rsidRPr="00C84C4C">
        <w:rPr>
          <w:rFonts w:ascii="Palatino Linotype" w:hAnsi="Palatino Linotype"/>
        </w:rPr>
        <w:t>’ 2023 Gas RD&amp;D Plan</w:t>
      </w:r>
      <w:r w:rsidR="006E6F93">
        <w:rPr>
          <w:rFonts w:ascii="Palatino Linotype" w:hAnsi="Palatino Linotype"/>
        </w:rPr>
        <w:t xml:space="preserve"> Tier 3 Advice Letter</w:t>
      </w:r>
      <w:r w:rsidRPr="00C84C4C">
        <w:rPr>
          <w:rFonts w:ascii="Palatino Linotype" w:hAnsi="Palatino Linotype"/>
        </w:rPr>
        <w:t xml:space="preserve"> (</w:t>
      </w:r>
      <w:r w:rsidRPr="008B7CF0">
        <w:rPr>
          <w:rFonts w:ascii="Palatino Linotype" w:hAnsi="Palatino Linotype"/>
        </w:rPr>
        <w:t>5991-G</w:t>
      </w:r>
      <w:r w:rsidRPr="00C84C4C">
        <w:rPr>
          <w:rFonts w:ascii="Palatino Linotype" w:hAnsi="Palatino Linotype"/>
        </w:rPr>
        <w:t>).</w:t>
      </w:r>
    </w:p>
  </w:footnote>
  <w:footnote w:id="53">
    <w:p w14:paraId="59364EDE" w14:textId="167BC9CD" w:rsidR="00BB7E9C" w:rsidRDefault="00BB7E9C">
      <w:pPr>
        <w:pStyle w:val="FootnoteText"/>
      </w:pPr>
      <w:r>
        <w:rPr>
          <w:rStyle w:val="FootnoteReference"/>
        </w:rPr>
        <w:footnoteRef/>
      </w:r>
      <w:r>
        <w:t xml:space="preserve"> </w:t>
      </w:r>
      <w:hyperlink r:id="rId28" w:history="1">
        <w:r w:rsidR="008B7CF0">
          <w:rPr>
            <w:rStyle w:val="Hyperlink"/>
            <w:rFonts w:ascii="Palatino Linotype" w:hAnsi="Palatino Linotype"/>
          </w:rPr>
          <w:t>Resolution G-3601</w:t>
        </w:r>
      </w:hyperlink>
      <w:r w:rsidRPr="00BB7E9C">
        <w:rPr>
          <w:rFonts w:ascii="Palatino Linotype" w:hAnsi="Palatino Linotype"/>
        </w:rPr>
        <w:t xml:space="preserve"> (2023): </w:t>
      </w:r>
      <w:r w:rsidR="008B7CF0">
        <w:rPr>
          <w:rFonts w:ascii="Palatino Linotype" w:hAnsi="Palatino Linotype"/>
        </w:rPr>
        <w:t>A</w:t>
      </w:r>
      <w:r w:rsidRPr="00CD1B3E">
        <w:rPr>
          <w:rFonts w:ascii="Palatino Linotype" w:hAnsi="Palatino Linotype"/>
        </w:rPr>
        <w:t xml:space="preserve">pproving </w:t>
      </w:r>
      <w:r w:rsidR="001C5D2E">
        <w:rPr>
          <w:rFonts w:ascii="Palatino Linotype" w:hAnsi="Palatino Linotype"/>
        </w:rPr>
        <w:t>S</w:t>
      </w:r>
      <w:r w:rsidR="00D86396">
        <w:rPr>
          <w:rFonts w:ascii="Palatino Linotype" w:hAnsi="Palatino Linotype"/>
        </w:rPr>
        <w:t>oCalGas</w:t>
      </w:r>
      <w:r>
        <w:rPr>
          <w:rFonts w:ascii="Palatino Linotype" w:hAnsi="Palatino Linotype"/>
        </w:rPr>
        <w:t>’</w:t>
      </w:r>
      <w:r w:rsidRPr="00CD1B3E">
        <w:rPr>
          <w:rFonts w:ascii="Palatino Linotype" w:hAnsi="Palatino Linotype"/>
        </w:rPr>
        <w:t xml:space="preserve"> 2023 Gas R</w:t>
      </w:r>
      <w:r w:rsidR="008B7CF0">
        <w:rPr>
          <w:rFonts w:ascii="Palatino Linotype" w:hAnsi="Palatino Linotype"/>
        </w:rPr>
        <w:t>D</w:t>
      </w:r>
      <w:r w:rsidRPr="00CD1B3E">
        <w:rPr>
          <w:rFonts w:ascii="Palatino Linotype" w:hAnsi="Palatino Linotype"/>
        </w:rPr>
        <w:t>&amp;D Plan</w:t>
      </w:r>
      <w:r>
        <w:rPr>
          <w:rFonts w:ascii="Palatino Linotype" w:hAnsi="Palatino Linotype"/>
        </w:rPr>
        <w:t>.</w:t>
      </w:r>
    </w:p>
  </w:footnote>
  <w:footnote w:id="54">
    <w:p w14:paraId="4D9AF053" w14:textId="77777777" w:rsidR="00D91658" w:rsidRPr="00C34D5A" w:rsidRDefault="00D91658" w:rsidP="00D91658">
      <w:pPr>
        <w:pStyle w:val="FootnoteText"/>
        <w:rPr>
          <w:rFonts w:ascii="Palatino Linotype" w:hAnsi="Palatino Linotype"/>
        </w:rPr>
      </w:pPr>
      <w:r w:rsidRPr="00C34D5A">
        <w:rPr>
          <w:rStyle w:val="FootnoteReference"/>
          <w:rFonts w:ascii="Palatino Linotype" w:hAnsi="Palatino Linotype"/>
        </w:rPr>
        <w:footnoteRef/>
      </w:r>
      <w:r w:rsidRPr="00C34D5A">
        <w:rPr>
          <w:rFonts w:ascii="Palatino Linotype" w:hAnsi="Palatino Linotype"/>
        </w:rPr>
        <w:t xml:space="preserve"> AL 10-G at p. 29 &amp; AL 10-G-A at p. 44.</w:t>
      </w:r>
    </w:p>
  </w:footnote>
  <w:footnote w:id="55">
    <w:p w14:paraId="7A642A34" w14:textId="22D99762" w:rsidR="00722562" w:rsidRDefault="00722562">
      <w:pPr>
        <w:pStyle w:val="FootnoteText"/>
      </w:pPr>
      <w:r w:rsidRPr="00C34D5A">
        <w:rPr>
          <w:rStyle w:val="FootnoteReference"/>
          <w:rFonts w:ascii="Palatino Linotype" w:hAnsi="Palatino Linotype"/>
        </w:rPr>
        <w:footnoteRef/>
      </w:r>
      <w:r w:rsidRPr="00C34D5A">
        <w:rPr>
          <w:rFonts w:ascii="Palatino Linotype" w:hAnsi="Palatino Linotype"/>
        </w:rPr>
        <w:t xml:space="preserve"> AL 10-G-A at p. 35.</w:t>
      </w:r>
    </w:p>
  </w:footnote>
  <w:footnote w:id="56">
    <w:p w14:paraId="08E29159" w14:textId="38C71ED1" w:rsidR="00F345B5" w:rsidRDefault="00F345B5">
      <w:pPr>
        <w:pStyle w:val="FootnoteText"/>
      </w:pPr>
      <w:r>
        <w:rPr>
          <w:rStyle w:val="FootnoteReference"/>
        </w:rPr>
        <w:footnoteRef/>
      </w:r>
      <w:r>
        <w:t xml:space="preserve"> </w:t>
      </w:r>
      <w:r w:rsidRPr="00F345B5">
        <w:rPr>
          <w:rFonts w:ascii="Palatino Linotype" w:hAnsi="Palatino Linotype"/>
        </w:rPr>
        <w:t>AL 10-G-A at p. 37.</w:t>
      </w:r>
    </w:p>
  </w:footnote>
  <w:footnote w:id="57">
    <w:p w14:paraId="06348B9C" w14:textId="735089C0" w:rsidR="00A40932" w:rsidRDefault="00A40932">
      <w:pPr>
        <w:pStyle w:val="FootnoteText"/>
      </w:pPr>
      <w:r>
        <w:rPr>
          <w:rStyle w:val="FootnoteReference"/>
        </w:rPr>
        <w:footnoteRef/>
      </w:r>
      <w:r>
        <w:t xml:space="preserve"> </w:t>
      </w:r>
      <w:r w:rsidRPr="00A40932">
        <w:rPr>
          <w:rFonts w:ascii="Palatino Linotype" w:hAnsi="Palatino Linotype"/>
        </w:rPr>
        <w:t>AL 10-G-A at p. 45.</w:t>
      </w:r>
    </w:p>
  </w:footnote>
  <w:footnote w:id="58">
    <w:p w14:paraId="55497387" w14:textId="7A93457F" w:rsidR="00E456E0" w:rsidRPr="00FD0228" w:rsidRDefault="00E456E0">
      <w:pPr>
        <w:pStyle w:val="FootnoteText"/>
        <w:rPr>
          <w:rFonts w:ascii="Palatino Linotype" w:hAnsi="Palatino Linotype"/>
        </w:rPr>
      </w:pPr>
      <w:r w:rsidRPr="00FD0228">
        <w:rPr>
          <w:rStyle w:val="FootnoteReference"/>
          <w:rFonts w:ascii="Palatino Linotype" w:hAnsi="Palatino Linotype"/>
        </w:rPr>
        <w:footnoteRef/>
      </w:r>
      <w:r w:rsidRPr="00FD0228">
        <w:rPr>
          <w:rFonts w:ascii="Palatino Linotype" w:hAnsi="Palatino Linotype"/>
        </w:rPr>
        <w:t xml:space="preserve"> See</w:t>
      </w:r>
      <w:r w:rsidRPr="00FD0228">
        <w:rPr>
          <w:rFonts w:ascii="Times New Roman" w:hAnsi="Times New Roman" w:cs="Times New Roman"/>
        </w:rPr>
        <w:t> </w:t>
      </w:r>
      <w:r w:rsidR="008A3957" w:rsidRPr="00FD0228">
        <w:rPr>
          <w:rFonts w:ascii="Palatino Linotype" w:hAnsi="Palatino Linotype"/>
        </w:rPr>
        <w:t>Resolution G</w:t>
      </w:r>
      <w:r w:rsidR="008A3957" w:rsidRPr="00FD0228">
        <w:rPr>
          <w:rFonts w:ascii="Palatino Linotype" w:hAnsi="Palatino Linotype"/>
          <w:color w:val="000000" w:themeColor="text1"/>
        </w:rPr>
        <w:t xml:space="preserve">-3622 </w:t>
      </w:r>
      <w:r w:rsidR="008A3957" w:rsidRPr="00FD0228">
        <w:rPr>
          <w:rFonts w:ascii="Palatino Linotype" w:hAnsi="Palatino Linotype"/>
        </w:rPr>
        <w:t xml:space="preserve">at </w:t>
      </w:r>
      <w:r w:rsidRPr="00FD0228">
        <w:rPr>
          <w:rFonts w:ascii="Palatino Linotype" w:hAnsi="Palatino Linotype"/>
        </w:rPr>
        <w:t>Appendix</w:t>
      </w:r>
      <w:r w:rsidRPr="00FD0228">
        <w:rPr>
          <w:rFonts w:ascii="Palatino Linotype" w:hAnsi="Palatino Linotype"/>
          <w:color w:val="000000" w:themeColor="text1"/>
        </w:rPr>
        <w:t xml:space="preserve"> </w:t>
      </w:r>
      <w:r w:rsidR="00D316FF" w:rsidRPr="00FD0228">
        <w:rPr>
          <w:rFonts w:ascii="Palatino Linotype" w:hAnsi="Palatino Linotype"/>
          <w:color w:val="000000" w:themeColor="text1"/>
        </w:rPr>
        <w:t>G</w:t>
      </w:r>
      <w:r w:rsidR="004364E1" w:rsidRPr="00FD0228">
        <w:rPr>
          <w:rFonts w:ascii="Palatino Linotype" w:hAnsi="Palatino Linotype"/>
          <w:color w:val="000000" w:themeColor="text1"/>
        </w:rPr>
        <w:t xml:space="preserve">: </w:t>
      </w:r>
      <w:r w:rsidRPr="00FD0228">
        <w:rPr>
          <w:rFonts w:ascii="Palatino Linotype" w:hAnsi="Palatino Linotype"/>
        </w:rPr>
        <w:t>Compliance Assessment of AL 12-G.</w:t>
      </w:r>
    </w:p>
  </w:footnote>
  <w:footnote w:id="59">
    <w:p w14:paraId="48987E65" w14:textId="18EBFD40" w:rsidR="00765572" w:rsidRPr="00FD0228" w:rsidRDefault="00765572" w:rsidP="00765572">
      <w:pPr>
        <w:pStyle w:val="FootnoteText"/>
        <w:rPr>
          <w:rFonts w:ascii="Palatino Linotype" w:hAnsi="Palatino Linotype"/>
          <w:color w:val="000000" w:themeColor="text1"/>
        </w:rPr>
      </w:pPr>
      <w:r w:rsidRPr="00FD0228">
        <w:rPr>
          <w:rStyle w:val="FootnoteReference"/>
          <w:rFonts w:ascii="Palatino Linotype" w:hAnsi="Palatino Linotype"/>
        </w:rPr>
        <w:footnoteRef/>
      </w:r>
      <w:r w:rsidRPr="00FD0228">
        <w:rPr>
          <w:rFonts w:ascii="Palatino Linotype" w:hAnsi="Palatino Linotype"/>
        </w:rPr>
        <w:t xml:space="preserve"> See Resolution G</w:t>
      </w:r>
      <w:r w:rsidRPr="00FD0228">
        <w:rPr>
          <w:rFonts w:ascii="Palatino Linotype" w:hAnsi="Palatino Linotype"/>
          <w:color w:val="000000" w:themeColor="text1"/>
        </w:rPr>
        <w:t xml:space="preserve">-3622 </w:t>
      </w:r>
      <w:r w:rsidRPr="00FD0228">
        <w:rPr>
          <w:rFonts w:ascii="Palatino Linotype" w:hAnsi="Palatino Linotype"/>
        </w:rPr>
        <w:t xml:space="preserve">at Appendix </w:t>
      </w:r>
      <w:r w:rsidR="00D316FF" w:rsidRPr="00FD0228">
        <w:rPr>
          <w:rFonts w:ascii="Palatino Linotype" w:hAnsi="Palatino Linotype"/>
        </w:rPr>
        <w:t>F</w:t>
      </w:r>
      <w:r w:rsidRPr="00FD0228">
        <w:rPr>
          <w:rFonts w:ascii="Palatino Linotype" w:hAnsi="Palatino Linotype"/>
        </w:rPr>
        <w:t xml:space="preserve">: </w:t>
      </w:r>
      <w:r w:rsidRPr="00FD0228">
        <w:rPr>
          <w:rFonts w:ascii="Palatino Linotype" w:hAnsi="Palatino Linotype"/>
          <w:color w:val="000000" w:themeColor="text1"/>
        </w:rPr>
        <w:t xml:space="preserve">CEC Balances of Unspent Funds from Previously Approved Gas RD&amp;D Plans. </w:t>
      </w:r>
      <w:hyperlink r:id="rId29" w:history="1">
        <w:r w:rsidRPr="00FD0228">
          <w:rPr>
            <w:rStyle w:val="Hyperlink"/>
            <w:rFonts w:ascii="Palatino Linotype" w:hAnsi="Palatino Linotype"/>
          </w:rPr>
          <w:t>Public Utilities Code Section 384</w:t>
        </w:r>
      </w:hyperlink>
      <w:r w:rsidRPr="00FD0228">
        <w:rPr>
          <w:rFonts w:ascii="Palatino Linotype" w:hAnsi="Palatino Linotype"/>
        </w:rPr>
        <w:t xml:space="preserve"> at (a); </w:t>
      </w:r>
      <w:hyperlink r:id="rId30" w:history="1">
        <w:r w:rsidRPr="00FD0228">
          <w:rPr>
            <w:rStyle w:val="Hyperlink"/>
            <w:rFonts w:ascii="Palatino Linotype" w:hAnsi="Palatino Linotype"/>
          </w:rPr>
          <w:t>Resolution G-3484</w:t>
        </w:r>
      </w:hyperlink>
      <w:r w:rsidRPr="00FD0228">
        <w:rPr>
          <w:rFonts w:ascii="Palatino Linotype" w:hAnsi="Palatino Linotype"/>
        </w:rPr>
        <w:t xml:space="preserve"> (2013) at p. 5-6; </w:t>
      </w:r>
      <w:hyperlink r:id="rId31" w:tgtFrame="_blank" w:history="1">
        <w:r w:rsidRPr="00FD0228">
          <w:rPr>
            <w:rStyle w:val="Hyperlink"/>
            <w:rFonts w:ascii="Palatino Linotype" w:hAnsi="Palatino Linotype"/>
          </w:rPr>
          <w:t>Resolution G-3584</w:t>
        </w:r>
      </w:hyperlink>
      <w:r w:rsidRPr="00FD0228">
        <w:rPr>
          <w:rFonts w:ascii="Palatino Linotype" w:hAnsi="Palatino Linotype"/>
        </w:rPr>
        <w:t xml:space="preserve"> (2021): Approving CEC’s FY 2021-2022 Gas RD&amp;D Plan at p. 8 &amp; OP 4; </w:t>
      </w:r>
      <w:r w:rsidR="00F72AA1">
        <w:rPr>
          <w:rFonts w:ascii="Palatino Linotype" w:hAnsi="Palatino Linotype"/>
        </w:rPr>
        <w:t xml:space="preserve">&amp; </w:t>
      </w:r>
      <w:hyperlink r:id="rId32" w:history="1">
        <w:r w:rsidRPr="00FD0228">
          <w:rPr>
            <w:rStyle w:val="Hyperlink"/>
            <w:rFonts w:ascii="Palatino Linotype" w:hAnsi="Palatino Linotype"/>
          </w:rPr>
          <w:t>Resolution G-3592</w:t>
        </w:r>
      </w:hyperlink>
      <w:r w:rsidRPr="00FD0228">
        <w:rPr>
          <w:rStyle w:val="normaltextrun"/>
          <w:rFonts w:ascii="Palatino Linotype" w:hAnsi="Palatino Linotype"/>
          <w:color w:val="000000" w:themeColor="text1"/>
        </w:rPr>
        <w:t xml:space="preserve"> (2023) at OP 7. </w:t>
      </w:r>
      <w:r w:rsidR="00DE770F">
        <w:rPr>
          <w:rStyle w:val="normaltextrun"/>
          <w:rFonts w:ascii="Palatino Linotype" w:hAnsi="Palatino Linotype"/>
          <w:color w:val="000000" w:themeColor="text1"/>
        </w:rPr>
        <w:t>In</w:t>
      </w:r>
      <w:r w:rsidRPr="00FD0228">
        <w:rPr>
          <w:rStyle w:val="normaltextrun"/>
          <w:rFonts w:ascii="Palatino Linotype" w:hAnsi="Palatino Linotype"/>
          <w:color w:val="000000" w:themeColor="text1"/>
        </w:rPr>
        <w:t xml:space="preserve"> AL 12-G at p. 9, CEC </w:t>
      </w:r>
      <w:r w:rsidRPr="00FD0228">
        <w:rPr>
          <w:rFonts w:ascii="Palatino Linotype" w:hAnsi="Palatino Linotype"/>
          <w:color w:val="000000" w:themeColor="text1"/>
        </w:rPr>
        <w:t>states that, “[p]er Resolutions G-3584 and G-3592, the CEC will ensure that for any unspent funds that the CEC has identified and seeks to use for new Gas R&amp;D projects, the CEC will apply this unused funding before any new or additional ratepayer funds are used.”</w:t>
      </w:r>
    </w:p>
  </w:footnote>
  <w:footnote w:id="60">
    <w:p w14:paraId="7013A612" w14:textId="2FBCF0C6" w:rsidR="00C92625" w:rsidRPr="00FD0228" w:rsidRDefault="00C92625">
      <w:pPr>
        <w:pStyle w:val="FootnoteText"/>
        <w:rPr>
          <w:rFonts w:ascii="Palatino Linotype" w:hAnsi="Palatino Linotype"/>
        </w:rPr>
      </w:pPr>
      <w:r w:rsidRPr="00FD0228">
        <w:rPr>
          <w:rStyle w:val="FootnoteReference"/>
          <w:rFonts w:ascii="Palatino Linotype" w:hAnsi="Palatino Linotype"/>
        </w:rPr>
        <w:footnoteRef/>
      </w:r>
      <w:r w:rsidRPr="00FD0228">
        <w:rPr>
          <w:rFonts w:ascii="Palatino Linotype" w:hAnsi="Palatino Linotype"/>
        </w:rPr>
        <w:t xml:space="preserve"> </w:t>
      </w:r>
      <w:hyperlink r:id="rId33" w:history="1">
        <w:r w:rsidRPr="00FD0228">
          <w:rPr>
            <w:rStyle w:val="Hyperlink"/>
            <w:rFonts w:ascii="Palatino Linotype" w:hAnsi="Palatino Linotype"/>
          </w:rPr>
          <w:t>D.04-08-010</w:t>
        </w:r>
      </w:hyperlink>
      <w:r w:rsidRPr="00FD0228">
        <w:rPr>
          <w:rFonts w:ascii="Palatino Linotype" w:hAnsi="Palatino Linotype"/>
        </w:rPr>
        <w:t xml:space="preserve"> at p. 42</w:t>
      </w:r>
      <w:r w:rsidR="00D13D7D" w:rsidRPr="00FD0228">
        <w:rPr>
          <w:rFonts w:ascii="Palatino Linotype" w:hAnsi="Palatino Linotype"/>
        </w:rPr>
        <w:t xml:space="preserve"> &amp; OP 21</w:t>
      </w:r>
      <w:r w:rsidRPr="00FD0228">
        <w:rPr>
          <w:rFonts w:ascii="Palatino Linotype" w:hAnsi="Palatino Linotype"/>
        </w:rPr>
        <w:t>.</w:t>
      </w:r>
    </w:p>
  </w:footnote>
  <w:footnote w:id="61">
    <w:p w14:paraId="2E364432" w14:textId="58748255" w:rsidR="00C92625" w:rsidRPr="00FD0228" w:rsidRDefault="00C92625">
      <w:pPr>
        <w:pStyle w:val="FootnoteText"/>
        <w:rPr>
          <w:rFonts w:ascii="Palatino Linotype" w:hAnsi="Palatino Linotype"/>
        </w:rPr>
      </w:pPr>
      <w:r w:rsidRPr="00FD0228">
        <w:rPr>
          <w:rStyle w:val="FootnoteReference"/>
          <w:rFonts w:ascii="Palatino Linotype" w:hAnsi="Palatino Linotype"/>
        </w:rPr>
        <w:footnoteRef/>
      </w:r>
      <w:r w:rsidRPr="00FD0228">
        <w:rPr>
          <w:rFonts w:ascii="Palatino Linotype" w:hAnsi="Palatino Linotype"/>
        </w:rPr>
        <w:t xml:space="preserve"> </w:t>
      </w:r>
      <w:hyperlink r:id="rId34" w:history="1">
        <w:r w:rsidRPr="00FD0228">
          <w:rPr>
            <w:rStyle w:val="Hyperlink"/>
            <w:rFonts w:ascii="Palatino Linotype" w:hAnsi="Palatino Linotype"/>
          </w:rPr>
          <w:t>D.04-08-010</w:t>
        </w:r>
      </w:hyperlink>
      <w:r w:rsidRPr="00FD0228">
        <w:rPr>
          <w:rFonts w:ascii="Palatino Linotype" w:hAnsi="Palatino Linotype"/>
        </w:rPr>
        <w:t xml:space="preserve"> at FOF 9.</w:t>
      </w:r>
    </w:p>
  </w:footnote>
  <w:footnote w:id="62">
    <w:p w14:paraId="668ED1B0" w14:textId="1648D9F9" w:rsidR="00C92625" w:rsidRDefault="00C92625">
      <w:pPr>
        <w:pStyle w:val="FootnoteText"/>
      </w:pPr>
      <w:r w:rsidRPr="00FD0228">
        <w:rPr>
          <w:rStyle w:val="FootnoteReference"/>
          <w:rFonts w:ascii="Palatino Linotype" w:hAnsi="Palatino Linotype"/>
        </w:rPr>
        <w:footnoteRef/>
      </w:r>
      <w:r w:rsidRPr="00FD0228">
        <w:rPr>
          <w:rFonts w:ascii="Palatino Linotype" w:hAnsi="Palatino Linotype"/>
        </w:rPr>
        <w:t xml:space="preserve"> </w:t>
      </w:r>
      <w:r w:rsidRPr="00FD0228">
        <w:rPr>
          <w:rFonts w:ascii="Palatino Linotype" w:hAnsi="Palatino Linotype"/>
          <w:color w:val="000000" w:themeColor="text1"/>
        </w:rPr>
        <w:t xml:space="preserve">Public Utilities Code 740.1 at </w:t>
      </w:r>
      <w:r w:rsidRPr="00FD0228">
        <w:rPr>
          <w:rFonts w:ascii="Palatino Linotype" w:eastAsia="SimSun" w:hAnsi="Palatino Linotype" w:cs="Times New Roman"/>
          <w:color w:val="000000" w:themeColor="text1"/>
          <w:kern w:val="0"/>
          <w14:ligatures w14:val="none"/>
        </w:rPr>
        <w:t>(d)</w:t>
      </w:r>
      <w:r w:rsidRPr="00FD0228">
        <w:rPr>
          <w:rFonts w:ascii="Palatino Linotype" w:hAnsi="Palatino Linotype"/>
          <w:color w:val="000000" w:themeColor="text1"/>
        </w:rPr>
        <w:t xml:space="preserve"> &amp; </w:t>
      </w:r>
      <w:hyperlink r:id="rId35" w:history="1">
        <w:r w:rsidRPr="00FD0228">
          <w:rPr>
            <w:rStyle w:val="Hyperlink"/>
            <w:rFonts w:ascii="Palatino Linotype" w:hAnsi="Palatino Linotype"/>
          </w:rPr>
          <w:t>Resolution G-3603</w:t>
        </w:r>
      </w:hyperlink>
      <w:r w:rsidRPr="00FD0228">
        <w:rPr>
          <w:rFonts w:ascii="Palatino Linotype" w:hAnsi="Palatino Linotype"/>
        </w:rPr>
        <w:t xml:space="preserve"> (2024) at OP 4.</w:t>
      </w:r>
    </w:p>
  </w:footnote>
  <w:footnote w:id="63">
    <w:p w14:paraId="14F608DD" w14:textId="77777777" w:rsidR="00725E1F" w:rsidRDefault="00725E1F" w:rsidP="00725E1F">
      <w:pPr>
        <w:pStyle w:val="FootnoteText"/>
      </w:pPr>
      <w:r>
        <w:rPr>
          <w:rStyle w:val="FootnoteReference"/>
        </w:rPr>
        <w:footnoteRef/>
      </w:r>
      <w:r>
        <w:t xml:space="preserve"> </w:t>
      </w:r>
      <w:hyperlink r:id="rId36" w:history="1">
        <w:r w:rsidRPr="002505E5">
          <w:rPr>
            <w:rStyle w:val="Hyperlink"/>
            <w:rFonts w:ascii="Palatino Linotype" w:hAnsi="Palatino Linotype"/>
          </w:rPr>
          <w:t>Resolution G-3603</w:t>
        </w:r>
      </w:hyperlink>
      <w:r>
        <w:rPr>
          <w:rFonts w:ascii="Palatino Linotype" w:hAnsi="Palatino Linotype"/>
        </w:rPr>
        <w:t xml:space="preserve"> (2024) at OP 5.</w:t>
      </w:r>
    </w:p>
  </w:footnote>
  <w:footnote w:id="64">
    <w:p w14:paraId="16B3116A" w14:textId="124D914B" w:rsidR="009522CB" w:rsidRDefault="009522CB" w:rsidP="009522CB">
      <w:pPr>
        <w:pStyle w:val="FootnoteText"/>
      </w:pPr>
      <w:r>
        <w:rPr>
          <w:rStyle w:val="FootnoteReference"/>
        </w:rPr>
        <w:footnoteRef/>
      </w:r>
      <w:r>
        <w:t xml:space="preserve"> </w:t>
      </w:r>
      <w:r w:rsidR="00B65C9D" w:rsidRPr="00B65C9D">
        <w:rPr>
          <w:rFonts w:ascii="Palatino Linotype" w:hAnsi="Palatino Linotype"/>
        </w:rPr>
        <w:t xml:space="preserve">In </w:t>
      </w:r>
      <w:r w:rsidRPr="00D65E88">
        <w:rPr>
          <w:rFonts w:ascii="Palatino Linotype" w:hAnsi="Palatino Linotype"/>
        </w:rPr>
        <w:t>AL 12-G at p. 42</w:t>
      </w:r>
      <w:r w:rsidR="00B65C9D">
        <w:rPr>
          <w:rFonts w:ascii="Palatino Linotype" w:hAnsi="Palatino Linotype"/>
        </w:rPr>
        <w:t>,</w:t>
      </w:r>
      <w:r>
        <w:rPr>
          <w:rFonts w:ascii="Palatino Linotype" w:hAnsi="Palatino Linotype"/>
        </w:rPr>
        <w:t xml:space="preserve"> </w:t>
      </w:r>
      <w:r w:rsidR="00420272">
        <w:rPr>
          <w:rFonts w:ascii="Palatino Linotype" w:hAnsi="Palatino Linotype"/>
        </w:rPr>
        <w:t>CEC states that “</w:t>
      </w:r>
      <w:r w:rsidR="00420272" w:rsidRPr="00420272">
        <w:rPr>
          <w:rFonts w:ascii="Palatino Linotype" w:hAnsi="Palatino Linotype"/>
        </w:rPr>
        <w:t>this proposed initiative is focused on technological advancements and demonstrations of fuel-flexible technologies not necessarily limited to hydrogen.</w:t>
      </w:r>
      <w:r w:rsidR="00420272">
        <w:rPr>
          <w:rFonts w:ascii="Palatino Linotype" w:hAnsi="Palatino Linotype"/>
        </w:rPr>
        <w:t>”</w:t>
      </w:r>
    </w:p>
  </w:footnote>
  <w:footnote w:id="65">
    <w:p w14:paraId="71184768" w14:textId="36832FD9" w:rsidR="00A71FB0" w:rsidRDefault="00A71FB0" w:rsidP="00A71FB0">
      <w:pPr>
        <w:pStyle w:val="FootnoteText"/>
      </w:pPr>
      <w:r>
        <w:rPr>
          <w:rStyle w:val="FootnoteReference"/>
        </w:rPr>
        <w:footnoteRef/>
      </w:r>
      <w:r>
        <w:t xml:space="preserve"> </w:t>
      </w:r>
      <w:r w:rsidRPr="001F1BEB">
        <w:rPr>
          <w:rFonts w:ascii="Palatino Linotype" w:hAnsi="Palatino Linotype"/>
          <w:color w:val="000000" w:themeColor="text1"/>
        </w:rPr>
        <w:t>See</w:t>
      </w:r>
      <w:r w:rsidRPr="001F1BEB">
        <w:rPr>
          <w:rFonts w:ascii="Times New Roman" w:hAnsi="Times New Roman" w:cs="Times New Roman"/>
          <w:color w:val="000000" w:themeColor="text1"/>
        </w:rPr>
        <w:t> </w:t>
      </w:r>
      <w:r w:rsidR="008A3957" w:rsidRPr="008A3957">
        <w:rPr>
          <w:rFonts w:ascii="Palatino Linotype" w:hAnsi="Palatino Linotype" w:cs="Times New Roman"/>
          <w:color w:val="000000" w:themeColor="text1"/>
        </w:rPr>
        <w:t xml:space="preserve">Resolution G-3622 at </w:t>
      </w:r>
      <w:r w:rsidRPr="001F1BEB">
        <w:rPr>
          <w:rFonts w:ascii="Palatino Linotype" w:hAnsi="Palatino Linotype"/>
          <w:color w:val="000000" w:themeColor="text1"/>
        </w:rPr>
        <w:t>Appendix</w:t>
      </w:r>
      <w:r w:rsidR="00871FE1">
        <w:rPr>
          <w:rFonts w:ascii="Palatino Linotype" w:hAnsi="Palatino Linotype"/>
          <w:color w:val="000000" w:themeColor="text1"/>
        </w:rPr>
        <w:t xml:space="preserve"> </w:t>
      </w:r>
      <w:r w:rsidR="0072344D">
        <w:rPr>
          <w:rFonts w:ascii="Palatino Linotype" w:hAnsi="Palatino Linotype"/>
          <w:color w:val="000000" w:themeColor="text1"/>
        </w:rPr>
        <w:t>G</w:t>
      </w:r>
      <w:r w:rsidR="00871FE1">
        <w:rPr>
          <w:rFonts w:ascii="Palatino Linotype" w:hAnsi="Palatino Linotype"/>
          <w:color w:val="000000" w:themeColor="text1"/>
        </w:rPr>
        <w:t xml:space="preserve">: </w:t>
      </w:r>
      <w:r w:rsidRPr="001F1BEB">
        <w:rPr>
          <w:rFonts w:ascii="Palatino Linotype" w:hAnsi="Palatino Linotype"/>
          <w:color w:val="000000" w:themeColor="text1"/>
        </w:rPr>
        <w:t>Compliance Assessment of AL 12-G.</w:t>
      </w:r>
    </w:p>
  </w:footnote>
  <w:footnote w:id="66">
    <w:p w14:paraId="12190204" w14:textId="04E87F12" w:rsidR="00092785" w:rsidRPr="008E2230" w:rsidRDefault="00092785">
      <w:pPr>
        <w:pStyle w:val="FootnoteText"/>
        <w:rPr>
          <w:rFonts w:ascii="Palatino Linotype" w:hAnsi="Palatino Linotype"/>
        </w:rPr>
      </w:pPr>
      <w:r w:rsidRPr="008E2230">
        <w:rPr>
          <w:rStyle w:val="FootnoteReference"/>
          <w:rFonts w:ascii="Palatino Linotype" w:hAnsi="Palatino Linotype"/>
        </w:rPr>
        <w:footnoteRef/>
      </w:r>
      <w:r w:rsidRPr="008E2230">
        <w:rPr>
          <w:rFonts w:ascii="Palatino Linotype" w:hAnsi="Palatino Linotype"/>
        </w:rPr>
        <w:t xml:space="preserve"> </w:t>
      </w:r>
      <w:r w:rsidR="008E2230" w:rsidRPr="008E2230">
        <w:rPr>
          <w:rFonts w:ascii="Palatino Linotype" w:hAnsi="Palatino Linotype"/>
        </w:rPr>
        <w:t xml:space="preserve">Per </w:t>
      </w:r>
      <w:hyperlink r:id="rId37">
        <w:r w:rsidR="008E2230" w:rsidRPr="008E2230">
          <w:rPr>
            <w:rStyle w:val="Hyperlink"/>
            <w:rFonts w:ascii="Palatino Linotype" w:hAnsi="Palatino Linotype"/>
          </w:rPr>
          <w:t>Resolution G-3592</w:t>
        </w:r>
      </w:hyperlink>
      <w:r w:rsidR="008E2230" w:rsidRPr="008E2230">
        <w:rPr>
          <w:rFonts w:ascii="Palatino Linotype" w:hAnsi="Palatino Linotype"/>
        </w:rPr>
        <w:t xml:space="preserve"> (2023) at OP </w:t>
      </w:r>
      <w:r w:rsidR="00366F24">
        <w:rPr>
          <w:rFonts w:ascii="Palatino Linotype" w:hAnsi="Palatino Linotype"/>
        </w:rPr>
        <w:t>2</w:t>
      </w:r>
      <w:r w:rsidR="008E2230" w:rsidRPr="008E2230">
        <w:rPr>
          <w:rFonts w:ascii="Palatino Linotype" w:hAnsi="Palatino Linotype"/>
        </w:rPr>
        <w:t>.</w:t>
      </w:r>
    </w:p>
  </w:footnote>
  <w:footnote w:id="67">
    <w:p w14:paraId="642E6D5E" w14:textId="53D4430A" w:rsidR="00B03DC9" w:rsidRPr="004E6FDD" w:rsidRDefault="00B03DC9" w:rsidP="00B03DC9">
      <w:pPr>
        <w:pStyle w:val="FootnoteText"/>
        <w:rPr>
          <w:rFonts w:ascii="Palatino Linotype" w:hAnsi="Palatino Linotype"/>
        </w:rPr>
      </w:pPr>
      <w:r w:rsidRPr="0072344D">
        <w:rPr>
          <w:rStyle w:val="FootnoteReference"/>
          <w:rFonts w:ascii="Palatino Linotype" w:hAnsi="Palatino Linotype"/>
          <w:color w:val="000000" w:themeColor="text1"/>
        </w:rPr>
        <w:footnoteRef/>
      </w:r>
      <w:r w:rsidRPr="0072344D">
        <w:rPr>
          <w:rFonts w:ascii="Palatino Linotype" w:hAnsi="Palatino Linotype"/>
          <w:color w:val="000000" w:themeColor="text1"/>
        </w:rPr>
        <w:t xml:space="preserve"> See </w:t>
      </w:r>
      <w:r w:rsidR="008A3957">
        <w:rPr>
          <w:rFonts w:ascii="Palatino Linotype" w:hAnsi="Palatino Linotype"/>
          <w:color w:val="000000" w:themeColor="text1"/>
        </w:rPr>
        <w:t xml:space="preserve">Resolution G-3622 at </w:t>
      </w:r>
      <w:r w:rsidRPr="0072344D">
        <w:rPr>
          <w:rFonts w:ascii="Palatino Linotype" w:hAnsi="Palatino Linotype"/>
          <w:color w:val="000000" w:themeColor="text1"/>
        </w:rPr>
        <w:t xml:space="preserve">Appendix </w:t>
      </w:r>
      <w:r w:rsidR="0072344D">
        <w:rPr>
          <w:rFonts w:ascii="Palatino Linotype" w:hAnsi="Palatino Linotype"/>
          <w:color w:val="000000" w:themeColor="text1"/>
        </w:rPr>
        <w:t>F</w:t>
      </w:r>
      <w:r w:rsidRPr="0072344D">
        <w:rPr>
          <w:rFonts w:ascii="Palatino Linotype" w:hAnsi="Palatino Linotype"/>
          <w:color w:val="000000" w:themeColor="text1"/>
        </w:rPr>
        <w:t>: CEC Balances of Unspent Funds from Previously Approved Gas RD&amp;D Plans detailing balances provided by the CEC per an Energy Division data request on April 30, 2026.</w:t>
      </w:r>
    </w:p>
  </w:footnote>
  <w:footnote w:id="68">
    <w:p w14:paraId="69B2BE66" w14:textId="494288C1" w:rsidR="00E456E0" w:rsidRDefault="00E456E0">
      <w:pPr>
        <w:pStyle w:val="FootnoteText"/>
      </w:pPr>
      <w:r>
        <w:rPr>
          <w:rStyle w:val="FootnoteReference"/>
        </w:rPr>
        <w:footnoteRef/>
      </w:r>
      <w:r>
        <w:t xml:space="preserve"> </w:t>
      </w:r>
      <w:r w:rsidRPr="00A30E95">
        <w:rPr>
          <w:rFonts w:ascii="Palatino Linotype" w:hAnsi="Palatino Linotype"/>
          <w:color w:val="000000" w:themeColor="text1"/>
        </w:rPr>
        <w:t>See</w:t>
      </w:r>
      <w:r w:rsidRPr="00A30E95">
        <w:rPr>
          <w:rFonts w:ascii="Times New Roman" w:hAnsi="Times New Roman" w:cs="Times New Roman"/>
          <w:color w:val="000000" w:themeColor="text1"/>
        </w:rPr>
        <w:t> </w:t>
      </w:r>
      <w:r w:rsidR="00A720F2">
        <w:rPr>
          <w:rFonts w:ascii="Palatino Linotype" w:hAnsi="Palatino Linotype"/>
          <w:color w:val="000000" w:themeColor="text1"/>
        </w:rPr>
        <w:t xml:space="preserve">Resolution G-3622 at </w:t>
      </w:r>
      <w:r w:rsidRPr="00A30E95">
        <w:rPr>
          <w:rFonts w:ascii="Palatino Linotype" w:hAnsi="Palatino Linotype"/>
          <w:color w:val="000000" w:themeColor="text1"/>
        </w:rPr>
        <w:t xml:space="preserve">Appendix </w:t>
      </w:r>
      <w:r w:rsidR="0072344D">
        <w:rPr>
          <w:rFonts w:ascii="Palatino Linotype" w:hAnsi="Palatino Linotype"/>
          <w:color w:val="000000" w:themeColor="text1"/>
        </w:rPr>
        <w:t>H</w:t>
      </w:r>
      <w:r w:rsidR="00A30E95" w:rsidRPr="00A30E95">
        <w:rPr>
          <w:rFonts w:ascii="Palatino Linotype" w:hAnsi="Palatino Linotype"/>
          <w:color w:val="000000" w:themeColor="text1"/>
        </w:rPr>
        <w:t xml:space="preserve">: </w:t>
      </w:r>
      <w:r w:rsidRPr="0030309F">
        <w:rPr>
          <w:rFonts w:ascii="Palatino Linotype" w:hAnsi="Palatino Linotype"/>
        </w:rPr>
        <w:t xml:space="preserve">Compliance Assessment of AL </w:t>
      </w:r>
      <w:r>
        <w:rPr>
          <w:rFonts w:ascii="Palatino Linotype" w:hAnsi="Palatino Linotype"/>
        </w:rPr>
        <w:t>10-G-A</w:t>
      </w:r>
      <w:r w:rsidRPr="0030309F">
        <w:rPr>
          <w:rFonts w:ascii="Palatino Linotype" w:hAnsi="Palatino Linotype"/>
        </w:rPr>
        <w:t>.</w:t>
      </w:r>
    </w:p>
  </w:footnote>
  <w:footnote w:id="69">
    <w:p w14:paraId="7CB36A1F" w14:textId="43D9EB72" w:rsidR="001E4701" w:rsidRPr="00FA5E76" w:rsidRDefault="001E4701" w:rsidP="001E4701">
      <w:pPr>
        <w:pStyle w:val="FootnoteText"/>
        <w:rPr>
          <w:rFonts w:ascii="Palatino Linotype" w:hAnsi="Palatino Linotype"/>
          <w:color w:val="000000" w:themeColor="text1"/>
        </w:rPr>
      </w:pPr>
      <w:r>
        <w:rPr>
          <w:rStyle w:val="FootnoteReference"/>
        </w:rPr>
        <w:footnoteRef/>
      </w:r>
      <w:r>
        <w:t xml:space="preserve"> </w:t>
      </w:r>
      <w:r w:rsidRPr="007E3660">
        <w:rPr>
          <w:rFonts w:ascii="Palatino Linotype" w:hAnsi="Palatino Linotype"/>
        </w:rPr>
        <w:t>See Resolution G</w:t>
      </w:r>
      <w:r w:rsidRPr="007E3660">
        <w:rPr>
          <w:rFonts w:ascii="Palatino Linotype" w:hAnsi="Palatino Linotype"/>
          <w:color w:val="000000" w:themeColor="text1"/>
        </w:rPr>
        <w:t xml:space="preserve">-3622 </w:t>
      </w:r>
      <w:r w:rsidRPr="007E3660">
        <w:rPr>
          <w:rFonts w:ascii="Palatino Linotype" w:hAnsi="Palatino Linotype"/>
        </w:rPr>
        <w:t xml:space="preserve">at Appendix </w:t>
      </w:r>
      <w:r w:rsidR="0072344D">
        <w:rPr>
          <w:rFonts w:ascii="Palatino Linotype" w:hAnsi="Palatino Linotype"/>
        </w:rPr>
        <w:t>F</w:t>
      </w:r>
      <w:r w:rsidRPr="007E3660">
        <w:rPr>
          <w:rFonts w:ascii="Palatino Linotype" w:hAnsi="Palatino Linotype"/>
        </w:rPr>
        <w:t xml:space="preserve">: </w:t>
      </w:r>
      <w:r w:rsidRPr="007E3660">
        <w:rPr>
          <w:rFonts w:ascii="Palatino Linotype" w:hAnsi="Palatino Linotype"/>
          <w:color w:val="000000" w:themeColor="text1"/>
        </w:rPr>
        <w:t>CEC Balances of Unspent Funds from Previously Approved Gas RD&amp;D Plans</w:t>
      </w:r>
      <w:r w:rsidRPr="00530D42">
        <w:rPr>
          <w:rFonts w:ascii="Palatino Linotype" w:hAnsi="Palatino Linotype"/>
          <w:color w:val="000000" w:themeColor="text1"/>
        </w:rPr>
        <w:t xml:space="preserve">. </w:t>
      </w:r>
      <w:hyperlink r:id="rId38" w:history="1">
        <w:r w:rsidRPr="00530D42">
          <w:rPr>
            <w:rStyle w:val="Hyperlink"/>
            <w:rFonts w:ascii="Palatino Linotype" w:hAnsi="Palatino Linotype"/>
          </w:rPr>
          <w:t>Public Utilities Code Section 384</w:t>
        </w:r>
      </w:hyperlink>
      <w:r w:rsidRPr="00530D42">
        <w:rPr>
          <w:rFonts w:ascii="Palatino Linotype" w:hAnsi="Palatino Linotype"/>
        </w:rPr>
        <w:t xml:space="preserve"> at (a); </w:t>
      </w:r>
      <w:hyperlink r:id="rId39" w:history="1">
        <w:r w:rsidRPr="00530D42">
          <w:rPr>
            <w:rStyle w:val="Hyperlink"/>
            <w:rFonts w:ascii="Palatino Linotype" w:hAnsi="Palatino Linotype"/>
          </w:rPr>
          <w:t>Resolution G-3484</w:t>
        </w:r>
      </w:hyperlink>
      <w:r w:rsidRPr="00530D42">
        <w:t xml:space="preserve"> </w:t>
      </w:r>
      <w:r w:rsidRPr="00530D42">
        <w:rPr>
          <w:rFonts w:ascii="Palatino Linotype" w:hAnsi="Palatino Linotype"/>
        </w:rPr>
        <w:t xml:space="preserve">(2013) at p. 5-6; </w:t>
      </w:r>
      <w:hyperlink r:id="rId40" w:tgtFrame="_blank" w:history="1">
        <w:r w:rsidRPr="00530D42">
          <w:rPr>
            <w:rStyle w:val="Hyperlink"/>
            <w:rFonts w:ascii="Palatino Linotype" w:hAnsi="Palatino Linotype"/>
          </w:rPr>
          <w:t xml:space="preserve">Resolution </w:t>
        </w:r>
        <w:r w:rsidR="000B324C">
          <w:rPr>
            <w:rStyle w:val="Hyperlink"/>
            <w:rFonts w:ascii="Palatino Linotype" w:hAnsi="Palatino Linotype"/>
          </w:rPr>
          <w:br/>
        </w:r>
        <w:r w:rsidRPr="00530D42">
          <w:rPr>
            <w:rStyle w:val="Hyperlink"/>
            <w:rFonts w:ascii="Palatino Linotype" w:hAnsi="Palatino Linotype"/>
          </w:rPr>
          <w:t>G-3584</w:t>
        </w:r>
      </w:hyperlink>
      <w:r w:rsidRPr="00530D42">
        <w:rPr>
          <w:rFonts w:ascii="Palatino Linotype" w:hAnsi="Palatino Linotype"/>
        </w:rPr>
        <w:t> (2021)</w:t>
      </w:r>
      <w:r w:rsidR="00657DAA">
        <w:rPr>
          <w:rFonts w:ascii="Palatino Linotype" w:hAnsi="Palatino Linotype"/>
        </w:rPr>
        <w:t xml:space="preserve"> </w:t>
      </w:r>
      <w:r w:rsidRPr="00530D42">
        <w:rPr>
          <w:rFonts w:ascii="Palatino Linotype" w:hAnsi="Palatino Linotype"/>
        </w:rPr>
        <w:t xml:space="preserve">at p. 8 &amp; OP 4; </w:t>
      </w:r>
      <w:r w:rsidR="00AE4116">
        <w:rPr>
          <w:rFonts w:ascii="Palatino Linotype" w:hAnsi="Palatino Linotype"/>
        </w:rPr>
        <w:t xml:space="preserve">&amp; </w:t>
      </w:r>
      <w:hyperlink r:id="rId41" w:history="1">
        <w:r w:rsidRPr="00530D42">
          <w:rPr>
            <w:rStyle w:val="Hyperlink"/>
            <w:rFonts w:ascii="Palatino Linotype" w:hAnsi="Palatino Linotype"/>
          </w:rPr>
          <w:t>Resolution G-3592</w:t>
        </w:r>
      </w:hyperlink>
      <w:r w:rsidRPr="00530D42">
        <w:rPr>
          <w:rStyle w:val="normaltextrun"/>
          <w:rFonts w:ascii="Palatino Linotype" w:hAnsi="Palatino Linotype"/>
          <w:color w:val="000000" w:themeColor="text1"/>
        </w:rPr>
        <w:t xml:space="preserve"> (2023) at OP 7.</w:t>
      </w:r>
      <w:r w:rsidRPr="007E3660">
        <w:rPr>
          <w:rStyle w:val="normaltextrun"/>
          <w:rFonts w:ascii="Palatino Linotype" w:hAnsi="Palatino Linotype"/>
          <w:color w:val="000000" w:themeColor="text1"/>
        </w:rPr>
        <w:t xml:space="preserve"> </w:t>
      </w:r>
    </w:p>
  </w:footnote>
  <w:footnote w:id="70">
    <w:p w14:paraId="09FB3495" w14:textId="77777777" w:rsidR="001E4701" w:rsidRDefault="001E4701" w:rsidP="001E4701">
      <w:pPr>
        <w:pStyle w:val="FootnoteText"/>
      </w:pPr>
      <w:r>
        <w:rPr>
          <w:rStyle w:val="FootnoteReference"/>
        </w:rPr>
        <w:footnoteRef/>
      </w:r>
      <w:r>
        <w:t xml:space="preserve"> </w:t>
      </w:r>
      <w:hyperlink r:id="rId42" w:history="1">
        <w:r w:rsidRPr="002B1A2F">
          <w:rPr>
            <w:rStyle w:val="Hyperlink"/>
            <w:rFonts w:ascii="Palatino Linotype" w:hAnsi="Palatino Linotype"/>
          </w:rPr>
          <w:t>D.04-08-010</w:t>
        </w:r>
      </w:hyperlink>
      <w:r>
        <w:rPr>
          <w:rFonts w:ascii="Palatino Linotype" w:hAnsi="Palatino Linotype"/>
        </w:rPr>
        <w:t xml:space="preserve"> at p. 42 &amp; OP 21.</w:t>
      </w:r>
    </w:p>
  </w:footnote>
  <w:footnote w:id="71">
    <w:p w14:paraId="051CDB6D" w14:textId="77777777" w:rsidR="001E4701" w:rsidRDefault="001E4701" w:rsidP="001E4701">
      <w:pPr>
        <w:pStyle w:val="FootnoteText"/>
      </w:pPr>
      <w:r>
        <w:rPr>
          <w:rStyle w:val="FootnoteReference"/>
        </w:rPr>
        <w:footnoteRef/>
      </w:r>
      <w:r>
        <w:t xml:space="preserve"> </w:t>
      </w:r>
      <w:hyperlink r:id="rId43" w:history="1">
        <w:r w:rsidRPr="002B1A2F">
          <w:rPr>
            <w:rStyle w:val="Hyperlink"/>
            <w:rFonts w:ascii="Palatino Linotype" w:hAnsi="Palatino Linotype"/>
          </w:rPr>
          <w:t>D.04-08-010</w:t>
        </w:r>
      </w:hyperlink>
      <w:r>
        <w:rPr>
          <w:rFonts w:ascii="Palatino Linotype" w:hAnsi="Palatino Linotype"/>
        </w:rPr>
        <w:t xml:space="preserve"> at FOF 9.</w:t>
      </w:r>
    </w:p>
  </w:footnote>
  <w:footnote w:id="72">
    <w:p w14:paraId="164D66CB" w14:textId="4FAECD4B" w:rsidR="00F65187" w:rsidRPr="001C57E6" w:rsidRDefault="00F65187" w:rsidP="00F65187">
      <w:pPr>
        <w:pStyle w:val="FootnoteText"/>
        <w:rPr>
          <w:rFonts w:ascii="Palatino Linotype" w:hAnsi="Palatino Linotype"/>
        </w:rPr>
      </w:pPr>
      <w:r w:rsidRPr="001C57E6">
        <w:rPr>
          <w:rStyle w:val="FootnoteReference"/>
          <w:rFonts w:ascii="Palatino Linotype" w:hAnsi="Palatino Linotype"/>
        </w:rPr>
        <w:footnoteRef/>
      </w:r>
      <w:r w:rsidRPr="001C57E6">
        <w:rPr>
          <w:rFonts w:ascii="Palatino Linotype" w:hAnsi="Palatino Linotype"/>
        </w:rPr>
        <w:t xml:space="preserve"> </w:t>
      </w:r>
      <w:r w:rsidR="008D2FCF">
        <w:rPr>
          <w:rFonts w:ascii="Palatino Linotype" w:hAnsi="Palatino Linotype"/>
        </w:rPr>
        <w:t xml:space="preserve">California </w:t>
      </w:r>
      <w:r w:rsidRPr="00C92625">
        <w:rPr>
          <w:rFonts w:ascii="Palatino Linotype" w:hAnsi="Palatino Linotype"/>
          <w:color w:val="000000" w:themeColor="text1"/>
        </w:rPr>
        <w:t xml:space="preserve">Public Utilities Code 740.1 at </w:t>
      </w:r>
      <w:r w:rsidRPr="00C92625">
        <w:rPr>
          <w:rFonts w:ascii="Palatino Linotype" w:eastAsia="SimSun" w:hAnsi="Palatino Linotype" w:cs="Times New Roman"/>
          <w:color w:val="000000" w:themeColor="text1"/>
          <w:kern w:val="0"/>
          <w14:ligatures w14:val="none"/>
        </w:rPr>
        <w:t>(d)</w:t>
      </w:r>
      <w:r w:rsidR="00DE4E7F">
        <w:rPr>
          <w:rFonts w:ascii="Palatino Linotype" w:hAnsi="Palatino Linotype"/>
          <w:color w:val="000000" w:themeColor="text1"/>
        </w:rPr>
        <w:t>.</w:t>
      </w:r>
    </w:p>
  </w:footnote>
  <w:footnote w:id="73">
    <w:p w14:paraId="14560ACA" w14:textId="7FFB69C7" w:rsidR="00E75BDC" w:rsidRPr="001C57E6" w:rsidRDefault="00E75BDC" w:rsidP="00E75BDC">
      <w:pPr>
        <w:pStyle w:val="FootnoteText"/>
        <w:rPr>
          <w:rFonts w:ascii="Palatino Linotype" w:hAnsi="Palatino Linotype"/>
        </w:rPr>
      </w:pPr>
      <w:r w:rsidRPr="001C57E6">
        <w:rPr>
          <w:rStyle w:val="FootnoteReference"/>
          <w:rFonts w:ascii="Palatino Linotype" w:hAnsi="Palatino Linotype"/>
        </w:rPr>
        <w:footnoteRef/>
      </w:r>
      <w:r w:rsidRPr="001C57E6">
        <w:rPr>
          <w:rFonts w:ascii="Palatino Linotype" w:hAnsi="Palatino Linotype"/>
        </w:rPr>
        <w:t xml:space="preserve"> </w:t>
      </w:r>
      <w:r w:rsidRPr="00C92775">
        <w:rPr>
          <w:rFonts w:ascii="Palatino Linotype" w:hAnsi="Palatino Linotype"/>
          <w:color w:val="000000" w:themeColor="text1"/>
        </w:rPr>
        <w:t>See</w:t>
      </w:r>
      <w:r w:rsidRPr="00C92775">
        <w:rPr>
          <w:rFonts w:ascii="Times New Roman" w:hAnsi="Times New Roman" w:cs="Times New Roman"/>
          <w:color w:val="000000" w:themeColor="text1"/>
        </w:rPr>
        <w:t> </w:t>
      </w:r>
      <w:r w:rsidR="00A720F2">
        <w:rPr>
          <w:rFonts w:ascii="Palatino Linotype" w:hAnsi="Palatino Linotype"/>
          <w:color w:val="000000" w:themeColor="text1"/>
        </w:rPr>
        <w:t xml:space="preserve">Resolution G-3622 at </w:t>
      </w:r>
      <w:r w:rsidRPr="00C92775">
        <w:rPr>
          <w:rFonts w:ascii="Palatino Linotype" w:hAnsi="Palatino Linotype"/>
          <w:color w:val="000000" w:themeColor="text1"/>
        </w:rPr>
        <w:t>Appendix</w:t>
      </w:r>
      <w:r w:rsidR="0072344D">
        <w:rPr>
          <w:rFonts w:ascii="Palatino Linotype" w:hAnsi="Palatino Linotype"/>
          <w:color w:val="000000" w:themeColor="text1"/>
        </w:rPr>
        <w:t xml:space="preserve"> H</w:t>
      </w:r>
      <w:r>
        <w:rPr>
          <w:rFonts w:ascii="Palatino Linotype" w:hAnsi="Palatino Linotype"/>
          <w:color w:val="000000" w:themeColor="text1"/>
        </w:rPr>
        <w:t xml:space="preserve">: </w:t>
      </w:r>
      <w:r w:rsidRPr="00C92775">
        <w:rPr>
          <w:rFonts w:ascii="Palatino Linotype" w:hAnsi="Palatino Linotype"/>
          <w:color w:val="000000" w:themeColor="text1"/>
        </w:rPr>
        <w:t>Compliance Assessment of AL 10-G-A.</w:t>
      </w:r>
    </w:p>
  </w:footnote>
  <w:footnote w:id="74">
    <w:p w14:paraId="6E02C9CD" w14:textId="59F693AA" w:rsidR="0096646D" w:rsidRDefault="0096646D" w:rsidP="0096646D">
      <w:pPr>
        <w:pStyle w:val="FootnoteText"/>
      </w:pPr>
      <w:r w:rsidRPr="00530D42">
        <w:rPr>
          <w:rStyle w:val="FootnoteReference"/>
        </w:rPr>
        <w:footnoteRef/>
      </w:r>
      <w:r w:rsidRPr="00530D42">
        <w:t xml:space="preserve"> </w:t>
      </w:r>
      <w:r w:rsidRPr="00530D42">
        <w:rPr>
          <w:rFonts w:ascii="Palatino Linotype" w:hAnsi="Palatino Linotype"/>
        </w:rPr>
        <w:t xml:space="preserve">Consistent with </w:t>
      </w:r>
      <w:hyperlink r:id="rId44" w:history="1">
        <w:r w:rsidRPr="00530D42">
          <w:rPr>
            <w:rStyle w:val="Hyperlink"/>
            <w:rFonts w:ascii="Palatino Linotype" w:hAnsi="Palatino Linotype"/>
          </w:rPr>
          <w:t>Resolution G-3495</w:t>
        </w:r>
      </w:hyperlink>
      <w:r w:rsidRPr="00530D42">
        <w:rPr>
          <w:rFonts w:ascii="Palatino Linotype" w:hAnsi="Palatino Linotype"/>
        </w:rPr>
        <w:t xml:space="preserve"> (2014): Approving CEC’s FY 2014-2015 Gas RD&amp;D Plan at p. 9. "We find it appropriate that the CEC apply the cumulative unspent amount of $4.492 million from previous program cycles to CEC’s funding request at the CPUC for the 2015-16 program cycle, which will result in reducing the amount the CEC will need to draw out of the program funds for the 2015-16 program cycle. As an example, if for Fiscal Year 2015-2016 CEC requests $24 million in its proposed budget, and the CPUC authorizes $24 million in spending, then the CEC shall draw $19.508 million from the CPUC instead of $24 million." See also: </w:t>
      </w:r>
      <w:hyperlink r:id="rId45" w:history="1">
        <w:r w:rsidRPr="00530D42">
          <w:rPr>
            <w:rStyle w:val="Hyperlink"/>
            <w:rFonts w:ascii="Palatino Linotype" w:hAnsi="Palatino Linotype"/>
            <w:bCs/>
          </w:rPr>
          <w:t>Resolution G-3495</w:t>
        </w:r>
      </w:hyperlink>
      <w:r w:rsidRPr="00530D42">
        <w:rPr>
          <w:rFonts w:ascii="Palatino Linotype" w:hAnsi="Palatino Linotype"/>
          <w:bCs/>
          <w:color w:val="000000" w:themeColor="text1"/>
        </w:rPr>
        <w:t xml:space="preserve"> (2014) at p. 6-9, FOF 6, &amp; OP 5; </w:t>
      </w:r>
      <w:hyperlink r:id="rId46" w:tgtFrame="_blank" w:history="1">
        <w:r w:rsidRPr="00530D42">
          <w:rPr>
            <w:rStyle w:val="Hyperlink"/>
            <w:rFonts w:ascii="Palatino Linotype" w:hAnsi="Palatino Linotype"/>
          </w:rPr>
          <w:t>Resolution G-3584</w:t>
        </w:r>
      </w:hyperlink>
      <w:r w:rsidRPr="00530D42">
        <w:rPr>
          <w:rFonts w:ascii="Palatino Linotype" w:hAnsi="Palatino Linotype"/>
        </w:rPr>
        <w:t xml:space="preserve"> (2021) at OP 4; </w:t>
      </w:r>
      <w:hyperlink r:id="rId47" w:tgtFrame="_blank" w:history="1">
        <w:r w:rsidRPr="00530D42">
          <w:rPr>
            <w:rStyle w:val="Hyperlink"/>
            <w:rFonts w:ascii="Palatino Linotype" w:hAnsi="Palatino Linotype"/>
          </w:rPr>
          <w:t>Resolution G-3592</w:t>
        </w:r>
      </w:hyperlink>
      <w:r w:rsidRPr="00530D42">
        <w:rPr>
          <w:rFonts w:ascii="Palatino Linotype" w:hAnsi="Palatino Linotype"/>
        </w:rPr>
        <w:t xml:space="preserve"> (2023) at OP 7; </w:t>
      </w:r>
      <w:r w:rsidR="00D42D46">
        <w:rPr>
          <w:rFonts w:ascii="Palatino Linotype" w:hAnsi="Palatino Linotype"/>
        </w:rPr>
        <w:t xml:space="preserve">&amp; </w:t>
      </w:r>
      <w:r w:rsidRPr="00530D42">
        <w:rPr>
          <w:rFonts w:ascii="Palatino Linotype" w:hAnsi="Palatino Linotype"/>
        </w:rPr>
        <w:t>Resolution G</w:t>
      </w:r>
      <w:r w:rsidRPr="00530D42">
        <w:rPr>
          <w:rFonts w:ascii="Palatino Linotype" w:hAnsi="Palatino Linotype"/>
          <w:color w:val="000000" w:themeColor="text1"/>
        </w:rPr>
        <w:t xml:space="preserve">-3622 </w:t>
      </w:r>
      <w:r w:rsidRPr="00530D42">
        <w:rPr>
          <w:rFonts w:ascii="Palatino Linotype" w:hAnsi="Palatino Linotype"/>
        </w:rPr>
        <w:t xml:space="preserve">at Appendix </w:t>
      </w:r>
      <w:r w:rsidR="000B6588">
        <w:rPr>
          <w:rFonts w:ascii="Palatino Linotype" w:hAnsi="Palatino Linotype"/>
        </w:rPr>
        <w:t>E</w:t>
      </w:r>
      <w:r w:rsidRPr="00530D42">
        <w:rPr>
          <w:rFonts w:ascii="Palatino Linotype" w:hAnsi="Palatino Linotype"/>
        </w:rPr>
        <w:t>: CEC Gas RD&amp;D Funding Process for Budgets Less Than $24M detailing how if “the CPUC decides to authorize less than $24 million, the Energy Commission will proportionally reduce the requested transfers from the Gas Consumption Surcharge Fund by that amount.”</w:t>
      </w:r>
    </w:p>
  </w:footnote>
  <w:footnote w:id="75">
    <w:p w14:paraId="3F47B12A" w14:textId="3A1B8B3C" w:rsidR="009D180F" w:rsidRPr="008E2230" w:rsidRDefault="009D180F" w:rsidP="009D180F">
      <w:pPr>
        <w:pStyle w:val="FootnoteText"/>
        <w:rPr>
          <w:rFonts w:ascii="Palatino Linotype" w:hAnsi="Palatino Linotype"/>
        </w:rPr>
      </w:pPr>
      <w:r w:rsidRPr="008E2230">
        <w:rPr>
          <w:rStyle w:val="FootnoteReference"/>
          <w:rFonts w:ascii="Palatino Linotype" w:hAnsi="Palatino Linotype"/>
        </w:rPr>
        <w:footnoteRef/>
      </w:r>
      <w:r w:rsidRPr="008E2230">
        <w:rPr>
          <w:rFonts w:ascii="Palatino Linotype" w:hAnsi="Palatino Linotype"/>
        </w:rPr>
        <w:t xml:space="preserve"> Per </w:t>
      </w:r>
      <w:hyperlink r:id="rId48">
        <w:r w:rsidRPr="008E2230">
          <w:rPr>
            <w:rStyle w:val="Hyperlink"/>
            <w:rFonts w:ascii="Palatino Linotype" w:hAnsi="Palatino Linotype"/>
          </w:rPr>
          <w:t>Resolution G-3592</w:t>
        </w:r>
      </w:hyperlink>
      <w:r w:rsidRPr="008E2230">
        <w:rPr>
          <w:rFonts w:ascii="Palatino Linotype" w:hAnsi="Palatino Linotype"/>
        </w:rPr>
        <w:t xml:space="preserve"> (2023) at OP </w:t>
      </w:r>
      <w:r w:rsidR="00366F24">
        <w:rPr>
          <w:rFonts w:ascii="Palatino Linotype" w:hAnsi="Palatino Linotype"/>
        </w:rPr>
        <w:t>2</w:t>
      </w:r>
      <w:r w:rsidRPr="008E2230">
        <w:rPr>
          <w:rFonts w:ascii="Palatino Linotype" w:hAnsi="Palatino Linotype"/>
        </w:rPr>
        <w:t>.</w:t>
      </w:r>
    </w:p>
  </w:footnote>
  <w:footnote w:id="76">
    <w:p w14:paraId="6A32C95A" w14:textId="280C8364" w:rsidR="00987734" w:rsidRDefault="00987734">
      <w:pPr>
        <w:pStyle w:val="FootnoteText"/>
      </w:pPr>
      <w:r w:rsidRPr="000B6588">
        <w:rPr>
          <w:rStyle w:val="FootnoteReference"/>
          <w:color w:val="000000" w:themeColor="text1"/>
        </w:rPr>
        <w:footnoteRef/>
      </w:r>
      <w:r w:rsidRPr="000B6588">
        <w:rPr>
          <w:color w:val="000000" w:themeColor="text1"/>
        </w:rPr>
        <w:t xml:space="preserve"> </w:t>
      </w:r>
      <w:r w:rsidRPr="000B6588">
        <w:rPr>
          <w:rFonts w:ascii="Palatino Linotype" w:hAnsi="Palatino Linotype"/>
          <w:color w:val="000000" w:themeColor="text1"/>
        </w:rPr>
        <w:t xml:space="preserve">See </w:t>
      </w:r>
      <w:r w:rsidR="00A720F2">
        <w:rPr>
          <w:rFonts w:ascii="Palatino Linotype" w:hAnsi="Palatino Linotype"/>
          <w:color w:val="000000" w:themeColor="text1"/>
        </w:rPr>
        <w:t xml:space="preserve">Resolution G-3622 at </w:t>
      </w:r>
      <w:r w:rsidRPr="000B6588">
        <w:rPr>
          <w:rFonts w:ascii="Palatino Linotype" w:hAnsi="Palatino Linotype"/>
          <w:color w:val="000000" w:themeColor="text1"/>
        </w:rPr>
        <w:t xml:space="preserve">Appendix </w:t>
      </w:r>
      <w:r w:rsidR="000B6588">
        <w:rPr>
          <w:rFonts w:ascii="Palatino Linotype" w:hAnsi="Palatino Linotype"/>
          <w:color w:val="000000" w:themeColor="text1"/>
        </w:rPr>
        <w:t>F</w:t>
      </w:r>
      <w:r w:rsidRPr="000B6588">
        <w:rPr>
          <w:rFonts w:ascii="Palatino Linotype" w:hAnsi="Palatino Linotype"/>
          <w:color w:val="000000" w:themeColor="text1"/>
        </w:rPr>
        <w:t>: CEC Balances of Unspent Funds from Previously Approved Gas RD&amp;D Plans detailing balances provided by the CEC per an Energy Division data request on April 30, 2026.</w:t>
      </w:r>
    </w:p>
  </w:footnote>
  <w:footnote w:id="77">
    <w:p w14:paraId="5FC101FC" w14:textId="77777777" w:rsidR="00DE64B9" w:rsidRDefault="00DE64B9" w:rsidP="00DE64B9">
      <w:pPr>
        <w:pStyle w:val="FootnoteText"/>
      </w:pPr>
      <w:r>
        <w:rPr>
          <w:rStyle w:val="FootnoteReference"/>
        </w:rPr>
        <w:footnoteRef/>
      </w:r>
      <w:r>
        <w:t xml:space="preserve"> </w:t>
      </w:r>
      <w:r w:rsidRPr="00414758">
        <w:rPr>
          <w:rFonts w:ascii="Palatino Linotype" w:hAnsi="Palatino Linotype"/>
        </w:rPr>
        <w:t xml:space="preserve">See </w:t>
      </w:r>
      <w:r w:rsidRPr="00E77EA1">
        <w:rPr>
          <w:rFonts w:ascii="Palatino Linotype" w:hAnsi="Palatino Linotype" w:cs="Times New Roman"/>
        </w:rPr>
        <w:t>Resolution G</w:t>
      </w:r>
      <w:r>
        <w:rPr>
          <w:rFonts w:ascii="Palatino Linotype" w:hAnsi="Palatino Linotype" w:cs="Times New Roman"/>
        </w:rPr>
        <w:t>-3622</w:t>
      </w:r>
      <w:r w:rsidRPr="00E77EA1">
        <w:rPr>
          <w:rFonts w:ascii="Palatino Linotype" w:hAnsi="Palatino Linotype" w:cs="Times New Roman"/>
        </w:rPr>
        <w:t xml:space="preserve"> at</w:t>
      </w:r>
      <w:r>
        <w:rPr>
          <w:rFonts w:ascii="Times New Roman" w:hAnsi="Times New Roman" w:cs="Times New Roman"/>
        </w:rPr>
        <w:t xml:space="preserve"> </w:t>
      </w:r>
      <w:r w:rsidRPr="00414758">
        <w:rPr>
          <w:rFonts w:ascii="Palatino Linotype" w:hAnsi="Palatino Linotype"/>
        </w:rPr>
        <w:t xml:space="preserve">Appendix </w:t>
      </w:r>
      <w:r>
        <w:rPr>
          <w:rFonts w:ascii="Palatino Linotype" w:hAnsi="Palatino Linotype"/>
        </w:rPr>
        <w:t>A</w:t>
      </w:r>
      <w:r w:rsidRPr="00414758">
        <w:rPr>
          <w:rFonts w:ascii="Palatino Linotype" w:hAnsi="Palatino Linotype"/>
        </w:rPr>
        <w:t>: Key CPUC Gas RD&amp;D Resolution Requirements.</w:t>
      </w:r>
    </w:p>
  </w:footnote>
  <w:footnote w:id="78">
    <w:p w14:paraId="396F48D7" w14:textId="6BF2FD2B" w:rsidR="006A0099" w:rsidRPr="00A437CA" w:rsidRDefault="006A0099" w:rsidP="006A0099">
      <w:pPr>
        <w:pStyle w:val="FootnoteText"/>
        <w:rPr>
          <w:color w:val="000000" w:themeColor="text1"/>
        </w:rPr>
      </w:pPr>
      <w:r w:rsidRPr="00A437CA">
        <w:rPr>
          <w:rStyle w:val="FootnoteReference"/>
          <w:color w:val="000000" w:themeColor="text1"/>
        </w:rPr>
        <w:footnoteRef/>
      </w:r>
      <w:r w:rsidR="35F2EE98" w:rsidRPr="00A437CA">
        <w:rPr>
          <w:color w:val="000000" w:themeColor="text1"/>
        </w:rPr>
        <w:t xml:space="preserve"> </w:t>
      </w:r>
      <w:r w:rsidR="35F2EE98" w:rsidRPr="35F2EE98">
        <w:rPr>
          <w:rFonts w:ascii="Palatino Linotype" w:eastAsia="Palatino Linotype" w:hAnsi="Palatino Linotype" w:cs="Palatino Linotype"/>
          <w:color w:val="000000" w:themeColor="text1"/>
        </w:rPr>
        <w:t xml:space="preserve">Consistent with Commission guidance to </w:t>
      </w:r>
      <w:r w:rsidR="001C5D2E">
        <w:rPr>
          <w:rFonts w:ascii="Palatino Linotype" w:eastAsia="Palatino Linotype" w:hAnsi="Palatino Linotype" w:cs="Palatino Linotype"/>
          <w:color w:val="000000" w:themeColor="text1"/>
        </w:rPr>
        <w:t>S</w:t>
      </w:r>
      <w:r w:rsidR="00D86396">
        <w:rPr>
          <w:rFonts w:ascii="Palatino Linotype" w:eastAsia="Palatino Linotype" w:hAnsi="Palatino Linotype" w:cs="Palatino Linotype"/>
          <w:color w:val="000000" w:themeColor="text1"/>
        </w:rPr>
        <w:t>oCalGas</w:t>
      </w:r>
      <w:r w:rsidR="001C5D2E">
        <w:rPr>
          <w:rFonts w:ascii="Palatino Linotype" w:eastAsia="Palatino Linotype" w:hAnsi="Palatino Linotype" w:cs="Palatino Linotype"/>
          <w:color w:val="000000" w:themeColor="text1"/>
        </w:rPr>
        <w:t xml:space="preserve"> </w:t>
      </w:r>
      <w:r w:rsidR="35F2EE98" w:rsidRPr="35F2EE98">
        <w:rPr>
          <w:rFonts w:ascii="Palatino Linotype" w:eastAsia="Palatino Linotype" w:hAnsi="Palatino Linotype" w:cs="Palatino Linotype"/>
          <w:color w:val="000000" w:themeColor="text1"/>
        </w:rPr>
        <w:t>provided via</w:t>
      </w:r>
      <w:r w:rsidR="35F2EE98" w:rsidRPr="00A437CA">
        <w:rPr>
          <w:color w:val="000000" w:themeColor="text1"/>
        </w:rPr>
        <w:t xml:space="preserve"> </w:t>
      </w:r>
      <w:hyperlink r:id="rId49">
        <w:r w:rsidR="35F2EE98" w:rsidRPr="35F2EE98">
          <w:rPr>
            <w:rStyle w:val="Hyperlink"/>
            <w:rFonts w:ascii="Palatino Linotype" w:hAnsi="Palatino Linotype"/>
          </w:rPr>
          <w:t>Resolution G-3601</w:t>
        </w:r>
      </w:hyperlink>
      <w:r w:rsidR="35F2EE98" w:rsidRPr="00A437CA">
        <w:rPr>
          <w:rFonts w:ascii="Palatino Linotype" w:hAnsi="Palatino Linotype"/>
          <w:color w:val="000000" w:themeColor="text1"/>
        </w:rPr>
        <w:t xml:space="preserve"> (2023) at OP 5. “The only exception made is for projects affiliated with out-of-state federal labs, in which case Administrators shall explicitly justify benefits to California ratepayers.”</w:t>
      </w:r>
    </w:p>
  </w:footnote>
  <w:footnote w:id="79">
    <w:p w14:paraId="7D4A35BF" w14:textId="59A5616D" w:rsidR="006A0099" w:rsidRPr="00230B46" w:rsidRDefault="006A0099" w:rsidP="35F2EE98">
      <w:pPr>
        <w:spacing w:after="0" w:line="240" w:lineRule="auto"/>
        <w:rPr>
          <w:rFonts w:ascii="Palatino Linotype" w:eastAsia="Century Gothic" w:hAnsi="Palatino Linotype" w:cs="Century Gothic"/>
          <w:sz w:val="20"/>
          <w:szCs w:val="20"/>
        </w:rPr>
      </w:pPr>
      <w:r w:rsidRPr="00230B46">
        <w:rPr>
          <w:rStyle w:val="FootnoteReference"/>
          <w:rFonts w:ascii="Palatino Linotype" w:hAnsi="Palatino Linotype"/>
          <w:sz w:val="20"/>
          <w:szCs w:val="20"/>
        </w:rPr>
        <w:footnoteRef/>
      </w:r>
      <w:r w:rsidR="35F2EE98" w:rsidRPr="00230B46">
        <w:rPr>
          <w:rFonts w:ascii="Palatino Linotype" w:hAnsi="Palatino Linotype"/>
          <w:sz w:val="20"/>
          <w:szCs w:val="20"/>
        </w:rPr>
        <w:t xml:space="preserve"> </w:t>
      </w:r>
      <w:r w:rsidR="35F2EE98" w:rsidRPr="35F2EE98">
        <w:rPr>
          <w:rFonts w:ascii="Palatino Linotype" w:eastAsia="Century Gothic" w:hAnsi="Palatino Linotype" w:cs="Century Gothic"/>
          <w:color w:val="467886"/>
          <w:sz w:val="20"/>
          <w:szCs w:val="20"/>
          <w:u w:val="single"/>
        </w:rPr>
        <w:t>Resolution G-3603</w:t>
      </w:r>
      <w:r w:rsidR="35F2EE98" w:rsidRPr="35F2EE98">
        <w:rPr>
          <w:rFonts w:ascii="Palatino Linotype" w:hAnsi="Palatino Linotype"/>
          <w:sz w:val="20"/>
          <w:szCs w:val="20"/>
        </w:rPr>
        <w:t xml:space="preserve"> (2024)</w:t>
      </w:r>
      <w:r w:rsidR="005446B1">
        <w:rPr>
          <w:rFonts w:ascii="Palatino Linotype" w:hAnsi="Palatino Linotype"/>
          <w:sz w:val="20"/>
          <w:szCs w:val="20"/>
        </w:rPr>
        <w:t xml:space="preserve"> </w:t>
      </w:r>
      <w:r w:rsidR="35F2EE98" w:rsidRPr="35F2EE98">
        <w:rPr>
          <w:rFonts w:ascii="Palatino Linotype" w:hAnsi="Palatino Linotype"/>
          <w:sz w:val="20"/>
          <w:szCs w:val="20"/>
        </w:rPr>
        <w:t>at</w:t>
      </w:r>
      <w:r w:rsidR="35F2EE98" w:rsidRPr="35F2EE98">
        <w:rPr>
          <w:rFonts w:ascii="Palatino Linotype" w:eastAsia="Century Gothic" w:hAnsi="Palatino Linotype" w:cs="Century Gothic"/>
          <w:sz w:val="20"/>
          <w:szCs w:val="20"/>
        </w:rPr>
        <w:t xml:space="preserve"> OP 6. </w:t>
      </w:r>
      <w:r w:rsidR="009A1731">
        <w:rPr>
          <w:rFonts w:ascii="Palatino Linotype" w:hAnsi="Palatino Linotype"/>
          <w:sz w:val="20"/>
          <w:szCs w:val="20"/>
        </w:rPr>
        <w:t>See Re</w:t>
      </w:r>
      <w:r w:rsidR="008102D5">
        <w:rPr>
          <w:rFonts w:ascii="Palatino Linotype" w:hAnsi="Palatino Linotype"/>
          <w:sz w:val="20"/>
          <w:szCs w:val="20"/>
        </w:rPr>
        <w:t>solution G</w:t>
      </w:r>
      <w:r w:rsidR="002E0702">
        <w:rPr>
          <w:rFonts w:ascii="Palatino Linotype" w:hAnsi="Palatino Linotype"/>
          <w:sz w:val="20"/>
          <w:szCs w:val="20"/>
        </w:rPr>
        <w:t xml:space="preserve">-3622 </w:t>
      </w:r>
      <w:r w:rsidR="008102D5">
        <w:rPr>
          <w:rFonts w:ascii="Palatino Linotype" w:hAnsi="Palatino Linotype"/>
          <w:sz w:val="20"/>
          <w:szCs w:val="20"/>
        </w:rPr>
        <w:t xml:space="preserve">at Appendix </w:t>
      </w:r>
      <w:r w:rsidR="00BB4E69">
        <w:rPr>
          <w:rFonts w:ascii="Palatino Linotype" w:hAnsi="Palatino Linotype"/>
          <w:sz w:val="20"/>
          <w:szCs w:val="20"/>
        </w:rPr>
        <w:t>D</w:t>
      </w:r>
      <w:r w:rsidR="008102D5">
        <w:rPr>
          <w:rFonts w:ascii="Palatino Linotype" w:hAnsi="Palatino Linotype"/>
          <w:sz w:val="20"/>
          <w:szCs w:val="20"/>
        </w:rPr>
        <w:t>: EPIC Foundational Principles</w:t>
      </w:r>
      <w:r w:rsidR="008102D5" w:rsidRPr="35F2EE98">
        <w:rPr>
          <w:rFonts w:ascii="Palatino Linotype" w:eastAsia="Century Gothic" w:hAnsi="Palatino Linotype" w:cs="Century Gothic"/>
          <w:sz w:val="20"/>
          <w:szCs w:val="20"/>
        </w:rPr>
        <w:t xml:space="preserve"> </w:t>
      </w:r>
      <w:r w:rsidR="008102D5">
        <w:rPr>
          <w:rFonts w:ascii="Palatino Linotype" w:hAnsi="Palatino Linotype"/>
          <w:sz w:val="20"/>
          <w:szCs w:val="20"/>
        </w:rPr>
        <w:t>for the Development of a Uniform Impact Analysis Framework, a</w:t>
      </w:r>
      <w:r w:rsidR="0053077E">
        <w:rPr>
          <w:rFonts w:ascii="Palatino Linotype" w:hAnsi="Palatino Linotype"/>
          <w:sz w:val="20"/>
          <w:szCs w:val="20"/>
        </w:rPr>
        <w:t>dopted</w:t>
      </w:r>
      <w:r w:rsidR="008102D5" w:rsidRPr="35F2EE98">
        <w:rPr>
          <w:rFonts w:ascii="Palatino Linotype" w:eastAsia="Century Gothic" w:hAnsi="Palatino Linotype" w:cs="Century Gothic"/>
          <w:sz w:val="20"/>
          <w:szCs w:val="20"/>
        </w:rPr>
        <w:t xml:space="preserve"> via </w:t>
      </w:r>
      <w:hyperlink r:id="rId50" w:history="1">
        <w:r w:rsidR="008102D5" w:rsidRPr="003B0DDA">
          <w:rPr>
            <w:rFonts w:ascii="Palatino Linotype" w:hAnsi="Palatino Linotype"/>
            <w:color w:val="467886" w:themeColor="hyperlink"/>
            <w:sz w:val="20"/>
            <w:szCs w:val="20"/>
            <w:u w:val="single"/>
          </w:rPr>
          <w:t>D.23-04-042</w:t>
        </w:r>
      </w:hyperlink>
      <w:r w:rsidR="003B3F18">
        <w:rPr>
          <w:rFonts w:ascii="Palatino Linotype" w:hAnsi="Palatino Linotype"/>
          <w:sz w:val="20"/>
          <w:szCs w:val="20"/>
        </w:rPr>
        <w:t xml:space="preserve"> </w:t>
      </w:r>
      <w:r w:rsidR="008102D5" w:rsidRPr="003B0DDA">
        <w:rPr>
          <w:rFonts w:ascii="Palatino Linotype" w:hAnsi="Palatino Linotype"/>
          <w:sz w:val="20"/>
          <w:szCs w:val="20"/>
        </w:rPr>
        <w:t>at Appendix</w:t>
      </w:r>
      <w:r w:rsidR="008102D5" w:rsidRPr="00230B46">
        <w:rPr>
          <w:rFonts w:ascii="Palatino Linotype" w:hAnsi="Palatino Linotype"/>
          <w:sz w:val="20"/>
          <w:szCs w:val="20"/>
        </w:rPr>
        <w:t xml:space="preserve"> A</w:t>
      </w:r>
      <w:r w:rsidR="008102D5">
        <w:rPr>
          <w:rFonts w:ascii="Palatino Linotype" w:hAnsi="Palatino Linotype"/>
          <w:sz w:val="20"/>
          <w:szCs w:val="20"/>
        </w:rPr>
        <w:t>.</w:t>
      </w:r>
    </w:p>
  </w:footnote>
  <w:footnote w:id="80">
    <w:p w14:paraId="22FCD1D5" w14:textId="77777777" w:rsidR="006A0099" w:rsidRDefault="006A0099" w:rsidP="006A0099">
      <w:pPr>
        <w:spacing w:after="0" w:line="240" w:lineRule="auto"/>
      </w:pPr>
      <w:r w:rsidRPr="00BF3E04">
        <w:rPr>
          <w:rStyle w:val="FootnoteReference"/>
          <w:rFonts w:ascii="Palatino Linotype" w:hAnsi="Palatino Linotype"/>
          <w:sz w:val="20"/>
          <w:szCs w:val="20"/>
        </w:rPr>
        <w:footnoteRef/>
      </w:r>
      <w:r w:rsidRPr="00BF3E04">
        <w:rPr>
          <w:rStyle w:val="FootnoteReference"/>
          <w:rFonts w:ascii="Palatino Linotype" w:hAnsi="Palatino Linotype"/>
          <w:sz w:val="20"/>
          <w:szCs w:val="20"/>
        </w:rPr>
        <w:t xml:space="preserve"> </w:t>
      </w:r>
      <w:hyperlink r:id="rId51">
        <w:r w:rsidRPr="00A437CA">
          <w:rPr>
            <w:rStyle w:val="Hyperlink"/>
            <w:rFonts w:ascii="Palatino Linotype" w:hAnsi="Palatino Linotype"/>
            <w:sz w:val="20"/>
            <w:szCs w:val="16"/>
          </w:rPr>
          <w:t>Environmental &amp; Social Justice (ESJ) Action Plan Version 2.0</w:t>
        </w:r>
      </w:hyperlink>
      <w:r w:rsidRPr="00294B9E">
        <w:rPr>
          <w:rFonts w:ascii="Palatino Linotype" w:hAnsi="Palatino Linotype"/>
          <w:color w:val="000000" w:themeColor="text1"/>
          <w:sz w:val="20"/>
          <w:szCs w:val="20"/>
        </w:rPr>
        <w:t xml:space="preserve"> (2022).</w:t>
      </w:r>
    </w:p>
  </w:footnote>
  <w:footnote w:id="81">
    <w:p w14:paraId="2430EB16" w14:textId="288532FD" w:rsidR="003A4AC1" w:rsidRDefault="003A4AC1" w:rsidP="003A4AC1">
      <w:pPr>
        <w:pStyle w:val="FootnoteText"/>
      </w:pPr>
      <w:r>
        <w:rPr>
          <w:rStyle w:val="FootnoteReference"/>
        </w:rPr>
        <w:footnoteRef/>
      </w:r>
      <w:r>
        <w:t xml:space="preserve"> </w:t>
      </w:r>
      <w:r w:rsidRPr="00772D7E">
        <w:rPr>
          <w:rFonts w:ascii="Palatino Linotype" w:hAnsi="Palatino Linotype"/>
        </w:rPr>
        <w:t>Modifies</w:t>
      </w:r>
      <w:r w:rsidRPr="00C9605F">
        <w:rPr>
          <w:rFonts w:ascii="Palatino Linotype" w:hAnsi="Palatino Linotype"/>
        </w:rPr>
        <w:t xml:space="preserve"> </w:t>
      </w:r>
      <w:hyperlink r:id="rId52" w:history="1">
        <w:r w:rsidRPr="0094213F">
          <w:rPr>
            <w:rFonts w:ascii="Palatino Linotype" w:hAnsi="Palatino Linotype"/>
            <w:color w:val="467886" w:themeColor="hyperlink"/>
            <w:u w:val="single"/>
          </w:rPr>
          <w:t>Resolution G-3571</w:t>
        </w:r>
      </w:hyperlink>
      <w:r w:rsidRPr="0094213F">
        <w:rPr>
          <w:rFonts w:ascii="Palatino Linotype" w:hAnsi="Palatino Linotype"/>
        </w:rPr>
        <w:t xml:space="preserve"> (2020) at OP </w:t>
      </w:r>
      <w:r>
        <w:rPr>
          <w:rFonts w:ascii="Palatino Linotype" w:hAnsi="Palatino Linotype"/>
        </w:rPr>
        <w:t xml:space="preserve">5e &amp; </w:t>
      </w:r>
      <w:hyperlink r:id="rId53">
        <w:r w:rsidRPr="00E6569C">
          <w:rPr>
            <w:rStyle w:val="Hyperlink"/>
            <w:rFonts w:ascii="Palatino Linotype" w:hAnsi="Palatino Linotype"/>
          </w:rPr>
          <w:t>Resolution G-3592</w:t>
        </w:r>
      </w:hyperlink>
      <w:r w:rsidRPr="00E6569C">
        <w:rPr>
          <w:rFonts w:ascii="Palatino Linotype" w:hAnsi="Palatino Linotype"/>
          <w:color w:val="000000" w:themeColor="text1"/>
        </w:rPr>
        <w:t xml:space="preserve"> (2023)</w:t>
      </w:r>
      <w:r>
        <w:rPr>
          <w:rFonts w:ascii="Palatino Linotype" w:hAnsi="Palatino Linotype"/>
          <w:color w:val="000000" w:themeColor="text1"/>
        </w:rPr>
        <w:t xml:space="preserve"> at OP 5b</w:t>
      </w:r>
      <w:r w:rsidRPr="006E371D">
        <w:rPr>
          <w:rFonts w:ascii="Palatino Linotype" w:hAnsi="Palatino Linotype"/>
          <w:color w:val="000000" w:themeColor="text1"/>
        </w:rPr>
        <w:t xml:space="preserve">: </w:t>
      </w:r>
      <w:r w:rsidR="00EC37AE">
        <w:rPr>
          <w:rFonts w:ascii="Palatino Linotype" w:hAnsi="Palatino Linotype"/>
          <w:color w:val="000000" w:themeColor="text1"/>
        </w:rPr>
        <w:t xml:space="preserve">The </w:t>
      </w:r>
      <w:r w:rsidRPr="006E371D">
        <w:rPr>
          <w:rFonts w:ascii="Palatino Linotype" w:hAnsi="Palatino Linotype"/>
          <w:color w:val="000000" w:themeColor="text1"/>
        </w:rPr>
        <w:t xml:space="preserve">CEC </w:t>
      </w:r>
      <w:r>
        <w:rPr>
          <w:rFonts w:ascii="Palatino Linotype" w:hAnsi="Palatino Linotype"/>
          <w:color w:val="000000" w:themeColor="text1"/>
        </w:rPr>
        <w:t xml:space="preserve">is </w:t>
      </w:r>
      <w:r w:rsidRPr="006E371D">
        <w:rPr>
          <w:rFonts w:ascii="Palatino Linotype" w:hAnsi="Palatino Linotype"/>
          <w:color w:val="000000" w:themeColor="text1"/>
        </w:rPr>
        <w:t>no longer required to provide the option to present to CPUC Commissioners in advance of Plan submittal.</w:t>
      </w:r>
    </w:p>
  </w:footnote>
  <w:footnote w:id="82">
    <w:p w14:paraId="5A6C90CE" w14:textId="22C34F3D" w:rsidR="00B95C9C" w:rsidRPr="00B95C9C" w:rsidRDefault="00B95C9C" w:rsidP="00B95C9C">
      <w:pPr>
        <w:spacing w:after="0" w:line="240" w:lineRule="auto"/>
        <w:rPr>
          <w:rFonts w:ascii="Palatino Linotype" w:hAnsi="Palatino Linotype"/>
          <w:sz w:val="20"/>
          <w:szCs w:val="20"/>
        </w:rPr>
      </w:pPr>
      <w:r w:rsidRPr="00B95C9C">
        <w:rPr>
          <w:rStyle w:val="FootnoteReference"/>
          <w:rFonts w:ascii="Palatino Linotype" w:hAnsi="Palatino Linotype"/>
          <w:sz w:val="20"/>
          <w:szCs w:val="20"/>
        </w:rPr>
        <w:footnoteRef/>
      </w:r>
      <w:r w:rsidRPr="00B95C9C">
        <w:rPr>
          <w:rFonts w:ascii="Palatino Linotype" w:hAnsi="Palatino Linotype"/>
          <w:sz w:val="20"/>
          <w:szCs w:val="20"/>
        </w:rPr>
        <w:t xml:space="preserve"> California Public Utilities Code Section 740.1 (d).</w:t>
      </w:r>
    </w:p>
  </w:footnote>
  <w:footnote w:id="83">
    <w:p w14:paraId="580A8C27" w14:textId="6AD96CD2" w:rsidR="006A0099" w:rsidRPr="00A22C9B" w:rsidRDefault="006A0099" w:rsidP="00B95C9C">
      <w:pPr>
        <w:spacing w:after="0" w:line="240" w:lineRule="auto"/>
        <w:rPr>
          <w:rFonts w:ascii="Palatino Linotype" w:hAnsi="Palatino Linotype"/>
          <w:b/>
          <w:bCs/>
          <w:sz w:val="22"/>
          <w:szCs w:val="22"/>
        </w:rPr>
      </w:pPr>
      <w:r w:rsidRPr="000C66E1">
        <w:rPr>
          <w:rStyle w:val="FootnoteReference"/>
          <w:sz w:val="20"/>
          <w:szCs w:val="20"/>
        </w:rPr>
        <w:footnoteRef/>
      </w:r>
      <w:r w:rsidR="35F2EE98" w:rsidRPr="000C66E1">
        <w:rPr>
          <w:rStyle w:val="FootnoteReference"/>
          <w:sz w:val="20"/>
          <w:szCs w:val="20"/>
        </w:rPr>
        <w:t xml:space="preserve"> </w:t>
      </w:r>
      <w:hyperlink r:id="rId54" w:tgtFrame="_blank" w:history="1">
        <w:r w:rsidR="35F2EE98" w:rsidRPr="00A22C9B">
          <w:rPr>
            <w:rFonts w:ascii="Palatino Linotype" w:hAnsi="Palatino Linotype"/>
            <w:color w:val="467886" w:themeColor="hyperlink"/>
            <w:sz w:val="20"/>
            <w:szCs w:val="20"/>
            <w:u w:val="single"/>
          </w:rPr>
          <w:t>Resolution G-3603</w:t>
        </w:r>
      </w:hyperlink>
      <w:r w:rsidR="35F2EE98" w:rsidRPr="00A22C9B">
        <w:rPr>
          <w:rFonts w:ascii="Palatino Linotype" w:hAnsi="Palatino Linotype"/>
          <w:sz w:val="20"/>
          <w:szCs w:val="20"/>
        </w:rPr>
        <w:t xml:space="preserve"> (2024) at OP 4. See Resolution G</w:t>
      </w:r>
      <w:r w:rsidR="002E0702">
        <w:rPr>
          <w:rFonts w:ascii="Palatino Linotype" w:hAnsi="Palatino Linotype"/>
          <w:sz w:val="20"/>
          <w:szCs w:val="20"/>
        </w:rPr>
        <w:t>-3622</w:t>
      </w:r>
      <w:r w:rsidR="35F2EE98" w:rsidRPr="00A22C9B">
        <w:rPr>
          <w:rFonts w:ascii="Palatino Linotype" w:hAnsi="Palatino Linotype"/>
          <w:sz w:val="20"/>
          <w:szCs w:val="20"/>
        </w:rPr>
        <w:t xml:space="preserve"> at Appendix </w:t>
      </w:r>
      <w:r w:rsidR="00BB4E69">
        <w:rPr>
          <w:rFonts w:ascii="Palatino Linotype" w:hAnsi="Palatino Linotype"/>
          <w:color w:val="000000" w:themeColor="text1"/>
          <w:sz w:val="20"/>
          <w:szCs w:val="20"/>
        </w:rPr>
        <w:t>C</w:t>
      </w:r>
      <w:r w:rsidR="35F2EE98" w:rsidRPr="005C0F00">
        <w:rPr>
          <w:rFonts w:ascii="Palatino Linotype" w:hAnsi="Palatino Linotype"/>
          <w:color w:val="000000" w:themeColor="text1"/>
          <w:sz w:val="20"/>
          <w:szCs w:val="20"/>
        </w:rPr>
        <w:t xml:space="preserve">: </w:t>
      </w:r>
      <w:r w:rsidR="35F2EE98" w:rsidRPr="00A22C9B">
        <w:rPr>
          <w:rFonts w:ascii="Palatino Linotype" w:hAnsi="Palatino Linotype"/>
          <w:sz w:val="20"/>
          <w:szCs w:val="20"/>
        </w:rPr>
        <w:t>Commission Guidance on Gas RD&amp;D Initiative Criteria at 2.</w:t>
      </w:r>
      <w:r w:rsidR="35F2EE98" w:rsidRPr="00143A31">
        <w:rPr>
          <w:rFonts w:ascii="Palatino Linotype" w:hAnsi="Palatino Linotype"/>
          <w:b/>
          <w:bCs/>
          <w:sz w:val="20"/>
          <w:szCs w:val="20"/>
        </w:rPr>
        <w:t xml:space="preserve"> </w:t>
      </w:r>
    </w:p>
  </w:footnote>
  <w:footnote w:id="84">
    <w:p w14:paraId="27AFA1B7" w14:textId="1A2A591F" w:rsidR="006A0099" w:rsidRPr="0064129A" w:rsidRDefault="006A0099" w:rsidP="006A0099">
      <w:pPr>
        <w:pStyle w:val="FootnoteText"/>
        <w:rPr>
          <w:rFonts w:ascii="Palatino Linotype" w:hAnsi="Palatino Linotype"/>
        </w:rPr>
      </w:pPr>
      <w:r w:rsidRPr="00890AE4">
        <w:rPr>
          <w:rStyle w:val="FootnoteReference"/>
        </w:rPr>
        <w:footnoteRef/>
      </w:r>
      <w:r w:rsidR="35F2EE98" w:rsidRPr="00890AE4">
        <w:t xml:space="preserve"> </w:t>
      </w:r>
      <w:hyperlink r:id="rId55" w:history="1">
        <w:r w:rsidR="00BA5C73" w:rsidRPr="00492ADC">
          <w:rPr>
            <w:rStyle w:val="Hyperlink"/>
            <w:rFonts w:ascii="Palatino Linotype" w:hAnsi="Palatino Linotype"/>
          </w:rPr>
          <w:t>Resolution G-3571</w:t>
        </w:r>
      </w:hyperlink>
      <w:r w:rsidR="00BA5C73" w:rsidRPr="00492ADC">
        <w:rPr>
          <w:rFonts w:ascii="Palatino Linotype" w:hAnsi="Palatino Linotype"/>
        </w:rPr>
        <w:t xml:space="preserve"> (2020)</w:t>
      </w:r>
      <w:r w:rsidR="004619E6">
        <w:rPr>
          <w:rFonts w:ascii="Palatino Linotype" w:hAnsi="Palatino Linotype"/>
        </w:rPr>
        <w:t>: Approving CEC’s FY 2020-2021 Gas RD&amp;D Plan</w:t>
      </w:r>
      <w:r w:rsidR="00BA5C73" w:rsidRPr="00492ADC">
        <w:rPr>
          <w:rFonts w:ascii="Palatino Linotype" w:hAnsi="Palatino Linotype"/>
        </w:rPr>
        <w:t xml:space="preserve"> at OP 5a</w:t>
      </w:r>
      <w:r w:rsidR="00BA5C73">
        <w:rPr>
          <w:rFonts w:ascii="Palatino Linotype" w:hAnsi="Palatino Linotype"/>
        </w:rPr>
        <w:t xml:space="preserve"> &amp; </w:t>
      </w:r>
      <w:hyperlink r:id="rId56">
        <w:r w:rsidR="35F2EE98" w:rsidRPr="35F2EE98">
          <w:rPr>
            <w:rStyle w:val="Hyperlink"/>
            <w:rFonts w:ascii="Palatino Linotype" w:hAnsi="Palatino Linotype"/>
          </w:rPr>
          <w:t xml:space="preserve">Resolution </w:t>
        </w:r>
        <w:r w:rsidR="000B324C">
          <w:rPr>
            <w:rStyle w:val="Hyperlink"/>
            <w:rFonts w:ascii="Palatino Linotype" w:hAnsi="Palatino Linotype"/>
          </w:rPr>
          <w:br/>
        </w:r>
        <w:r w:rsidR="35F2EE98" w:rsidRPr="35F2EE98">
          <w:rPr>
            <w:rStyle w:val="Hyperlink"/>
            <w:rFonts w:ascii="Palatino Linotype" w:hAnsi="Palatino Linotype"/>
          </w:rPr>
          <w:t>G-3603</w:t>
        </w:r>
      </w:hyperlink>
      <w:r w:rsidR="35F2EE98" w:rsidRPr="35F2EE98">
        <w:rPr>
          <w:rFonts w:ascii="Palatino Linotype" w:hAnsi="Palatino Linotype"/>
        </w:rPr>
        <w:t xml:space="preserve"> (2024) at OP </w:t>
      </w:r>
      <w:r w:rsidR="003340F6">
        <w:rPr>
          <w:rFonts w:ascii="Palatino Linotype" w:hAnsi="Palatino Linotype"/>
        </w:rPr>
        <w:t>5</w:t>
      </w:r>
      <w:r w:rsidR="35F2EE98" w:rsidRPr="35F2EE98">
        <w:rPr>
          <w:rFonts w:ascii="Palatino Linotype" w:hAnsi="Palatino Linotype"/>
        </w:rPr>
        <w:t xml:space="preserve">. </w:t>
      </w:r>
      <w:r w:rsidR="35F2EE98" w:rsidRPr="00143A31">
        <w:rPr>
          <w:rFonts w:ascii="Palatino Linotype" w:hAnsi="Palatino Linotype"/>
        </w:rPr>
        <w:t>See</w:t>
      </w:r>
      <w:r w:rsidR="35F2EE98">
        <w:rPr>
          <w:rFonts w:ascii="Palatino Linotype" w:hAnsi="Palatino Linotype"/>
        </w:rPr>
        <w:t xml:space="preserve"> Resolution </w:t>
      </w:r>
      <w:r w:rsidR="002E0702" w:rsidRPr="00A22C9B">
        <w:rPr>
          <w:rFonts w:ascii="Palatino Linotype" w:hAnsi="Palatino Linotype"/>
        </w:rPr>
        <w:t>G</w:t>
      </w:r>
      <w:r w:rsidR="002E0702">
        <w:rPr>
          <w:rFonts w:ascii="Palatino Linotype" w:hAnsi="Palatino Linotype"/>
        </w:rPr>
        <w:t>-3622</w:t>
      </w:r>
      <w:r w:rsidR="002E0702" w:rsidRPr="00A22C9B">
        <w:rPr>
          <w:rFonts w:ascii="Palatino Linotype" w:hAnsi="Palatino Linotype"/>
        </w:rPr>
        <w:t xml:space="preserve"> </w:t>
      </w:r>
      <w:r w:rsidR="35F2EE98">
        <w:rPr>
          <w:rFonts w:ascii="Palatino Linotype" w:hAnsi="Palatino Linotype"/>
        </w:rPr>
        <w:t xml:space="preserve">at </w:t>
      </w:r>
      <w:r w:rsidR="35F2EE98" w:rsidRPr="00143A31">
        <w:rPr>
          <w:rFonts w:ascii="Palatino Linotype" w:hAnsi="Palatino Linotype"/>
        </w:rPr>
        <w:t xml:space="preserve">Appendix </w:t>
      </w:r>
      <w:r w:rsidR="00BB4E69">
        <w:rPr>
          <w:rFonts w:ascii="Palatino Linotype" w:hAnsi="Palatino Linotype"/>
          <w:color w:val="000000" w:themeColor="text1"/>
        </w:rPr>
        <w:t>C</w:t>
      </w:r>
      <w:r w:rsidR="35F2EE98" w:rsidRPr="00143A31">
        <w:rPr>
          <w:rFonts w:ascii="Palatino Linotype" w:hAnsi="Palatino Linotype"/>
        </w:rPr>
        <w:t>: Commission Guidance on Gas RD&amp;D Initiative Criteria at</w:t>
      </w:r>
      <w:r w:rsidR="35F2EE98">
        <w:rPr>
          <w:rFonts w:ascii="Palatino Linotype" w:hAnsi="Palatino Linotype"/>
        </w:rPr>
        <w:t xml:space="preserve"> 1. </w:t>
      </w:r>
    </w:p>
  </w:footnote>
  <w:footnote w:id="85">
    <w:p w14:paraId="17DBB263" w14:textId="12621D64" w:rsidR="006A0099" w:rsidRPr="008B7933" w:rsidRDefault="006A0099" w:rsidP="006A0099">
      <w:pPr>
        <w:pStyle w:val="FootnoteText"/>
        <w:rPr>
          <w:rFonts w:ascii="Century Gothic" w:hAnsi="Century Gothic"/>
        </w:rPr>
      </w:pPr>
      <w:r w:rsidRPr="00576137">
        <w:rPr>
          <w:rStyle w:val="FootnoteReference"/>
        </w:rPr>
        <w:footnoteRef/>
      </w:r>
      <w:r w:rsidRPr="00576137">
        <w:rPr>
          <w:rStyle w:val="FootnoteReference"/>
        </w:rPr>
        <w:t xml:space="preserve"> </w:t>
      </w:r>
      <w:hyperlink r:id="rId57" w:tgtFrame="_blank" w:history="1">
        <w:r w:rsidRPr="0032595A">
          <w:rPr>
            <w:rStyle w:val="Hyperlink"/>
            <w:rFonts w:ascii="Palatino Linotype" w:hAnsi="Palatino Linotype" w:cs="Palatino"/>
          </w:rPr>
          <w:t>D.24-03-007</w:t>
        </w:r>
      </w:hyperlink>
      <w:r w:rsidR="000C073D" w:rsidRPr="00FF7F42">
        <w:rPr>
          <w:rFonts w:ascii="Palatino Linotype" w:hAnsi="Palatino Linotype"/>
        </w:rPr>
        <w:t xml:space="preserve">: </w:t>
      </w:r>
      <w:r w:rsidR="00FF7F42" w:rsidRPr="00FF7F42">
        <w:rPr>
          <w:rFonts w:ascii="Palatino Linotype" w:hAnsi="Palatino Linotype"/>
        </w:rPr>
        <w:t>Decision Adopting Strategic Goals for the EPIC Program</w:t>
      </w:r>
      <w:r w:rsidR="003B3F18">
        <w:rPr>
          <w:rFonts w:ascii="Palatino Linotype" w:hAnsi="Palatino Linotype"/>
        </w:rPr>
        <w:t xml:space="preserve"> </w:t>
      </w:r>
      <w:r w:rsidRPr="0032595A">
        <w:rPr>
          <w:rFonts w:ascii="Palatino Linotype" w:hAnsi="Palatino Linotype"/>
        </w:rPr>
        <w:t>at p. 19-20.</w:t>
      </w:r>
    </w:p>
  </w:footnote>
  <w:footnote w:id="86">
    <w:p w14:paraId="62574FB0" w14:textId="6247D187" w:rsidR="006A0099" w:rsidRPr="008B7933" w:rsidRDefault="006A0099" w:rsidP="006A0099">
      <w:pPr>
        <w:pStyle w:val="paragraph"/>
        <w:spacing w:before="0" w:beforeAutospacing="0" w:after="0" w:afterAutospacing="0"/>
        <w:textAlignment w:val="baseline"/>
        <w:rPr>
          <w:rFonts w:ascii="Century Gothic" w:hAnsi="Century Gothic"/>
          <w:bCs/>
          <w:i/>
          <w:iCs/>
          <w:sz w:val="20"/>
          <w:szCs w:val="20"/>
        </w:rPr>
      </w:pPr>
      <w:r w:rsidRPr="006D02C1">
        <w:rPr>
          <w:rStyle w:val="FootnoteReference"/>
          <w:rFonts w:asciiTheme="minorHAnsi" w:eastAsiaTheme="minorHAnsi" w:hAnsiTheme="minorHAnsi" w:cstheme="minorBidi"/>
          <w:kern w:val="2"/>
          <w:sz w:val="20"/>
          <w:szCs w:val="20"/>
          <w14:ligatures w14:val="standardContextual"/>
        </w:rPr>
        <w:footnoteRef/>
      </w:r>
      <w:r w:rsidRPr="006D02C1">
        <w:rPr>
          <w:rStyle w:val="FootnoteReference"/>
          <w:rFonts w:asciiTheme="minorHAnsi" w:eastAsiaTheme="minorHAnsi" w:hAnsiTheme="minorHAnsi" w:cstheme="minorBidi"/>
          <w:kern w:val="2"/>
          <w14:ligatures w14:val="standardContextual"/>
        </w:rPr>
        <w:t xml:space="preserve"> </w:t>
      </w:r>
      <w:hyperlink r:id="rId58" w:history="1">
        <w:r w:rsidRPr="006D02C1">
          <w:rPr>
            <w:rStyle w:val="Hyperlink"/>
            <w:rFonts w:ascii="Palatino Linotype" w:eastAsiaTheme="majorEastAsia" w:hAnsi="Palatino Linotype"/>
            <w:sz w:val="20"/>
            <w:szCs w:val="20"/>
          </w:rPr>
          <w:t>D.24-09-012</w:t>
        </w:r>
      </w:hyperlink>
      <w:r w:rsidR="002E7377">
        <w:rPr>
          <w:rFonts w:ascii="Palatino Linotype" w:hAnsi="Palatino Linotype"/>
          <w:sz w:val="20"/>
          <w:szCs w:val="20"/>
        </w:rPr>
        <w:t xml:space="preserve"> </w:t>
      </w:r>
      <w:r w:rsidRPr="00576137">
        <w:rPr>
          <w:rFonts w:ascii="Palatino Linotype" w:hAnsi="Palatino Linotype"/>
          <w:bCs/>
          <w:sz w:val="20"/>
          <w:szCs w:val="20"/>
        </w:rPr>
        <w:t>at p. 6.</w:t>
      </w:r>
    </w:p>
  </w:footnote>
  <w:footnote w:id="87">
    <w:p w14:paraId="4A98F6F7" w14:textId="15F9F2A8" w:rsidR="006A0099" w:rsidRPr="00E47E07" w:rsidRDefault="006A0099" w:rsidP="35F2EE98">
      <w:pPr>
        <w:spacing w:after="0" w:line="240" w:lineRule="auto"/>
        <w:rPr>
          <w:rFonts w:ascii="Palatino Linotype" w:hAnsi="Palatino Linotype"/>
          <w:b/>
          <w:bCs/>
          <w:sz w:val="22"/>
          <w:szCs w:val="22"/>
        </w:rPr>
      </w:pPr>
      <w:r w:rsidRPr="00697F9D">
        <w:rPr>
          <w:rStyle w:val="FootnoteReference"/>
          <w:sz w:val="20"/>
          <w:szCs w:val="20"/>
        </w:rPr>
        <w:footnoteRef/>
      </w:r>
      <w:r w:rsidR="35F2EE98" w:rsidRPr="00697F9D">
        <w:rPr>
          <w:rStyle w:val="FootnoteReference"/>
          <w:sz w:val="20"/>
          <w:szCs w:val="20"/>
        </w:rPr>
        <w:t xml:space="preserve"> </w:t>
      </w:r>
      <w:hyperlink r:id="rId59" w:tgtFrame="_blank" w:history="1">
        <w:r w:rsidR="35F2EE98" w:rsidRPr="0094213F">
          <w:rPr>
            <w:rFonts w:ascii="Palatino Linotype" w:hAnsi="Palatino Linotype"/>
            <w:color w:val="467886" w:themeColor="hyperlink"/>
            <w:sz w:val="20"/>
            <w:szCs w:val="20"/>
            <w:u w:val="single"/>
          </w:rPr>
          <w:t>Resolution G-3555</w:t>
        </w:r>
      </w:hyperlink>
      <w:r w:rsidR="35F2EE98" w:rsidRPr="0094213F">
        <w:rPr>
          <w:rFonts w:ascii="Palatino Linotype" w:hAnsi="Palatino Linotype"/>
          <w:sz w:val="20"/>
          <w:szCs w:val="20"/>
        </w:rPr>
        <w:t xml:space="preserve"> (2019)</w:t>
      </w:r>
      <w:r w:rsidR="002E7377">
        <w:rPr>
          <w:rFonts w:ascii="Palatino Linotype" w:hAnsi="Palatino Linotype"/>
          <w:sz w:val="20"/>
          <w:szCs w:val="20"/>
        </w:rPr>
        <w:t>: Approving</w:t>
      </w:r>
      <w:r w:rsidR="00623584">
        <w:rPr>
          <w:rFonts w:ascii="Palatino Linotype" w:hAnsi="Palatino Linotype"/>
          <w:sz w:val="20"/>
          <w:szCs w:val="20"/>
        </w:rPr>
        <w:t xml:space="preserve"> CEC’s </w:t>
      </w:r>
      <w:r w:rsidR="008A4A3A">
        <w:rPr>
          <w:rFonts w:ascii="Palatino Linotype" w:hAnsi="Palatino Linotype"/>
          <w:sz w:val="20"/>
          <w:szCs w:val="20"/>
        </w:rPr>
        <w:t>FY 2019-2020 Gas RD&amp;D Plan</w:t>
      </w:r>
      <w:r w:rsidR="35F2EE98" w:rsidRPr="0094213F">
        <w:rPr>
          <w:rFonts w:ascii="Palatino Linotype" w:hAnsi="Palatino Linotype"/>
          <w:sz w:val="20"/>
          <w:szCs w:val="20"/>
        </w:rPr>
        <w:t xml:space="preserve"> at OP 6</w:t>
      </w:r>
      <w:r w:rsidR="00EC45FC">
        <w:rPr>
          <w:rFonts w:ascii="Palatino Linotype" w:hAnsi="Palatino Linotype"/>
          <w:sz w:val="20"/>
          <w:szCs w:val="20"/>
        </w:rPr>
        <w:t xml:space="preserve">a </w:t>
      </w:r>
      <w:r w:rsidR="0075362B">
        <w:rPr>
          <w:rFonts w:ascii="Palatino Linotype" w:hAnsi="Palatino Linotype"/>
          <w:sz w:val="20"/>
          <w:szCs w:val="20"/>
        </w:rPr>
        <w:t>&amp; 6b;</w:t>
      </w:r>
      <w:r w:rsidR="35F2EE98" w:rsidRPr="0094213F">
        <w:rPr>
          <w:rFonts w:ascii="Palatino Linotype" w:hAnsi="Palatino Linotype"/>
          <w:sz w:val="20"/>
          <w:szCs w:val="20"/>
        </w:rPr>
        <w:t xml:space="preserve"> </w:t>
      </w:r>
      <w:r w:rsidR="00D421F5">
        <w:rPr>
          <w:rFonts w:ascii="Palatino Linotype" w:hAnsi="Palatino Linotype"/>
          <w:sz w:val="20"/>
          <w:szCs w:val="20"/>
        </w:rPr>
        <w:t xml:space="preserve">&amp; </w:t>
      </w:r>
      <w:hyperlink r:id="rId60" w:history="1">
        <w:r w:rsidR="35F2EE98" w:rsidRPr="0094213F">
          <w:rPr>
            <w:rFonts w:ascii="Palatino Linotype" w:hAnsi="Palatino Linotype"/>
            <w:color w:val="467886" w:themeColor="hyperlink"/>
            <w:sz w:val="20"/>
            <w:szCs w:val="20"/>
            <w:u w:val="single"/>
          </w:rPr>
          <w:t>Resolution G-3571</w:t>
        </w:r>
      </w:hyperlink>
      <w:r w:rsidR="35F2EE98" w:rsidRPr="0094213F">
        <w:rPr>
          <w:rFonts w:ascii="Palatino Linotype" w:hAnsi="Palatino Linotype"/>
          <w:sz w:val="20"/>
          <w:szCs w:val="20"/>
        </w:rPr>
        <w:t xml:space="preserve"> (2020)</w:t>
      </w:r>
      <w:r w:rsidR="004619E6">
        <w:rPr>
          <w:rFonts w:ascii="Palatino Linotype" w:hAnsi="Palatino Linotype"/>
          <w:sz w:val="20"/>
          <w:szCs w:val="20"/>
        </w:rPr>
        <w:t xml:space="preserve"> </w:t>
      </w:r>
      <w:r w:rsidR="35F2EE98" w:rsidRPr="0094213F">
        <w:rPr>
          <w:rFonts w:ascii="Palatino Linotype" w:hAnsi="Palatino Linotype"/>
          <w:sz w:val="20"/>
          <w:szCs w:val="20"/>
        </w:rPr>
        <w:t>at OP 8b</w:t>
      </w:r>
      <w:r w:rsidR="35F2EE98">
        <w:rPr>
          <w:rFonts w:ascii="Palatino Linotype" w:hAnsi="Palatino Linotype"/>
          <w:color w:val="000000" w:themeColor="text1"/>
          <w:sz w:val="20"/>
          <w:szCs w:val="20"/>
        </w:rPr>
        <w:t xml:space="preserve">. Consistent with: </w:t>
      </w:r>
      <w:hyperlink r:id="rId61" w:history="1">
        <w:r w:rsidR="35F2EE98" w:rsidRPr="00E47E07">
          <w:rPr>
            <w:rFonts w:ascii="Palatino Linotype" w:hAnsi="Palatino Linotype"/>
            <w:color w:val="467886" w:themeColor="hyperlink"/>
            <w:sz w:val="20"/>
            <w:szCs w:val="20"/>
            <w:u w:val="single"/>
          </w:rPr>
          <w:t>Resolution G-</w:t>
        </w:r>
        <w:r w:rsidR="35F2EE98" w:rsidRPr="00E47E07">
          <w:rPr>
            <w:rFonts w:ascii="Palatino Linotype" w:hAnsi="Palatino Linotype" w:cs="Arial"/>
            <w:color w:val="467886" w:themeColor="hyperlink"/>
            <w:sz w:val="20"/>
            <w:szCs w:val="20"/>
            <w:u w:val="single"/>
          </w:rPr>
          <w:t>3573</w:t>
        </w:r>
      </w:hyperlink>
      <w:r w:rsidR="35F2EE98" w:rsidRPr="00E47E07">
        <w:rPr>
          <w:rFonts w:ascii="Palatino Linotype" w:hAnsi="Palatino Linotype"/>
          <w:sz w:val="20"/>
          <w:szCs w:val="20"/>
        </w:rPr>
        <w:t xml:space="preserve"> (2021)</w:t>
      </w:r>
      <w:r w:rsidR="008A4A3A">
        <w:rPr>
          <w:rFonts w:ascii="Palatino Linotype" w:hAnsi="Palatino Linotype"/>
          <w:sz w:val="20"/>
          <w:szCs w:val="20"/>
        </w:rPr>
        <w:t xml:space="preserve">: </w:t>
      </w:r>
      <w:r w:rsidR="0003314F" w:rsidRPr="0003314F">
        <w:rPr>
          <w:rFonts w:ascii="Palatino Linotype" w:hAnsi="Palatino Linotype"/>
          <w:sz w:val="20"/>
          <w:szCs w:val="20"/>
        </w:rPr>
        <w:t>Approving S</w:t>
      </w:r>
      <w:r w:rsidR="00D86396">
        <w:rPr>
          <w:rFonts w:ascii="Palatino Linotype" w:hAnsi="Palatino Linotype"/>
          <w:sz w:val="20"/>
          <w:szCs w:val="20"/>
        </w:rPr>
        <w:t>oCalGas</w:t>
      </w:r>
      <w:r w:rsidR="0003314F" w:rsidRPr="0003314F">
        <w:rPr>
          <w:rFonts w:ascii="Palatino Linotype" w:hAnsi="Palatino Linotype"/>
          <w:sz w:val="20"/>
          <w:szCs w:val="20"/>
        </w:rPr>
        <w:t>’ 2021 Gas RD&amp;D Plan</w:t>
      </w:r>
      <w:r w:rsidR="35F2EE98" w:rsidRPr="00E47E07">
        <w:rPr>
          <w:rFonts w:ascii="Palatino Linotype" w:hAnsi="Palatino Linotype"/>
          <w:sz w:val="20"/>
          <w:szCs w:val="20"/>
        </w:rPr>
        <w:t xml:space="preserve"> at OP 3</w:t>
      </w:r>
      <w:r w:rsidR="35F2EE98">
        <w:rPr>
          <w:rFonts w:ascii="Palatino Linotype" w:hAnsi="Palatino Linotype"/>
          <w:sz w:val="20"/>
          <w:szCs w:val="20"/>
        </w:rPr>
        <w:t xml:space="preserve"> &amp;</w:t>
      </w:r>
      <w:r w:rsidR="35F2EE98" w:rsidRPr="00E47E07">
        <w:rPr>
          <w:rFonts w:ascii="Palatino Linotype" w:hAnsi="Palatino Linotype"/>
          <w:sz w:val="20"/>
          <w:szCs w:val="20"/>
        </w:rPr>
        <w:t xml:space="preserve"> </w:t>
      </w:r>
      <w:hyperlink r:id="rId62" w:history="1">
        <w:r w:rsidR="35F2EE98" w:rsidRPr="00E47E07">
          <w:rPr>
            <w:rStyle w:val="Hyperlink"/>
            <w:rFonts w:ascii="Palatino Linotype" w:hAnsi="Palatino Linotype"/>
            <w:sz w:val="20"/>
            <w:szCs w:val="20"/>
          </w:rPr>
          <w:t>Resolution G-3586</w:t>
        </w:r>
      </w:hyperlink>
      <w:r w:rsidR="35F2EE98" w:rsidRPr="00E47E07">
        <w:rPr>
          <w:rFonts w:ascii="Palatino Linotype" w:hAnsi="Palatino Linotype"/>
          <w:sz w:val="20"/>
          <w:szCs w:val="20"/>
        </w:rPr>
        <w:t xml:space="preserve"> (2022)</w:t>
      </w:r>
      <w:r w:rsidR="0052668F">
        <w:rPr>
          <w:rFonts w:ascii="Palatino Linotype" w:hAnsi="Palatino Linotype"/>
          <w:sz w:val="20"/>
          <w:szCs w:val="20"/>
        </w:rPr>
        <w:t xml:space="preserve">: </w:t>
      </w:r>
      <w:r w:rsidR="0052668F" w:rsidRPr="0052668F">
        <w:rPr>
          <w:rFonts w:ascii="Palatino Linotype" w:hAnsi="Palatino Linotype"/>
          <w:sz w:val="20"/>
          <w:szCs w:val="20"/>
        </w:rPr>
        <w:t>Approving S</w:t>
      </w:r>
      <w:r w:rsidR="00D86396">
        <w:rPr>
          <w:rFonts w:ascii="Palatino Linotype" w:hAnsi="Palatino Linotype"/>
          <w:sz w:val="20"/>
          <w:szCs w:val="20"/>
        </w:rPr>
        <w:t>oCalGas</w:t>
      </w:r>
      <w:r w:rsidR="0052668F" w:rsidRPr="0052668F">
        <w:rPr>
          <w:rFonts w:ascii="Palatino Linotype" w:hAnsi="Palatino Linotype"/>
          <w:sz w:val="20"/>
          <w:szCs w:val="20"/>
        </w:rPr>
        <w:t>’ 2022 Gas RD&amp;D Plan</w:t>
      </w:r>
      <w:r w:rsidR="35F2EE98" w:rsidRPr="00E47E07">
        <w:rPr>
          <w:rFonts w:ascii="Palatino Linotype" w:hAnsi="Palatino Linotype"/>
          <w:sz w:val="20"/>
          <w:szCs w:val="20"/>
        </w:rPr>
        <w:t xml:space="preserve"> at OP 5</w:t>
      </w:r>
      <w:r w:rsidR="00D421F5">
        <w:rPr>
          <w:rFonts w:ascii="Palatino Linotype" w:hAnsi="Palatino Linotype"/>
          <w:sz w:val="20"/>
          <w:szCs w:val="20"/>
        </w:rPr>
        <w:t>; &amp;</w:t>
      </w:r>
      <w:r w:rsidR="00445486" w:rsidRPr="00445486">
        <w:t xml:space="preserve"> </w:t>
      </w:r>
      <w:hyperlink r:id="rId63">
        <w:r w:rsidR="00445486" w:rsidRPr="00E6569C">
          <w:rPr>
            <w:rStyle w:val="Hyperlink"/>
            <w:rFonts w:ascii="Palatino Linotype" w:hAnsi="Palatino Linotype"/>
            <w:sz w:val="20"/>
            <w:szCs w:val="20"/>
          </w:rPr>
          <w:t>Resolution G-3592</w:t>
        </w:r>
      </w:hyperlink>
      <w:r w:rsidR="00445486" w:rsidRPr="00E6569C">
        <w:rPr>
          <w:rFonts w:ascii="Palatino Linotype" w:hAnsi="Palatino Linotype"/>
          <w:color w:val="000000" w:themeColor="text1"/>
          <w:sz w:val="20"/>
          <w:szCs w:val="20"/>
        </w:rPr>
        <w:t xml:space="preserve"> (2023)</w:t>
      </w:r>
      <w:r w:rsidR="00445486">
        <w:rPr>
          <w:rFonts w:ascii="Palatino Linotype" w:hAnsi="Palatino Linotype"/>
          <w:color w:val="000000" w:themeColor="text1"/>
          <w:sz w:val="20"/>
          <w:szCs w:val="20"/>
        </w:rPr>
        <w:t xml:space="preserve"> at OP 5d</w:t>
      </w:r>
      <w:r w:rsidR="00D421F5">
        <w:rPr>
          <w:rFonts w:ascii="Palatino Linotype" w:hAnsi="Palatino Linotype"/>
          <w:color w:val="000000" w:themeColor="text1"/>
          <w:sz w:val="20"/>
          <w:szCs w:val="20"/>
        </w:rPr>
        <w:t>.</w:t>
      </w:r>
    </w:p>
  </w:footnote>
  <w:footnote w:id="88">
    <w:p w14:paraId="36D869B7" w14:textId="33A4BFC8" w:rsidR="00121763" w:rsidRDefault="00121763" w:rsidP="00121763">
      <w:pPr>
        <w:pStyle w:val="FootnoteText"/>
      </w:pPr>
      <w:r>
        <w:rPr>
          <w:rStyle w:val="FootnoteReference"/>
        </w:rPr>
        <w:footnoteRef/>
      </w:r>
      <w:r>
        <w:t xml:space="preserve"> </w:t>
      </w:r>
      <w:hyperlink r:id="rId64" w:history="1">
        <w:r w:rsidRPr="0094213F">
          <w:rPr>
            <w:rFonts w:ascii="Palatino Linotype" w:hAnsi="Palatino Linotype"/>
            <w:color w:val="467886" w:themeColor="hyperlink"/>
            <w:u w:val="single"/>
          </w:rPr>
          <w:t>Resolution G-3571</w:t>
        </w:r>
      </w:hyperlink>
      <w:r w:rsidRPr="0094213F">
        <w:rPr>
          <w:rFonts w:ascii="Palatino Linotype" w:hAnsi="Palatino Linotype"/>
        </w:rPr>
        <w:t xml:space="preserve"> (2020) at OP </w:t>
      </w:r>
      <w:r>
        <w:rPr>
          <w:rFonts w:ascii="Palatino Linotype" w:hAnsi="Palatino Linotype"/>
        </w:rPr>
        <w:t xml:space="preserve">8a &amp; </w:t>
      </w:r>
      <w:hyperlink r:id="rId65">
        <w:r w:rsidRPr="00E6569C">
          <w:rPr>
            <w:rStyle w:val="Hyperlink"/>
            <w:rFonts w:ascii="Palatino Linotype" w:hAnsi="Palatino Linotype"/>
          </w:rPr>
          <w:t>Resolution G-3592</w:t>
        </w:r>
      </w:hyperlink>
      <w:r w:rsidRPr="00E6569C">
        <w:rPr>
          <w:rFonts w:ascii="Palatino Linotype" w:hAnsi="Palatino Linotype"/>
          <w:color w:val="000000" w:themeColor="text1"/>
        </w:rPr>
        <w:t xml:space="preserve"> (2023)</w:t>
      </w:r>
      <w:r>
        <w:rPr>
          <w:rFonts w:ascii="Palatino Linotype" w:hAnsi="Palatino Linotype"/>
          <w:color w:val="000000" w:themeColor="text1"/>
        </w:rPr>
        <w:t xml:space="preserve"> at OP 5a.</w:t>
      </w:r>
    </w:p>
  </w:footnote>
  <w:footnote w:id="89">
    <w:p w14:paraId="194B564A" w14:textId="77777777" w:rsidR="00D9082C" w:rsidRDefault="00D9082C">
      <w:pPr>
        <w:pStyle w:val="FootnoteText"/>
      </w:pPr>
      <w:r>
        <w:rPr>
          <w:rStyle w:val="FootnoteReference"/>
        </w:rPr>
        <w:footnoteRef/>
      </w:r>
      <w:r>
        <w:t xml:space="preserve"> </w:t>
      </w:r>
      <w:hyperlink r:id="rId66" w:history="1">
        <w:r w:rsidR="00C07CD7">
          <w:rPr>
            <w:rStyle w:val="Hyperlink"/>
            <w:rFonts w:ascii="Palatino Linotype" w:hAnsi="Palatino Linotype"/>
          </w:rPr>
          <w:t>Resolution G-3571</w:t>
        </w:r>
      </w:hyperlink>
      <w:r w:rsidRPr="0059186E">
        <w:rPr>
          <w:rFonts w:ascii="Palatino Linotype" w:hAnsi="Palatino Linotype"/>
          <w:color w:val="000000" w:themeColor="text1"/>
        </w:rPr>
        <w:t xml:space="preserve"> (2</w:t>
      </w:r>
      <w:r w:rsidR="00C07CD7">
        <w:rPr>
          <w:rFonts w:ascii="Palatino Linotype" w:hAnsi="Palatino Linotype"/>
          <w:color w:val="000000" w:themeColor="text1"/>
        </w:rPr>
        <w:t>020</w:t>
      </w:r>
      <w:r w:rsidR="00D05C9D">
        <w:rPr>
          <w:rFonts w:ascii="Palatino Linotype" w:hAnsi="Palatino Linotype"/>
          <w:color w:val="000000" w:themeColor="text1"/>
        </w:rPr>
        <w:t>)</w:t>
      </w:r>
      <w:r>
        <w:rPr>
          <w:rFonts w:ascii="Palatino Linotype" w:hAnsi="Palatino Linotype"/>
          <w:color w:val="000000" w:themeColor="text1"/>
        </w:rPr>
        <w:t xml:space="preserve"> at </w:t>
      </w:r>
      <w:r w:rsidR="00DB31DA" w:rsidRPr="00DB31DA">
        <w:rPr>
          <w:rFonts w:ascii="Palatino Linotype" w:hAnsi="Palatino Linotype"/>
          <w:color w:val="000000" w:themeColor="text1"/>
        </w:rPr>
        <w:t xml:space="preserve">OP 6. </w:t>
      </w:r>
      <w:r w:rsidR="00DB31DA">
        <w:rPr>
          <w:rFonts w:ascii="Palatino Linotype" w:hAnsi="Palatino Linotype"/>
          <w:color w:val="000000" w:themeColor="text1"/>
        </w:rPr>
        <w:t>“</w:t>
      </w:r>
      <w:r w:rsidR="00DB31DA" w:rsidRPr="00DB31DA">
        <w:rPr>
          <w:rFonts w:ascii="Palatino Linotype" w:hAnsi="Palatino Linotype"/>
          <w:color w:val="000000" w:themeColor="text1"/>
        </w:rPr>
        <w:t>In developing the future Natural Gas R&amp;D Plans, the CPUC requests that the CEC submit future Natural Gas R&amp;D Plans via the Tier 3 Advice Letter/business letter process.</w:t>
      </w:r>
      <w:r w:rsidR="00DB31DA">
        <w:rPr>
          <w:rFonts w:ascii="Palatino Linotype" w:hAnsi="Palatino Linotype"/>
          <w:color w:val="000000" w:themeColor="text1"/>
        </w:rPr>
        <w:t>”</w:t>
      </w:r>
    </w:p>
  </w:footnote>
  <w:footnote w:id="90">
    <w:p w14:paraId="7A3A220E" w14:textId="77777777" w:rsidR="006A0099" w:rsidRDefault="006A0099" w:rsidP="006A0099">
      <w:pPr>
        <w:pStyle w:val="FootnoteText"/>
      </w:pPr>
      <w:r>
        <w:rPr>
          <w:rStyle w:val="FootnoteReference"/>
        </w:rPr>
        <w:footnoteRef/>
      </w:r>
      <w:r w:rsidR="35F2EE98">
        <w:t xml:space="preserve"> </w:t>
      </w:r>
      <w:hyperlink r:id="rId67" w:history="1">
        <w:r w:rsidR="35F2EE98" w:rsidRPr="006856A6">
          <w:rPr>
            <w:rStyle w:val="Hyperlink"/>
            <w:rFonts w:ascii="Palatino Linotype" w:hAnsi="Palatino Linotype"/>
          </w:rPr>
          <w:t>Resolution G-3571</w:t>
        </w:r>
      </w:hyperlink>
      <w:r w:rsidR="35F2EE98" w:rsidRPr="006856A6">
        <w:rPr>
          <w:rFonts w:ascii="Palatino Linotype" w:hAnsi="Palatino Linotype"/>
        </w:rPr>
        <w:t xml:space="preserve"> (2020) at OP 5</w:t>
      </w:r>
      <w:r w:rsidR="35F2EE98">
        <w:rPr>
          <w:rFonts w:ascii="Palatino Linotype" w:hAnsi="Palatino Linotype"/>
        </w:rPr>
        <w:t>c &amp; 5d</w:t>
      </w:r>
      <w:r w:rsidR="35F2EE98" w:rsidRPr="006856A6">
        <w:rPr>
          <w:rFonts w:ascii="Palatino Linotype" w:hAnsi="Palatino Linotype"/>
        </w:rPr>
        <w:t>.</w:t>
      </w:r>
    </w:p>
  </w:footnote>
  <w:footnote w:id="91">
    <w:p w14:paraId="233976BD" w14:textId="77777777" w:rsidR="00891935" w:rsidRDefault="00891935" w:rsidP="00891935">
      <w:pPr>
        <w:pStyle w:val="FootnoteText"/>
      </w:pPr>
      <w:r>
        <w:rPr>
          <w:rStyle w:val="FootnoteReference"/>
        </w:rPr>
        <w:footnoteRef/>
      </w:r>
      <w:r>
        <w:t xml:space="preserve"> </w:t>
      </w:r>
      <w:hyperlink r:id="rId68" w:anchor="page=17" w:history="1">
        <w:r w:rsidRPr="003029E7">
          <w:rPr>
            <w:rStyle w:val="Hyperlink"/>
            <w:rFonts w:ascii="Palatino Linotype" w:hAnsi="Palatino Linotype"/>
          </w:rPr>
          <w:t>General Order 96-B</w:t>
        </w:r>
      </w:hyperlink>
      <w:r>
        <w:rPr>
          <w:rFonts w:ascii="Palatino Linotype" w:hAnsi="Palatino Linotype"/>
        </w:rPr>
        <w:t xml:space="preserve"> Rule 7.3.5 at PDF p. 19.</w:t>
      </w:r>
      <w:r w:rsidR="0030086C" w:rsidRPr="0030086C">
        <w:t xml:space="preserve"> </w:t>
      </w:r>
      <w:hyperlink r:id="rId69">
        <w:r w:rsidR="0030086C" w:rsidRPr="35F2EE98">
          <w:rPr>
            <w:rStyle w:val="Hyperlink"/>
            <w:rFonts w:ascii="Palatino Linotype" w:eastAsia="Palatino Linotype" w:hAnsi="Palatino Linotype" w:cs="Palatino Linotype"/>
          </w:rPr>
          <w:t>D.04-08-010</w:t>
        </w:r>
      </w:hyperlink>
      <w:r w:rsidR="0030086C" w:rsidRPr="35F2EE98">
        <w:rPr>
          <w:rFonts w:ascii="Palatino Linotype" w:eastAsia="Palatino Linotype" w:hAnsi="Palatino Linotype" w:cs="Palatino Linotype"/>
        </w:rPr>
        <w:t xml:space="preserve"> at p. 37: “[W]e will adopt a zero-based budget subject to approval by the Commission.”</w:t>
      </w:r>
    </w:p>
  </w:footnote>
  <w:footnote w:id="92">
    <w:p w14:paraId="271A4206" w14:textId="45A6BA33" w:rsidR="008364E1" w:rsidRPr="009A7052" w:rsidRDefault="008364E1" w:rsidP="008364E1">
      <w:pPr>
        <w:pStyle w:val="FootnoteText"/>
        <w:rPr>
          <w:rFonts w:ascii="Palatino Linotype" w:hAnsi="Palatino Linotype"/>
        </w:rPr>
      </w:pPr>
      <w:r w:rsidRPr="009A7052">
        <w:rPr>
          <w:rStyle w:val="FootnoteReference"/>
          <w:rFonts w:ascii="Palatino Linotype" w:hAnsi="Palatino Linotype"/>
        </w:rPr>
        <w:footnoteRef/>
      </w:r>
      <w:r w:rsidRPr="009A7052">
        <w:rPr>
          <w:rFonts w:ascii="Palatino Linotype" w:hAnsi="Palatino Linotype"/>
        </w:rPr>
        <w:t xml:space="preserve"> </w:t>
      </w:r>
      <w:hyperlink r:id="rId70" w:tgtFrame="_blank" w:history="1">
        <w:r w:rsidRPr="009A7052">
          <w:rPr>
            <w:rStyle w:val="Hyperlink"/>
            <w:rFonts w:ascii="Palatino Linotype" w:hAnsi="Palatino Linotype"/>
          </w:rPr>
          <w:t>D.04-08-010</w:t>
        </w:r>
      </w:hyperlink>
      <w:r w:rsidRPr="009A7052">
        <w:rPr>
          <w:rFonts w:ascii="Palatino Linotype" w:hAnsi="Palatino Linotype"/>
        </w:rPr>
        <w:t> at p. 37-38</w:t>
      </w:r>
      <w:r w:rsidR="007630A1">
        <w:rPr>
          <w:rFonts w:ascii="Palatino Linotype" w:hAnsi="Palatino Linotype"/>
        </w:rPr>
        <w:t>.</w:t>
      </w:r>
    </w:p>
  </w:footnote>
  <w:footnote w:id="93">
    <w:p w14:paraId="4CEA1388" w14:textId="49229ED3" w:rsidR="00745434" w:rsidRDefault="00745434">
      <w:pPr>
        <w:pStyle w:val="FootnoteText"/>
      </w:pPr>
      <w:r w:rsidRPr="00684FA0">
        <w:rPr>
          <w:rStyle w:val="FootnoteReference"/>
          <w:rFonts w:ascii="Palatino Linotype" w:hAnsi="Palatino Linotype"/>
        </w:rPr>
        <w:footnoteRef/>
      </w:r>
      <w:r w:rsidRPr="00684FA0">
        <w:rPr>
          <w:rFonts w:ascii="Palatino Linotype" w:hAnsi="Palatino Linotype"/>
        </w:rPr>
        <w:t xml:space="preserve"> </w:t>
      </w:r>
      <w:hyperlink r:id="rId71">
        <w:r w:rsidR="00684FA0" w:rsidRPr="00684FA0">
          <w:rPr>
            <w:rStyle w:val="Hyperlink"/>
            <w:rFonts w:ascii="Palatino Linotype" w:hAnsi="Palatino Linotype"/>
          </w:rPr>
          <w:t>Resolution G-3592</w:t>
        </w:r>
      </w:hyperlink>
      <w:r w:rsidR="00684FA0" w:rsidRPr="00684FA0">
        <w:rPr>
          <w:rFonts w:ascii="Palatino Linotype" w:hAnsi="Palatino Linotype"/>
        </w:rPr>
        <w:t xml:space="preserve"> (2023) at OP 2 &amp; 5e.</w:t>
      </w:r>
      <w:r w:rsidR="00684FA0">
        <w:rPr>
          <w:rFonts w:ascii="Palatino Linotype" w:hAnsi="Palatino Linotype"/>
        </w:rPr>
        <w:t xml:space="preserve"> </w:t>
      </w:r>
      <w:r w:rsidRPr="00F836EB">
        <w:rPr>
          <w:rFonts w:ascii="Palatino Linotype" w:hAnsi="Palatino Linotype"/>
        </w:rPr>
        <w:t xml:space="preserve">See Resolution </w:t>
      </w:r>
      <w:r w:rsidRPr="00A22C9B">
        <w:rPr>
          <w:rFonts w:ascii="Palatino Linotype" w:hAnsi="Palatino Linotype"/>
        </w:rPr>
        <w:t>G</w:t>
      </w:r>
      <w:r>
        <w:rPr>
          <w:rFonts w:ascii="Palatino Linotype" w:hAnsi="Palatino Linotype"/>
        </w:rPr>
        <w:t>-3622</w:t>
      </w:r>
      <w:r w:rsidRPr="00A22C9B">
        <w:rPr>
          <w:rFonts w:ascii="Palatino Linotype" w:hAnsi="Palatino Linotype"/>
        </w:rPr>
        <w:t xml:space="preserve"> </w:t>
      </w:r>
      <w:r w:rsidRPr="00F836EB">
        <w:rPr>
          <w:rFonts w:ascii="Palatino Linotype" w:hAnsi="Palatino Linotype"/>
        </w:rPr>
        <w:t xml:space="preserve">at Appendix </w:t>
      </w:r>
      <w:r w:rsidR="00BB4E69">
        <w:rPr>
          <w:rFonts w:ascii="Palatino Linotype" w:hAnsi="Palatino Linotype"/>
        </w:rPr>
        <w:t>B</w:t>
      </w:r>
      <w:r w:rsidRPr="00F836EB">
        <w:rPr>
          <w:rFonts w:ascii="Palatino Linotype" w:hAnsi="Palatino Linotype"/>
        </w:rPr>
        <w:t>: Administrative Budget Cost Categories</w:t>
      </w:r>
      <w:r w:rsidR="00924814">
        <w:rPr>
          <w:rFonts w:ascii="Palatino Linotype" w:hAnsi="Palatino Linotype"/>
        </w:rPr>
        <w:t>.</w:t>
      </w:r>
    </w:p>
  </w:footnote>
  <w:footnote w:id="94">
    <w:p w14:paraId="6E8CE9AE" w14:textId="77777777" w:rsidR="00891935" w:rsidRDefault="00891935" w:rsidP="00891935">
      <w:pPr>
        <w:pStyle w:val="FootnoteText"/>
      </w:pPr>
      <w:r>
        <w:rPr>
          <w:rStyle w:val="FootnoteReference"/>
        </w:rPr>
        <w:footnoteRef/>
      </w:r>
      <w:r>
        <w:t xml:space="preserve"> </w:t>
      </w:r>
      <w:hyperlink r:id="rId72">
        <w:r w:rsidRPr="35F2EE98">
          <w:rPr>
            <w:rStyle w:val="Hyperlink"/>
            <w:rFonts w:ascii="Palatino Linotype" w:eastAsia="Palatino Linotype" w:hAnsi="Palatino Linotype" w:cs="Palatino Linotype"/>
          </w:rPr>
          <w:t>D.04-08-010</w:t>
        </w:r>
      </w:hyperlink>
      <w:r w:rsidRPr="35F2EE98">
        <w:rPr>
          <w:rFonts w:ascii="Palatino Linotype" w:eastAsia="Palatino Linotype" w:hAnsi="Palatino Linotype" w:cs="Palatino Linotype"/>
        </w:rPr>
        <w:t xml:space="preserve"> at p.</w:t>
      </w:r>
      <w:r>
        <w:rPr>
          <w:rFonts w:ascii="Palatino Linotype" w:eastAsia="Palatino Linotype" w:hAnsi="Palatino Linotype" w:cs="Palatino Linotype"/>
        </w:rPr>
        <w:t xml:space="preserve"> 44.</w:t>
      </w:r>
    </w:p>
  </w:footnote>
  <w:footnote w:id="95">
    <w:p w14:paraId="0CD34990" w14:textId="03F847D9" w:rsidR="00790ED6" w:rsidRDefault="00790ED6">
      <w:pPr>
        <w:pStyle w:val="FootnoteText"/>
      </w:pPr>
      <w:r>
        <w:rPr>
          <w:rStyle w:val="FootnoteReference"/>
        </w:rPr>
        <w:footnoteRef/>
      </w:r>
      <w:r>
        <w:t xml:space="preserve"> </w:t>
      </w:r>
      <w:hyperlink r:id="rId73">
        <w:r w:rsidRPr="35F2EE98">
          <w:rPr>
            <w:rStyle w:val="Hyperlink"/>
            <w:rFonts w:ascii="Palatino Linotype" w:eastAsia="Palatino Linotype" w:hAnsi="Palatino Linotype" w:cs="Palatino Linotype"/>
          </w:rPr>
          <w:t>D.04-08-010</w:t>
        </w:r>
      </w:hyperlink>
      <w:r w:rsidRPr="35F2EE98">
        <w:rPr>
          <w:rFonts w:ascii="Palatino Linotype" w:eastAsia="Palatino Linotype" w:hAnsi="Palatino Linotype" w:cs="Palatino Linotype"/>
        </w:rPr>
        <w:t xml:space="preserve"> at p.</w:t>
      </w:r>
      <w:r>
        <w:rPr>
          <w:rFonts w:ascii="Palatino Linotype" w:eastAsia="Palatino Linotype" w:hAnsi="Palatino Linotype" w:cs="Palatino Linotype"/>
        </w:rPr>
        <w:t xml:space="preserve"> 41.</w:t>
      </w:r>
    </w:p>
  </w:footnote>
  <w:footnote w:id="96">
    <w:p w14:paraId="6D6C208F" w14:textId="6EC78D72" w:rsidR="005A7C04" w:rsidRDefault="005A7C04" w:rsidP="005A7C04">
      <w:pPr>
        <w:pStyle w:val="FootnoteText"/>
      </w:pPr>
      <w:r w:rsidRPr="005A7C04">
        <w:rPr>
          <w:rStyle w:val="FootnoteReference"/>
          <w:color w:val="000000" w:themeColor="text1"/>
        </w:rPr>
        <w:footnoteRef/>
      </w:r>
      <w:r w:rsidRPr="005A7C04">
        <w:rPr>
          <w:color w:val="000000" w:themeColor="text1"/>
        </w:rPr>
        <w:t xml:space="preserve"> </w:t>
      </w:r>
      <w:r w:rsidRPr="005A7C04">
        <w:rPr>
          <w:rFonts w:ascii="Palatino Linotype" w:eastAsia="Palatino Linotype" w:hAnsi="Palatino Linotype" w:cs="Times New Roman"/>
          <w:color w:val="000000" w:themeColor="text1"/>
        </w:rPr>
        <w:t xml:space="preserve">CEC shall delineate balances of Program Administration funds </w:t>
      </w:r>
      <w:r>
        <w:rPr>
          <w:rFonts w:ascii="Palatino Linotype" w:eastAsia="Palatino Linotype" w:hAnsi="Palatino Linotype" w:cs="Times New Roman"/>
          <w:color w:val="000000" w:themeColor="text1"/>
        </w:rPr>
        <w:t xml:space="preserve">in reporting </w:t>
      </w:r>
      <w:r w:rsidRPr="005A7C04">
        <w:rPr>
          <w:rFonts w:ascii="Palatino Linotype" w:eastAsia="Palatino Linotype" w:hAnsi="Palatino Linotype" w:cs="Times New Roman"/>
          <w:color w:val="000000" w:themeColor="text1"/>
        </w:rPr>
        <w:t>according to the required template</w:t>
      </w:r>
      <w:r w:rsidRPr="005A7C04">
        <w:rPr>
          <w:color w:val="000000" w:themeColor="text1"/>
        </w:rPr>
        <w:t xml:space="preserve">. </w:t>
      </w:r>
      <w:r w:rsidRPr="00F836EB">
        <w:rPr>
          <w:rFonts w:ascii="Palatino Linotype" w:hAnsi="Palatino Linotype"/>
        </w:rPr>
        <w:t xml:space="preserve">See Resolution </w:t>
      </w:r>
      <w:r w:rsidRPr="00A22C9B">
        <w:rPr>
          <w:rFonts w:ascii="Palatino Linotype" w:hAnsi="Palatino Linotype"/>
        </w:rPr>
        <w:t>G</w:t>
      </w:r>
      <w:r>
        <w:rPr>
          <w:rFonts w:ascii="Palatino Linotype" w:hAnsi="Palatino Linotype"/>
        </w:rPr>
        <w:t>-3622</w:t>
      </w:r>
      <w:r w:rsidRPr="00A22C9B">
        <w:rPr>
          <w:rFonts w:ascii="Palatino Linotype" w:hAnsi="Palatino Linotype"/>
        </w:rPr>
        <w:t xml:space="preserve"> </w:t>
      </w:r>
      <w:r w:rsidRPr="00F836EB">
        <w:rPr>
          <w:rFonts w:ascii="Palatino Linotype" w:hAnsi="Palatino Linotype"/>
        </w:rPr>
        <w:t xml:space="preserve">at Appendix </w:t>
      </w:r>
      <w:r w:rsidR="00BB4E69">
        <w:rPr>
          <w:rFonts w:ascii="Palatino Linotype" w:hAnsi="Palatino Linotype"/>
        </w:rPr>
        <w:t>B</w:t>
      </w:r>
      <w:r w:rsidRPr="00F836EB">
        <w:rPr>
          <w:rFonts w:ascii="Palatino Linotype" w:hAnsi="Palatino Linotype"/>
        </w:rPr>
        <w:t>: Administrative Budget Cost Categories</w:t>
      </w:r>
      <w:r>
        <w:rPr>
          <w:rFonts w:ascii="Palatino Linotype" w:hAnsi="Palatino Linotype"/>
        </w:rPr>
        <w:t xml:space="preserve"> adopted in</w:t>
      </w:r>
      <w:r w:rsidRPr="005A7C04">
        <w:t xml:space="preserve"> </w:t>
      </w:r>
      <w:hyperlink r:id="rId74">
        <w:r w:rsidRPr="1B3767A6">
          <w:rPr>
            <w:rStyle w:val="Hyperlink"/>
            <w:rFonts w:ascii="Palatino Linotype" w:hAnsi="Palatino Linotype"/>
          </w:rPr>
          <w:t>Resolution G-3592</w:t>
        </w:r>
      </w:hyperlink>
      <w:r w:rsidRPr="1B3767A6">
        <w:rPr>
          <w:rFonts w:ascii="Palatino Linotype" w:hAnsi="Palatino Linotype"/>
        </w:rPr>
        <w:t xml:space="preserve"> (2023) </w:t>
      </w:r>
      <w:r w:rsidRPr="00F836EB">
        <w:rPr>
          <w:rFonts w:ascii="Palatino Linotype" w:hAnsi="Palatino Linotype"/>
        </w:rPr>
        <w:t>at OP 5e.</w:t>
      </w:r>
    </w:p>
  </w:footnote>
  <w:footnote w:id="97">
    <w:p w14:paraId="4433AFA7" w14:textId="03D4B6BB" w:rsidR="00CC3783" w:rsidRPr="00D83F09" w:rsidRDefault="00CC3783">
      <w:pPr>
        <w:pStyle w:val="FootnoteText"/>
        <w:rPr>
          <w:rFonts w:ascii="Palatino Linotype" w:hAnsi="Palatino Linotype"/>
        </w:rPr>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Commission</w:t>
      </w:r>
      <w:r w:rsidR="00D83F09" w:rsidRPr="007033DF">
        <w:rPr>
          <w:rFonts w:ascii="Palatino Linotype" w:hAnsi="Palatino Linotype"/>
          <w:color w:val="000000" w:themeColor="text1"/>
        </w:rPr>
        <w:t xml:space="preserve"> </w:t>
      </w:r>
      <w:r w:rsidRPr="007033DF">
        <w:rPr>
          <w:rFonts w:ascii="Palatino Linotype" w:hAnsi="Palatino Linotype"/>
          <w:color w:val="000000" w:themeColor="text1"/>
        </w:rPr>
        <w:t xml:space="preserve">approval dates may vary by specific Initiative in the same Gas RD&amp;D Plan </w:t>
      </w:r>
      <w:r w:rsidR="00D83F09" w:rsidRPr="007033DF">
        <w:rPr>
          <w:rFonts w:ascii="Palatino Linotype" w:hAnsi="Palatino Linotype"/>
          <w:color w:val="000000" w:themeColor="text1"/>
        </w:rPr>
        <w:t xml:space="preserve">as the Commission may approve some Initiatives via </w:t>
      </w:r>
      <w:r w:rsidR="00CD56B3">
        <w:rPr>
          <w:rFonts w:ascii="Palatino Linotype" w:hAnsi="Palatino Linotype"/>
          <w:color w:val="000000" w:themeColor="text1"/>
        </w:rPr>
        <w:t>Tier 3 ALs in r</w:t>
      </w:r>
      <w:r w:rsidR="00D83F09" w:rsidRPr="007033DF">
        <w:rPr>
          <w:rFonts w:ascii="Palatino Linotype" w:hAnsi="Palatino Linotype"/>
          <w:color w:val="000000" w:themeColor="text1"/>
        </w:rPr>
        <w:t>esolution</w:t>
      </w:r>
      <w:r w:rsidR="00CD56B3">
        <w:rPr>
          <w:rFonts w:ascii="Palatino Linotype" w:hAnsi="Palatino Linotype"/>
          <w:color w:val="000000" w:themeColor="text1"/>
        </w:rPr>
        <w:t>s</w:t>
      </w:r>
      <w:r w:rsidR="00D83F09" w:rsidRPr="007033DF">
        <w:rPr>
          <w:rFonts w:ascii="Palatino Linotype" w:hAnsi="Palatino Linotype"/>
          <w:color w:val="000000" w:themeColor="text1"/>
        </w:rPr>
        <w:t xml:space="preserve"> and others via subsequent Tier 2 AL</w:t>
      </w:r>
      <w:r w:rsidR="00682DEC">
        <w:rPr>
          <w:rFonts w:ascii="Palatino Linotype" w:hAnsi="Palatino Linotype"/>
          <w:color w:val="000000" w:themeColor="text1"/>
        </w:rPr>
        <w:t>s</w:t>
      </w:r>
      <w:r w:rsidR="00D83F09" w:rsidRPr="007033DF">
        <w:rPr>
          <w:rFonts w:ascii="Palatino Linotype" w:hAnsi="Palatino Linotype"/>
          <w:color w:val="000000" w:themeColor="text1"/>
        </w:rPr>
        <w:t>.</w:t>
      </w:r>
    </w:p>
  </w:footnote>
  <w:footnote w:id="98">
    <w:p w14:paraId="7FD68206" w14:textId="4FEFF845" w:rsidR="00FA7531" w:rsidRDefault="00FA7531" w:rsidP="00FA7531">
      <w:pPr>
        <w:pStyle w:val="FootnoteText"/>
        <w:rPr>
          <w:rFonts w:ascii="Palatino Linotype" w:hAnsi="Palatino Linotype"/>
        </w:rPr>
      </w:pPr>
      <w:r w:rsidRPr="1B3767A6">
        <w:rPr>
          <w:rStyle w:val="FootnoteReference"/>
        </w:rPr>
        <w:footnoteRef/>
      </w:r>
      <w:r>
        <w:t xml:space="preserve"> </w:t>
      </w:r>
      <w:hyperlink r:id="rId75">
        <w:r w:rsidRPr="1B3767A6">
          <w:rPr>
            <w:rStyle w:val="Hyperlink"/>
            <w:rFonts w:ascii="Palatino Linotype" w:hAnsi="Palatino Linotype"/>
          </w:rPr>
          <w:t>Resolution G-3484</w:t>
        </w:r>
      </w:hyperlink>
      <w:r w:rsidRPr="1B3767A6">
        <w:rPr>
          <w:rFonts w:ascii="Palatino Linotype" w:hAnsi="Palatino Linotype"/>
        </w:rPr>
        <w:t xml:space="preserve"> (2013) at </w:t>
      </w:r>
      <w:r w:rsidRPr="00105566">
        <w:rPr>
          <w:rFonts w:ascii="Palatino Linotype" w:hAnsi="Palatino Linotype"/>
        </w:rPr>
        <w:t>p. 5-6</w:t>
      </w:r>
      <w:r w:rsidRPr="00741572">
        <w:rPr>
          <w:rFonts w:ascii="Palatino Linotype" w:hAnsi="Palatino Linotype"/>
        </w:rPr>
        <w:t xml:space="preserve"> &amp;</w:t>
      </w:r>
      <w:r w:rsidRPr="1B3767A6">
        <w:rPr>
          <w:rFonts w:ascii="Palatino Linotype" w:hAnsi="Palatino Linotype"/>
        </w:rPr>
        <w:t xml:space="preserve"> OP 5; </w:t>
      </w:r>
      <w:hyperlink r:id="rId76">
        <w:r w:rsidRPr="1B3767A6">
          <w:rPr>
            <w:rStyle w:val="Hyperlink"/>
            <w:rFonts w:ascii="Palatino Linotype" w:hAnsi="Palatino Linotype"/>
          </w:rPr>
          <w:t>Resolution G-3495</w:t>
        </w:r>
      </w:hyperlink>
      <w:r w:rsidRPr="1B3767A6">
        <w:rPr>
          <w:rFonts w:ascii="Palatino Linotype" w:hAnsi="Palatino Linotype"/>
        </w:rPr>
        <w:t xml:space="preserve"> (2014) at OP 3; </w:t>
      </w:r>
      <w:hyperlink r:id="rId77">
        <w:r w:rsidRPr="1B3767A6">
          <w:rPr>
            <w:rStyle w:val="Hyperlink"/>
            <w:rFonts w:ascii="Palatino Linotype" w:hAnsi="Palatino Linotype"/>
          </w:rPr>
          <w:t>Resolution G-3507</w:t>
        </w:r>
      </w:hyperlink>
      <w:r w:rsidRPr="1B3767A6">
        <w:rPr>
          <w:rFonts w:ascii="Palatino Linotype" w:hAnsi="Palatino Linotype"/>
        </w:rPr>
        <w:t xml:space="preserve"> (2015)</w:t>
      </w:r>
      <w:r>
        <w:rPr>
          <w:rFonts w:ascii="Palatino Linotype" w:hAnsi="Palatino Linotype"/>
        </w:rPr>
        <w:t>: Approving CEC’s FY 2015-2016 Gas RD&amp;D Plan</w:t>
      </w:r>
      <w:r w:rsidRPr="1B3767A6">
        <w:rPr>
          <w:rFonts w:ascii="Palatino Linotype" w:hAnsi="Palatino Linotype"/>
        </w:rPr>
        <w:t xml:space="preserve"> at OP 3; </w:t>
      </w:r>
      <w:hyperlink r:id="rId78">
        <w:r w:rsidRPr="1B3767A6">
          <w:rPr>
            <w:rStyle w:val="Hyperlink"/>
            <w:rFonts w:ascii="Palatino Linotype" w:hAnsi="Palatino Linotype"/>
          </w:rPr>
          <w:t>Resolution G-3519</w:t>
        </w:r>
      </w:hyperlink>
      <w:r w:rsidRPr="1B3767A6">
        <w:rPr>
          <w:rFonts w:ascii="Palatino Linotype" w:hAnsi="Palatino Linotype"/>
        </w:rPr>
        <w:t xml:space="preserve"> (2016</w:t>
      </w:r>
      <w:r w:rsidR="000704AD">
        <w:rPr>
          <w:rFonts w:ascii="Palatino Linotype" w:hAnsi="Palatino Linotype"/>
        </w:rPr>
        <w:t>)</w:t>
      </w:r>
      <w:r w:rsidRPr="1B3767A6">
        <w:rPr>
          <w:rFonts w:ascii="Palatino Linotype" w:hAnsi="Palatino Linotype"/>
        </w:rPr>
        <w:t xml:space="preserve"> at OP 3; </w:t>
      </w:r>
      <w:hyperlink r:id="rId79">
        <w:r w:rsidRPr="1B3767A6">
          <w:rPr>
            <w:rStyle w:val="Hyperlink"/>
            <w:rFonts w:ascii="Palatino Linotype" w:hAnsi="Palatino Linotype"/>
          </w:rPr>
          <w:t xml:space="preserve">Resolution </w:t>
        </w:r>
        <w:r w:rsidR="000B324C">
          <w:rPr>
            <w:rStyle w:val="Hyperlink"/>
            <w:rFonts w:ascii="Palatino Linotype" w:hAnsi="Palatino Linotype"/>
          </w:rPr>
          <w:br/>
        </w:r>
        <w:r w:rsidRPr="1B3767A6">
          <w:rPr>
            <w:rStyle w:val="Hyperlink"/>
            <w:rFonts w:ascii="Palatino Linotype" w:hAnsi="Palatino Linotype"/>
          </w:rPr>
          <w:t>G-3527</w:t>
        </w:r>
      </w:hyperlink>
      <w:r w:rsidRPr="1B3767A6">
        <w:rPr>
          <w:rFonts w:ascii="Palatino Linotype" w:hAnsi="Palatino Linotype"/>
        </w:rPr>
        <w:t xml:space="preserve"> (2017)</w:t>
      </w:r>
      <w:r>
        <w:rPr>
          <w:rFonts w:ascii="Palatino Linotype" w:hAnsi="Palatino Linotype"/>
        </w:rPr>
        <w:t>: A</w:t>
      </w:r>
      <w:r w:rsidRPr="00E22B76">
        <w:rPr>
          <w:rFonts w:ascii="Palatino Linotype" w:hAnsi="Palatino Linotype"/>
        </w:rPr>
        <w:t>pproving CEC’s FY 2017-2018 Gas R</w:t>
      </w:r>
      <w:r>
        <w:rPr>
          <w:rFonts w:ascii="Palatino Linotype" w:hAnsi="Palatino Linotype"/>
        </w:rPr>
        <w:t>D</w:t>
      </w:r>
      <w:r w:rsidRPr="00E22B76">
        <w:rPr>
          <w:rFonts w:ascii="Palatino Linotype" w:hAnsi="Palatino Linotype"/>
        </w:rPr>
        <w:t>&amp;D Plan</w:t>
      </w:r>
      <w:r w:rsidRPr="1B3767A6">
        <w:rPr>
          <w:rFonts w:ascii="Palatino Linotype" w:hAnsi="Palatino Linotype"/>
        </w:rPr>
        <w:t xml:space="preserve"> at OP 3; &amp; </w:t>
      </w:r>
      <w:hyperlink r:id="rId80">
        <w:r w:rsidRPr="1B3767A6">
          <w:rPr>
            <w:rStyle w:val="Hyperlink"/>
            <w:rFonts w:ascii="Palatino Linotype" w:hAnsi="Palatino Linotype"/>
          </w:rPr>
          <w:t>Resolution G-3592</w:t>
        </w:r>
      </w:hyperlink>
      <w:r w:rsidRPr="1B3767A6">
        <w:rPr>
          <w:rFonts w:ascii="Palatino Linotype" w:hAnsi="Palatino Linotype"/>
        </w:rPr>
        <w:t xml:space="preserve"> (2023) at OP 7. Consistent with </w:t>
      </w:r>
      <w:hyperlink r:id="rId81" w:history="1">
        <w:r w:rsidRPr="00AB6F90">
          <w:rPr>
            <w:rStyle w:val="Hyperlink"/>
            <w:rFonts w:ascii="Palatino Linotype" w:hAnsi="Palatino Linotype"/>
          </w:rPr>
          <w:t>Resolution G-3555</w:t>
        </w:r>
      </w:hyperlink>
      <w:r w:rsidRPr="1B3767A6">
        <w:rPr>
          <w:rFonts w:ascii="Palatino Linotype" w:hAnsi="Palatino Linotype"/>
        </w:rPr>
        <w:t xml:space="preserve"> (2019) at OP 4.</w:t>
      </w:r>
      <w:r>
        <w:rPr>
          <w:rFonts w:ascii="Palatino Linotype" w:hAnsi="Palatino Linotype"/>
        </w:rPr>
        <w:t xml:space="preserve"> </w:t>
      </w:r>
      <w:r w:rsidRPr="008D6123">
        <w:rPr>
          <w:rFonts w:ascii="Palatino Linotype" w:eastAsia="Palatino Linotype" w:hAnsi="Palatino Linotype" w:cs="Times New Roman"/>
          <w:color w:val="000000" w:themeColor="text1"/>
        </w:rPr>
        <w:t xml:space="preserve">The intent of these requirements is for CEC to demonstrate it has spent its cumulative authorized budgets for approved purposes </w:t>
      </w:r>
      <w:r>
        <w:rPr>
          <w:rFonts w:ascii="Palatino Linotype" w:eastAsia="Palatino Linotype" w:hAnsi="Palatino Linotype" w:cs="Times New Roman"/>
          <w:color w:val="000000" w:themeColor="text1"/>
        </w:rPr>
        <w:t xml:space="preserve">per </w:t>
      </w:r>
      <w:hyperlink r:id="rId82">
        <w:r w:rsidRPr="1B3767A6">
          <w:rPr>
            <w:rStyle w:val="Hyperlink"/>
            <w:rFonts w:ascii="Palatino Linotype" w:hAnsi="Palatino Linotype"/>
          </w:rPr>
          <w:t>Resolution G-3484</w:t>
        </w:r>
      </w:hyperlink>
      <w:r w:rsidRPr="1B3767A6">
        <w:rPr>
          <w:rFonts w:ascii="Palatino Linotype" w:hAnsi="Palatino Linotype"/>
        </w:rPr>
        <w:t xml:space="preserve"> (2013) </w:t>
      </w:r>
      <w:r w:rsidRPr="004D17A0">
        <w:rPr>
          <w:rFonts w:ascii="Palatino Linotype" w:hAnsi="Palatino Linotype"/>
        </w:rPr>
        <w:t>at p. 6</w:t>
      </w:r>
      <w:r w:rsidR="00BC5B24">
        <w:rPr>
          <w:rFonts w:ascii="Palatino Linotype" w:hAnsi="Palatino Linotype"/>
        </w:rPr>
        <w:t>,</w:t>
      </w:r>
      <w:r>
        <w:rPr>
          <w:rFonts w:ascii="Palatino Linotype" w:hAnsi="Palatino Linotype"/>
        </w:rPr>
        <w:t xml:space="preserve"> </w:t>
      </w:r>
      <w:r>
        <w:rPr>
          <w:rFonts w:ascii="Palatino Linotype" w:eastAsia="Palatino Linotype" w:hAnsi="Palatino Linotype" w:cs="Times New Roman"/>
          <w:color w:val="000000" w:themeColor="text1"/>
        </w:rPr>
        <w:t>or</w:t>
      </w:r>
      <w:r w:rsidRPr="008D6123">
        <w:rPr>
          <w:rFonts w:ascii="Palatino Linotype" w:eastAsia="Palatino Linotype" w:hAnsi="Palatino Linotype" w:cs="Times New Roman"/>
          <w:color w:val="000000" w:themeColor="text1"/>
        </w:rPr>
        <w:t xml:space="preserve"> for the CPUC to understand which Initiatives received funds that went unspent in order recognize any trends and better optimize budget allocations</w:t>
      </w:r>
      <w:r>
        <w:rPr>
          <w:rFonts w:ascii="Palatino Linotype" w:eastAsia="Palatino Linotype" w:hAnsi="Palatino Linotype" w:cs="Times New Roman"/>
          <w:color w:val="000000" w:themeColor="text1"/>
        </w:rPr>
        <w:t xml:space="preserve"> per </w:t>
      </w:r>
      <w:hyperlink r:id="rId83">
        <w:r w:rsidRPr="1B3767A6">
          <w:rPr>
            <w:rStyle w:val="Hyperlink"/>
            <w:rFonts w:ascii="Palatino Linotype" w:eastAsia="Palatino Linotype" w:hAnsi="Palatino Linotype" w:cs="Palatino Linotype"/>
          </w:rPr>
          <w:t>Resolution G-3584</w:t>
        </w:r>
      </w:hyperlink>
      <w:r w:rsidRPr="1B3767A6">
        <w:rPr>
          <w:rFonts w:ascii="Palatino Linotype" w:eastAsia="Palatino Linotype" w:hAnsi="Palatino Linotype" w:cs="Palatino Linotype"/>
        </w:rPr>
        <w:t xml:space="preserve"> (2021) at p. 10.</w:t>
      </w:r>
    </w:p>
  </w:footnote>
  <w:footnote w:id="99">
    <w:p w14:paraId="175F9EBD" w14:textId="77777777" w:rsidR="00B11018" w:rsidRDefault="00B11018" w:rsidP="00B11018">
      <w:pPr>
        <w:pStyle w:val="FootnoteText"/>
        <w:rPr>
          <w:rFonts w:ascii="Palatino Linotype" w:hAnsi="Palatino Linotype"/>
        </w:rPr>
      </w:pPr>
      <w:r w:rsidRPr="1B3767A6">
        <w:rPr>
          <w:rStyle w:val="FootnoteReference"/>
        </w:rPr>
        <w:footnoteRef/>
      </w:r>
      <w:r>
        <w:t xml:space="preserve"> </w:t>
      </w:r>
      <w:hyperlink r:id="rId84">
        <w:r w:rsidRPr="1B3767A6">
          <w:rPr>
            <w:rStyle w:val="Hyperlink"/>
            <w:rFonts w:ascii="Palatino Linotype" w:hAnsi="Palatino Linotype"/>
          </w:rPr>
          <w:t>Resolution G-3584</w:t>
        </w:r>
      </w:hyperlink>
      <w:r w:rsidRPr="1B3767A6">
        <w:rPr>
          <w:rFonts w:ascii="Palatino Linotype" w:hAnsi="Palatino Linotype"/>
        </w:rPr>
        <w:t xml:space="preserve"> (202</w:t>
      </w:r>
      <w:r>
        <w:rPr>
          <w:rFonts w:ascii="Palatino Linotype" w:hAnsi="Palatino Linotype"/>
        </w:rPr>
        <w:t>1</w:t>
      </w:r>
      <w:r w:rsidRPr="1B3767A6">
        <w:rPr>
          <w:rFonts w:ascii="Palatino Linotype" w:hAnsi="Palatino Linotype"/>
        </w:rPr>
        <w:t xml:space="preserve">) at OP 3 &amp; </w:t>
      </w:r>
      <w:hyperlink r:id="rId85">
        <w:r w:rsidRPr="1B3767A6">
          <w:rPr>
            <w:rStyle w:val="Hyperlink"/>
            <w:rFonts w:ascii="Palatino Linotype" w:hAnsi="Palatino Linotype"/>
          </w:rPr>
          <w:t>Resolution G-3592</w:t>
        </w:r>
      </w:hyperlink>
      <w:r w:rsidRPr="1B3767A6">
        <w:rPr>
          <w:rFonts w:ascii="Palatino Linotype" w:hAnsi="Palatino Linotype"/>
        </w:rPr>
        <w:t xml:space="preserve"> (2023) at OP 7.</w:t>
      </w:r>
    </w:p>
  </w:footnote>
  <w:footnote w:id="100">
    <w:p w14:paraId="6FFB2C4E" w14:textId="77777777" w:rsidR="00D73497" w:rsidRDefault="00D73497" w:rsidP="00D73497">
      <w:pPr>
        <w:pStyle w:val="FootnoteText"/>
      </w:pPr>
      <w:r>
        <w:rPr>
          <w:rStyle w:val="FootnoteReference"/>
        </w:rPr>
        <w:footnoteRef/>
      </w:r>
      <w:r>
        <w:t xml:space="preserve"> </w:t>
      </w:r>
      <w:hyperlink r:id="rId86" w:tgtFrame="_blank" w:history="1">
        <w:r w:rsidRPr="00D0541D">
          <w:rPr>
            <w:rStyle w:val="Hyperlink"/>
            <w:rFonts w:ascii="Palatino Linotype" w:hAnsi="Palatino Linotype"/>
          </w:rPr>
          <w:t>D.04-08-010</w:t>
        </w:r>
      </w:hyperlink>
      <w:r w:rsidRPr="00D0541D">
        <w:rPr>
          <w:rFonts w:ascii="Palatino Linotype" w:hAnsi="Palatino Linotype"/>
        </w:rPr>
        <w:t xml:space="preserve"> at p. 42</w:t>
      </w:r>
      <w:r>
        <w:rPr>
          <w:rFonts w:ascii="Palatino Linotype" w:hAnsi="Palatino Linotype"/>
        </w:rPr>
        <w:t xml:space="preserve"> &amp; OP 21. </w:t>
      </w:r>
    </w:p>
  </w:footnote>
  <w:footnote w:id="101">
    <w:p w14:paraId="11DF96DA" w14:textId="3C3D07FD" w:rsidR="00D73497" w:rsidRDefault="00D73497" w:rsidP="00D73497">
      <w:pPr>
        <w:pStyle w:val="FootnoteText"/>
      </w:pPr>
      <w:r>
        <w:rPr>
          <w:rStyle w:val="FootnoteReference"/>
        </w:rPr>
        <w:footnoteRef/>
      </w:r>
      <w:r>
        <w:t xml:space="preserve"> </w:t>
      </w:r>
      <w:hyperlink r:id="rId87" w:tgtFrame="_blank" w:history="1">
        <w:r w:rsidRPr="00D0541D">
          <w:rPr>
            <w:rStyle w:val="Hyperlink"/>
            <w:rFonts w:ascii="Palatino Linotype" w:hAnsi="Palatino Linotype"/>
          </w:rPr>
          <w:t>D.04-08-010</w:t>
        </w:r>
      </w:hyperlink>
      <w:r>
        <w:t xml:space="preserve"> </w:t>
      </w:r>
      <w:r w:rsidRPr="004A7117">
        <w:rPr>
          <w:rFonts w:ascii="Palatino Linotype" w:hAnsi="Palatino Linotype"/>
          <w:color w:val="000000" w:themeColor="text1"/>
        </w:rPr>
        <w:t xml:space="preserve">at FOF 9. </w:t>
      </w:r>
      <w:r>
        <w:rPr>
          <w:rFonts w:ascii="Palatino Linotype" w:hAnsi="Palatino Linotype"/>
          <w:color w:val="000000" w:themeColor="text1"/>
        </w:rPr>
        <w:t>“</w:t>
      </w:r>
      <w:r w:rsidRPr="004A7117">
        <w:rPr>
          <w:rFonts w:ascii="Palatino Linotype" w:hAnsi="Palatino Linotype"/>
          <w:color w:val="000000" w:themeColor="text1"/>
        </w:rPr>
        <w:t>Ratepayers should receive interest on deposited amounts in balancing accounts held by utilities</w:t>
      </w:r>
      <w:r>
        <w:rPr>
          <w:rFonts w:ascii="Palatino Linotype" w:hAnsi="Palatino Linotype"/>
          <w:color w:val="000000" w:themeColor="text1"/>
        </w:rPr>
        <w:t xml:space="preserve">.” See </w:t>
      </w:r>
      <w:r w:rsidRPr="00B56B33">
        <w:rPr>
          <w:rFonts w:ascii="Palatino Linotype" w:hAnsi="Palatino Linotype"/>
          <w:color w:val="000000" w:themeColor="text1"/>
        </w:rPr>
        <w:t xml:space="preserve">also </w:t>
      </w:r>
      <w:hyperlink r:id="rId88" w:tgtFrame="_blank" w:history="1">
        <w:r w:rsidR="00B56B33" w:rsidRPr="00B56B33">
          <w:rPr>
            <w:rStyle w:val="Hyperlink"/>
            <w:rFonts w:ascii="Palatino Linotype" w:hAnsi="Palatino Linotype"/>
          </w:rPr>
          <w:t>D.04-08-010</w:t>
        </w:r>
      </w:hyperlink>
      <w:r w:rsidR="00B56B33" w:rsidRPr="00B56B33">
        <w:rPr>
          <w:rFonts w:ascii="Palatino Linotype" w:hAnsi="Palatino Linotype"/>
        </w:rPr>
        <w:t xml:space="preserve"> at </w:t>
      </w:r>
      <w:r w:rsidRPr="00B56B33">
        <w:rPr>
          <w:rFonts w:ascii="Palatino Linotype" w:hAnsi="Palatino Linotype"/>
          <w:color w:val="000000" w:themeColor="text1"/>
        </w:rPr>
        <w:t>p. 8.</w:t>
      </w:r>
      <w:r>
        <w:rPr>
          <w:rFonts w:ascii="Palatino Linotype" w:hAnsi="Palatino Linotype"/>
          <w:color w:val="000000" w:themeColor="text1"/>
        </w:rPr>
        <w:t xml:space="preserve"> </w:t>
      </w:r>
    </w:p>
  </w:footnote>
  <w:footnote w:id="102">
    <w:p w14:paraId="447FF95A" w14:textId="77777777" w:rsidR="00422BB3" w:rsidRDefault="00422BB3" w:rsidP="00422BB3">
      <w:pPr>
        <w:pStyle w:val="FootnoteText"/>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By</w:t>
      </w:r>
      <w:r w:rsidRPr="007033DF">
        <w:rPr>
          <w:color w:val="000000" w:themeColor="text1"/>
        </w:rPr>
        <w:t xml:space="preserve"> </w:t>
      </w:r>
      <w:r w:rsidRPr="007033DF">
        <w:rPr>
          <w:rFonts w:ascii="Palatino Linotype" w:hAnsi="Palatino Linotype"/>
          <w:color w:val="000000" w:themeColor="text1"/>
        </w:rPr>
        <w:t>January 1, April 1, July 1, and October 1.</w:t>
      </w:r>
      <w:r w:rsidRPr="007033DF">
        <w:rPr>
          <w:color w:val="000000" w:themeColor="text1"/>
        </w:rPr>
        <w:t xml:space="preserve"> </w:t>
      </w:r>
    </w:p>
  </w:footnote>
  <w:footnote w:id="103">
    <w:p w14:paraId="26C7AA5A" w14:textId="77777777" w:rsidR="00537712" w:rsidRPr="00A91632" w:rsidRDefault="00537712" w:rsidP="00537712">
      <w:pPr>
        <w:pStyle w:val="FootnoteText"/>
        <w:rPr>
          <w:rFonts w:ascii="Palatino Linotype" w:hAnsi="Palatino Linotype"/>
        </w:rPr>
      </w:pPr>
      <w:r>
        <w:rPr>
          <w:rStyle w:val="FootnoteReference"/>
        </w:rPr>
        <w:footnoteRef/>
      </w:r>
      <w:r>
        <w:t xml:space="preserve"> </w:t>
      </w:r>
      <w:hyperlink r:id="rId89" w:tgtFrame="_blank" w:history="1">
        <w:r w:rsidRPr="00A91632">
          <w:rPr>
            <w:rStyle w:val="Hyperlink"/>
            <w:rFonts w:ascii="Palatino Linotype" w:hAnsi="Palatino Linotype"/>
          </w:rPr>
          <w:t>Resolution G-3571</w:t>
        </w:r>
      </w:hyperlink>
      <w:r w:rsidRPr="00A91632">
        <w:rPr>
          <w:rFonts w:ascii="Palatino Linotype" w:hAnsi="Palatino Linotype"/>
        </w:rPr>
        <w:t> (2020) at OP 4. </w:t>
      </w:r>
      <w:r w:rsidRPr="3F8DE55E">
        <w:rPr>
          <w:rFonts w:ascii="Palatino Linotype" w:eastAsia="Palatino Linotype" w:hAnsi="Palatino Linotype" w:cs="Palatino Linotype"/>
        </w:rPr>
        <w:t>“If the CEC is unable to obtain data it deems necessary to complete any of the projects proposed in the Fiscal Year 2020-2021 plan, it must first consult with Energy Division staff overseeing this program before reallocating any funding.”</w:t>
      </w:r>
    </w:p>
  </w:footnote>
  <w:footnote w:id="104">
    <w:p w14:paraId="04D29E00" w14:textId="77777777" w:rsidR="00DB285D" w:rsidRDefault="00DB285D" w:rsidP="00DB285D">
      <w:pPr>
        <w:pStyle w:val="FootnoteText"/>
      </w:pPr>
      <w:r w:rsidRPr="00254B66">
        <w:rPr>
          <w:rStyle w:val="FootnoteReference"/>
        </w:rPr>
        <w:footnoteRef/>
      </w:r>
      <w:r w:rsidRPr="00254B66">
        <w:t xml:space="preserve"> </w:t>
      </w:r>
      <w:r w:rsidRPr="00254B66">
        <w:rPr>
          <w:rFonts w:ascii="Palatino Linotype" w:hAnsi="Palatino Linotype"/>
          <w:color w:val="000000" w:themeColor="text1"/>
        </w:rPr>
        <w:t>Modifies</w:t>
      </w:r>
      <w:r w:rsidRPr="00254B66">
        <w:rPr>
          <w:rFonts w:ascii="Palatino Linotype" w:hAnsi="Palatino Linotype"/>
          <w:b/>
          <w:bCs/>
          <w:color w:val="EE0000"/>
        </w:rPr>
        <w:t xml:space="preserve"> </w:t>
      </w:r>
      <w:hyperlink r:id="rId90" w:history="1">
        <w:r w:rsidRPr="00254B66">
          <w:rPr>
            <w:rStyle w:val="Hyperlink"/>
            <w:rFonts w:ascii="Palatino Linotype" w:hAnsi="Palatino Linotype"/>
          </w:rPr>
          <w:t>Resolution G-3394</w:t>
        </w:r>
      </w:hyperlink>
      <w:r w:rsidRPr="00254B66">
        <w:rPr>
          <w:rFonts w:ascii="Palatino Linotype" w:hAnsi="Palatino Linotype"/>
          <w:color w:val="000000" w:themeColor="text1"/>
        </w:rPr>
        <w:t xml:space="preserve"> (2006) at OP 2. “The CEC shall submit its… Annual [Report] by October 31st.</w:t>
      </w:r>
      <w:r w:rsidRPr="00254B66">
        <w:rPr>
          <w:rFonts w:ascii="Times New Roman" w:hAnsi="Times New Roman" w:cs="Times New Roman"/>
          <w:color w:val="000000" w:themeColor="text1"/>
        </w:rPr>
        <w:t xml:space="preserve">” </w:t>
      </w:r>
    </w:p>
  </w:footnote>
  <w:footnote w:id="105">
    <w:p w14:paraId="20EA9D1F" w14:textId="77777777" w:rsidR="004717CF" w:rsidRDefault="004717CF" w:rsidP="004717CF">
      <w:pPr>
        <w:pStyle w:val="FootnoteText"/>
      </w:pPr>
      <w:r w:rsidRPr="1B3767A6">
        <w:rPr>
          <w:rStyle w:val="FootnoteReference"/>
        </w:rPr>
        <w:footnoteRef/>
      </w:r>
      <w:r>
        <w:t xml:space="preserve"> </w:t>
      </w:r>
      <w:r w:rsidRPr="00D20FBE">
        <w:rPr>
          <w:rFonts w:ascii="Palatino Linotype" w:hAnsi="Palatino Linotype"/>
        </w:rPr>
        <w:t>Consistent with</w:t>
      </w:r>
      <w:r>
        <w:t xml:space="preserve"> </w:t>
      </w:r>
      <w:r w:rsidRPr="1B3767A6">
        <w:rPr>
          <w:rFonts w:ascii="Palatino Linotype" w:hAnsi="Palatino Linotype"/>
        </w:rPr>
        <w:t>Public Resources Code 25620.8 at (a)(6).</w:t>
      </w:r>
    </w:p>
  </w:footnote>
  <w:footnote w:id="106">
    <w:p w14:paraId="7BCE6426" w14:textId="359416C1" w:rsidR="006D1B98" w:rsidRDefault="006D1B98" w:rsidP="006D1B98">
      <w:pPr>
        <w:pStyle w:val="FootnoteText"/>
        <w:rPr>
          <w:rFonts w:ascii="Palatino Linotype" w:eastAsia="Palatino Linotype" w:hAnsi="Palatino Linotype" w:cs="Palatino Linotype"/>
          <w:color w:val="000000" w:themeColor="text1"/>
        </w:rPr>
      </w:pPr>
      <w:r w:rsidRPr="1B3767A6">
        <w:rPr>
          <w:rStyle w:val="FootnoteReference"/>
        </w:rPr>
        <w:footnoteRef/>
      </w:r>
      <w:r>
        <w:t xml:space="preserve"> </w:t>
      </w:r>
      <w:hyperlink r:id="rId91" w:tgtFrame="_blank" w:history="1">
        <w:r w:rsidR="003D131D" w:rsidRPr="00AC4E41">
          <w:rPr>
            <w:rStyle w:val="Hyperlink"/>
            <w:rFonts w:ascii="Palatino Linotype" w:hAnsi="Palatino Linotype"/>
          </w:rPr>
          <w:t>Resolution G-3584</w:t>
        </w:r>
      </w:hyperlink>
      <w:r w:rsidR="003D131D" w:rsidRPr="00AC4E41">
        <w:rPr>
          <w:rFonts w:ascii="Palatino Linotype" w:hAnsi="Palatino Linotype"/>
        </w:rPr>
        <w:t> (202</w:t>
      </w:r>
      <w:r w:rsidR="003D131D">
        <w:rPr>
          <w:rFonts w:ascii="Palatino Linotype" w:hAnsi="Palatino Linotype"/>
        </w:rPr>
        <w:t>1</w:t>
      </w:r>
      <w:r w:rsidR="003D131D" w:rsidRPr="00AC4E41">
        <w:rPr>
          <w:rFonts w:ascii="Palatino Linotype" w:hAnsi="Palatino Linotype"/>
        </w:rPr>
        <w:t xml:space="preserve">) </w:t>
      </w:r>
      <w:r w:rsidR="003D131D">
        <w:rPr>
          <w:rFonts w:ascii="Palatino Linotype" w:hAnsi="Palatino Linotype"/>
        </w:rPr>
        <w:t xml:space="preserve">at p. 8. </w:t>
      </w:r>
      <w:r w:rsidRPr="1B3767A6">
        <w:rPr>
          <w:rFonts w:ascii="Palatino Linotype" w:eastAsia="Palatino Linotype" w:hAnsi="Palatino Linotype" w:cs="Palatino Linotype"/>
          <w:color w:val="000000" w:themeColor="text1"/>
        </w:rPr>
        <w:t>"</w:t>
      </w:r>
      <w:r w:rsidR="003271BF">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Encumbered funds</w:t>
      </w:r>
      <w:r w:rsidR="004134E1">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 xml:space="preserve"> refers to funds that are committed to projects through an executed contract but have not yet been spent.</w:t>
      </w:r>
      <w:r w:rsidR="00984248">
        <w:rPr>
          <w:rFonts w:ascii="Palatino Linotype" w:eastAsia="Palatino Linotype" w:hAnsi="Palatino Linotype" w:cs="Palatino Linotype"/>
          <w:color w:val="000000" w:themeColor="text1"/>
        </w:rPr>
        <w:t>”</w:t>
      </w:r>
    </w:p>
  </w:footnote>
  <w:footnote w:id="107">
    <w:p w14:paraId="093DAE76" w14:textId="0B92A388" w:rsidR="006D1B98" w:rsidRDefault="006D1B98" w:rsidP="006D1B98">
      <w:pPr>
        <w:pStyle w:val="FootnoteText"/>
      </w:pPr>
      <w:r w:rsidRPr="1B3767A6">
        <w:rPr>
          <w:rStyle w:val="FootnoteReference"/>
        </w:rPr>
        <w:footnoteRef/>
      </w:r>
      <w:r>
        <w:t xml:space="preserve"> </w:t>
      </w:r>
      <w:hyperlink r:id="rId92" w:tgtFrame="_blank" w:history="1">
        <w:r w:rsidR="007B0B32" w:rsidRPr="00AC4E41">
          <w:rPr>
            <w:rStyle w:val="Hyperlink"/>
            <w:rFonts w:ascii="Palatino Linotype" w:hAnsi="Palatino Linotype"/>
          </w:rPr>
          <w:t>Resolution G-3584</w:t>
        </w:r>
      </w:hyperlink>
      <w:r w:rsidR="007B0B32" w:rsidRPr="00AC4E41">
        <w:rPr>
          <w:rFonts w:ascii="Palatino Linotype" w:hAnsi="Palatino Linotype"/>
        </w:rPr>
        <w:t> (202</w:t>
      </w:r>
      <w:r w:rsidR="007845A9">
        <w:rPr>
          <w:rFonts w:ascii="Palatino Linotype" w:hAnsi="Palatino Linotype"/>
        </w:rPr>
        <w:t>1</w:t>
      </w:r>
      <w:r w:rsidR="007B0B32" w:rsidRPr="00AC4E41">
        <w:rPr>
          <w:rFonts w:ascii="Palatino Linotype" w:hAnsi="Palatino Linotype"/>
        </w:rPr>
        <w:t xml:space="preserve">) </w:t>
      </w:r>
      <w:r w:rsidR="007B0B32">
        <w:rPr>
          <w:rFonts w:ascii="Palatino Linotype" w:hAnsi="Palatino Linotype"/>
        </w:rPr>
        <w:t xml:space="preserve">at p. 8. </w:t>
      </w:r>
      <w:r w:rsidRPr="1B3767A6">
        <w:rPr>
          <w:rFonts w:ascii="Palatino Linotype" w:eastAsia="Palatino Linotype" w:hAnsi="Palatino Linotype" w:cs="Palatino Linotype"/>
          <w:color w:val="000000" w:themeColor="text1"/>
        </w:rPr>
        <w:t>“</w:t>
      </w:r>
      <w:r w:rsidR="000F615F">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Spent funds</w:t>
      </w:r>
      <w:r w:rsidR="000F615F">
        <w:rPr>
          <w:rFonts w:ascii="Palatino Linotype" w:eastAsia="Palatino Linotype" w:hAnsi="Palatino Linotype" w:cs="Palatino Linotype"/>
          <w:color w:val="000000" w:themeColor="text1"/>
        </w:rPr>
        <w:t>’</w:t>
      </w:r>
      <w:r w:rsidRPr="1B3767A6">
        <w:rPr>
          <w:rFonts w:ascii="Palatino Linotype" w:eastAsia="Palatino Linotype" w:hAnsi="Palatino Linotype" w:cs="Palatino Linotype"/>
          <w:color w:val="000000" w:themeColor="text1"/>
        </w:rPr>
        <w:t xml:space="preserve"> refers to contracted funds that are spent on a project.</w:t>
      </w:r>
      <w:r w:rsidR="000F615F">
        <w:rPr>
          <w:rFonts w:ascii="Palatino Linotype" w:eastAsia="Palatino Linotype" w:hAnsi="Palatino Linotype" w:cs="Palatino Linotype"/>
          <w:color w:val="000000" w:themeColor="text1"/>
        </w:rPr>
        <w:t>”</w:t>
      </w:r>
    </w:p>
  </w:footnote>
  <w:footnote w:id="108">
    <w:p w14:paraId="34E3931C" w14:textId="56DA354C" w:rsidR="006D1B98" w:rsidRPr="00E711B9" w:rsidRDefault="006D1B98" w:rsidP="006D1B98">
      <w:pPr>
        <w:pStyle w:val="FootnoteText"/>
        <w:rPr>
          <w:rFonts w:ascii="Palatino Linotype" w:eastAsia="Palatino Linotype" w:hAnsi="Palatino Linotype" w:cs="Palatino Linotype"/>
          <w:color w:val="FF0000"/>
          <w:sz w:val="24"/>
          <w:szCs w:val="24"/>
        </w:rPr>
      </w:pPr>
      <w:r w:rsidRPr="00826039">
        <w:rPr>
          <w:rStyle w:val="FootnoteReference"/>
          <w:color w:val="000000" w:themeColor="text1"/>
        </w:rPr>
        <w:footnoteRef/>
      </w:r>
      <w:r w:rsidRPr="00826039">
        <w:rPr>
          <w:color w:val="000000" w:themeColor="text1"/>
        </w:rPr>
        <w:t xml:space="preserve"> </w:t>
      </w:r>
      <w:hyperlink r:id="rId93" w:tgtFrame="_blank" w:history="1">
        <w:r w:rsidR="000F615F" w:rsidRPr="00AC4E41">
          <w:rPr>
            <w:rStyle w:val="Hyperlink"/>
            <w:rFonts w:ascii="Palatino Linotype" w:hAnsi="Palatino Linotype"/>
          </w:rPr>
          <w:t>Resolution G-3584</w:t>
        </w:r>
      </w:hyperlink>
      <w:r w:rsidR="000F615F" w:rsidRPr="00AC4E41">
        <w:rPr>
          <w:rFonts w:ascii="Palatino Linotype" w:hAnsi="Palatino Linotype"/>
        </w:rPr>
        <w:t> (202</w:t>
      </w:r>
      <w:r w:rsidR="007845A9">
        <w:rPr>
          <w:rFonts w:ascii="Palatino Linotype" w:hAnsi="Palatino Linotype"/>
        </w:rPr>
        <w:t>1</w:t>
      </w:r>
      <w:r w:rsidR="000F615F" w:rsidRPr="00AC4E41">
        <w:rPr>
          <w:rFonts w:ascii="Palatino Linotype" w:hAnsi="Palatino Linotype"/>
        </w:rPr>
        <w:t xml:space="preserve">) </w:t>
      </w:r>
      <w:r w:rsidR="000F615F">
        <w:rPr>
          <w:rFonts w:ascii="Palatino Linotype" w:hAnsi="Palatino Linotype"/>
        </w:rPr>
        <w:t xml:space="preserve">at p. 8. </w:t>
      </w:r>
      <w:r w:rsidRPr="00826039">
        <w:rPr>
          <w:rFonts w:ascii="Palatino Linotype" w:eastAsia="Palatino Linotype" w:hAnsi="Palatino Linotype" w:cs="Palatino Linotype"/>
          <w:color w:val="000000" w:themeColor="text1"/>
        </w:rPr>
        <w:t>“</w:t>
      </w:r>
      <w:r w:rsidR="000F615F">
        <w:rPr>
          <w:rFonts w:ascii="Palatino Linotype" w:eastAsia="Palatino Linotype" w:hAnsi="Palatino Linotype" w:cs="Palatino Linotype"/>
          <w:color w:val="000000" w:themeColor="text1"/>
        </w:rPr>
        <w:t>’</w:t>
      </w:r>
      <w:r w:rsidRPr="00826039">
        <w:rPr>
          <w:rFonts w:ascii="Palatino Linotype" w:eastAsia="Palatino Linotype" w:hAnsi="Palatino Linotype" w:cs="Palatino Linotype"/>
          <w:color w:val="000000" w:themeColor="text1"/>
        </w:rPr>
        <w:t>Disencumbered funds</w:t>
      </w:r>
      <w:r w:rsidR="000F615F">
        <w:rPr>
          <w:rFonts w:ascii="Palatino Linotype" w:eastAsia="Palatino Linotype" w:hAnsi="Palatino Linotype" w:cs="Palatino Linotype"/>
          <w:color w:val="000000" w:themeColor="text1"/>
        </w:rPr>
        <w:t>’</w:t>
      </w:r>
      <w:r w:rsidRPr="00826039">
        <w:rPr>
          <w:rFonts w:ascii="Palatino Linotype" w:eastAsia="Palatino Linotype" w:hAnsi="Palatino Linotype" w:cs="Palatino Linotype"/>
          <w:color w:val="000000" w:themeColor="text1"/>
        </w:rPr>
        <w:t xml:space="preserve"> refers to previously encumbered funds that become unencumbered because the project has been terminated or was completed under budget or due to other reasons.</w:t>
      </w:r>
      <w:r w:rsidR="000F615F">
        <w:rPr>
          <w:rFonts w:ascii="Palatino Linotype" w:eastAsia="Palatino Linotype" w:hAnsi="Palatino Linotype" w:cs="Palatino Linotype"/>
          <w:color w:val="000000" w:themeColor="text1"/>
        </w:rPr>
        <w:t>”</w:t>
      </w:r>
    </w:p>
  </w:footnote>
  <w:footnote w:id="109">
    <w:p w14:paraId="0A0BE8A0" w14:textId="606EFEF5" w:rsidR="009A2B80" w:rsidRDefault="009A2B80" w:rsidP="009A2B80">
      <w:pPr>
        <w:pStyle w:val="FootnoteText"/>
      </w:pPr>
      <w:r w:rsidRPr="00826039">
        <w:rPr>
          <w:rStyle w:val="FootnoteReference"/>
          <w:color w:val="000000" w:themeColor="text1"/>
        </w:rPr>
        <w:footnoteRef/>
      </w:r>
      <w:r w:rsidRPr="00826039">
        <w:rPr>
          <w:color w:val="000000" w:themeColor="text1"/>
        </w:rPr>
        <w:t xml:space="preserve"> </w:t>
      </w:r>
      <w:hyperlink r:id="rId94" w:tgtFrame="_blank" w:history="1">
        <w:r w:rsidR="000F615F" w:rsidRPr="00AC4E41">
          <w:rPr>
            <w:rStyle w:val="Hyperlink"/>
            <w:rFonts w:ascii="Palatino Linotype" w:hAnsi="Palatino Linotype"/>
          </w:rPr>
          <w:t>Resolution G-3584</w:t>
        </w:r>
      </w:hyperlink>
      <w:r w:rsidR="000F615F" w:rsidRPr="00AC4E41">
        <w:rPr>
          <w:rFonts w:ascii="Palatino Linotype" w:hAnsi="Palatino Linotype"/>
        </w:rPr>
        <w:t> (202</w:t>
      </w:r>
      <w:r w:rsidR="007845A9">
        <w:rPr>
          <w:rFonts w:ascii="Palatino Linotype" w:hAnsi="Palatino Linotype"/>
        </w:rPr>
        <w:t>1</w:t>
      </w:r>
      <w:r w:rsidR="000F615F" w:rsidRPr="00AC4E41">
        <w:rPr>
          <w:rFonts w:ascii="Palatino Linotype" w:hAnsi="Palatino Linotype"/>
        </w:rPr>
        <w:t xml:space="preserve">) </w:t>
      </w:r>
      <w:r w:rsidR="000F615F">
        <w:rPr>
          <w:rFonts w:ascii="Palatino Linotype" w:hAnsi="Palatino Linotype"/>
        </w:rPr>
        <w:t>at p. 8. “’</w:t>
      </w:r>
      <w:r w:rsidRPr="00826039">
        <w:rPr>
          <w:rFonts w:ascii="Palatino Linotype" w:eastAsia="Palatino Linotype" w:hAnsi="Palatino Linotype" w:cs="Palatino Linotype"/>
          <w:color w:val="000000" w:themeColor="text1"/>
        </w:rPr>
        <w:t>Unspent funds</w:t>
      </w:r>
      <w:r w:rsidR="000F615F">
        <w:rPr>
          <w:rFonts w:ascii="Palatino Linotype" w:eastAsia="Palatino Linotype" w:hAnsi="Palatino Linotype" w:cs="Palatino Linotype"/>
          <w:color w:val="000000" w:themeColor="text1"/>
        </w:rPr>
        <w:t>’</w:t>
      </w:r>
      <w:r w:rsidRPr="00826039">
        <w:rPr>
          <w:rFonts w:ascii="Palatino Linotype" w:eastAsia="Palatino Linotype" w:hAnsi="Palatino Linotype" w:cs="Palatino Linotype"/>
          <w:color w:val="000000" w:themeColor="text1"/>
        </w:rPr>
        <w:t xml:space="preserve"> refers to contracted funds that have not yet been spent on a project or funds that have not been encumbered.</w:t>
      </w:r>
      <w:r w:rsidR="000F615F">
        <w:rPr>
          <w:rFonts w:ascii="Palatino Linotype" w:eastAsia="Palatino Linotype" w:hAnsi="Palatino Linotype" w:cs="Palatino Linotype"/>
          <w:color w:val="000000" w:themeColor="text1"/>
        </w:rPr>
        <w:t>”</w:t>
      </w:r>
    </w:p>
  </w:footnote>
  <w:footnote w:id="110">
    <w:p w14:paraId="6673D000" w14:textId="0A38D677" w:rsidR="00297590" w:rsidRDefault="00297590" w:rsidP="00297590">
      <w:pPr>
        <w:pStyle w:val="FootnoteText"/>
      </w:pPr>
      <w:r>
        <w:rPr>
          <w:rStyle w:val="FootnoteReference"/>
        </w:rPr>
        <w:footnoteRef/>
      </w:r>
      <w:r>
        <w:t xml:space="preserve"> </w:t>
      </w:r>
      <w:hyperlink r:id="rId95" w:history="1">
        <w:r w:rsidRPr="002A6328">
          <w:rPr>
            <w:rStyle w:val="Hyperlink"/>
            <w:rFonts w:ascii="Palatino Linotype" w:hAnsi="Palatino Linotype"/>
            <w:szCs w:val="16"/>
          </w:rPr>
          <w:t>Public Utilities Code Section 384</w:t>
        </w:r>
      </w:hyperlink>
      <w:r w:rsidRPr="002A6328">
        <w:rPr>
          <w:rFonts w:ascii="Palatino Linotype" w:hAnsi="Palatino Linotype"/>
          <w:szCs w:val="16"/>
        </w:rPr>
        <w:t xml:space="preserve"> at (a)</w:t>
      </w:r>
      <w:r>
        <w:rPr>
          <w:rFonts w:ascii="Palatino Linotype" w:hAnsi="Palatino Linotype"/>
          <w:szCs w:val="16"/>
        </w:rPr>
        <w:t xml:space="preserve">; </w:t>
      </w:r>
      <w:hyperlink r:id="rId96">
        <w:r w:rsidRPr="1B3767A6">
          <w:rPr>
            <w:rStyle w:val="Hyperlink"/>
            <w:rFonts w:ascii="Palatino Linotype" w:hAnsi="Palatino Linotype"/>
          </w:rPr>
          <w:t>Resolution G-3484</w:t>
        </w:r>
      </w:hyperlink>
      <w:r w:rsidRPr="1B3767A6">
        <w:rPr>
          <w:rFonts w:ascii="Palatino Linotype" w:hAnsi="Palatino Linotype"/>
        </w:rPr>
        <w:t xml:space="preserve"> (2013) at </w:t>
      </w:r>
      <w:r w:rsidRPr="00105566">
        <w:rPr>
          <w:rFonts w:ascii="Palatino Linotype" w:hAnsi="Palatino Linotype"/>
        </w:rPr>
        <w:t>p. 5-6</w:t>
      </w:r>
      <w:r>
        <w:rPr>
          <w:rFonts w:ascii="Palatino Linotype" w:hAnsi="Palatino Linotype"/>
        </w:rPr>
        <w:t xml:space="preserve">; </w:t>
      </w:r>
      <w:hyperlink r:id="rId97" w:tgtFrame="_blank" w:history="1">
        <w:r w:rsidRPr="00AC4E41">
          <w:rPr>
            <w:rStyle w:val="Hyperlink"/>
            <w:rFonts w:ascii="Palatino Linotype" w:hAnsi="Palatino Linotype"/>
          </w:rPr>
          <w:t>Resolution G-3584</w:t>
        </w:r>
      </w:hyperlink>
      <w:r w:rsidRPr="00AC4E41">
        <w:rPr>
          <w:rFonts w:ascii="Palatino Linotype" w:hAnsi="Palatino Linotype"/>
        </w:rPr>
        <w:t> (202</w:t>
      </w:r>
      <w:r>
        <w:rPr>
          <w:rFonts w:ascii="Palatino Linotype" w:hAnsi="Palatino Linotype"/>
        </w:rPr>
        <w:t>1</w:t>
      </w:r>
      <w:r w:rsidRPr="00AC4E41">
        <w:rPr>
          <w:rFonts w:ascii="Palatino Linotype" w:hAnsi="Palatino Linotype"/>
        </w:rPr>
        <w:t xml:space="preserve">) </w:t>
      </w:r>
      <w:r>
        <w:rPr>
          <w:rFonts w:ascii="Palatino Linotype" w:hAnsi="Palatino Linotype"/>
        </w:rPr>
        <w:t>at p. 8.</w:t>
      </w:r>
      <w:r w:rsidR="00375B39">
        <w:rPr>
          <w:rFonts w:ascii="Palatino Linotype" w:hAnsi="Palatino Linotype"/>
        </w:rPr>
        <w:t xml:space="preserve"> </w:t>
      </w:r>
      <w:r w:rsidR="00375B39" w:rsidRPr="00375B39">
        <w:rPr>
          <w:rFonts w:ascii="Palatino Linotype" w:hAnsi="Palatino Linotype"/>
        </w:rPr>
        <w:t xml:space="preserve">Note </w:t>
      </w:r>
      <w:hyperlink r:id="rId98" w:history="1">
        <w:r w:rsidR="00375B39" w:rsidRPr="00375B39">
          <w:rPr>
            <w:rStyle w:val="Hyperlink"/>
            <w:rFonts w:ascii="Palatino Linotype" w:hAnsi="Palatino Linotype"/>
            <w:szCs w:val="16"/>
          </w:rPr>
          <w:t>Public Utilities Code Section 384</w:t>
        </w:r>
      </w:hyperlink>
      <w:r w:rsidR="00375B39" w:rsidRPr="00375B39">
        <w:rPr>
          <w:rFonts w:ascii="Palatino Linotype" w:hAnsi="Palatino Linotype"/>
        </w:rPr>
        <w:t xml:space="preserve"> does not apply to CEC’s Gas RD&amp;D </w:t>
      </w:r>
      <w:r w:rsidR="0077248B">
        <w:rPr>
          <w:rFonts w:ascii="Palatino Linotype" w:hAnsi="Palatino Linotype"/>
        </w:rPr>
        <w:t>Program A</w:t>
      </w:r>
      <w:r w:rsidR="00375B39" w:rsidRPr="00375B39">
        <w:rPr>
          <w:rFonts w:ascii="Palatino Linotype" w:hAnsi="Palatino Linotype"/>
        </w:rPr>
        <w:t>dministrati</w:t>
      </w:r>
      <w:r w:rsidR="0077248B">
        <w:rPr>
          <w:rFonts w:ascii="Palatino Linotype" w:hAnsi="Palatino Linotype"/>
        </w:rPr>
        <w:t>on</w:t>
      </w:r>
      <w:r w:rsidR="00375B39" w:rsidRPr="00375B39">
        <w:rPr>
          <w:rFonts w:ascii="Palatino Linotype" w:hAnsi="Palatino Linotype"/>
        </w:rPr>
        <w:t xml:space="preserve"> fund</w:t>
      </w:r>
      <w:r w:rsidR="0077248B">
        <w:rPr>
          <w:rFonts w:ascii="Palatino Linotype" w:hAnsi="Palatino Linotype"/>
        </w:rPr>
        <w:t>s</w:t>
      </w:r>
      <w:r w:rsidR="00375B39" w:rsidRPr="00375B39">
        <w:rPr>
          <w:rFonts w:ascii="Palatino Linotype" w:hAnsi="Palatino Linotype"/>
        </w:rPr>
        <w:t>.</w:t>
      </w:r>
    </w:p>
  </w:footnote>
  <w:footnote w:id="111">
    <w:p w14:paraId="618A8DDD" w14:textId="44145545" w:rsidR="002C31A7" w:rsidRPr="00622FB7" w:rsidRDefault="002C31A7" w:rsidP="002C31A7">
      <w:pPr>
        <w:spacing w:after="0" w:line="240" w:lineRule="auto"/>
        <w:rPr>
          <w:rFonts w:ascii="Palatino Linotype" w:hAnsi="Palatino Linotype"/>
          <w:bCs/>
          <w:color w:val="000000" w:themeColor="text1"/>
          <w:sz w:val="20"/>
          <w:szCs w:val="20"/>
        </w:rPr>
      </w:pPr>
      <w:r w:rsidRPr="0044354C">
        <w:rPr>
          <w:rStyle w:val="FootnoteReference"/>
          <w:sz w:val="20"/>
          <w:szCs w:val="20"/>
        </w:rPr>
        <w:footnoteRef/>
      </w:r>
      <w:r w:rsidRPr="0044354C">
        <w:rPr>
          <w:rStyle w:val="FootnoteReference"/>
          <w:sz w:val="20"/>
          <w:szCs w:val="20"/>
        </w:rPr>
        <w:t xml:space="preserve"> </w:t>
      </w:r>
      <w:hyperlink r:id="rId99" w:history="1">
        <w:r w:rsidRPr="00840622">
          <w:rPr>
            <w:rStyle w:val="Hyperlink"/>
            <w:rFonts w:ascii="Palatino Linotype" w:hAnsi="Palatino Linotype"/>
            <w:bCs/>
            <w:sz w:val="20"/>
            <w:szCs w:val="20"/>
          </w:rPr>
          <w:t>Resolution G-3495</w:t>
        </w:r>
      </w:hyperlink>
      <w:r w:rsidRPr="00840622">
        <w:rPr>
          <w:rFonts w:ascii="Palatino Linotype" w:hAnsi="Palatino Linotype"/>
          <w:bCs/>
          <w:color w:val="000000" w:themeColor="text1"/>
          <w:sz w:val="20"/>
          <w:szCs w:val="20"/>
        </w:rPr>
        <w:t xml:space="preserve"> (2014) at p. 6-9</w:t>
      </w:r>
      <w:r>
        <w:rPr>
          <w:rFonts w:ascii="Palatino Linotype" w:hAnsi="Palatino Linotype"/>
          <w:bCs/>
          <w:color w:val="000000" w:themeColor="text1"/>
          <w:sz w:val="20"/>
          <w:szCs w:val="20"/>
        </w:rPr>
        <w:t>,</w:t>
      </w:r>
      <w:r w:rsidRPr="00840622">
        <w:rPr>
          <w:rFonts w:ascii="Palatino Linotype" w:hAnsi="Palatino Linotype"/>
          <w:bCs/>
          <w:color w:val="000000" w:themeColor="text1"/>
          <w:sz w:val="20"/>
          <w:szCs w:val="20"/>
        </w:rPr>
        <w:t xml:space="preserve"> FOF 6</w:t>
      </w:r>
      <w:r>
        <w:rPr>
          <w:rFonts w:ascii="Palatino Linotype" w:hAnsi="Palatino Linotype"/>
          <w:bCs/>
          <w:color w:val="000000" w:themeColor="text1"/>
          <w:sz w:val="20"/>
          <w:szCs w:val="20"/>
        </w:rPr>
        <w:t>,</w:t>
      </w:r>
      <w:r w:rsidRPr="00840622">
        <w:rPr>
          <w:rFonts w:ascii="Palatino Linotype" w:hAnsi="Palatino Linotype"/>
          <w:bCs/>
          <w:color w:val="000000" w:themeColor="text1"/>
          <w:sz w:val="20"/>
          <w:szCs w:val="20"/>
        </w:rPr>
        <w:t xml:space="preserve"> &amp; OP 5; </w:t>
      </w:r>
      <w:hyperlink r:id="rId100" w:tgtFrame="_blank" w:history="1">
        <w:r w:rsidRPr="00840622">
          <w:rPr>
            <w:rStyle w:val="Hyperlink"/>
            <w:rFonts w:ascii="Palatino Linotype" w:hAnsi="Palatino Linotype"/>
            <w:sz w:val="20"/>
            <w:szCs w:val="20"/>
          </w:rPr>
          <w:t>Resolution G-3584</w:t>
        </w:r>
      </w:hyperlink>
      <w:r w:rsidRPr="00840622">
        <w:rPr>
          <w:rFonts w:ascii="Palatino Linotype" w:hAnsi="Palatino Linotype"/>
          <w:sz w:val="20"/>
          <w:szCs w:val="20"/>
        </w:rPr>
        <w:t xml:space="preserve"> (2021) at OP 4; </w:t>
      </w:r>
      <w:hyperlink r:id="rId101" w:tgtFrame="_blank" w:history="1">
        <w:r w:rsidRPr="00840622">
          <w:rPr>
            <w:rStyle w:val="Hyperlink"/>
            <w:rFonts w:ascii="Palatino Linotype" w:hAnsi="Palatino Linotype"/>
            <w:sz w:val="20"/>
            <w:szCs w:val="20"/>
          </w:rPr>
          <w:t xml:space="preserve">Resolution </w:t>
        </w:r>
        <w:r w:rsidR="000B324C">
          <w:rPr>
            <w:rStyle w:val="Hyperlink"/>
            <w:rFonts w:ascii="Palatino Linotype" w:hAnsi="Palatino Linotype"/>
            <w:sz w:val="20"/>
            <w:szCs w:val="20"/>
          </w:rPr>
          <w:br/>
        </w:r>
        <w:r w:rsidRPr="00840622">
          <w:rPr>
            <w:rStyle w:val="Hyperlink"/>
            <w:rFonts w:ascii="Palatino Linotype" w:hAnsi="Palatino Linotype"/>
            <w:sz w:val="20"/>
            <w:szCs w:val="20"/>
          </w:rPr>
          <w:t>G-3592</w:t>
        </w:r>
      </w:hyperlink>
      <w:r w:rsidRPr="00840622">
        <w:rPr>
          <w:rFonts w:ascii="Palatino Linotype" w:hAnsi="Palatino Linotype"/>
          <w:sz w:val="20"/>
          <w:szCs w:val="20"/>
        </w:rPr>
        <w:t> (2023) at OP 7.</w:t>
      </w:r>
      <w:r>
        <w:rPr>
          <w:rFonts w:ascii="Palatino Linotype" w:hAnsi="Palatino Linotype"/>
          <w:sz w:val="20"/>
          <w:szCs w:val="20"/>
        </w:rPr>
        <w:t xml:space="preserve"> See Resolution </w:t>
      </w:r>
      <w:r w:rsidRPr="00A22C9B">
        <w:rPr>
          <w:rFonts w:ascii="Palatino Linotype" w:hAnsi="Palatino Linotype"/>
          <w:sz w:val="20"/>
          <w:szCs w:val="20"/>
        </w:rPr>
        <w:t>G</w:t>
      </w:r>
      <w:r>
        <w:rPr>
          <w:rFonts w:ascii="Palatino Linotype" w:hAnsi="Palatino Linotype"/>
          <w:sz w:val="20"/>
          <w:szCs w:val="20"/>
        </w:rPr>
        <w:t>-3622</w:t>
      </w:r>
      <w:r w:rsidRPr="00A22C9B">
        <w:rPr>
          <w:rFonts w:ascii="Palatino Linotype" w:hAnsi="Palatino Linotype"/>
          <w:sz w:val="20"/>
          <w:szCs w:val="20"/>
        </w:rPr>
        <w:t xml:space="preserve"> </w:t>
      </w:r>
      <w:r>
        <w:rPr>
          <w:rFonts w:ascii="Palatino Linotype" w:hAnsi="Palatino Linotype"/>
          <w:sz w:val="20"/>
          <w:szCs w:val="20"/>
        </w:rPr>
        <w:t xml:space="preserve">at Appendix </w:t>
      </w:r>
      <w:r w:rsidR="008A3957">
        <w:rPr>
          <w:rFonts w:ascii="Palatino Linotype" w:hAnsi="Palatino Linotype"/>
          <w:sz w:val="20"/>
          <w:szCs w:val="20"/>
        </w:rPr>
        <w:t>E</w:t>
      </w:r>
      <w:r>
        <w:rPr>
          <w:rFonts w:ascii="Palatino Linotype" w:hAnsi="Palatino Linotype"/>
          <w:sz w:val="20"/>
          <w:szCs w:val="20"/>
        </w:rPr>
        <w:t>:</w:t>
      </w:r>
      <w:r w:rsidRPr="00631D2A">
        <w:rPr>
          <w:rFonts w:ascii="Palatino Linotype" w:hAnsi="Palatino Linotype"/>
          <w:sz w:val="20"/>
          <w:szCs w:val="20"/>
        </w:rPr>
        <w:t xml:space="preserve"> CEC Gas RD&amp;D Funding Process for Budgets Less </w:t>
      </w:r>
      <w:r>
        <w:rPr>
          <w:rFonts w:ascii="Palatino Linotype" w:hAnsi="Palatino Linotype"/>
          <w:sz w:val="20"/>
          <w:szCs w:val="20"/>
        </w:rPr>
        <w:t>T</w:t>
      </w:r>
      <w:r w:rsidRPr="00631D2A">
        <w:rPr>
          <w:rFonts w:ascii="Palatino Linotype" w:hAnsi="Palatino Linotype"/>
          <w:sz w:val="20"/>
          <w:szCs w:val="20"/>
        </w:rPr>
        <w:t>han $24M</w:t>
      </w:r>
      <w:r>
        <w:rPr>
          <w:rFonts w:ascii="Palatino Linotype" w:hAnsi="Palatino Linotype"/>
          <w:sz w:val="20"/>
          <w:szCs w:val="20"/>
        </w:rPr>
        <w:t xml:space="preserve"> detailing how if “the </w:t>
      </w:r>
      <w:r w:rsidRPr="003E7037">
        <w:rPr>
          <w:rFonts w:ascii="Palatino Linotype" w:hAnsi="Palatino Linotype"/>
          <w:sz w:val="20"/>
          <w:szCs w:val="20"/>
        </w:rPr>
        <w:t>CPUC decides to authorize less than $24 million, the Energy Commission will proportionally reduce the requested transfers from the Gas Consumption Surcharge Fund by that amount</w:t>
      </w:r>
      <w:r>
        <w:rPr>
          <w:rFonts w:ascii="Palatino Linotype" w:hAnsi="Palatino Linotype"/>
          <w:sz w:val="20"/>
          <w:szCs w:val="20"/>
        </w:rPr>
        <w:t>.”</w:t>
      </w:r>
    </w:p>
  </w:footnote>
  <w:footnote w:id="112">
    <w:p w14:paraId="6B0D8495" w14:textId="69DD33C4" w:rsidR="00AC728D" w:rsidRDefault="00AC728D">
      <w:pPr>
        <w:pStyle w:val="FootnoteText"/>
      </w:pPr>
      <w:r>
        <w:rPr>
          <w:rStyle w:val="FootnoteReference"/>
        </w:rPr>
        <w:footnoteRef/>
      </w:r>
      <w:r>
        <w:t xml:space="preserve"> </w:t>
      </w:r>
      <w:hyperlink r:id="rId102">
        <w:r w:rsidR="00A057A9" w:rsidRPr="00684FA0">
          <w:rPr>
            <w:rStyle w:val="Hyperlink"/>
            <w:rFonts w:ascii="Palatino Linotype" w:hAnsi="Palatino Linotype"/>
          </w:rPr>
          <w:t>Resolution G-3592</w:t>
        </w:r>
      </w:hyperlink>
      <w:r w:rsidR="00A057A9" w:rsidRPr="00684FA0">
        <w:rPr>
          <w:rFonts w:ascii="Palatino Linotype" w:hAnsi="Palatino Linotype"/>
        </w:rPr>
        <w:t xml:space="preserve"> (2023) at OP 2</w:t>
      </w:r>
      <w:r w:rsidR="00A057A9">
        <w:rPr>
          <w:rFonts w:ascii="Palatino Linotype" w:hAnsi="Palatino Linotype"/>
        </w:rPr>
        <w:t>.</w:t>
      </w:r>
    </w:p>
  </w:footnote>
  <w:footnote w:id="113">
    <w:p w14:paraId="321D6CDC" w14:textId="5723FF89" w:rsidR="006235B9" w:rsidRPr="00F821FD" w:rsidRDefault="006235B9">
      <w:pPr>
        <w:pStyle w:val="FootnoteText"/>
        <w:rPr>
          <w:rFonts w:ascii="Palatino Linotype" w:hAnsi="Palatino Linotype"/>
        </w:rPr>
      </w:pPr>
      <w:r w:rsidRPr="00F821FD">
        <w:rPr>
          <w:rStyle w:val="FootnoteReference"/>
          <w:rFonts w:ascii="Palatino Linotype" w:hAnsi="Palatino Linotype"/>
        </w:rPr>
        <w:footnoteRef/>
      </w:r>
      <w:r w:rsidRPr="00F821FD">
        <w:rPr>
          <w:rFonts w:ascii="Palatino Linotype" w:hAnsi="Palatino Linotype"/>
        </w:rPr>
        <w:t xml:space="preserve"> </w:t>
      </w:r>
      <w:r w:rsidR="00F821FD">
        <w:rPr>
          <w:rFonts w:ascii="Palatino Linotype" w:hAnsi="Palatino Linotype"/>
        </w:rPr>
        <w:t xml:space="preserve">By </w:t>
      </w:r>
      <w:r w:rsidRPr="00F821FD">
        <w:rPr>
          <w:rFonts w:ascii="Palatino Linotype" w:hAnsi="Palatino Linotype"/>
        </w:rPr>
        <w:t xml:space="preserve">January 1, </w:t>
      </w:r>
      <w:r w:rsidR="00F821FD" w:rsidRPr="00F821FD">
        <w:rPr>
          <w:rFonts w:ascii="Palatino Linotype" w:hAnsi="Palatino Linotype"/>
        </w:rPr>
        <w:t>April 1, July 1, and October 1.</w:t>
      </w:r>
    </w:p>
  </w:footnote>
  <w:footnote w:id="114">
    <w:p w14:paraId="62AB5BAF" w14:textId="4FC5946A" w:rsidR="00273BFB" w:rsidRDefault="00273BFB">
      <w:pPr>
        <w:pStyle w:val="FootnoteText"/>
      </w:pPr>
      <w:r>
        <w:rPr>
          <w:rStyle w:val="FootnoteReference"/>
        </w:rPr>
        <w:footnoteRef/>
      </w:r>
      <w:r>
        <w:t xml:space="preserve"> </w:t>
      </w:r>
      <w:hyperlink r:id="rId103" w:history="1">
        <w:r w:rsidR="008850A6" w:rsidRPr="006552A5">
          <w:rPr>
            <w:rStyle w:val="Hyperlink"/>
            <w:rFonts w:ascii="Palatino Linotype" w:hAnsi="Palatino Linotype"/>
          </w:rPr>
          <w:t xml:space="preserve">CPUC Utility Audits Branch </w:t>
        </w:r>
        <w:r w:rsidR="001716E5" w:rsidRPr="006552A5">
          <w:rPr>
            <w:rStyle w:val="Hyperlink"/>
            <w:rFonts w:ascii="Palatino Linotype" w:hAnsi="Palatino Linotype"/>
          </w:rPr>
          <w:t xml:space="preserve">California Energy Commission </w:t>
        </w:r>
        <w:r w:rsidR="001A4D43" w:rsidRPr="006552A5">
          <w:rPr>
            <w:rStyle w:val="Hyperlink"/>
            <w:rFonts w:ascii="Palatino Linotype" w:hAnsi="Palatino Linotype"/>
          </w:rPr>
          <w:t xml:space="preserve">Gas Research and Development </w:t>
        </w:r>
        <w:r w:rsidR="001716E5" w:rsidRPr="006552A5">
          <w:rPr>
            <w:rStyle w:val="Hyperlink"/>
            <w:rFonts w:ascii="Palatino Linotype" w:hAnsi="Palatino Linotype"/>
          </w:rPr>
          <w:t>Program Performance Audit</w:t>
        </w:r>
        <w:r w:rsidR="00DD757E" w:rsidRPr="006552A5">
          <w:rPr>
            <w:rStyle w:val="Hyperlink"/>
            <w:rFonts w:ascii="Palatino Linotype" w:hAnsi="Palatino Linotype"/>
          </w:rPr>
          <w:t xml:space="preserve"> </w:t>
        </w:r>
        <w:r w:rsidR="008850A6" w:rsidRPr="006552A5">
          <w:rPr>
            <w:rStyle w:val="Hyperlink"/>
            <w:rFonts w:ascii="Palatino Linotype" w:hAnsi="Palatino Linotype"/>
          </w:rPr>
          <w:t>Report</w:t>
        </w:r>
      </w:hyperlink>
      <w:r w:rsidR="008850A6" w:rsidRPr="008850A6">
        <w:rPr>
          <w:rFonts w:ascii="Palatino Linotype" w:hAnsi="Palatino Linotype"/>
        </w:rPr>
        <w:t xml:space="preserve"> </w:t>
      </w:r>
      <w:r w:rsidR="00DD757E" w:rsidRPr="008850A6">
        <w:rPr>
          <w:rFonts w:ascii="Palatino Linotype" w:hAnsi="Palatino Linotype"/>
        </w:rPr>
        <w:t>(August 28, 2025) at p.</w:t>
      </w:r>
      <w:r w:rsidR="006552A5">
        <w:rPr>
          <w:rFonts w:ascii="Palatino Linotype" w:hAnsi="Palatino Linotype"/>
        </w:rPr>
        <w:t xml:space="preserve"> 2.</w:t>
      </w:r>
    </w:p>
  </w:footnote>
  <w:footnote w:id="115">
    <w:p w14:paraId="4F3A51B2" w14:textId="77777777" w:rsidR="0088709C" w:rsidRDefault="0088709C" w:rsidP="0088709C">
      <w:pPr>
        <w:pStyle w:val="FootnoteText"/>
      </w:pPr>
      <w:r>
        <w:rPr>
          <w:rStyle w:val="FootnoteReference"/>
        </w:rPr>
        <w:footnoteRef/>
      </w:r>
      <w:r>
        <w:t xml:space="preserve"> </w:t>
      </w:r>
      <w:hyperlink r:id="rId104" w:history="1">
        <w:r w:rsidRPr="00486029">
          <w:rPr>
            <w:rStyle w:val="Hyperlink"/>
            <w:rFonts w:ascii="Palatino Linotype" w:hAnsi="Palatino Linotype"/>
          </w:rPr>
          <w:t>Travel Reimbursements - CalHR Benefits Website</w:t>
        </w:r>
      </w:hyperlink>
      <w:r>
        <w:rPr>
          <w:rFonts w:ascii="Palatino Linotype" w:hAnsi="Palatino Linotype"/>
        </w:rPr>
        <w:t>.</w:t>
      </w:r>
    </w:p>
  </w:footnote>
  <w:footnote w:id="116">
    <w:p w14:paraId="6A07795D" w14:textId="7144FBCA" w:rsidR="006A0099" w:rsidRPr="00180883" w:rsidRDefault="006A0099" w:rsidP="006A0099">
      <w:pPr>
        <w:pStyle w:val="FootnoteText"/>
        <w:rPr>
          <w:rFonts w:ascii="Palatino Linotype" w:hAnsi="Palatino Linotype"/>
          <w:color w:val="000000" w:themeColor="text1"/>
        </w:rPr>
      </w:pPr>
      <w:r w:rsidRPr="00950D1D">
        <w:rPr>
          <w:rStyle w:val="FootnoteReference"/>
        </w:rPr>
        <w:footnoteRef/>
      </w:r>
      <w:r w:rsidRPr="00950D1D">
        <w:t xml:space="preserve"> </w:t>
      </w:r>
      <w:hyperlink r:id="rId105">
        <w:r w:rsidRPr="775F7D12">
          <w:rPr>
            <w:rStyle w:val="Hyperlink"/>
            <w:rFonts w:ascii="Palatino Linotype" w:hAnsi="Palatino Linotype"/>
          </w:rPr>
          <w:t>Resolution G-3592</w:t>
        </w:r>
      </w:hyperlink>
      <w:r w:rsidRPr="00950D1D">
        <w:rPr>
          <w:rFonts w:ascii="Palatino Linotype" w:hAnsi="Palatino Linotype"/>
          <w:color w:val="000000" w:themeColor="text1"/>
        </w:rPr>
        <w:t xml:space="preserve"> (2023</w:t>
      </w:r>
      <w:r w:rsidRPr="00180883">
        <w:rPr>
          <w:rFonts w:ascii="Palatino Linotype" w:hAnsi="Palatino Linotype"/>
          <w:color w:val="000000" w:themeColor="text1"/>
        </w:rPr>
        <w:t>)</w:t>
      </w:r>
      <w:r w:rsidR="007B39B2">
        <w:rPr>
          <w:rFonts w:ascii="Palatino Linotype" w:hAnsi="Palatino Linotype"/>
          <w:color w:val="000000" w:themeColor="text1"/>
        </w:rPr>
        <w:t xml:space="preserve"> </w:t>
      </w:r>
      <w:r w:rsidRPr="00180883">
        <w:rPr>
          <w:rFonts w:ascii="Palatino Linotype" w:hAnsi="Palatino Linotype"/>
          <w:color w:val="000000" w:themeColor="text1"/>
        </w:rPr>
        <w:t>at OP 3.</w:t>
      </w:r>
      <w:r w:rsidR="002A370C">
        <w:rPr>
          <w:rFonts w:ascii="Palatino Linotype" w:hAnsi="Palatino Linotype"/>
          <w:color w:val="000000" w:themeColor="text1"/>
        </w:rPr>
        <w:t xml:space="preserve"> “</w:t>
      </w:r>
      <w:r w:rsidR="002A370C" w:rsidRPr="002A370C">
        <w:rPr>
          <w:rFonts w:ascii="Palatino Linotype" w:hAnsi="Palatino Linotype"/>
          <w:color w:val="000000" w:themeColor="text1"/>
        </w:rPr>
        <w:t>In its Fiscal Year 2023-2024 Gas R&amp;D Plan, the CEC shall allocate 4% of its budget ($960,000) to fund a comprehensive evaluation of the CEC’s Gas R&amp;D program to be implemented Energy Division</w:t>
      </w:r>
      <w:r w:rsidR="002A370C">
        <w:rPr>
          <w:rFonts w:ascii="Palatino Linotype" w:hAnsi="Palatino Linotype"/>
          <w:color w:val="000000" w:themeColor="text1"/>
        </w:rPr>
        <w:t>…”</w:t>
      </w:r>
    </w:p>
  </w:footnote>
  <w:footnote w:id="117">
    <w:p w14:paraId="3BC7DA46" w14:textId="06DFFE6C" w:rsidR="006A0099" w:rsidRDefault="006A0099" w:rsidP="35F2EE98">
      <w:pPr>
        <w:pStyle w:val="FootnoteText"/>
        <w:rPr>
          <w:rFonts w:ascii="Palatino Linotype" w:hAnsi="Palatino Linotype"/>
          <w:color w:val="000000" w:themeColor="text1"/>
        </w:rPr>
      </w:pPr>
      <w:r w:rsidRPr="00950D1D">
        <w:rPr>
          <w:rStyle w:val="FootnoteReference"/>
        </w:rPr>
        <w:footnoteRef/>
      </w:r>
      <w:r w:rsidR="35F2EE98" w:rsidRPr="00950D1D">
        <w:t xml:space="preserve"> </w:t>
      </w:r>
      <w:r w:rsidR="35F2EE98" w:rsidRPr="35F2EE98">
        <w:rPr>
          <w:rFonts w:ascii="Palatino Linotype" w:hAnsi="Palatino Linotype"/>
        </w:rPr>
        <w:t xml:space="preserve">Consistent with </w:t>
      </w:r>
      <w:hyperlink r:id="rId106">
        <w:r w:rsidR="35F2EE98" w:rsidRPr="00950D1D">
          <w:rPr>
            <w:rStyle w:val="Hyperlink"/>
            <w:rFonts w:ascii="Palatino Linotype" w:hAnsi="Palatino Linotype"/>
          </w:rPr>
          <w:t>Resolution G-3601</w:t>
        </w:r>
      </w:hyperlink>
      <w:r w:rsidR="35F2EE98" w:rsidRPr="00950D1D">
        <w:rPr>
          <w:rFonts w:ascii="Palatino Linotype" w:hAnsi="Palatino Linotype"/>
        </w:rPr>
        <w:t xml:space="preserve"> </w:t>
      </w:r>
      <w:r w:rsidR="35F2EE98" w:rsidRPr="00950D1D">
        <w:rPr>
          <w:rFonts w:ascii="Palatino Linotype" w:hAnsi="Palatino Linotype"/>
          <w:color w:val="000000" w:themeColor="text1"/>
        </w:rPr>
        <w:t xml:space="preserve">(2023) at OP 3a &amp; </w:t>
      </w:r>
      <w:hyperlink r:id="rId107">
        <w:r w:rsidR="35F2EE98" w:rsidRPr="35F2EE98">
          <w:rPr>
            <w:rStyle w:val="Hyperlink"/>
            <w:rFonts w:ascii="Palatino Linotype" w:hAnsi="Palatino Linotype"/>
          </w:rPr>
          <w:t>D.23-11-069</w:t>
        </w:r>
      </w:hyperlink>
      <w:r w:rsidR="35F2EE98" w:rsidRPr="35F2EE98">
        <w:rPr>
          <w:rFonts w:ascii="Palatino Linotype" w:hAnsi="Palatino Linotype"/>
        </w:rPr>
        <w:t xml:space="preserve"> at p. 221</w:t>
      </w:r>
      <w:r w:rsidR="35F2EE98" w:rsidRPr="00950D1D">
        <w:rPr>
          <w:rFonts w:ascii="Palatino Linotype" w:hAnsi="Palatino Linotype"/>
          <w:color w:val="000000" w:themeColor="text1"/>
        </w:rPr>
        <w:t>.</w:t>
      </w:r>
    </w:p>
  </w:footnote>
  <w:footnote w:id="118">
    <w:p w14:paraId="2253A92B" w14:textId="64C16325" w:rsidR="00D26D88" w:rsidRDefault="00D26D88">
      <w:pPr>
        <w:pStyle w:val="FootnoteText"/>
      </w:pPr>
      <w:r>
        <w:rPr>
          <w:rStyle w:val="FootnoteReference"/>
        </w:rPr>
        <w:footnoteRef/>
      </w:r>
      <w:r>
        <w:t xml:space="preserve"> </w:t>
      </w:r>
      <w:hyperlink r:id="rId108" w:history="1">
        <w:r w:rsidR="003B40B4" w:rsidRPr="003B40B4">
          <w:rPr>
            <w:rStyle w:val="Hyperlink"/>
            <w:rFonts w:ascii="Palatino Linotype" w:hAnsi="Palatino Linotype"/>
          </w:rPr>
          <w:t>Resolution G-3618</w:t>
        </w:r>
      </w:hyperlink>
      <w:r w:rsidR="003B40B4" w:rsidRPr="003B40B4">
        <w:rPr>
          <w:rFonts w:ascii="Palatino Linotype" w:hAnsi="Palatino Linotype"/>
        </w:rPr>
        <w:t xml:space="preserve"> (202</w:t>
      </w:r>
      <w:r w:rsidR="00185ECE">
        <w:rPr>
          <w:rFonts w:ascii="Palatino Linotype" w:hAnsi="Palatino Linotype"/>
        </w:rPr>
        <w:t>6</w:t>
      </w:r>
      <w:r w:rsidR="003B40B4" w:rsidRPr="003B40B4">
        <w:rPr>
          <w:rFonts w:ascii="Palatino Linotype" w:hAnsi="Palatino Linotype"/>
        </w:rPr>
        <w:t>) at p. 25 &amp; O</w:t>
      </w:r>
      <w:r w:rsidR="003B40B4">
        <w:rPr>
          <w:rFonts w:ascii="Palatino Linotype" w:hAnsi="Palatino Linotype"/>
        </w:rPr>
        <w:t>P 11.</w:t>
      </w:r>
    </w:p>
  </w:footnote>
  <w:footnote w:id="119">
    <w:p w14:paraId="2A57A0C0" w14:textId="77777777" w:rsidR="009B3679" w:rsidRDefault="009B3679" w:rsidP="009B3679">
      <w:pPr>
        <w:pStyle w:val="FootnoteText"/>
      </w:pPr>
      <w:r>
        <w:rPr>
          <w:rStyle w:val="FootnoteReference"/>
        </w:rPr>
        <w:footnoteRef/>
      </w:r>
      <w:r>
        <w:t xml:space="preserve"> </w:t>
      </w:r>
      <w:hyperlink r:id="rId109">
        <w:r w:rsidRPr="00BB0258">
          <w:rPr>
            <w:rStyle w:val="Hyperlink"/>
            <w:rFonts w:ascii="Palatino Linotype" w:hAnsi="Palatino Linotype"/>
          </w:rPr>
          <w:t>D.23-04-042</w:t>
        </w:r>
      </w:hyperlink>
      <w:r w:rsidRPr="00BB0258">
        <w:rPr>
          <w:rFonts w:ascii="Palatino Linotype" w:hAnsi="Palatino Linotype"/>
          <w:b/>
          <w:bCs/>
        </w:rPr>
        <w:t xml:space="preserve"> </w:t>
      </w:r>
      <w:r w:rsidRPr="00BB0258">
        <w:rPr>
          <w:rFonts w:ascii="Palatino Linotype" w:hAnsi="Palatino Linotype"/>
        </w:rPr>
        <w:t>at OP 3</w:t>
      </w:r>
      <w:r>
        <w:rPr>
          <w:rFonts w:ascii="Palatino Linotype" w:hAnsi="Palatino Linotype"/>
        </w:rPr>
        <w:t xml:space="preserve"> &amp; </w:t>
      </w:r>
      <w:hyperlink r:id="rId110" w:tgtFrame="_blank" w:history="1">
        <w:r w:rsidRPr="0032595A">
          <w:rPr>
            <w:rStyle w:val="Hyperlink"/>
            <w:rFonts w:ascii="Palatino Linotype" w:hAnsi="Palatino Linotype" w:cs="Palatino"/>
          </w:rPr>
          <w:t>D.24-03-007</w:t>
        </w:r>
      </w:hyperlink>
      <w:r>
        <w:rPr>
          <w:rFonts w:ascii="Palatino Linotype" w:hAnsi="Palatino Linotype"/>
        </w:rPr>
        <w:t>.</w:t>
      </w:r>
    </w:p>
  </w:footnote>
  <w:footnote w:id="120">
    <w:p w14:paraId="34328A29" w14:textId="24A4A5FE" w:rsidR="001207B9" w:rsidRPr="001207B9" w:rsidRDefault="001207B9">
      <w:pPr>
        <w:pStyle w:val="FootnoteText"/>
        <w:rPr>
          <w:rFonts w:ascii="Palatino Linotype" w:hAnsi="Palatino Linotype"/>
        </w:rPr>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Also required in the CEC’s Gas RD&amp;D Annual Reports.</w:t>
      </w:r>
    </w:p>
  </w:footnote>
  <w:footnote w:id="121">
    <w:p w14:paraId="301FF529" w14:textId="650F6E4E" w:rsidR="0001455A" w:rsidRPr="0001455A" w:rsidRDefault="0001455A">
      <w:pPr>
        <w:pStyle w:val="FootnoteText"/>
        <w:rPr>
          <w:rFonts w:ascii="Palatino Linotype" w:hAnsi="Palatino Linotype"/>
        </w:rPr>
      </w:pPr>
      <w:r w:rsidRPr="0001455A">
        <w:rPr>
          <w:rStyle w:val="FootnoteReference"/>
          <w:rFonts w:ascii="Palatino Linotype" w:hAnsi="Palatino Linotype"/>
        </w:rPr>
        <w:footnoteRef/>
      </w:r>
      <w:r w:rsidRPr="0001455A">
        <w:rPr>
          <w:rFonts w:ascii="Palatino Linotype" w:hAnsi="Palatino Linotype"/>
        </w:rPr>
        <w:t xml:space="preserve"> Resolution G-3622 at OP 6c.</w:t>
      </w:r>
    </w:p>
  </w:footnote>
  <w:footnote w:id="122">
    <w:p w14:paraId="7338F50E" w14:textId="6C9FAB44" w:rsidR="00D64F3D" w:rsidRDefault="00D64F3D">
      <w:pPr>
        <w:pStyle w:val="FootnoteText"/>
      </w:pPr>
      <w:r>
        <w:rPr>
          <w:rStyle w:val="FootnoteReference"/>
        </w:rPr>
        <w:footnoteRef/>
      </w:r>
      <w:r>
        <w:t xml:space="preserve"> </w:t>
      </w:r>
      <w:r w:rsidRPr="007B55AC">
        <w:rPr>
          <w:rFonts w:ascii="Palatino Linotype" w:eastAsia="Palatino Linotype" w:hAnsi="Palatino Linotype"/>
          <w:color w:val="000000" w:themeColor="text1"/>
        </w:rPr>
        <w:t xml:space="preserve">To accommodate the transition from FY to CY reporting, CEC’s next Annual Report, currently due October 31, 2026, shall be due June 1, 2027, for a one-and-a-half-year period: July 2025 through </w:t>
      </w:r>
      <w:r w:rsidRPr="007033DF">
        <w:rPr>
          <w:rFonts w:ascii="Palatino Linotype" w:eastAsia="Palatino Linotype" w:hAnsi="Palatino Linotype"/>
          <w:color w:val="000000" w:themeColor="text1"/>
        </w:rPr>
        <w:t>December 2026.</w:t>
      </w:r>
    </w:p>
  </w:footnote>
  <w:footnote w:id="123">
    <w:p w14:paraId="00A6140D" w14:textId="77777777" w:rsidR="00521CDB" w:rsidRDefault="00521CDB" w:rsidP="00521CDB">
      <w:pPr>
        <w:pStyle w:val="FootnoteText"/>
      </w:pPr>
      <w:r>
        <w:rPr>
          <w:rStyle w:val="FootnoteReference"/>
        </w:rPr>
        <w:footnoteRef/>
      </w:r>
      <w:r>
        <w:t xml:space="preserve"> </w:t>
      </w:r>
      <w:hyperlink r:id="rId111" w:history="1">
        <w:r w:rsidRPr="001F2655">
          <w:rPr>
            <w:rStyle w:val="Hyperlink"/>
            <w:rFonts w:ascii="Palatino Linotype" w:hAnsi="Palatino Linotype"/>
          </w:rPr>
          <w:t>Resolution G-3371</w:t>
        </w:r>
      </w:hyperlink>
      <w:r w:rsidRPr="008B4E20">
        <w:rPr>
          <w:rFonts w:ascii="Palatino Linotype" w:hAnsi="Palatino Linotype"/>
        </w:rPr>
        <w:t xml:space="preserve"> (2004): Approving CEC’s CY 2005 Gas RD&amp;D Plan.</w:t>
      </w:r>
    </w:p>
  </w:footnote>
  <w:footnote w:id="124">
    <w:p w14:paraId="64A7C57A" w14:textId="77777777" w:rsidR="00186D4F" w:rsidRDefault="00186D4F" w:rsidP="00186D4F">
      <w:pPr>
        <w:pStyle w:val="FootnoteText"/>
      </w:pPr>
      <w:r>
        <w:rPr>
          <w:rStyle w:val="FootnoteReference"/>
        </w:rPr>
        <w:footnoteRef/>
      </w:r>
      <w:r>
        <w:t xml:space="preserve"> </w:t>
      </w:r>
      <w:r w:rsidRPr="001128E7">
        <w:rPr>
          <w:rFonts w:ascii="Palatino Linotype" w:hAnsi="Palatino Linotype"/>
        </w:rPr>
        <w:t xml:space="preserve">This Resolution modifies this requirement: CEC’s Annual </w:t>
      </w:r>
      <w:r>
        <w:rPr>
          <w:rFonts w:ascii="Palatino Linotype" w:hAnsi="Palatino Linotype"/>
        </w:rPr>
        <w:t>Reports will be due June 1</w:t>
      </w:r>
      <w:r w:rsidRPr="001128E7">
        <w:rPr>
          <w:rFonts w:ascii="Palatino Linotype" w:hAnsi="Palatino Linotype"/>
        </w:rPr>
        <w:t xml:space="preserve">, pertaining to the </w:t>
      </w:r>
      <w:r>
        <w:rPr>
          <w:rFonts w:ascii="Palatino Linotype" w:hAnsi="Palatino Linotype"/>
        </w:rPr>
        <w:t>c</w:t>
      </w:r>
      <w:r w:rsidRPr="001128E7">
        <w:rPr>
          <w:rFonts w:ascii="Palatino Linotype" w:hAnsi="Palatino Linotype"/>
        </w:rPr>
        <w:t xml:space="preserve">alendar </w:t>
      </w:r>
      <w:r>
        <w:rPr>
          <w:rFonts w:ascii="Palatino Linotype" w:hAnsi="Palatino Linotype"/>
        </w:rPr>
        <w:t>y</w:t>
      </w:r>
      <w:r w:rsidRPr="001128E7">
        <w:rPr>
          <w:rFonts w:ascii="Palatino Linotype" w:hAnsi="Palatino Linotype"/>
        </w:rPr>
        <w:t>ear beginning in 2027.</w:t>
      </w:r>
    </w:p>
  </w:footnote>
  <w:footnote w:id="125">
    <w:p w14:paraId="29423E39" w14:textId="35143EA8" w:rsidR="000119E7" w:rsidRDefault="000119E7" w:rsidP="000119E7">
      <w:pPr>
        <w:pStyle w:val="FootnoteText"/>
      </w:pPr>
      <w:r>
        <w:rPr>
          <w:rStyle w:val="FootnoteReference"/>
        </w:rPr>
        <w:footnoteRef/>
      </w:r>
      <w:r>
        <w:t xml:space="preserve"> </w:t>
      </w:r>
      <w:hyperlink r:id="rId112"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 “Any appropriations that are made from the fund shall have an encumbrance period of not longer than two years, and a liquidation period of not longer than four years</w:t>
      </w:r>
      <w:r>
        <w:rPr>
          <w:rFonts w:ascii="Palatino Linotype" w:hAnsi="Palatino Linotype"/>
        </w:rPr>
        <w:t xml:space="preserve">.” Consistent with </w:t>
      </w:r>
      <w:hyperlink r:id="rId113" w:tgtFrame="_blank" w:history="1">
        <w:r>
          <w:rPr>
            <w:rStyle w:val="Hyperlink"/>
            <w:rFonts w:ascii="Palatino Linotype" w:hAnsi="Palatino Linotype"/>
          </w:rPr>
          <w:t>Resolution G-3584</w:t>
        </w:r>
      </w:hyperlink>
      <w:r>
        <w:rPr>
          <w:rFonts w:ascii="Palatino Linotype" w:hAnsi="Palatino Linotype"/>
        </w:rPr>
        <w:t xml:space="preserve"> (2021)</w:t>
      </w:r>
      <w:r w:rsidR="007E3C6B">
        <w:rPr>
          <w:rFonts w:ascii="Palatino Linotype" w:hAnsi="Palatino Linotype"/>
        </w:rPr>
        <w:t xml:space="preserve"> </w:t>
      </w:r>
      <w:r>
        <w:rPr>
          <w:rFonts w:ascii="Palatino Linotype" w:hAnsi="Palatino Linotype"/>
        </w:rPr>
        <w:t xml:space="preserve">at p. 8. </w:t>
      </w:r>
      <w:r w:rsidRPr="006B07EC">
        <w:rPr>
          <w:rFonts w:ascii="Palatino Linotype" w:hAnsi="Palatino Linotype"/>
        </w:rPr>
        <w:t xml:space="preserve">This allows the CEC certain flexibility to implement project funding approved by the CPUC </w:t>
      </w:r>
      <w:r>
        <w:rPr>
          <w:rFonts w:ascii="Palatino Linotype" w:hAnsi="Palatino Linotype"/>
        </w:rPr>
        <w:t>for</w:t>
      </w:r>
      <w:r w:rsidRPr="006B07EC">
        <w:rPr>
          <w:rFonts w:ascii="Palatino Linotype" w:hAnsi="Palatino Linotype"/>
        </w:rPr>
        <w:t xml:space="preserve"> one fiscal year across fiscal years within these parameters.</w:t>
      </w:r>
    </w:p>
  </w:footnote>
  <w:footnote w:id="126">
    <w:p w14:paraId="6D59EA9E" w14:textId="4F7792E6" w:rsidR="000119E7" w:rsidRPr="00E22B76" w:rsidRDefault="000119E7" w:rsidP="000119E7">
      <w:pPr>
        <w:pStyle w:val="FootnoteText"/>
        <w:rPr>
          <w:rFonts w:ascii="Palatino Linotype" w:hAnsi="Palatino Linotype"/>
        </w:rPr>
      </w:pPr>
      <w:r>
        <w:rPr>
          <w:rStyle w:val="FootnoteReference"/>
        </w:rPr>
        <w:footnoteRef/>
      </w:r>
      <w:r>
        <w:t xml:space="preserve"> </w:t>
      </w:r>
      <w:r w:rsidRPr="002C5A15">
        <w:rPr>
          <w:rFonts w:ascii="Palatino Linotype" w:hAnsi="Palatino Linotype"/>
        </w:rPr>
        <w:t>See Resolution G-</w:t>
      </w:r>
      <w:r w:rsidRPr="002E0702">
        <w:rPr>
          <w:rFonts w:ascii="Palatino Linotype" w:hAnsi="Palatino Linotype"/>
          <w:color w:val="000000" w:themeColor="text1"/>
        </w:rPr>
        <w:t>3622</w:t>
      </w:r>
      <w:r w:rsidRPr="002C5A15">
        <w:rPr>
          <w:rFonts w:ascii="Palatino Linotype" w:hAnsi="Palatino Linotype"/>
        </w:rPr>
        <w:t xml:space="preserve"> at Appendix</w:t>
      </w:r>
      <w:r>
        <w:rPr>
          <w:rFonts w:ascii="Palatino Linotype" w:hAnsi="Palatino Linotype"/>
        </w:rPr>
        <w:t xml:space="preserve"> </w:t>
      </w:r>
      <w:r w:rsidR="008A3957">
        <w:rPr>
          <w:rFonts w:ascii="Palatino Linotype" w:hAnsi="Palatino Linotype"/>
        </w:rPr>
        <w:t>F</w:t>
      </w:r>
      <w:r>
        <w:rPr>
          <w:rFonts w:ascii="Palatino Linotype" w:hAnsi="Palatino Linotype"/>
        </w:rPr>
        <w:t>:</w:t>
      </w:r>
      <w:r w:rsidRPr="002C5A15">
        <w:rPr>
          <w:rFonts w:ascii="Palatino Linotype" w:hAnsi="Palatino Linotype"/>
        </w:rPr>
        <w:t xml:space="preserve"> </w:t>
      </w:r>
      <w:r w:rsidRPr="002C5A15">
        <w:rPr>
          <w:rFonts w:ascii="Palatino Linotype" w:hAnsi="Palatino Linotype"/>
          <w:color w:val="000000" w:themeColor="text1"/>
        </w:rPr>
        <w:t>CEC Balances of Unspent Funds from Previously Approved Gas RD&amp;D Plans</w:t>
      </w:r>
      <w:r>
        <w:rPr>
          <w:rFonts w:ascii="Palatino Linotype" w:hAnsi="Palatino Linotype"/>
          <w:color w:val="000000" w:themeColor="text1"/>
        </w:rPr>
        <w:t xml:space="preserve">. </w:t>
      </w:r>
      <w:r w:rsidRPr="00E22B76">
        <w:rPr>
          <w:rFonts w:ascii="Palatino Linotype" w:hAnsi="Palatino Linotype"/>
        </w:rPr>
        <w:t xml:space="preserve">Consistent with: </w:t>
      </w:r>
    </w:p>
    <w:p w14:paraId="2D8AAE67" w14:textId="77777777" w:rsidR="000119E7" w:rsidRPr="00E22B76" w:rsidRDefault="000119E7" w:rsidP="000119E7">
      <w:pPr>
        <w:pStyle w:val="FootnoteText"/>
        <w:ind w:left="720"/>
        <w:rPr>
          <w:rFonts w:ascii="Palatino Linotype" w:hAnsi="Palatino Linotype"/>
        </w:rPr>
      </w:pPr>
      <w:hyperlink r:id="rId114" w:history="1">
        <w:r w:rsidRPr="00E22B76">
          <w:rPr>
            <w:rStyle w:val="Hyperlink"/>
            <w:rFonts w:ascii="Palatino Linotype" w:hAnsi="Palatino Linotype"/>
          </w:rPr>
          <w:t>Resolution G-3484</w:t>
        </w:r>
      </w:hyperlink>
      <w:r w:rsidRPr="00E22B76">
        <w:rPr>
          <w:rFonts w:ascii="Palatino Linotype" w:hAnsi="Palatino Linotype"/>
        </w:rPr>
        <w:t xml:space="preserve"> (2013)</w:t>
      </w:r>
      <w:r>
        <w:rPr>
          <w:rFonts w:ascii="Palatino Linotype" w:hAnsi="Palatino Linotype"/>
        </w:rPr>
        <w:t xml:space="preserve"> at </w:t>
      </w:r>
      <w:r w:rsidRPr="00E22B76">
        <w:rPr>
          <w:rFonts w:ascii="Palatino Linotype" w:hAnsi="Palatino Linotype"/>
        </w:rPr>
        <w:t xml:space="preserve">OP 5. </w:t>
      </w:r>
    </w:p>
    <w:p w14:paraId="3C517AC3" w14:textId="764FBDC0" w:rsidR="000119E7" w:rsidRPr="00E22B76" w:rsidRDefault="000119E7" w:rsidP="000119E7">
      <w:pPr>
        <w:pStyle w:val="FootnoteText"/>
        <w:ind w:left="720"/>
        <w:rPr>
          <w:rFonts w:ascii="Palatino Linotype" w:hAnsi="Palatino Linotype"/>
        </w:rPr>
      </w:pPr>
      <w:hyperlink r:id="rId115" w:history="1">
        <w:r>
          <w:rPr>
            <w:rStyle w:val="Hyperlink"/>
            <w:rFonts w:ascii="Palatino Linotype" w:hAnsi="Palatino Linotype"/>
          </w:rPr>
          <w:t>Resolution G-3495</w:t>
        </w:r>
      </w:hyperlink>
      <w:r>
        <w:rPr>
          <w:rFonts w:ascii="Palatino Linotype" w:hAnsi="Palatino Linotype"/>
        </w:rPr>
        <w:t xml:space="preserve"> (2014)</w:t>
      </w:r>
      <w:r w:rsidR="00624A28">
        <w:rPr>
          <w:rFonts w:ascii="Palatino Linotype" w:hAnsi="Palatino Linotype"/>
        </w:rPr>
        <w:t xml:space="preserve"> </w:t>
      </w:r>
      <w:r w:rsidRPr="00E22B76">
        <w:rPr>
          <w:rFonts w:ascii="Palatino Linotype" w:hAnsi="Palatino Linotype"/>
        </w:rPr>
        <w:t>at OP 3</w:t>
      </w:r>
      <w:r>
        <w:rPr>
          <w:rFonts w:ascii="Palatino Linotype" w:hAnsi="Palatino Linotype"/>
        </w:rPr>
        <w:t>.</w:t>
      </w:r>
    </w:p>
    <w:p w14:paraId="1CDF6069" w14:textId="77777777" w:rsidR="000119E7" w:rsidRPr="00E22B76" w:rsidRDefault="000119E7" w:rsidP="000119E7">
      <w:pPr>
        <w:pStyle w:val="FootnoteText"/>
        <w:ind w:left="720"/>
        <w:rPr>
          <w:rFonts w:ascii="Palatino Linotype" w:hAnsi="Palatino Linotype"/>
        </w:rPr>
      </w:pPr>
      <w:hyperlink r:id="rId116" w:history="1">
        <w:r>
          <w:rPr>
            <w:rStyle w:val="Hyperlink"/>
            <w:rFonts w:ascii="Palatino Linotype" w:hAnsi="Palatino Linotype"/>
          </w:rPr>
          <w:t>Resolution G-3507</w:t>
        </w:r>
      </w:hyperlink>
      <w:r>
        <w:rPr>
          <w:rFonts w:ascii="Palatino Linotype" w:hAnsi="Palatino Linotype"/>
        </w:rPr>
        <w:t xml:space="preserve"> (2015)</w:t>
      </w:r>
      <w:r w:rsidRPr="00E22B76">
        <w:rPr>
          <w:rFonts w:ascii="Palatino Linotype" w:hAnsi="Palatino Linotype"/>
        </w:rPr>
        <w:t xml:space="preserve">: </w:t>
      </w:r>
      <w:r>
        <w:rPr>
          <w:rFonts w:ascii="Palatino Linotype" w:hAnsi="Palatino Linotype"/>
        </w:rPr>
        <w:t>A</w:t>
      </w:r>
      <w:r w:rsidRPr="00E22B76">
        <w:rPr>
          <w:rFonts w:ascii="Palatino Linotype" w:hAnsi="Palatino Linotype"/>
        </w:rPr>
        <w:t>pproving CEC’s FY 2015-2016 Gas R</w:t>
      </w:r>
      <w:r>
        <w:rPr>
          <w:rFonts w:ascii="Palatino Linotype" w:hAnsi="Palatino Linotype"/>
        </w:rPr>
        <w:t>D</w:t>
      </w:r>
      <w:r w:rsidRPr="00E22B76">
        <w:rPr>
          <w:rFonts w:ascii="Palatino Linotype" w:hAnsi="Palatino Linotype"/>
        </w:rPr>
        <w:t>&amp;D Plan at OP 3</w:t>
      </w:r>
      <w:r>
        <w:rPr>
          <w:rFonts w:ascii="Palatino Linotype" w:hAnsi="Palatino Linotype"/>
        </w:rPr>
        <w:t>.</w:t>
      </w:r>
    </w:p>
    <w:p w14:paraId="40826041" w14:textId="2D39ECC6" w:rsidR="000119E7" w:rsidRPr="00E22B76" w:rsidRDefault="000119E7" w:rsidP="000119E7">
      <w:pPr>
        <w:pStyle w:val="FootnoteText"/>
        <w:ind w:left="720"/>
        <w:rPr>
          <w:rFonts w:ascii="Palatino Linotype" w:hAnsi="Palatino Linotype"/>
        </w:rPr>
      </w:pPr>
      <w:hyperlink r:id="rId117" w:history="1">
        <w:r>
          <w:rPr>
            <w:rStyle w:val="Hyperlink"/>
            <w:rFonts w:ascii="Palatino Linotype" w:hAnsi="Palatino Linotype"/>
          </w:rPr>
          <w:t>Resolution G-3519</w:t>
        </w:r>
      </w:hyperlink>
      <w:r>
        <w:rPr>
          <w:rFonts w:ascii="Palatino Linotype" w:hAnsi="Palatino Linotype"/>
        </w:rPr>
        <w:t xml:space="preserve"> (2016)</w:t>
      </w:r>
      <w:r w:rsidR="00AD4A2E">
        <w:rPr>
          <w:rFonts w:ascii="Palatino Linotype" w:hAnsi="Palatino Linotype"/>
        </w:rPr>
        <w:t xml:space="preserve"> </w:t>
      </w:r>
      <w:r w:rsidRPr="00E22B76">
        <w:rPr>
          <w:rFonts w:ascii="Palatino Linotype" w:hAnsi="Palatino Linotype"/>
        </w:rPr>
        <w:t>at OP 3</w:t>
      </w:r>
      <w:r>
        <w:rPr>
          <w:rFonts w:ascii="Palatino Linotype" w:hAnsi="Palatino Linotype"/>
        </w:rPr>
        <w:t>.</w:t>
      </w:r>
    </w:p>
    <w:p w14:paraId="64B37BB9" w14:textId="2DACF47F" w:rsidR="000119E7" w:rsidRPr="00E22B76" w:rsidRDefault="000119E7" w:rsidP="000119E7">
      <w:pPr>
        <w:pStyle w:val="FootnoteText"/>
        <w:ind w:left="720"/>
        <w:rPr>
          <w:rFonts w:ascii="Palatino Linotype" w:hAnsi="Palatino Linotype"/>
        </w:rPr>
      </w:pPr>
      <w:hyperlink r:id="rId118" w:history="1">
        <w:r>
          <w:rPr>
            <w:rStyle w:val="Hyperlink"/>
            <w:rFonts w:ascii="Palatino Linotype" w:hAnsi="Palatino Linotype"/>
          </w:rPr>
          <w:t>Resolution G-3527</w:t>
        </w:r>
      </w:hyperlink>
      <w:r>
        <w:rPr>
          <w:rFonts w:ascii="Palatino Linotype" w:hAnsi="Palatino Linotype"/>
        </w:rPr>
        <w:t xml:space="preserve"> (2017)</w:t>
      </w:r>
      <w:r w:rsidR="002775ED">
        <w:rPr>
          <w:rFonts w:ascii="Palatino Linotype" w:hAnsi="Palatino Linotype"/>
        </w:rPr>
        <w:t xml:space="preserve"> </w:t>
      </w:r>
      <w:r w:rsidRPr="00E22B76">
        <w:rPr>
          <w:rFonts w:ascii="Palatino Linotype" w:hAnsi="Palatino Linotype"/>
        </w:rPr>
        <w:t>at OP 3</w:t>
      </w:r>
      <w:r>
        <w:rPr>
          <w:rFonts w:ascii="Palatino Linotype" w:hAnsi="Palatino Linotype"/>
        </w:rPr>
        <w:t>.</w:t>
      </w:r>
    </w:p>
    <w:p w14:paraId="549E4771" w14:textId="77777777" w:rsidR="000119E7" w:rsidRPr="00E22B76" w:rsidRDefault="000119E7" w:rsidP="000119E7">
      <w:pPr>
        <w:pStyle w:val="FootnoteText"/>
        <w:ind w:left="720"/>
        <w:rPr>
          <w:rFonts w:ascii="Palatino Linotype" w:hAnsi="Palatino Linotype"/>
        </w:rPr>
      </w:pPr>
      <w:hyperlink r:id="rId119" w:history="1">
        <w:r>
          <w:rPr>
            <w:rStyle w:val="Hyperlink"/>
            <w:rFonts w:ascii="Palatino Linotype" w:hAnsi="Palatino Linotype"/>
          </w:rPr>
          <w:t>Resolution G-3555</w:t>
        </w:r>
      </w:hyperlink>
      <w:r>
        <w:rPr>
          <w:rFonts w:ascii="Palatino Linotype" w:hAnsi="Palatino Linotype"/>
        </w:rPr>
        <w:t xml:space="preserve"> (2019) at OP 4 &amp; 8</w:t>
      </w:r>
      <w:r w:rsidRPr="00362711">
        <w:rPr>
          <w:rFonts w:ascii="Palatino Linotype" w:hAnsi="Palatino Linotype"/>
        </w:rPr>
        <w:t xml:space="preserve">. </w:t>
      </w:r>
    </w:p>
    <w:p w14:paraId="57278EB8" w14:textId="77777777" w:rsidR="000119E7" w:rsidRDefault="000119E7" w:rsidP="000119E7">
      <w:pPr>
        <w:pStyle w:val="FootnoteText"/>
        <w:ind w:firstLine="720"/>
      </w:pPr>
      <w:hyperlink r:id="rId120" w:history="1">
        <w:r>
          <w:rPr>
            <w:rStyle w:val="Hyperlink"/>
            <w:rFonts w:ascii="Palatino Linotype" w:hAnsi="Palatino Linotype"/>
          </w:rPr>
          <w:t>Resolution G-3584</w:t>
        </w:r>
      </w:hyperlink>
      <w:r>
        <w:rPr>
          <w:rFonts w:ascii="Palatino Linotype" w:hAnsi="Palatino Linotype"/>
        </w:rPr>
        <w:t xml:space="preserve"> (2021) </w:t>
      </w:r>
      <w:r w:rsidRPr="00E22B76">
        <w:rPr>
          <w:rFonts w:ascii="Palatino Linotype" w:hAnsi="Palatino Linotype"/>
        </w:rPr>
        <w:t>at OP 3.</w:t>
      </w:r>
    </w:p>
  </w:footnote>
  <w:footnote w:id="127">
    <w:p w14:paraId="239B0C6D" w14:textId="77777777" w:rsidR="000119E7" w:rsidRDefault="000119E7" w:rsidP="000119E7">
      <w:pPr>
        <w:pStyle w:val="FootnoteText"/>
      </w:pPr>
      <w:r>
        <w:rPr>
          <w:rStyle w:val="FootnoteReference"/>
        </w:rPr>
        <w:footnoteRef/>
      </w:r>
      <w:r>
        <w:t xml:space="preserve"> </w:t>
      </w:r>
      <w:r w:rsidRPr="003B3B6D">
        <w:rPr>
          <w:rFonts w:ascii="Palatino Linotype" w:hAnsi="Palatino Linotype"/>
        </w:rPr>
        <w:t xml:space="preserve">The Commission’s compliance assessments </w:t>
      </w:r>
      <w:r w:rsidRPr="002032BA">
        <w:rPr>
          <w:rFonts w:ascii="Palatino Linotype" w:hAnsi="Palatino Linotype"/>
        </w:rPr>
        <w:t xml:space="preserve">of </w:t>
      </w:r>
      <w:hyperlink r:id="rId121" w:history="1">
        <w:r w:rsidRPr="002032BA">
          <w:rPr>
            <w:rStyle w:val="Hyperlink"/>
            <w:rFonts w:ascii="Palatino Linotype" w:hAnsi="Palatino Linotype"/>
          </w:rPr>
          <w:t>Resolution G-3571</w:t>
        </w:r>
      </w:hyperlink>
      <w:r w:rsidRPr="002032BA">
        <w:rPr>
          <w:rFonts w:ascii="Palatino Linotype" w:hAnsi="Palatino Linotype"/>
        </w:rPr>
        <w:t xml:space="preserve"> </w:t>
      </w:r>
      <w:r>
        <w:rPr>
          <w:rFonts w:ascii="Palatino Linotype" w:hAnsi="Palatino Linotype"/>
        </w:rPr>
        <w:t xml:space="preserve">(2020) </w:t>
      </w:r>
      <w:r w:rsidRPr="002032BA">
        <w:rPr>
          <w:rFonts w:ascii="Palatino Linotype" w:hAnsi="Palatino Linotype"/>
        </w:rPr>
        <w:t>at OP 5a is</w:t>
      </w:r>
      <w:r w:rsidRPr="003B3B6D">
        <w:rPr>
          <w:rFonts w:ascii="Palatino Linotype" w:hAnsi="Palatino Linotype"/>
        </w:rPr>
        <w:t xml:space="preserve"> captured in the compliance assessments of AL 12-G and 10-G-A with </w:t>
      </w:r>
      <w:hyperlink r:id="rId122" w:history="1">
        <w:r w:rsidRPr="00C45D8E">
          <w:rPr>
            <w:rStyle w:val="Hyperlink"/>
            <w:rFonts w:ascii="Palatino Linotype" w:hAnsi="Palatino Linotype"/>
          </w:rPr>
          <w:t>Resolution G-3603</w:t>
        </w:r>
      </w:hyperlink>
      <w:r>
        <w:rPr>
          <w:rFonts w:ascii="Palatino Linotype" w:hAnsi="Palatino Linotype"/>
        </w:rPr>
        <w:t xml:space="preserve"> (2024) at OP 5. The CEC</w:t>
      </w:r>
      <w:r w:rsidRPr="00B62ED9">
        <w:rPr>
          <w:rFonts w:ascii="Palatino Linotype" w:hAnsi="Palatino Linotype"/>
        </w:rPr>
        <w:t xml:space="preserve"> </w:t>
      </w:r>
      <w:r>
        <w:rPr>
          <w:rFonts w:ascii="Palatino Linotype" w:hAnsi="Palatino Linotype"/>
        </w:rPr>
        <w:t>“</w:t>
      </w:r>
      <w:r w:rsidRPr="00B62ED9">
        <w:rPr>
          <w:rFonts w:ascii="Palatino Linotype" w:hAnsi="Palatino Linotype"/>
        </w:rPr>
        <w:t>shall coordinate with Energy Division and CPUC Staff in advance of commencing its plan.</w:t>
      </w:r>
      <w:r>
        <w:rPr>
          <w:rFonts w:ascii="Palatino Linotype" w:hAnsi="Palatino Linotype"/>
        </w:rPr>
        <w:t>”</w:t>
      </w:r>
    </w:p>
  </w:footnote>
  <w:footnote w:id="128">
    <w:p w14:paraId="0E387470" w14:textId="77777777" w:rsidR="000119E7" w:rsidRDefault="000119E7" w:rsidP="000119E7">
      <w:pPr>
        <w:pStyle w:val="FootnoteText"/>
      </w:pPr>
      <w:r>
        <w:rPr>
          <w:rStyle w:val="FootnoteReference"/>
        </w:rPr>
        <w:footnoteRef/>
      </w:r>
      <w:r>
        <w:t xml:space="preserve"> </w:t>
      </w:r>
      <w:r w:rsidRPr="35F2EE98">
        <w:rPr>
          <w:rFonts w:ascii="Palatino Linotype" w:eastAsia="Palatino Linotype" w:hAnsi="Palatino Linotype" w:cs="Palatino Linotype"/>
        </w:rPr>
        <w:t xml:space="preserve">Consistent with </w:t>
      </w:r>
      <w:hyperlink r:id="rId123">
        <w:r w:rsidRPr="35F2EE98">
          <w:rPr>
            <w:rStyle w:val="Hyperlink"/>
            <w:rFonts w:ascii="Palatino Linotype" w:eastAsia="Palatino Linotype" w:hAnsi="Palatino Linotype" w:cs="Palatino Linotype"/>
          </w:rPr>
          <w:t>Resolution G-3592</w:t>
        </w:r>
      </w:hyperlink>
      <w:r w:rsidRPr="35F2EE98">
        <w:rPr>
          <w:rFonts w:ascii="Palatino Linotype" w:eastAsia="Palatino Linotype" w:hAnsi="Palatino Linotype" w:cs="Palatino Linotype"/>
        </w:rPr>
        <w:t xml:space="preserve"> (2023) at OP 5b. The CEC shall “[c]onsult Energy Division staff at least sixty days in advance for the opportunity to present the CEC’s Gas R&amp;D plans to CPUC Commissioners, which may include the Commission’s business meeting or the Commission’s Emerging Technology Committee.”  </w:t>
      </w:r>
    </w:p>
  </w:footnote>
  <w:footnote w:id="129">
    <w:p w14:paraId="26D7A110" w14:textId="77777777" w:rsidR="000119E7" w:rsidRDefault="000119E7" w:rsidP="000119E7">
      <w:pPr>
        <w:pStyle w:val="FootnoteText"/>
      </w:pPr>
      <w:r>
        <w:rPr>
          <w:rStyle w:val="FootnoteReference"/>
        </w:rPr>
        <w:footnoteRef/>
      </w:r>
      <w:r>
        <w:t xml:space="preserve"> </w:t>
      </w:r>
      <w:r w:rsidRPr="00547E0D">
        <w:rPr>
          <w:rFonts w:ascii="Palatino Linotype" w:hAnsi="Palatino Linotype"/>
        </w:rPr>
        <w:t>Kenney, Michael, Nicholas Janusch, Ingrid Neumann, and Mike Jaske. California Energy Commission. 2021. “California Building Decarbonization Assessment.” Publication Number: CEC-400-2021-006-CMF.</w:t>
      </w:r>
      <w:r>
        <w:rPr>
          <w:rFonts w:ascii="Palatino Linotype" w:hAnsi="Palatino Linotype"/>
        </w:rPr>
        <w:t xml:space="preserve"> </w:t>
      </w:r>
      <w:hyperlink r:id="rId124" w:history="1">
        <w:r w:rsidRPr="00642C5F">
          <w:rPr>
            <w:rStyle w:val="Hyperlink"/>
            <w:rFonts w:ascii="Palatino Linotype" w:hAnsi="Palatino Linotype"/>
          </w:rPr>
          <w:t>https://www.energy.ca.gov/publications/2021/california-building-decarbonization-assessment</w:t>
        </w:r>
      </w:hyperlink>
      <w:r>
        <w:rPr>
          <w:rFonts w:ascii="Palatino Linotype" w:hAnsi="Palatino Linotype"/>
        </w:rPr>
        <w:t xml:space="preserve">. </w:t>
      </w:r>
    </w:p>
  </w:footnote>
  <w:footnote w:id="130">
    <w:p w14:paraId="394ABB61" w14:textId="77777777" w:rsidR="000119E7" w:rsidRDefault="000119E7" w:rsidP="000119E7">
      <w:pPr>
        <w:pStyle w:val="FootnoteText"/>
      </w:pPr>
      <w:r>
        <w:rPr>
          <w:rStyle w:val="FootnoteReference"/>
        </w:rPr>
        <w:footnoteRef/>
      </w:r>
      <w:r>
        <w:t xml:space="preserve"> </w:t>
      </w:r>
      <w:r w:rsidRPr="00E51615">
        <w:rPr>
          <w:rFonts w:ascii="Palatino Linotype" w:hAnsi="Palatino Linotype"/>
        </w:rPr>
        <w:t>Consistent with</w:t>
      </w:r>
      <w:r>
        <w:t xml:space="preserve"> </w:t>
      </w:r>
      <w:hyperlink r:id="rId125" w:history="1">
        <w:r w:rsidRPr="00C36BF3">
          <w:rPr>
            <w:rStyle w:val="Hyperlink"/>
            <w:rFonts w:ascii="Palatino Linotype" w:hAnsi="Palatino Linotype"/>
          </w:rPr>
          <w:t>Resolution G-3592</w:t>
        </w:r>
      </w:hyperlink>
      <w:r w:rsidRPr="00883B25">
        <w:rPr>
          <w:rStyle w:val="normaltextrun"/>
          <w:rFonts w:ascii="Palatino Linotype" w:hAnsi="Palatino Linotype"/>
          <w:color w:val="000000" w:themeColor="text1"/>
        </w:rPr>
        <w:t xml:space="preserve"> (2023)</w:t>
      </w:r>
      <w:r>
        <w:rPr>
          <w:rFonts w:ascii="Palatino Linotype" w:hAnsi="Palatino Linotype"/>
        </w:rPr>
        <w:t xml:space="preserve"> at OP 5f.</w:t>
      </w:r>
    </w:p>
  </w:footnote>
  <w:footnote w:id="131">
    <w:p w14:paraId="0303468B" w14:textId="77777777" w:rsidR="000119E7" w:rsidRDefault="000119E7" w:rsidP="000119E7">
      <w:pPr>
        <w:pStyle w:val="FootnoteText"/>
      </w:pPr>
      <w:r>
        <w:rPr>
          <w:rStyle w:val="FootnoteReference"/>
        </w:rPr>
        <w:footnoteRef/>
      </w:r>
      <w:r>
        <w:t xml:space="preserve"> </w:t>
      </w:r>
      <w:r w:rsidRPr="00362711">
        <w:rPr>
          <w:rFonts w:ascii="Palatino Linotype" w:hAnsi="Palatino Linotype"/>
        </w:rPr>
        <w:t>Consistent with:</w:t>
      </w:r>
      <w:r>
        <w:t xml:space="preserve"> </w:t>
      </w:r>
    </w:p>
    <w:p w14:paraId="2FB5EEDB" w14:textId="77777777" w:rsidR="000119E7" w:rsidRPr="00362711" w:rsidRDefault="000119E7" w:rsidP="000119E7">
      <w:pPr>
        <w:pStyle w:val="FootnoteText"/>
        <w:ind w:left="720"/>
        <w:rPr>
          <w:rFonts w:ascii="Palatino Linotype" w:hAnsi="Palatino Linotype"/>
        </w:rPr>
      </w:pPr>
      <w:hyperlink r:id="rId126" w:history="1">
        <w:r>
          <w:rPr>
            <w:rStyle w:val="Hyperlink"/>
            <w:rFonts w:ascii="Palatino Linotype" w:hAnsi="Palatino Linotype"/>
          </w:rPr>
          <w:t>Resolution G-3546</w:t>
        </w:r>
      </w:hyperlink>
      <w:r>
        <w:rPr>
          <w:rFonts w:ascii="Palatino Linotype" w:hAnsi="Palatino Linotype"/>
        </w:rPr>
        <w:t xml:space="preserve"> (2018)</w:t>
      </w:r>
      <w:r w:rsidRPr="00362711">
        <w:rPr>
          <w:rFonts w:ascii="Palatino Linotype" w:hAnsi="Palatino Linotype"/>
        </w:rPr>
        <w:t xml:space="preserve">: </w:t>
      </w:r>
      <w:r>
        <w:rPr>
          <w:rFonts w:ascii="Palatino Linotype" w:hAnsi="Palatino Linotype"/>
        </w:rPr>
        <w:t>A</w:t>
      </w:r>
      <w:r w:rsidRPr="00362711">
        <w:rPr>
          <w:rFonts w:ascii="Palatino Linotype" w:hAnsi="Palatino Linotype"/>
        </w:rPr>
        <w:t>pproving CEC’s FY 2018-2019 Gas R</w:t>
      </w:r>
      <w:r>
        <w:rPr>
          <w:rFonts w:ascii="Palatino Linotype" w:hAnsi="Palatino Linotype"/>
        </w:rPr>
        <w:t>D</w:t>
      </w:r>
      <w:r w:rsidRPr="00362711">
        <w:rPr>
          <w:rFonts w:ascii="Palatino Linotype" w:hAnsi="Palatino Linotype"/>
        </w:rPr>
        <w:t>&amp;D Plan at OP 3a.</w:t>
      </w:r>
    </w:p>
    <w:p w14:paraId="71990F6A" w14:textId="1540247E" w:rsidR="000119E7" w:rsidRPr="00362711" w:rsidRDefault="000119E7" w:rsidP="000119E7">
      <w:pPr>
        <w:pStyle w:val="FootnoteText"/>
        <w:ind w:left="720"/>
        <w:rPr>
          <w:rFonts w:ascii="Palatino Linotype" w:hAnsi="Palatino Linotype"/>
        </w:rPr>
      </w:pPr>
      <w:hyperlink r:id="rId127" w:history="1">
        <w:r>
          <w:rPr>
            <w:rStyle w:val="Hyperlink"/>
            <w:rFonts w:ascii="Palatino Linotype" w:hAnsi="Palatino Linotype"/>
          </w:rPr>
          <w:t>Resolution G-3555</w:t>
        </w:r>
      </w:hyperlink>
      <w:r>
        <w:rPr>
          <w:rFonts w:ascii="Palatino Linotype" w:hAnsi="Palatino Linotype"/>
        </w:rPr>
        <w:t xml:space="preserve"> (2019)</w:t>
      </w:r>
      <w:r w:rsidR="003B3F18">
        <w:rPr>
          <w:rFonts w:ascii="Palatino Linotype" w:hAnsi="Palatino Linotype"/>
        </w:rPr>
        <w:t xml:space="preserve"> </w:t>
      </w:r>
      <w:r w:rsidRPr="00362711">
        <w:rPr>
          <w:rFonts w:ascii="Palatino Linotype" w:hAnsi="Palatino Linotype"/>
        </w:rPr>
        <w:t xml:space="preserve">at OP 6a &amp; b. </w:t>
      </w:r>
    </w:p>
    <w:p w14:paraId="17F14DC5" w14:textId="77777777" w:rsidR="000119E7" w:rsidRDefault="000119E7" w:rsidP="000119E7">
      <w:pPr>
        <w:pStyle w:val="FootnoteText"/>
        <w:ind w:left="720"/>
      </w:pPr>
      <w:hyperlink r:id="rId128" w:history="1">
        <w:r>
          <w:rPr>
            <w:rStyle w:val="Hyperlink"/>
            <w:rFonts w:ascii="Palatino Linotype" w:hAnsi="Palatino Linotype"/>
          </w:rPr>
          <w:t>Resolution G-3571</w:t>
        </w:r>
      </w:hyperlink>
      <w:r>
        <w:rPr>
          <w:rFonts w:ascii="Palatino Linotype" w:hAnsi="Palatino Linotype"/>
        </w:rPr>
        <w:t xml:space="preserve"> (2020)</w:t>
      </w:r>
      <w:r w:rsidRPr="00362711">
        <w:rPr>
          <w:rFonts w:ascii="Palatino Linotype" w:hAnsi="Palatino Linotype"/>
        </w:rPr>
        <w:t xml:space="preserve"> at OP 8a &amp; b.</w:t>
      </w:r>
    </w:p>
  </w:footnote>
  <w:footnote w:id="132">
    <w:p w14:paraId="1F414693" w14:textId="77777777" w:rsidR="000119E7" w:rsidRDefault="000119E7" w:rsidP="000119E7">
      <w:pPr>
        <w:pStyle w:val="FootnoteText"/>
      </w:pPr>
      <w:r>
        <w:rPr>
          <w:rStyle w:val="FootnoteReference"/>
        </w:rPr>
        <w:footnoteRef/>
      </w:r>
      <w:r>
        <w:t xml:space="preserve"> </w:t>
      </w:r>
      <w:r w:rsidRPr="001A51EF">
        <w:rPr>
          <w:rFonts w:ascii="Palatino Linotype" w:hAnsi="Palatino Linotype"/>
        </w:rPr>
        <w:t xml:space="preserve">Consistent with </w:t>
      </w:r>
      <w:hyperlink r:id="rId129">
        <w:r w:rsidRPr="001A51EF">
          <w:rPr>
            <w:rStyle w:val="Hyperlink"/>
            <w:rFonts w:ascii="Palatino Linotype" w:hAnsi="Palatino Linotype"/>
          </w:rPr>
          <w:t>D.04-08-010</w:t>
        </w:r>
      </w:hyperlink>
      <w:r w:rsidRPr="001A51EF">
        <w:rPr>
          <w:rFonts w:ascii="Palatino Linotype" w:hAnsi="Palatino Linotype"/>
        </w:rPr>
        <w:t xml:space="preserve"> at</w:t>
      </w:r>
      <w:r w:rsidRPr="3F8DE55E">
        <w:rPr>
          <w:rFonts w:ascii="Palatino Linotype" w:hAnsi="Palatino Linotype"/>
        </w:rPr>
        <w:t xml:space="preserve"> p. </w:t>
      </w:r>
      <w:r>
        <w:rPr>
          <w:rFonts w:ascii="Palatino Linotype" w:hAnsi="Palatino Linotype"/>
        </w:rPr>
        <w:t xml:space="preserve">28 &amp; </w:t>
      </w:r>
      <w:hyperlink r:id="rId130" w:history="1">
        <w:r w:rsidRPr="002505E5">
          <w:rPr>
            <w:rStyle w:val="Hyperlink"/>
            <w:rFonts w:ascii="Palatino Linotype" w:hAnsi="Palatino Linotype"/>
          </w:rPr>
          <w:t>Resolution G-3603</w:t>
        </w:r>
      </w:hyperlink>
      <w:r>
        <w:rPr>
          <w:rFonts w:ascii="Palatino Linotype" w:hAnsi="Palatino Linotype"/>
        </w:rPr>
        <w:t xml:space="preserve"> (2024) at OP 4.</w:t>
      </w:r>
    </w:p>
  </w:footnote>
  <w:footnote w:id="133">
    <w:p w14:paraId="263D3E3C" w14:textId="20C34286" w:rsidR="000119E7" w:rsidRDefault="000119E7" w:rsidP="000119E7">
      <w:pPr>
        <w:pStyle w:val="FootnoteText"/>
      </w:pPr>
      <w:r>
        <w:rPr>
          <w:rStyle w:val="FootnoteReference"/>
        </w:rPr>
        <w:footnoteRef/>
      </w:r>
      <w:r>
        <w:t xml:space="preserve"> </w:t>
      </w:r>
      <w:r w:rsidRPr="00435F5D">
        <w:rPr>
          <w:rFonts w:ascii="Palatino Linotype" w:hAnsi="Palatino Linotype"/>
        </w:rPr>
        <w:t>See Resolution G</w:t>
      </w:r>
      <w:r w:rsidRPr="002E0702">
        <w:rPr>
          <w:rFonts w:ascii="Palatino Linotype" w:hAnsi="Palatino Linotype"/>
          <w:color w:val="000000" w:themeColor="text1"/>
        </w:rPr>
        <w:t xml:space="preserve">-3622 </w:t>
      </w:r>
      <w:r w:rsidRPr="00435F5D">
        <w:rPr>
          <w:rFonts w:ascii="Palatino Linotype" w:hAnsi="Palatino Linotype"/>
        </w:rPr>
        <w:t xml:space="preserve">at Appendix </w:t>
      </w:r>
      <w:r w:rsidR="008A3957">
        <w:rPr>
          <w:rFonts w:ascii="Palatino Linotype" w:hAnsi="Palatino Linotype"/>
        </w:rPr>
        <w:t>B</w:t>
      </w:r>
      <w:r w:rsidRPr="00435F5D">
        <w:rPr>
          <w:rFonts w:ascii="Palatino Linotype" w:hAnsi="Palatino Linotype"/>
        </w:rPr>
        <w:t>: Administrative Budget Cost Categories.</w:t>
      </w:r>
    </w:p>
  </w:footnote>
  <w:footnote w:id="134">
    <w:p w14:paraId="16894C8E" w14:textId="77777777" w:rsidR="000119E7" w:rsidRDefault="000119E7" w:rsidP="000119E7">
      <w:pPr>
        <w:pStyle w:val="FootnoteText"/>
      </w:pPr>
      <w:r>
        <w:rPr>
          <w:rStyle w:val="FootnoteReference"/>
        </w:rPr>
        <w:footnoteRef/>
      </w:r>
      <w:r>
        <w:t xml:space="preserve"> </w:t>
      </w:r>
      <w:r>
        <w:rPr>
          <w:rFonts w:ascii="Palatino Linotype" w:hAnsi="Palatino Linotype"/>
        </w:rPr>
        <w:t xml:space="preserve">Consistent with </w:t>
      </w:r>
      <w:hyperlink r:id="rId131" w:tgtFrame="_blank" w:history="1">
        <w:r>
          <w:rPr>
            <w:rStyle w:val="Hyperlink"/>
            <w:rFonts w:ascii="Palatino Linotype" w:hAnsi="Palatino Linotype"/>
          </w:rPr>
          <w:t>Resolution G-3584</w:t>
        </w:r>
      </w:hyperlink>
      <w:r>
        <w:rPr>
          <w:rFonts w:ascii="Palatino Linotype" w:hAnsi="Palatino Linotype"/>
        </w:rPr>
        <w:t xml:space="preserve"> (2021) at OP 4.</w:t>
      </w:r>
    </w:p>
  </w:footnote>
  <w:footnote w:id="135">
    <w:p w14:paraId="2C4AA560" w14:textId="77777777" w:rsidR="000119E7" w:rsidRDefault="000119E7" w:rsidP="000119E7">
      <w:pPr>
        <w:pStyle w:val="FootnoteText"/>
      </w:pPr>
      <w:r>
        <w:rPr>
          <w:rStyle w:val="FootnoteReference"/>
        </w:rPr>
        <w:footnoteRef/>
      </w:r>
      <w:r>
        <w:t xml:space="preserve"> </w:t>
      </w:r>
      <w:r w:rsidRPr="001A51EF">
        <w:rPr>
          <w:rFonts w:ascii="Palatino Linotype" w:hAnsi="Palatino Linotype"/>
        </w:rPr>
        <w:t xml:space="preserve">Consistent with </w:t>
      </w:r>
      <w:hyperlink r:id="rId132">
        <w:r w:rsidRPr="001A51EF">
          <w:rPr>
            <w:rStyle w:val="Hyperlink"/>
            <w:rFonts w:ascii="Palatino Linotype" w:hAnsi="Palatino Linotype"/>
          </w:rPr>
          <w:t>D.04-08-010</w:t>
        </w:r>
      </w:hyperlink>
      <w:r w:rsidRPr="001A51EF">
        <w:rPr>
          <w:rFonts w:ascii="Palatino Linotype" w:hAnsi="Palatino Linotype"/>
        </w:rPr>
        <w:t xml:space="preserve"> at</w:t>
      </w:r>
      <w:r w:rsidRPr="3F8DE55E">
        <w:rPr>
          <w:rFonts w:ascii="Palatino Linotype" w:hAnsi="Palatino Linotype"/>
        </w:rPr>
        <w:t xml:space="preserve"> p. </w:t>
      </w:r>
      <w:r>
        <w:rPr>
          <w:rFonts w:ascii="Palatino Linotype" w:hAnsi="Palatino Linotype"/>
        </w:rPr>
        <w:t xml:space="preserve">28 &amp; </w:t>
      </w:r>
      <w:hyperlink r:id="rId133" w:history="1">
        <w:r w:rsidRPr="00C36BF3">
          <w:rPr>
            <w:rStyle w:val="Hyperlink"/>
            <w:rFonts w:ascii="Palatino Linotype" w:hAnsi="Palatino Linotype"/>
          </w:rPr>
          <w:t>Resolution G-3592</w:t>
        </w:r>
      </w:hyperlink>
      <w:r w:rsidRPr="00883B25">
        <w:rPr>
          <w:rStyle w:val="normaltextrun"/>
          <w:rFonts w:ascii="Palatino Linotype" w:hAnsi="Palatino Linotype"/>
          <w:color w:val="000000" w:themeColor="text1"/>
        </w:rPr>
        <w:t xml:space="preserve"> (2023)</w:t>
      </w:r>
      <w:r>
        <w:rPr>
          <w:rFonts w:ascii="Palatino Linotype" w:hAnsi="Palatino Linotype"/>
        </w:rPr>
        <w:t xml:space="preserve"> at OP 5c &amp; d.</w:t>
      </w:r>
    </w:p>
  </w:footnote>
  <w:footnote w:id="136">
    <w:p w14:paraId="46B719C8" w14:textId="77777777" w:rsidR="000119E7" w:rsidRDefault="000119E7" w:rsidP="000119E7">
      <w:pPr>
        <w:pStyle w:val="FootnoteText"/>
      </w:pPr>
      <w:r>
        <w:rPr>
          <w:rStyle w:val="FootnoteReference"/>
        </w:rPr>
        <w:footnoteRef/>
      </w:r>
      <w:r>
        <w:t xml:space="preserve"> </w:t>
      </w:r>
      <w:r>
        <w:rPr>
          <w:rStyle w:val="normaltextrun"/>
          <w:rFonts w:ascii="Palatino Linotype" w:hAnsi="Palatino Linotype"/>
        </w:rPr>
        <w:t xml:space="preserve">Consistent with: </w:t>
      </w:r>
      <w:hyperlink r:id="rId134" w:history="1">
        <w:r w:rsidRPr="00C36BF3">
          <w:rPr>
            <w:rStyle w:val="Hyperlink"/>
            <w:rFonts w:ascii="Palatino Linotype" w:hAnsi="Palatino Linotype"/>
          </w:rPr>
          <w:t>Resolution G-3592</w:t>
        </w:r>
      </w:hyperlink>
      <w:r w:rsidRPr="00883B25">
        <w:rPr>
          <w:rStyle w:val="normaltextrun"/>
          <w:rFonts w:ascii="Palatino Linotype" w:hAnsi="Palatino Linotype"/>
          <w:color w:val="000000" w:themeColor="text1"/>
        </w:rPr>
        <w:t xml:space="preserve"> (2023)</w:t>
      </w:r>
      <w:r>
        <w:rPr>
          <w:rFonts w:ascii="Palatino Linotype" w:hAnsi="Palatino Linotype"/>
        </w:rPr>
        <w:t xml:space="preserve"> at OP 6.</w:t>
      </w:r>
    </w:p>
  </w:footnote>
  <w:footnote w:id="137">
    <w:p w14:paraId="4195FA09" w14:textId="77777777" w:rsidR="00930C35" w:rsidRDefault="00930C35" w:rsidP="00930C35">
      <w:pPr>
        <w:pStyle w:val="FootnoteText"/>
      </w:pPr>
      <w:r>
        <w:rPr>
          <w:rStyle w:val="FootnoteReference"/>
        </w:rPr>
        <w:footnoteRef/>
      </w:r>
      <w:r>
        <w:t xml:space="preserve"> </w:t>
      </w:r>
      <w:hyperlink r:id="rId135" w:tgtFrame="_blank" w:history="1">
        <w:r w:rsidRPr="00C65F36">
          <w:rPr>
            <w:rStyle w:val="Hyperlink"/>
            <w:rFonts w:ascii="Palatino Linotype" w:hAnsi="Palatino Linotype"/>
          </w:rPr>
          <w:t>Resolution G-3601</w:t>
        </w:r>
      </w:hyperlink>
      <w:r w:rsidRPr="00C65F36">
        <w:rPr>
          <w:rFonts w:ascii="Palatino Linotype" w:hAnsi="Palatino Linotype"/>
        </w:rPr>
        <w:t xml:space="preserve"> (2023)</w:t>
      </w:r>
      <w:r>
        <w:rPr>
          <w:rFonts w:ascii="Palatino Linotype" w:hAnsi="Palatino Linotype"/>
        </w:rPr>
        <w:t xml:space="preserve"> at: </w:t>
      </w:r>
    </w:p>
    <w:p w14:paraId="31A60CC1" w14:textId="77777777" w:rsidR="00930C35" w:rsidRPr="0060232D" w:rsidRDefault="00930C35" w:rsidP="00930C35">
      <w:pPr>
        <w:pStyle w:val="FootnoteText"/>
        <w:ind w:left="720"/>
        <w:rPr>
          <w:rFonts w:ascii="Palatino Linotype" w:hAnsi="Palatino Linotype"/>
        </w:rPr>
      </w:pPr>
      <w:r w:rsidRPr="0060232D">
        <w:rPr>
          <w:rFonts w:ascii="Palatino Linotype" w:hAnsi="Palatino Linotype"/>
        </w:rPr>
        <w:t>OP 5. “All of [SoCalGas’] new and future [RD&amp;D] projects shall occur in the State of California. The only exception may be made for projects with out of state federal labs. In this case, SoCalGas shall explicitly justify benefits to its gas ratepayers of an out-of-state project in its Tier 3 Advice Letter annual plan.”</w:t>
      </w:r>
    </w:p>
    <w:p w14:paraId="4A4407A7" w14:textId="77777777" w:rsidR="00930C35" w:rsidRDefault="00930C35" w:rsidP="00930C35">
      <w:pPr>
        <w:pStyle w:val="FootnoteText"/>
        <w:ind w:left="720"/>
      </w:pPr>
      <w:r w:rsidRPr="0060232D">
        <w:rPr>
          <w:rFonts w:ascii="Palatino Linotype" w:hAnsi="Palatino Linotype"/>
        </w:rPr>
        <w:t>OP 6. “[SoCalGas shall] b. Explicitly justify how all consortia dues benefit gas ratepayers.”</w:t>
      </w:r>
    </w:p>
  </w:footnote>
  <w:footnote w:id="138">
    <w:p w14:paraId="2EE66CB5" w14:textId="77777777" w:rsidR="00930C35" w:rsidRPr="00F1520D" w:rsidRDefault="00930C35" w:rsidP="00930C35">
      <w:pPr>
        <w:spacing w:after="0" w:line="240" w:lineRule="auto"/>
        <w:rPr>
          <w:rFonts w:ascii="Palatino Linotype" w:hAnsi="Palatino Linotype"/>
          <w:sz w:val="22"/>
          <w:szCs w:val="22"/>
        </w:rPr>
      </w:pPr>
      <w:r w:rsidRPr="00BC4F63">
        <w:rPr>
          <w:rStyle w:val="FootnoteReference"/>
          <w:sz w:val="20"/>
          <w:szCs w:val="20"/>
        </w:rPr>
        <w:footnoteRef/>
      </w:r>
      <w:r>
        <w:t xml:space="preserve"> </w:t>
      </w:r>
      <w:hyperlink r:id="rId136" w:history="1">
        <w:r w:rsidRPr="00F1520D">
          <w:rPr>
            <w:rFonts w:ascii="Palatino Linotype" w:hAnsi="Palatino Linotype"/>
            <w:color w:val="467886" w:themeColor="hyperlink"/>
            <w:sz w:val="20"/>
            <w:szCs w:val="20"/>
            <w:u w:val="single"/>
          </w:rPr>
          <w:t>D.23-04-042</w:t>
        </w:r>
      </w:hyperlink>
      <w:r w:rsidRPr="00F1520D">
        <w:rPr>
          <w:rFonts w:ascii="Palatino Linotype" w:hAnsi="Palatino Linotype"/>
          <w:sz w:val="20"/>
          <w:szCs w:val="20"/>
        </w:rPr>
        <w:t xml:space="preserve"> at Appendix A.</w:t>
      </w:r>
    </w:p>
  </w:footnote>
  <w:footnote w:id="139">
    <w:p w14:paraId="58E529D4" w14:textId="77777777" w:rsidR="00930C35" w:rsidRDefault="00930C35" w:rsidP="00930C35">
      <w:pPr>
        <w:pStyle w:val="FootnoteText"/>
        <w:rPr>
          <w:rFonts w:ascii="Calibri" w:hAnsi="Calibri" w:cs="Arial"/>
        </w:rPr>
      </w:pPr>
      <w:r>
        <w:rPr>
          <w:rStyle w:val="FootnoteReference"/>
        </w:rPr>
        <w:footnoteRef/>
      </w:r>
      <w:r>
        <w:t xml:space="preserve"> </w:t>
      </w:r>
      <w:hyperlink r:id="rId137" w:history="1">
        <w:r w:rsidRPr="00F1520D">
          <w:rPr>
            <w:rStyle w:val="Hyperlink"/>
            <w:rFonts w:ascii="Palatino Linotype" w:hAnsi="Palatino Linotype"/>
            <w:color w:val="4B8090" w:themeColor="hyperlink" w:themeTint="F2"/>
          </w:rPr>
          <w:t>D.12-05-037</w:t>
        </w:r>
      </w:hyperlink>
      <w:r w:rsidRPr="00F1520D">
        <w:rPr>
          <w:rFonts w:ascii="Palatino Linotype" w:hAnsi="Palatino Linotype"/>
          <w:color w:val="0D0D0D" w:themeColor="text1" w:themeTint="F2"/>
        </w:rPr>
        <w:t>: OIR on the Commission's Own Motion to Determine the Impact on Public Benefits Associated with the Expiration of Ratepayer Charges Pursuant to Public Utilities Code Section 399.8.</w:t>
      </w:r>
    </w:p>
  </w:footnote>
  <w:footnote w:id="140">
    <w:p w14:paraId="6A828E31" w14:textId="77777777" w:rsidR="00930C35" w:rsidRDefault="00930C35" w:rsidP="00930C35">
      <w:pPr>
        <w:pStyle w:val="FootnoteText"/>
      </w:pPr>
      <w:r>
        <w:rPr>
          <w:rStyle w:val="FootnoteReference"/>
        </w:rPr>
        <w:footnoteRef/>
      </w:r>
      <w:r>
        <w:t xml:space="preserve"> </w:t>
      </w:r>
      <w:r w:rsidRPr="008E57BF">
        <w:rPr>
          <w:rFonts w:ascii="Palatino Linotype" w:hAnsi="Palatino Linotype"/>
        </w:rPr>
        <w:t>California Public Utilities Code Section 740.1</w:t>
      </w:r>
      <w:r>
        <w:rPr>
          <w:rFonts w:ascii="Palatino Linotype" w:hAnsi="Palatino Linotype"/>
        </w:rPr>
        <w:t xml:space="preserve"> at </w:t>
      </w:r>
      <w:r w:rsidRPr="004137D6">
        <w:rPr>
          <w:rFonts w:ascii="Palatino Linotype" w:hAnsi="Palatino Linotype"/>
        </w:rPr>
        <w:t>(a) and (b).</w:t>
      </w:r>
    </w:p>
  </w:footnote>
  <w:footnote w:id="141">
    <w:p w14:paraId="6D509DF2" w14:textId="77777777" w:rsidR="00D24405" w:rsidRDefault="00D24405" w:rsidP="002F78F4">
      <w:pPr>
        <w:pStyle w:val="FootnoteText"/>
      </w:pPr>
      <w:r>
        <w:rPr>
          <w:rStyle w:val="FootnoteReference"/>
        </w:rPr>
        <w:footnoteRef/>
      </w:r>
      <w:r>
        <w:t xml:space="preserve"> </w:t>
      </w:r>
      <w:r>
        <w:rPr>
          <w:rFonts w:ascii="Palatino Linotype" w:hAnsi="Palatino Linotype"/>
        </w:rPr>
        <w:t xml:space="preserve">Two years after funding approval per </w:t>
      </w:r>
      <w:hyperlink r:id="rId138"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w:t>
      </w:r>
      <w:r>
        <w:rPr>
          <w:rFonts w:ascii="Palatino Linotype" w:hAnsi="Palatino Linotype"/>
        </w:rPr>
        <w:t xml:space="preserve">; </w:t>
      </w:r>
      <w:hyperlink r:id="rId139" w:history="1">
        <w:r w:rsidRPr="00EA0D72">
          <w:rPr>
            <w:rStyle w:val="Hyperlink"/>
            <w:rFonts w:ascii="Palatino Linotype" w:hAnsi="Palatino Linotype"/>
          </w:rPr>
          <w:t>Resolution G-3484</w:t>
        </w:r>
      </w:hyperlink>
      <w:r w:rsidRPr="00EA0D72">
        <w:rPr>
          <w:rFonts w:ascii="Palatino Linotype" w:hAnsi="Palatino Linotype"/>
        </w:rPr>
        <w:t xml:space="preserve"> (2013)</w:t>
      </w:r>
      <w:r>
        <w:rPr>
          <w:rFonts w:ascii="Palatino Linotype" w:hAnsi="Palatino Linotype"/>
        </w:rPr>
        <w:t xml:space="preserve"> at p. 5-6; </w:t>
      </w:r>
      <w:hyperlink r:id="rId140"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142">
    <w:p w14:paraId="48C83810" w14:textId="77777777" w:rsidR="00D24405" w:rsidRDefault="00D24405" w:rsidP="002F78F4">
      <w:pPr>
        <w:pStyle w:val="FootnoteText"/>
      </w:pPr>
      <w:r>
        <w:rPr>
          <w:rStyle w:val="FootnoteReference"/>
        </w:rPr>
        <w:footnoteRef/>
      </w:r>
      <w:r>
        <w:t xml:space="preserve"> </w:t>
      </w:r>
      <w:r>
        <w:rPr>
          <w:rFonts w:ascii="Palatino Linotype" w:hAnsi="Palatino Linotype"/>
        </w:rPr>
        <w:t xml:space="preserve">Four years after encumbrance per </w:t>
      </w:r>
      <w:hyperlink r:id="rId141"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w:t>
      </w:r>
      <w:r>
        <w:rPr>
          <w:rFonts w:ascii="Palatino Linotype" w:hAnsi="Palatino Linotype"/>
        </w:rPr>
        <w:t xml:space="preserve">; </w:t>
      </w:r>
      <w:hyperlink r:id="rId142" w:history="1">
        <w:r w:rsidRPr="00EA0D72">
          <w:rPr>
            <w:rStyle w:val="Hyperlink"/>
            <w:rFonts w:ascii="Palatino Linotype" w:hAnsi="Palatino Linotype"/>
          </w:rPr>
          <w:t>Resolution G-3484</w:t>
        </w:r>
      </w:hyperlink>
      <w:r w:rsidRPr="00EA0D72">
        <w:rPr>
          <w:rFonts w:ascii="Palatino Linotype" w:hAnsi="Palatino Linotype"/>
        </w:rPr>
        <w:t xml:space="preserve"> (2013)</w:t>
      </w:r>
      <w:r>
        <w:rPr>
          <w:rFonts w:ascii="Palatino Linotype" w:hAnsi="Palatino Linotype"/>
        </w:rPr>
        <w:t xml:space="preserve"> at p. 5-6; </w:t>
      </w:r>
      <w:hyperlink r:id="rId143"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143">
    <w:p w14:paraId="441B8E10" w14:textId="77777777" w:rsidR="00D24405" w:rsidRDefault="00D24405" w:rsidP="002F78F4">
      <w:pPr>
        <w:pStyle w:val="FootnoteText"/>
      </w:pPr>
      <w:r>
        <w:rPr>
          <w:rStyle w:val="FootnoteReference"/>
        </w:rPr>
        <w:footnoteRef/>
      </w:r>
      <w:r>
        <w:t xml:space="preserve"> </w:t>
      </w:r>
      <w:r>
        <w:rPr>
          <w:rFonts w:ascii="Palatino Linotype" w:hAnsi="Palatino Linotype"/>
        </w:rPr>
        <w:t>Remaining funds not encumbered to projects, excluding unencumbered funds which CEC was approved to reallocate in subsequent Gas RD&amp;D Plans.</w:t>
      </w:r>
    </w:p>
  </w:footnote>
  <w:footnote w:id="144">
    <w:p w14:paraId="7025C3E4" w14:textId="77777777" w:rsidR="00D24405" w:rsidRDefault="00D24405" w:rsidP="002F78F4">
      <w:pPr>
        <w:pStyle w:val="FootnoteText"/>
      </w:pPr>
      <w:r>
        <w:rPr>
          <w:rStyle w:val="FootnoteReference"/>
        </w:rPr>
        <w:footnoteRef/>
      </w:r>
      <w:r>
        <w:t xml:space="preserve"> </w:t>
      </w:r>
      <w:r>
        <w:rPr>
          <w:rFonts w:ascii="Palatino Linotype" w:hAnsi="Palatino Linotype"/>
        </w:rPr>
        <w:t>Remaining unspent funds of those encumbered, excluding unspent funds which CEC was approved to reallocate in subsequent Gas RD&amp;D Plans.</w:t>
      </w:r>
    </w:p>
  </w:footnote>
  <w:footnote w:id="145">
    <w:p w14:paraId="73D8F7FD" w14:textId="77777777" w:rsidR="002F78F4" w:rsidRDefault="002F78F4" w:rsidP="002F78F4">
      <w:pPr>
        <w:pStyle w:val="FootnoteText"/>
      </w:pPr>
      <w:r>
        <w:rPr>
          <w:rStyle w:val="FootnoteReference"/>
        </w:rPr>
        <w:footnoteRef/>
      </w:r>
      <w:r>
        <w:t xml:space="preserve"> </w:t>
      </w:r>
      <w:r w:rsidRPr="00A12BB7">
        <w:rPr>
          <w:rFonts w:ascii="Palatino Linotype" w:hAnsi="Palatino Linotype"/>
        </w:rPr>
        <w:t>AL 12-G at p. 31.</w:t>
      </w:r>
    </w:p>
  </w:footnote>
  <w:footnote w:id="146">
    <w:p w14:paraId="65AE8FFB" w14:textId="77777777" w:rsidR="002F78F4" w:rsidRDefault="002F78F4" w:rsidP="002F78F4">
      <w:pPr>
        <w:pStyle w:val="FootnoteText"/>
      </w:pPr>
      <w:r>
        <w:rPr>
          <w:rStyle w:val="FootnoteReference"/>
        </w:rPr>
        <w:footnoteRef/>
      </w:r>
      <w:r>
        <w:t xml:space="preserve"> </w:t>
      </w:r>
      <w:r w:rsidRPr="00133527">
        <w:rPr>
          <w:rFonts w:ascii="Palatino Linotype" w:hAnsi="Palatino Linotype"/>
        </w:rPr>
        <w:t>AL 12-G at p. 27.</w:t>
      </w:r>
    </w:p>
  </w:footnote>
  <w:footnote w:id="147">
    <w:p w14:paraId="74D67FC0" w14:textId="77777777" w:rsidR="002F78F4" w:rsidRPr="00BE73E4" w:rsidRDefault="002F78F4" w:rsidP="002F78F4">
      <w:pPr>
        <w:pStyle w:val="FootnoteText"/>
        <w:rPr>
          <w:rFonts w:ascii="Palatino Linotype" w:hAnsi="Palatino Linotype"/>
        </w:rPr>
      </w:pPr>
      <w:r>
        <w:rPr>
          <w:rStyle w:val="FootnoteReference"/>
        </w:rPr>
        <w:footnoteRef/>
      </w:r>
      <w:r>
        <w:t xml:space="preserve"> </w:t>
      </w:r>
      <w:r w:rsidRPr="00BE73E4">
        <w:rPr>
          <w:rFonts w:ascii="Palatino Linotype" w:hAnsi="Palatino Linotype"/>
        </w:rPr>
        <w:t>AL 12-G at p. 42.</w:t>
      </w:r>
    </w:p>
  </w:footnote>
  <w:footnote w:id="148">
    <w:p w14:paraId="63EFD458" w14:textId="77777777" w:rsidR="002F78F4" w:rsidRDefault="002F78F4" w:rsidP="002F78F4">
      <w:pPr>
        <w:pStyle w:val="FootnoteText"/>
      </w:pPr>
      <w:r>
        <w:rPr>
          <w:rStyle w:val="FootnoteReference"/>
        </w:rPr>
        <w:footnoteRef/>
      </w:r>
      <w:r>
        <w:t xml:space="preserve"> </w:t>
      </w:r>
      <w:r w:rsidRPr="00BE73E4">
        <w:rPr>
          <w:rFonts w:ascii="Palatino Linotype" w:hAnsi="Palatino Linotype"/>
        </w:rPr>
        <w:t>AL 12-G at p. 40.</w:t>
      </w:r>
    </w:p>
  </w:footnote>
  <w:footnote w:id="149">
    <w:p w14:paraId="02B22DE2" w14:textId="77777777" w:rsidR="002F78F4" w:rsidRDefault="002F78F4" w:rsidP="002F78F4">
      <w:pPr>
        <w:pStyle w:val="FootnoteText"/>
      </w:pPr>
      <w:r>
        <w:rPr>
          <w:rStyle w:val="FootnoteReference"/>
        </w:rPr>
        <w:footnoteRef/>
      </w:r>
      <w:r>
        <w:t xml:space="preserve"> </w:t>
      </w:r>
      <w:hyperlink r:id="rId144" w:history="1">
        <w:r w:rsidRPr="00765000">
          <w:rPr>
            <w:rStyle w:val="Hyperlink"/>
            <w:rFonts w:ascii="Palatino Linotype" w:hAnsi="Palatino Linotype"/>
            <w:bCs/>
          </w:rPr>
          <w:t>CEC’s Approved FY2023-2024 Gas RD&amp;D Plan</w:t>
        </w:r>
      </w:hyperlink>
      <w:r w:rsidRPr="00765000">
        <w:rPr>
          <w:rFonts w:ascii="Palatino Linotype" w:hAnsi="Palatino Linotype"/>
          <w:bCs/>
        </w:rPr>
        <w:t xml:space="preserve"> at p. 37-38.</w:t>
      </w:r>
    </w:p>
  </w:footnote>
  <w:footnote w:id="150">
    <w:p w14:paraId="0896D886"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12-G at p. 32-38. </w:t>
      </w:r>
    </w:p>
  </w:footnote>
  <w:footnote w:id="151">
    <w:p w14:paraId="1DFD409C"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12-G at p. 24-32.</w:t>
      </w:r>
    </w:p>
  </w:footnote>
  <w:footnote w:id="152">
    <w:p w14:paraId="17A4666C" w14:textId="77777777" w:rsidR="002F78F4" w:rsidRDefault="002F78F4" w:rsidP="002F78F4">
      <w:pPr>
        <w:pStyle w:val="FootnoteText"/>
      </w:pPr>
      <w:r w:rsidRPr="004B5E95">
        <w:rPr>
          <w:rStyle w:val="FootnoteReference"/>
          <w:rFonts w:ascii="Palatino Linotype" w:hAnsi="Palatino Linotype"/>
        </w:rPr>
        <w:footnoteRef/>
      </w:r>
      <w:r w:rsidRPr="004B5E95">
        <w:rPr>
          <w:rFonts w:ascii="Palatino Linotype" w:hAnsi="Palatino Linotype"/>
        </w:rPr>
        <w:t xml:space="preserve"> AL 12-G at p. 38-49. </w:t>
      </w:r>
    </w:p>
  </w:footnote>
  <w:footnote w:id="153">
    <w:p w14:paraId="18FA0BF3" w14:textId="77777777" w:rsidR="002F78F4" w:rsidRDefault="002F78F4" w:rsidP="002F78F4">
      <w:pPr>
        <w:pStyle w:val="FootnoteText"/>
      </w:pPr>
      <w:r>
        <w:rPr>
          <w:rStyle w:val="FootnoteReference"/>
        </w:rPr>
        <w:footnoteRef/>
      </w:r>
      <w:r>
        <w:t xml:space="preserve"> </w:t>
      </w:r>
      <w:r w:rsidRPr="004B2C74">
        <w:rPr>
          <w:rFonts w:ascii="Palatino Linotype" w:hAnsi="Palatino Linotype"/>
        </w:rPr>
        <w:t>AL 12-G at p. 7.</w:t>
      </w:r>
      <w:r>
        <w:t xml:space="preserve"> </w:t>
      </w:r>
    </w:p>
  </w:footnote>
  <w:footnote w:id="154">
    <w:p w14:paraId="4BA928C7" w14:textId="77777777" w:rsidR="002F78F4" w:rsidRDefault="002F78F4" w:rsidP="002F78F4">
      <w:pPr>
        <w:pStyle w:val="FootnoteText"/>
      </w:pPr>
      <w:r>
        <w:rPr>
          <w:rStyle w:val="FootnoteReference"/>
        </w:rPr>
        <w:footnoteRef/>
      </w:r>
      <w:r>
        <w:t xml:space="preserve"> </w:t>
      </w:r>
      <w:r w:rsidRPr="00C73545">
        <w:rPr>
          <w:rFonts w:ascii="Palatino Linotype" w:hAnsi="Palatino Linotype"/>
        </w:rPr>
        <w:t>AL 12-G at p. 2 &amp; 24.</w:t>
      </w:r>
    </w:p>
  </w:footnote>
  <w:footnote w:id="155">
    <w:p w14:paraId="338E4508" w14:textId="77777777" w:rsidR="002F78F4" w:rsidRDefault="002F78F4" w:rsidP="002F78F4">
      <w:pPr>
        <w:pStyle w:val="FootnoteText"/>
      </w:pPr>
      <w:r>
        <w:rPr>
          <w:rStyle w:val="FootnoteReference"/>
        </w:rPr>
        <w:footnoteRef/>
      </w:r>
      <w:r>
        <w:t xml:space="preserve"> </w:t>
      </w:r>
      <w:r w:rsidRPr="00A36047">
        <w:rPr>
          <w:rFonts w:ascii="Palatino Linotype" w:hAnsi="Palatino Linotype"/>
        </w:rPr>
        <w:t>Consistent with</w:t>
      </w:r>
      <w:r>
        <w:t xml:space="preserve"> </w:t>
      </w:r>
      <w:hyperlink r:id="rId145"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 </w:t>
      </w:r>
      <w:r>
        <w:rPr>
          <w:rFonts w:ascii="Palatino Linotype" w:hAnsi="Palatino Linotype"/>
        </w:rPr>
        <w:t xml:space="preserve">&amp; </w:t>
      </w:r>
      <w:hyperlink r:id="rId146"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156">
    <w:p w14:paraId="73FB00E5" w14:textId="77777777" w:rsidR="002F78F4" w:rsidRDefault="002F78F4" w:rsidP="002F78F4">
      <w:pPr>
        <w:pStyle w:val="FootnoteText"/>
      </w:pPr>
      <w:r>
        <w:rPr>
          <w:rStyle w:val="FootnoteReference"/>
        </w:rPr>
        <w:footnoteRef/>
      </w:r>
      <w:r>
        <w:t xml:space="preserve"> </w:t>
      </w:r>
      <w:r w:rsidRPr="00D66C1F">
        <w:rPr>
          <w:rFonts w:ascii="Palatino Linotype" w:hAnsi="Palatino Linotype"/>
        </w:rPr>
        <w:t>AL 12-G at B-1.</w:t>
      </w:r>
      <w:r>
        <w:t xml:space="preserve"> </w:t>
      </w:r>
    </w:p>
  </w:footnote>
  <w:footnote w:id="157">
    <w:p w14:paraId="7F5E4BD8"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12-G at B-1.</w:t>
      </w:r>
    </w:p>
  </w:footnote>
  <w:footnote w:id="158">
    <w:p w14:paraId="5F90AB02" w14:textId="77777777" w:rsidR="002F78F4" w:rsidRDefault="002F78F4" w:rsidP="002F78F4">
      <w:pPr>
        <w:pStyle w:val="FootnoteText"/>
      </w:pPr>
      <w:r>
        <w:rPr>
          <w:rStyle w:val="FootnoteReference"/>
        </w:rPr>
        <w:footnoteRef/>
      </w:r>
      <w:r>
        <w:t xml:space="preserve"> </w:t>
      </w:r>
      <w:r w:rsidRPr="003B3B6D">
        <w:rPr>
          <w:rFonts w:ascii="Palatino Linotype" w:hAnsi="Palatino Linotype"/>
        </w:rPr>
        <w:t xml:space="preserve">The Commission’s compliance assessments </w:t>
      </w:r>
      <w:r w:rsidRPr="002032BA">
        <w:rPr>
          <w:rFonts w:ascii="Palatino Linotype" w:hAnsi="Palatino Linotype"/>
        </w:rPr>
        <w:t xml:space="preserve">of </w:t>
      </w:r>
      <w:hyperlink r:id="rId147" w:history="1">
        <w:r w:rsidRPr="002032BA">
          <w:rPr>
            <w:rStyle w:val="Hyperlink"/>
            <w:rFonts w:ascii="Palatino Linotype" w:hAnsi="Palatino Linotype"/>
          </w:rPr>
          <w:t>Resolution G-3571</w:t>
        </w:r>
      </w:hyperlink>
      <w:r w:rsidRPr="002032BA">
        <w:rPr>
          <w:rFonts w:ascii="Palatino Linotype" w:hAnsi="Palatino Linotype"/>
        </w:rPr>
        <w:t xml:space="preserve"> at OP 5a is</w:t>
      </w:r>
      <w:r w:rsidRPr="003B3B6D">
        <w:rPr>
          <w:rFonts w:ascii="Palatino Linotype" w:hAnsi="Palatino Linotype"/>
        </w:rPr>
        <w:t xml:space="preserve"> captured in the compliance assessment</w:t>
      </w:r>
      <w:r>
        <w:rPr>
          <w:rFonts w:ascii="Palatino Linotype" w:hAnsi="Palatino Linotype"/>
        </w:rPr>
        <w:t xml:space="preserve"> of AL 12-G </w:t>
      </w:r>
      <w:r w:rsidRPr="003B3B6D">
        <w:rPr>
          <w:rFonts w:ascii="Palatino Linotype" w:hAnsi="Palatino Linotype"/>
        </w:rPr>
        <w:t xml:space="preserve">with </w:t>
      </w:r>
      <w:hyperlink r:id="rId148" w:history="1">
        <w:r w:rsidRPr="00C45D8E">
          <w:rPr>
            <w:rStyle w:val="Hyperlink"/>
            <w:rFonts w:ascii="Palatino Linotype" w:hAnsi="Palatino Linotype"/>
          </w:rPr>
          <w:t>Resolution G-3603</w:t>
        </w:r>
      </w:hyperlink>
      <w:r>
        <w:rPr>
          <w:rFonts w:ascii="Palatino Linotype" w:hAnsi="Palatino Linotype"/>
        </w:rPr>
        <w:t xml:space="preserve"> at OP 5.</w:t>
      </w:r>
    </w:p>
  </w:footnote>
  <w:footnote w:id="159">
    <w:p w14:paraId="4BFD4A36" w14:textId="77777777" w:rsidR="002F78F4" w:rsidRDefault="002F78F4" w:rsidP="002F78F4">
      <w:pPr>
        <w:pStyle w:val="FootnoteText"/>
      </w:pPr>
      <w:r>
        <w:rPr>
          <w:rStyle w:val="FootnoteReference"/>
        </w:rPr>
        <w:footnoteRef/>
      </w:r>
      <w:r>
        <w:t xml:space="preserve"> </w:t>
      </w:r>
      <w:r w:rsidRPr="00F244B7">
        <w:rPr>
          <w:rFonts w:ascii="Palatino Linotype" w:hAnsi="Palatino Linotype"/>
        </w:rPr>
        <w:t>AL 12-G at p. 10.</w:t>
      </w:r>
    </w:p>
  </w:footnote>
  <w:footnote w:id="160">
    <w:p w14:paraId="4F14D554" w14:textId="77777777" w:rsidR="002F78F4" w:rsidRDefault="002F78F4" w:rsidP="002F78F4">
      <w:pPr>
        <w:pStyle w:val="FootnoteText"/>
      </w:pPr>
      <w:r>
        <w:rPr>
          <w:rStyle w:val="FootnoteReference"/>
        </w:rPr>
        <w:footnoteRef/>
      </w:r>
      <w:r w:rsidRPr="75467FC2">
        <w:rPr>
          <w:i/>
        </w:rPr>
        <w:t xml:space="preserve"> </w:t>
      </w:r>
      <w:r w:rsidRPr="75467FC2">
        <w:rPr>
          <w:rFonts w:ascii="Palatino Linotype" w:hAnsi="Palatino Linotype"/>
          <w:i/>
        </w:rPr>
        <w:t>Ibid.</w:t>
      </w:r>
    </w:p>
  </w:footnote>
  <w:footnote w:id="161">
    <w:p w14:paraId="6D48DDF1" w14:textId="77777777" w:rsidR="002F78F4" w:rsidRDefault="002F78F4" w:rsidP="002F78F4">
      <w:pPr>
        <w:pStyle w:val="FootnoteText"/>
      </w:pPr>
      <w:r>
        <w:rPr>
          <w:rStyle w:val="FootnoteReference"/>
        </w:rPr>
        <w:footnoteRef/>
      </w:r>
      <w:r>
        <w:t xml:space="preserve"> </w:t>
      </w:r>
      <w:r w:rsidRPr="00BF170A">
        <w:rPr>
          <w:rFonts w:ascii="Palatino Linotype" w:hAnsi="Palatino Linotype"/>
        </w:rPr>
        <w:t>AL 12-G at p. 8.</w:t>
      </w:r>
    </w:p>
  </w:footnote>
  <w:footnote w:id="162">
    <w:p w14:paraId="1F774C02" w14:textId="77777777" w:rsidR="002F78F4" w:rsidRDefault="002F78F4" w:rsidP="002F78F4">
      <w:pPr>
        <w:pStyle w:val="FootnoteText"/>
      </w:pPr>
      <w:r>
        <w:rPr>
          <w:rStyle w:val="FootnoteReference"/>
        </w:rPr>
        <w:footnoteRef/>
      </w:r>
      <w:r>
        <w:t xml:space="preserve"> </w:t>
      </w:r>
      <w:r w:rsidRPr="00547E0D">
        <w:rPr>
          <w:rFonts w:ascii="Palatino Linotype" w:hAnsi="Palatino Linotype"/>
        </w:rPr>
        <w:t>Kenney, Michael, Nicholas Janusch, Ingrid Neumann, and Mike Jaske. California Energy Commission. 2021. “California Building Decarbonization Assessment.” Publication Number: CEC-400-2021-006-CMF.</w:t>
      </w:r>
      <w:r>
        <w:rPr>
          <w:rFonts w:ascii="Palatino Linotype" w:hAnsi="Palatino Linotype"/>
        </w:rPr>
        <w:t xml:space="preserve"> </w:t>
      </w:r>
      <w:hyperlink r:id="rId149" w:history="1">
        <w:r w:rsidRPr="00642C5F">
          <w:rPr>
            <w:rStyle w:val="Hyperlink"/>
            <w:rFonts w:ascii="Palatino Linotype" w:hAnsi="Palatino Linotype"/>
          </w:rPr>
          <w:t>https://www.energy.ca.gov/publications/2021/california-building-decarbonization-assessment</w:t>
        </w:r>
      </w:hyperlink>
      <w:r>
        <w:rPr>
          <w:rFonts w:ascii="Palatino Linotype" w:hAnsi="Palatino Linotype"/>
        </w:rPr>
        <w:t>.</w:t>
      </w:r>
    </w:p>
  </w:footnote>
  <w:footnote w:id="163">
    <w:p w14:paraId="3EAB9A1B" w14:textId="77777777" w:rsidR="002F78F4" w:rsidRDefault="002F78F4" w:rsidP="002F78F4">
      <w:pPr>
        <w:pStyle w:val="FootnoteText"/>
      </w:pPr>
      <w:r>
        <w:rPr>
          <w:rStyle w:val="FootnoteReference"/>
        </w:rPr>
        <w:footnoteRef/>
      </w:r>
      <w:r>
        <w:t xml:space="preserve"> </w:t>
      </w:r>
      <w:r w:rsidRPr="00687BCD">
        <w:rPr>
          <w:rFonts w:ascii="Palatino Linotype" w:hAnsi="Palatino Linotype"/>
        </w:rPr>
        <w:t>AL 12-G at p. 9.</w:t>
      </w:r>
    </w:p>
  </w:footnote>
  <w:footnote w:id="164">
    <w:p w14:paraId="5843CC2F" w14:textId="77777777" w:rsidR="002F78F4" w:rsidRDefault="002F78F4" w:rsidP="002F78F4">
      <w:pPr>
        <w:pStyle w:val="FootnoteText"/>
      </w:pPr>
      <w:r>
        <w:rPr>
          <w:rStyle w:val="FootnoteReference"/>
        </w:rPr>
        <w:footnoteRef/>
      </w:r>
      <w:r>
        <w:t xml:space="preserve"> </w:t>
      </w:r>
      <w:r w:rsidRPr="003D2171">
        <w:rPr>
          <w:rFonts w:ascii="Palatino Linotype" w:hAnsi="Palatino Linotype"/>
        </w:rPr>
        <w:t>AL 12-G at p. 9.</w:t>
      </w:r>
    </w:p>
  </w:footnote>
  <w:footnote w:id="165">
    <w:p w14:paraId="4C696A04" w14:textId="77777777" w:rsidR="00B47E24" w:rsidRDefault="00B47E24" w:rsidP="002F78F4">
      <w:pPr>
        <w:pStyle w:val="FootnoteText"/>
      </w:pPr>
      <w:r>
        <w:rPr>
          <w:rStyle w:val="FootnoteReference"/>
        </w:rPr>
        <w:footnoteRef/>
      </w:r>
      <w:r>
        <w:t xml:space="preserve"> </w:t>
      </w:r>
      <w:r w:rsidRPr="00C73545">
        <w:rPr>
          <w:rFonts w:ascii="Palatino Linotype" w:hAnsi="Palatino Linotype"/>
        </w:rPr>
        <w:t>AL 12-G at p. 2 &amp; 24.</w:t>
      </w:r>
    </w:p>
  </w:footnote>
  <w:footnote w:id="166">
    <w:p w14:paraId="3BFD00C4" w14:textId="77777777" w:rsidR="002F78F4" w:rsidRDefault="002F78F4" w:rsidP="002F78F4">
      <w:pPr>
        <w:pStyle w:val="FootnoteText"/>
      </w:pPr>
      <w:r>
        <w:rPr>
          <w:rStyle w:val="FootnoteReference"/>
        </w:rPr>
        <w:footnoteRef/>
      </w:r>
      <w:r>
        <w:t xml:space="preserve"> </w:t>
      </w:r>
      <w:r w:rsidRPr="00B05EA2">
        <w:rPr>
          <w:rFonts w:ascii="Palatino Linotype" w:hAnsi="Palatino Linotype"/>
        </w:rPr>
        <w:t>AL 12-G at p. 50.</w:t>
      </w:r>
    </w:p>
  </w:footnote>
  <w:footnote w:id="167">
    <w:p w14:paraId="741322EF"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12-G at p. 6.</w:t>
      </w:r>
    </w:p>
  </w:footnote>
  <w:footnote w:id="168">
    <w:p w14:paraId="1D3032D2" w14:textId="77777777" w:rsidR="002F78F4" w:rsidRDefault="002F78F4" w:rsidP="002F78F4">
      <w:pPr>
        <w:pStyle w:val="FootnoteText"/>
      </w:pPr>
      <w:r>
        <w:rPr>
          <w:rStyle w:val="FootnoteReference"/>
        </w:rPr>
        <w:footnoteRef/>
      </w:r>
      <w:r>
        <w:t xml:space="preserve"> </w:t>
      </w:r>
      <w:r w:rsidRPr="00551269">
        <w:rPr>
          <w:rFonts w:ascii="Palatino Linotype" w:hAnsi="Palatino Linotype"/>
        </w:rPr>
        <w:t>AL 12-G at p. 13.</w:t>
      </w:r>
    </w:p>
  </w:footnote>
  <w:footnote w:id="169">
    <w:p w14:paraId="5D1A6FD7" w14:textId="77777777" w:rsidR="002F78F4" w:rsidRDefault="002F78F4" w:rsidP="002F78F4">
      <w:pPr>
        <w:pStyle w:val="FootnoteText"/>
      </w:pPr>
      <w:r>
        <w:rPr>
          <w:rStyle w:val="FootnoteReference"/>
        </w:rPr>
        <w:footnoteRef/>
      </w:r>
      <w:r>
        <w:t xml:space="preserve"> </w:t>
      </w:r>
      <w:r w:rsidRPr="001F4F79">
        <w:rPr>
          <w:rFonts w:ascii="Palatino Linotype" w:hAnsi="Palatino Linotype"/>
        </w:rPr>
        <w:t>AL 12-G at p. 14.</w:t>
      </w:r>
    </w:p>
  </w:footnote>
  <w:footnote w:id="170">
    <w:p w14:paraId="5A4164DE" w14:textId="77777777" w:rsidR="002F78F4" w:rsidRDefault="002F78F4" w:rsidP="002F78F4">
      <w:pPr>
        <w:pStyle w:val="FootnoteText"/>
      </w:pPr>
      <w:r>
        <w:rPr>
          <w:rStyle w:val="FootnoteReference"/>
        </w:rPr>
        <w:footnoteRef/>
      </w:r>
      <w:r>
        <w:t xml:space="preserve"> </w:t>
      </w:r>
      <w:r w:rsidRPr="007E6CAE">
        <w:rPr>
          <w:rFonts w:ascii="Palatino Linotype" w:hAnsi="Palatino Linotype"/>
        </w:rPr>
        <w:t>AL 12-G at C-5 to C-7.</w:t>
      </w:r>
    </w:p>
  </w:footnote>
  <w:footnote w:id="171">
    <w:p w14:paraId="19C789B8" w14:textId="77777777" w:rsidR="002F78F4" w:rsidRDefault="002F78F4" w:rsidP="002F78F4">
      <w:pPr>
        <w:pStyle w:val="FootnoteText"/>
      </w:pPr>
      <w:r>
        <w:rPr>
          <w:rStyle w:val="FootnoteReference"/>
        </w:rPr>
        <w:footnoteRef/>
      </w:r>
      <w:r>
        <w:t xml:space="preserve"> </w:t>
      </w:r>
      <w:r w:rsidRPr="00A47F5E">
        <w:rPr>
          <w:rFonts w:ascii="Palatino Linotype" w:hAnsi="Palatino Linotype"/>
        </w:rPr>
        <w:t>AL 12-G at C-6.</w:t>
      </w:r>
    </w:p>
  </w:footnote>
  <w:footnote w:id="172">
    <w:p w14:paraId="16FB0EFE" w14:textId="77777777" w:rsidR="002F78F4" w:rsidRDefault="002F78F4" w:rsidP="002F78F4">
      <w:pPr>
        <w:pStyle w:val="FootnoteText"/>
      </w:pPr>
      <w:r>
        <w:rPr>
          <w:rStyle w:val="FootnoteReference"/>
        </w:rPr>
        <w:footnoteRef/>
      </w:r>
      <w:r>
        <w:t xml:space="preserve"> </w:t>
      </w:r>
      <w:r w:rsidRPr="00EE7D28">
        <w:rPr>
          <w:rFonts w:ascii="Palatino Linotype" w:hAnsi="Palatino Linotype"/>
        </w:rPr>
        <w:t>AL 12-G at p. 47.</w:t>
      </w:r>
    </w:p>
  </w:footnote>
  <w:footnote w:id="173">
    <w:p w14:paraId="387AF420" w14:textId="77777777" w:rsidR="002F78F4" w:rsidRDefault="002F78F4" w:rsidP="002F78F4">
      <w:pPr>
        <w:pStyle w:val="FootnoteText"/>
      </w:pPr>
      <w:r>
        <w:rPr>
          <w:rStyle w:val="FootnoteReference"/>
        </w:rPr>
        <w:footnoteRef/>
      </w:r>
      <w:r>
        <w:t xml:space="preserve"> </w:t>
      </w:r>
      <w:r w:rsidRPr="00BE08EE">
        <w:rPr>
          <w:rFonts w:ascii="Palatino Linotype" w:hAnsi="Palatino Linotype"/>
        </w:rPr>
        <w:t xml:space="preserve">AL 12-G at </w:t>
      </w:r>
      <w:r>
        <w:rPr>
          <w:rFonts w:ascii="Palatino Linotype" w:hAnsi="Palatino Linotype"/>
        </w:rPr>
        <w:t xml:space="preserve">p. 41 &amp; </w:t>
      </w:r>
      <w:r w:rsidRPr="00BE08EE">
        <w:rPr>
          <w:rFonts w:ascii="Palatino Linotype" w:hAnsi="Palatino Linotype"/>
        </w:rPr>
        <w:t>C-11.</w:t>
      </w:r>
    </w:p>
  </w:footnote>
  <w:footnote w:id="174">
    <w:p w14:paraId="5FF43EE6" w14:textId="77777777" w:rsidR="002F78F4" w:rsidRDefault="002F78F4" w:rsidP="002F78F4">
      <w:pPr>
        <w:pStyle w:val="FootnoteText"/>
        <w:rPr>
          <w:rFonts w:ascii="Palatino Linotype" w:hAnsi="Palatino Linotype"/>
        </w:rPr>
      </w:pPr>
      <w:r w:rsidRPr="12A85FC7">
        <w:rPr>
          <w:rStyle w:val="FootnoteReference"/>
        </w:rPr>
        <w:footnoteRef/>
      </w:r>
      <w:r>
        <w:t xml:space="preserve"> </w:t>
      </w:r>
      <w:r w:rsidRPr="12A85FC7">
        <w:rPr>
          <w:rFonts w:ascii="Palatino Linotype" w:hAnsi="Palatino Linotype"/>
        </w:rPr>
        <w:t>AL 12-G at p. 18.</w:t>
      </w:r>
    </w:p>
  </w:footnote>
  <w:footnote w:id="175">
    <w:p w14:paraId="381DDE23" w14:textId="77777777" w:rsidR="002F78F4" w:rsidRDefault="002F78F4" w:rsidP="002F78F4">
      <w:pPr>
        <w:pStyle w:val="FootnoteText"/>
      </w:pPr>
      <w:r>
        <w:rPr>
          <w:rStyle w:val="FootnoteReference"/>
        </w:rPr>
        <w:footnoteRef/>
      </w:r>
      <w:r>
        <w:t xml:space="preserve"> </w:t>
      </w:r>
      <w:r w:rsidRPr="009B03F4">
        <w:rPr>
          <w:rFonts w:ascii="Palatino Linotype" w:hAnsi="Palatino Linotype"/>
        </w:rPr>
        <w:t>AL 12-G at p. 18-19.</w:t>
      </w:r>
    </w:p>
  </w:footnote>
  <w:footnote w:id="176">
    <w:p w14:paraId="6CDFC3B9" w14:textId="2DB50EAB" w:rsidR="002F78F4" w:rsidRDefault="002F78F4" w:rsidP="002F78F4">
      <w:pPr>
        <w:pStyle w:val="FootnoteText"/>
      </w:pPr>
      <w:r>
        <w:rPr>
          <w:rStyle w:val="FootnoteReference"/>
        </w:rPr>
        <w:footnoteRef/>
      </w:r>
      <w:r>
        <w:t xml:space="preserve"> </w:t>
      </w:r>
      <w:r w:rsidRPr="00435F5D">
        <w:rPr>
          <w:rFonts w:ascii="Palatino Linotype" w:hAnsi="Palatino Linotype"/>
        </w:rPr>
        <w:t xml:space="preserve">See Resolution </w:t>
      </w:r>
      <w:r w:rsidR="002E0702" w:rsidRPr="00A22C9B">
        <w:rPr>
          <w:rFonts w:ascii="Palatino Linotype" w:hAnsi="Palatino Linotype"/>
        </w:rPr>
        <w:t>G</w:t>
      </w:r>
      <w:r w:rsidR="002E0702">
        <w:rPr>
          <w:rFonts w:ascii="Palatino Linotype" w:hAnsi="Palatino Linotype"/>
        </w:rPr>
        <w:t>-3622</w:t>
      </w:r>
      <w:r w:rsidR="002E0702" w:rsidRPr="00A22C9B">
        <w:rPr>
          <w:rFonts w:ascii="Palatino Linotype" w:hAnsi="Palatino Linotype"/>
        </w:rPr>
        <w:t xml:space="preserve"> </w:t>
      </w:r>
      <w:r w:rsidRPr="00435F5D">
        <w:rPr>
          <w:rFonts w:ascii="Palatino Linotype" w:hAnsi="Palatino Linotype"/>
        </w:rPr>
        <w:t xml:space="preserve">at Appendix </w:t>
      </w:r>
      <w:r w:rsidR="008A3957">
        <w:rPr>
          <w:rFonts w:ascii="Palatino Linotype" w:hAnsi="Palatino Linotype"/>
        </w:rPr>
        <w:t>B</w:t>
      </w:r>
      <w:r w:rsidRPr="00435F5D">
        <w:rPr>
          <w:rFonts w:ascii="Palatino Linotype" w:hAnsi="Palatino Linotype"/>
        </w:rPr>
        <w:t>: Administrative Budget Cost Categories.</w:t>
      </w:r>
    </w:p>
  </w:footnote>
  <w:footnote w:id="177">
    <w:p w14:paraId="5F647655"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12-G at B-1.</w:t>
      </w:r>
    </w:p>
  </w:footnote>
  <w:footnote w:id="178">
    <w:p w14:paraId="2C1C8AE6" w14:textId="77777777" w:rsidR="002F78F4" w:rsidRDefault="002F78F4" w:rsidP="002F78F4">
      <w:pPr>
        <w:pStyle w:val="FootnoteText"/>
      </w:pPr>
      <w:r>
        <w:rPr>
          <w:rStyle w:val="FootnoteReference"/>
        </w:rPr>
        <w:footnoteRef/>
      </w:r>
      <w:r>
        <w:t xml:space="preserve"> </w:t>
      </w:r>
      <w:r w:rsidRPr="0012086A">
        <w:rPr>
          <w:rFonts w:ascii="Palatino Linotype" w:hAnsi="Palatino Linotype"/>
        </w:rPr>
        <w:t>AL 12-G at p. 9.</w:t>
      </w:r>
    </w:p>
  </w:footnote>
  <w:footnote w:id="179">
    <w:p w14:paraId="5E09623C" w14:textId="77777777" w:rsidR="002F78F4" w:rsidRDefault="002F78F4" w:rsidP="002F78F4">
      <w:pPr>
        <w:pStyle w:val="FootnoteText"/>
      </w:pPr>
      <w:r>
        <w:rPr>
          <w:rStyle w:val="FootnoteReference"/>
        </w:rPr>
        <w:footnoteRef/>
      </w:r>
      <w:r>
        <w:t xml:space="preserve"> </w:t>
      </w:r>
      <w:r w:rsidRPr="007F4020">
        <w:rPr>
          <w:rFonts w:ascii="Palatino Linotype" w:hAnsi="Palatino Linotype"/>
        </w:rPr>
        <w:t>AL 12-G at B-4.</w:t>
      </w:r>
    </w:p>
  </w:footnote>
  <w:footnote w:id="180">
    <w:p w14:paraId="290A78FB" w14:textId="77777777" w:rsidR="002F78F4" w:rsidRPr="00622FB7" w:rsidRDefault="002F78F4" w:rsidP="002F78F4">
      <w:pPr>
        <w:spacing w:after="0" w:line="240" w:lineRule="auto"/>
        <w:rPr>
          <w:rFonts w:ascii="Palatino Linotype" w:hAnsi="Palatino Linotype"/>
          <w:bCs/>
          <w:color w:val="000000" w:themeColor="text1"/>
          <w:sz w:val="20"/>
          <w:szCs w:val="20"/>
        </w:rPr>
      </w:pPr>
      <w:r w:rsidRPr="0044354C">
        <w:rPr>
          <w:rStyle w:val="FootnoteReference"/>
          <w:sz w:val="20"/>
          <w:szCs w:val="20"/>
        </w:rPr>
        <w:footnoteRef/>
      </w:r>
      <w:r w:rsidRPr="0044354C">
        <w:rPr>
          <w:rStyle w:val="FootnoteReference"/>
          <w:sz w:val="20"/>
          <w:szCs w:val="20"/>
        </w:rPr>
        <w:t xml:space="preserve"> </w:t>
      </w:r>
      <w:r w:rsidRPr="00403057">
        <w:rPr>
          <w:rStyle w:val="FootnoteReference"/>
          <w:rFonts w:ascii="Palatino Linotype" w:hAnsi="Palatino Linotype"/>
          <w:sz w:val="20"/>
          <w:szCs w:val="20"/>
        </w:rPr>
        <w:t xml:space="preserve"> </w:t>
      </w:r>
      <w:r w:rsidRPr="00403057">
        <w:rPr>
          <w:rFonts w:ascii="Palatino Linotype" w:hAnsi="Palatino Linotype"/>
          <w:sz w:val="20"/>
          <w:szCs w:val="20"/>
        </w:rPr>
        <w:t xml:space="preserve">Consistent with </w:t>
      </w:r>
      <w:hyperlink r:id="rId150" w:history="1">
        <w:r w:rsidRPr="009A2771">
          <w:rPr>
            <w:rStyle w:val="Hyperlink"/>
            <w:rFonts w:ascii="Palatino Linotype" w:hAnsi="Palatino Linotype"/>
            <w:bCs/>
            <w:sz w:val="20"/>
            <w:szCs w:val="20"/>
          </w:rPr>
          <w:t>Resolution G-3495</w:t>
        </w:r>
      </w:hyperlink>
      <w:r w:rsidRPr="009A2771">
        <w:rPr>
          <w:rFonts w:ascii="Palatino Linotype" w:hAnsi="Palatino Linotype"/>
          <w:bCs/>
          <w:color w:val="000000" w:themeColor="text1"/>
          <w:sz w:val="20"/>
          <w:szCs w:val="20"/>
        </w:rPr>
        <w:t xml:space="preserve"> (2014)</w:t>
      </w:r>
      <w:r>
        <w:rPr>
          <w:rFonts w:ascii="Palatino Linotype" w:hAnsi="Palatino Linotype"/>
          <w:bCs/>
          <w:color w:val="000000" w:themeColor="text1"/>
          <w:sz w:val="20"/>
          <w:szCs w:val="20"/>
        </w:rPr>
        <w:t xml:space="preserve"> </w:t>
      </w:r>
      <w:r w:rsidRPr="009A2771">
        <w:rPr>
          <w:rFonts w:ascii="Palatino Linotype" w:hAnsi="Palatino Linotype"/>
          <w:bCs/>
          <w:color w:val="000000" w:themeColor="text1"/>
          <w:sz w:val="20"/>
          <w:szCs w:val="20"/>
        </w:rPr>
        <w:t xml:space="preserve">at p. </w:t>
      </w:r>
      <w:r>
        <w:rPr>
          <w:rFonts w:ascii="Palatino Linotype" w:hAnsi="Palatino Linotype"/>
          <w:bCs/>
          <w:color w:val="000000" w:themeColor="text1"/>
          <w:sz w:val="20"/>
          <w:szCs w:val="20"/>
        </w:rPr>
        <w:t>6-</w:t>
      </w:r>
      <w:r w:rsidRPr="009A2771">
        <w:rPr>
          <w:rFonts w:ascii="Palatino Linotype" w:hAnsi="Palatino Linotype"/>
          <w:bCs/>
          <w:color w:val="000000" w:themeColor="text1"/>
          <w:sz w:val="20"/>
          <w:szCs w:val="20"/>
        </w:rPr>
        <w:t xml:space="preserve">9; FOF 6; &amp; OP 5. </w:t>
      </w:r>
    </w:p>
  </w:footnote>
  <w:footnote w:id="181">
    <w:p w14:paraId="11CFFF37"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12-G at p. 6.</w:t>
      </w:r>
    </w:p>
  </w:footnote>
  <w:footnote w:id="182">
    <w:p w14:paraId="737EA623" w14:textId="77777777" w:rsidR="002F78F4" w:rsidRDefault="002F78F4" w:rsidP="002F78F4">
      <w:pPr>
        <w:pStyle w:val="FootnoteText"/>
      </w:pPr>
      <w:r>
        <w:rPr>
          <w:rStyle w:val="FootnoteReference"/>
        </w:rPr>
        <w:footnoteRef/>
      </w:r>
      <w:r>
        <w:t xml:space="preserve"> </w:t>
      </w:r>
      <w:r w:rsidRPr="009914F6">
        <w:rPr>
          <w:rFonts w:ascii="Palatino Linotype" w:hAnsi="Palatino Linotype"/>
        </w:rPr>
        <w:t>AL 12-G at p. 14-16.</w:t>
      </w:r>
      <w:r>
        <w:t xml:space="preserve"> </w:t>
      </w:r>
    </w:p>
  </w:footnote>
  <w:footnote w:id="183">
    <w:p w14:paraId="5CB87FA7" w14:textId="77777777" w:rsidR="002F78F4" w:rsidRDefault="002F78F4" w:rsidP="002F78F4">
      <w:pPr>
        <w:pStyle w:val="FootnoteText"/>
      </w:pPr>
      <w:r>
        <w:rPr>
          <w:rStyle w:val="FootnoteReference"/>
        </w:rPr>
        <w:footnoteRef/>
      </w:r>
      <w:r>
        <w:t xml:space="preserve"> </w:t>
      </w:r>
      <w:r w:rsidRPr="00454C03">
        <w:rPr>
          <w:rFonts w:ascii="Palatino Linotype" w:hAnsi="Palatino Linotype"/>
        </w:rPr>
        <w:t>AL 12-G at C-1 to C-23.</w:t>
      </w:r>
    </w:p>
  </w:footnote>
  <w:footnote w:id="184">
    <w:p w14:paraId="2D061C16" w14:textId="77777777" w:rsidR="002F78F4" w:rsidRDefault="002F78F4" w:rsidP="002F78F4">
      <w:pPr>
        <w:pStyle w:val="FootnoteText"/>
      </w:pPr>
      <w:r>
        <w:rPr>
          <w:rStyle w:val="FootnoteReference"/>
        </w:rPr>
        <w:footnoteRef/>
      </w:r>
      <w:r>
        <w:t xml:space="preserve"> </w:t>
      </w:r>
      <w:r w:rsidRPr="00FF128B">
        <w:rPr>
          <w:rFonts w:ascii="Palatino Linotype" w:hAnsi="Palatino Linotype"/>
        </w:rPr>
        <w:t xml:space="preserve">AL 12-G at </w:t>
      </w:r>
      <w:r>
        <w:rPr>
          <w:rFonts w:ascii="Palatino Linotype" w:hAnsi="Palatino Linotype"/>
        </w:rPr>
        <w:t>p. 30.</w:t>
      </w:r>
    </w:p>
  </w:footnote>
  <w:footnote w:id="185">
    <w:p w14:paraId="5E70397A" w14:textId="77777777" w:rsidR="002F78F4" w:rsidRDefault="002F78F4" w:rsidP="002F78F4">
      <w:pPr>
        <w:pStyle w:val="FootnoteText"/>
      </w:pPr>
      <w:r>
        <w:rPr>
          <w:rStyle w:val="FootnoteReference"/>
        </w:rPr>
        <w:footnoteRef/>
      </w:r>
      <w:r>
        <w:t xml:space="preserve"> </w:t>
      </w:r>
      <w:r w:rsidRPr="00A23560">
        <w:rPr>
          <w:rFonts w:ascii="Palatino Linotype" w:hAnsi="Palatino Linotype"/>
        </w:rPr>
        <w:t>AL 12-G at p. 31.</w:t>
      </w:r>
    </w:p>
  </w:footnote>
  <w:footnote w:id="186">
    <w:p w14:paraId="1259F416" w14:textId="77777777" w:rsidR="002F78F4" w:rsidRDefault="002F78F4" w:rsidP="002F78F4">
      <w:pPr>
        <w:pStyle w:val="FootnoteText"/>
      </w:pPr>
      <w:r>
        <w:rPr>
          <w:rStyle w:val="FootnoteReference"/>
        </w:rPr>
        <w:footnoteRef/>
      </w:r>
      <w:r>
        <w:t xml:space="preserve"> </w:t>
      </w:r>
      <w:r w:rsidRPr="00A23560">
        <w:rPr>
          <w:rFonts w:ascii="Palatino Linotype" w:hAnsi="Palatino Linotype"/>
        </w:rPr>
        <w:t>AL 12-G at C-8.</w:t>
      </w:r>
    </w:p>
  </w:footnote>
  <w:footnote w:id="187">
    <w:p w14:paraId="1FF59FA6" w14:textId="77777777" w:rsidR="002F78F4" w:rsidRDefault="002F78F4" w:rsidP="002F78F4">
      <w:pPr>
        <w:pStyle w:val="FootnoteText"/>
      </w:pPr>
      <w:r>
        <w:rPr>
          <w:rStyle w:val="FootnoteReference"/>
        </w:rPr>
        <w:footnoteRef/>
      </w:r>
      <w:r>
        <w:t xml:space="preserve"> </w:t>
      </w:r>
      <w:r w:rsidRPr="00A56DC9">
        <w:rPr>
          <w:rFonts w:ascii="Palatino Linotype" w:hAnsi="Palatino Linotype"/>
        </w:rPr>
        <w:t>AL 12-G p. 37.</w:t>
      </w:r>
    </w:p>
  </w:footnote>
  <w:footnote w:id="188">
    <w:p w14:paraId="2CFA6ADD" w14:textId="77777777" w:rsidR="002F78F4" w:rsidRDefault="002F78F4" w:rsidP="002F78F4">
      <w:pPr>
        <w:pStyle w:val="FootnoteText"/>
      </w:pPr>
      <w:r>
        <w:rPr>
          <w:rStyle w:val="FootnoteReference"/>
        </w:rPr>
        <w:footnoteRef/>
      </w:r>
      <w:r>
        <w:t xml:space="preserve"> </w:t>
      </w:r>
      <w:r w:rsidRPr="00A56DC9">
        <w:rPr>
          <w:rFonts w:ascii="Palatino Linotype" w:hAnsi="Palatino Linotype"/>
        </w:rPr>
        <w:t>AL 12-G at p. 37 &amp; C-8.</w:t>
      </w:r>
    </w:p>
  </w:footnote>
  <w:footnote w:id="189">
    <w:p w14:paraId="1DE265AC" w14:textId="77777777" w:rsidR="002F78F4" w:rsidRDefault="002F78F4" w:rsidP="002F78F4">
      <w:pPr>
        <w:pStyle w:val="FootnoteText"/>
      </w:pPr>
      <w:r>
        <w:rPr>
          <w:rStyle w:val="FootnoteReference"/>
        </w:rPr>
        <w:footnoteRef/>
      </w:r>
      <w:r>
        <w:t xml:space="preserve"> </w:t>
      </w:r>
      <w:r w:rsidRPr="00E0735D">
        <w:rPr>
          <w:rFonts w:ascii="Palatino Linotype" w:hAnsi="Palatino Linotype"/>
        </w:rPr>
        <w:t>AL 12-G at p. 46 &amp; C-9 to C-10.</w:t>
      </w:r>
    </w:p>
  </w:footnote>
  <w:footnote w:id="190">
    <w:p w14:paraId="1163329B" w14:textId="77777777" w:rsidR="002F78F4" w:rsidRDefault="002F78F4" w:rsidP="002F78F4">
      <w:pPr>
        <w:pStyle w:val="FootnoteText"/>
      </w:pPr>
      <w:r>
        <w:rPr>
          <w:rStyle w:val="FootnoteReference"/>
        </w:rPr>
        <w:footnoteRef/>
      </w:r>
      <w:r>
        <w:t xml:space="preserve"> </w:t>
      </w:r>
      <w:r w:rsidRPr="00E0735D">
        <w:rPr>
          <w:rFonts w:ascii="Palatino Linotype" w:hAnsi="Palatino Linotype"/>
        </w:rPr>
        <w:t>AL 12-G at p. 46 &amp; C-12.</w:t>
      </w:r>
    </w:p>
  </w:footnote>
  <w:footnote w:id="191">
    <w:p w14:paraId="259923DA" w14:textId="77777777" w:rsidR="002F78F4" w:rsidRDefault="002F78F4" w:rsidP="002F78F4">
      <w:pPr>
        <w:pStyle w:val="FootnoteText"/>
      </w:pPr>
      <w:r>
        <w:rPr>
          <w:rStyle w:val="FootnoteReference"/>
        </w:rPr>
        <w:footnoteRef/>
      </w:r>
      <w:r>
        <w:t xml:space="preserve"> </w:t>
      </w:r>
      <w:r w:rsidRPr="0053031A">
        <w:rPr>
          <w:rFonts w:ascii="Palatino Linotype" w:hAnsi="Palatino Linotype"/>
        </w:rPr>
        <w:t>AL 12-G at p. 46.</w:t>
      </w:r>
    </w:p>
  </w:footnote>
  <w:footnote w:id="192">
    <w:p w14:paraId="7F0116DE"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12-G at p. 6.</w:t>
      </w:r>
    </w:p>
  </w:footnote>
  <w:footnote w:id="193">
    <w:p w14:paraId="67D73716" w14:textId="77777777" w:rsidR="002F78F4" w:rsidRDefault="002F78F4" w:rsidP="002F78F4">
      <w:pPr>
        <w:pStyle w:val="FootnoteText"/>
      </w:pPr>
      <w:r>
        <w:rPr>
          <w:rStyle w:val="FootnoteReference"/>
        </w:rPr>
        <w:footnoteRef/>
      </w:r>
      <w:r>
        <w:t xml:space="preserve"> </w:t>
      </w:r>
      <w:r w:rsidRPr="00B4400B">
        <w:rPr>
          <w:rFonts w:ascii="Palatino Linotype" w:hAnsi="Palatino Linotype"/>
        </w:rPr>
        <w:t>AL 12-G at p. 16-17.</w:t>
      </w:r>
    </w:p>
  </w:footnote>
  <w:footnote w:id="194">
    <w:p w14:paraId="46692B52" w14:textId="77777777" w:rsidR="002F78F4" w:rsidRDefault="002F78F4" w:rsidP="002F78F4">
      <w:pPr>
        <w:pStyle w:val="FootnoteText"/>
      </w:pPr>
      <w:r>
        <w:rPr>
          <w:rStyle w:val="FootnoteReference"/>
        </w:rPr>
        <w:footnoteRef/>
      </w:r>
      <w:r>
        <w:t xml:space="preserve"> </w:t>
      </w:r>
      <w:r w:rsidRPr="007D5673">
        <w:rPr>
          <w:rFonts w:ascii="Palatino Linotype" w:hAnsi="Palatino Linotype"/>
        </w:rPr>
        <w:t>AL 12-G at C-1.</w:t>
      </w:r>
    </w:p>
  </w:footnote>
  <w:footnote w:id="195">
    <w:p w14:paraId="4BAFCAF2" w14:textId="77777777" w:rsidR="002F78F4" w:rsidRDefault="002F78F4" w:rsidP="002F78F4">
      <w:pPr>
        <w:pStyle w:val="FootnoteText"/>
      </w:pPr>
      <w:r>
        <w:rPr>
          <w:rStyle w:val="FootnoteReference"/>
        </w:rPr>
        <w:footnoteRef/>
      </w:r>
      <w:r>
        <w:t xml:space="preserve"> </w:t>
      </w:r>
      <w:r w:rsidRPr="006B553D">
        <w:rPr>
          <w:rFonts w:ascii="Palatino Linotype" w:hAnsi="Palatino Linotype"/>
        </w:rPr>
        <w:t>AL 12-G at C-18</w:t>
      </w:r>
      <w:r>
        <w:t>.</w:t>
      </w:r>
    </w:p>
  </w:footnote>
  <w:footnote w:id="196">
    <w:p w14:paraId="32097DCE" w14:textId="77777777" w:rsidR="002F78F4" w:rsidRDefault="002F78F4" w:rsidP="002F78F4">
      <w:pPr>
        <w:pStyle w:val="FootnoteText"/>
      </w:pPr>
      <w:r>
        <w:rPr>
          <w:rStyle w:val="FootnoteReference"/>
        </w:rPr>
        <w:footnoteRef/>
      </w:r>
      <w:r>
        <w:t xml:space="preserve"> </w:t>
      </w:r>
      <w:r w:rsidRPr="00494FCA">
        <w:rPr>
          <w:rFonts w:ascii="Palatino Linotype" w:hAnsi="Palatino Linotype"/>
        </w:rPr>
        <w:t>AL 12-G at p. 17.</w:t>
      </w:r>
    </w:p>
  </w:footnote>
  <w:footnote w:id="197">
    <w:p w14:paraId="312C2426" w14:textId="77777777" w:rsidR="002F78F4" w:rsidRDefault="002F78F4" w:rsidP="002F78F4">
      <w:pPr>
        <w:pStyle w:val="FootnoteText"/>
      </w:pPr>
      <w:r>
        <w:rPr>
          <w:rStyle w:val="FootnoteReference"/>
        </w:rPr>
        <w:footnoteRef/>
      </w:r>
      <w:r>
        <w:t xml:space="preserve"> </w:t>
      </w:r>
      <w:r w:rsidRPr="009479A7">
        <w:rPr>
          <w:rFonts w:ascii="Palatino Linotype" w:hAnsi="Palatino Linotype"/>
          <w:i/>
          <w:iCs/>
        </w:rPr>
        <w:t>Ibid.</w:t>
      </w:r>
    </w:p>
  </w:footnote>
  <w:footnote w:id="198">
    <w:p w14:paraId="05739741" w14:textId="77777777" w:rsidR="002F78F4" w:rsidRDefault="002F78F4" w:rsidP="002F78F4">
      <w:pPr>
        <w:pStyle w:val="FootnoteText"/>
      </w:pPr>
      <w:r>
        <w:rPr>
          <w:rStyle w:val="FootnoteReference"/>
        </w:rPr>
        <w:footnoteRef/>
      </w:r>
      <w:r>
        <w:t xml:space="preserve"> </w:t>
      </w:r>
      <w:r w:rsidRPr="00E1378A">
        <w:rPr>
          <w:rFonts w:ascii="Palatino Linotype" w:hAnsi="Palatino Linotype"/>
        </w:rPr>
        <w:t>AL 12-G at C-1</w:t>
      </w:r>
      <w:r>
        <w:rPr>
          <w:rFonts w:ascii="Palatino Linotype" w:hAnsi="Palatino Linotype"/>
        </w:rPr>
        <w:t>.</w:t>
      </w:r>
    </w:p>
  </w:footnote>
  <w:footnote w:id="199">
    <w:p w14:paraId="3E7E5D19" w14:textId="77777777" w:rsidR="002F78F4" w:rsidRDefault="002F78F4" w:rsidP="002F78F4">
      <w:pPr>
        <w:pStyle w:val="FootnoteText"/>
      </w:pPr>
      <w:r>
        <w:rPr>
          <w:rStyle w:val="FootnoteReference"/>
        </w:rPr>
        <w:footnoteRef/>
      </w:r>
      <w:r>
        <w:t xml:space="preserve"> </w:t>
      </w:r>
      <w:r w:rsidRPr="002C1E2E">
        <w:rPr>
          <w:rFonts w:ascii="Palatino Linotype" w:hAnsi="Palatino Linotype"/>
        </w:rPr>
        <w:t>AL 12-G at p. 19-20.</w:t>
      </w:r>
    </w:p>
  </w:footnote>
  <w:footnote w:id="200">
    <w:p w14:paraId="10C662AC" w14:textId="77777777" w:rsidR="002F78F4" w:rsidRDefault="002F78F4" w:rsidP="002F78F4">
      <w:pPr>
        <w:pStyle w:val="FootnoteText"/>
      </w:pPr>
      <w:r>
        <w:rPr>
          <w:rStyle w:val="FootnoteReference"/>
        </w:rPr>
        <w:footnoteRef/>
      </w:r>
      <w:r>
        <w:t xml:space="preserve"> </w:t>
      </w:r>
      <w:r w:rsidRPr="006D2741">
        <w:rPr>
          <w:rFonts w:ascii="Palatino Linotype" w:hAnsi="Palatino Linotype"/>
        </w:rPr>
        <w:t>AL 12-G at C-19.</w:t>
      </w:r>
    </w:p>
  </w:footnote>
  <w:footnote w:id="201">
    <w:p w14:paraId="25C42B1D" w14:textId="77777777" w:rsidR="002F78F4" w:rsidRDefault="002F78F4" w:rsidP="002F78F4">
      <w:pPr>
        <w:pStyle w:val="FootnoteText"/>
      </w:pPr>
      <w:r>
        <w:rPr>
          <w:rStyle w:val="FootnoteReference"/>
        </w:rPr>
        <w:footnoteRef/>
      </w:r>
      <w:r>
        <w:t xml:space="preserve"> </w:t>
      </w:r>
      <w:r w:rsidRPr="007C50BE">
        <w:rPr>
          <w:rFonts w:ascii="Palatino Linotype" w:hAnsi="Palatino Linotype"/>
        </w:rPr>
        <w:t>AL 12-G at p. 27 &amp; C-20.</w:t>
      </w:r>
    </w:p>
  </w:footnote>
  <w:footnote w:id="202">
    <w:p w14:paraId="71B6CE13" w14:textId="77777777" w:rsidR="002F78F4" w:rsidRDefault="002F78F4" w:rsidP="002F78F4">
      <w:pPr>
        <w:pStyle w:val="FootnoteText"/>
      </w:pPr>
      <w:r>
        <w:rPr>
          <w:rStyle w:val="FootnoteReference"/>
        </w:rPr>
        <w:footnoteRef/>
      </w:r>
      <w:r>
        <w:t xml:space="preserve"> </w:t>
      </w:r>
      <w:r w:rsidRPr="006D2741">
        <w:rPr>
          <w:rFonts w:ascii="Palatino Linotype" w:hAnsi="Palatino Linotype"/>
        </w:rPr>
        <w:t>AL 12-G at C-19 to C-20.</w:t>
      </w:r>
    </w:p>
  </w:footnote>
  <w:footnote w:id="203">
    <w:p w14:paraId="0D0CA73E" w14:textId="77777777" w:rsidR="002F78F4" w:rsidRDefault="002F78F4" w:rsidP="002F78F4">
      <w:pPr>
        <w:pStyle w:val="FootnoteText"/>
      </w:pPr>
      <w:r>
        <w:rPr>
          <w:rStyle w:val="FootnoteReference"/>
        </w:rPr>
        <w:footnoteRef/>
      </w:r>
      <w:r>
        <w:t xml:space="preserve"> </w:t>
      </w:r>
      <w:r w:rsidRPr="002A5014">
        <w:rPr>
          <w:rFonts w:ascii="Palatino Linotype" w:hAnsi="Palatino Linotype"/>
        </w:rPr>
        <w:t>AL 12-G at C-8.</w:t>
      </w:r>
    </w:p>
  </w:footnote>
  <w:footnote w:id="204">
    <w:p w14:paraId="39789E36" w14:textId="77777777" w:rsidR="002F78F4" w:rsidRDefault="002F78F4" w:rsidP="002F78F4">
      <w:pPr>
        <w:pStyle w:val="FootnoteText"/>
      </w:pPr>
      <w:r>
        <w:rPr>
          <w:rStyle w:val="FootnoteReference"/>
        </w:rPr>
        <w:footnoteRef/>
      </w:r>
      <w:r>
        <w:t xml:space="preserve"> </w:t>
      </w:r>
      <w:r w:rsidRPr="002A5014">
        <w:rPr>
          <w:rFonts w:ascii="Palatino Linotype" w:hAnsi="Palatino Linotype"/>
        </w:rPr>
        <w:t xml:space="preserve">AL 12-G </w:t>
      </w:r>
      <w:r>
        <w:rPr>
          <w:rFonts w:ascii="Palatino Linotype" w:hAnsi="Palatino Linotype"/>
        </w:rPr>
        <w:t xml:space="preserve">at </w:t>
      </w:r>
      <w:r w:rsidRPr="002A5014">
        <w:rPr>
          <w:rFonts w:ascii="Palatino Linotype" w:hAnsi="Palatino Linotype"/>
        </w:rPr>
        <w:t>C-18 to C-19.</w:t>
      </w:r>
    </w:p>
  </w:footnote>
  <w:footnote w:id="205">
    <w:p w14:paraId="635A494B" w14:textId="77777777" w:rsidR="002F78F4" w:rsidRDefault="002F78F4" w:rsidP="002F78F4">
      <w:pPr>
        <w:pStyle w:val="FootnoteText"/>
      </w:pPr>
      <w:r>
        <w:rPr>
          <w:rStyle w:val="FootnoteReference"/>
        </w:rPr>
        <w:footnoteRef/>
      </w:r>
      <w:r>
        <w:t xml:space="preserve"> </w:t>
      </w:r>
      <w:r w:rsidRPr="00DE2CCA">
        <w:rPr>
          <w:rFonts w:ascii="Palatino Linotype" w:hAnsi="Palatino Linotype"/>
        </w:rPr>
        <w:t>AL 12-G at C-19.</w:t>
      </w:r>
    </w:p>
  </w:footnote>
  <w:footnote w:id="206">
    <w:p w14:paraId="19BAAD9F" w14:textId="77777777" w:rsidR="002F78F4" w:rsidRDefault="002F78F4" w:rsidP="002F78F4">
      <w:pPr>
        <w:pStyle w:val="FootnoteText"/>
      </w:pPr>
      <w:r>
        <w:rPr>
          <w:rStyle w:val="FootnoteReference"/>
        </w:rPr>
        <w:footnoteRef/>
      </w:r>
      <w:r>
        <w:t xml:space="preserve"> </w:t>
      </w:r>
      <w:r w:rsidRPr="001F7493">
        <w:rPr>
          <w:rFonts w:ascii="Palatino Linotype" w:hAnsi="Palatino Linotype"/>
        </w:rPr>
        <w:t>AL 12-G at C-21.</w:t>
      </w:r>
    </w:p>
  </w:footnote>
  <w:footnote w:id="207">
    <w:p w14:paraId="29A36B67" w14:textId="77777777" w:rsidR="002F78F4" w:rsidRDefault="002F78F4" w:rsidP="002F78F4">
      <w:pPr>
        <w:pStyle w:val="FootnoteText"/>
      </w:pPr>
      <w:r>
        <w:rPr>
          <w:rStyle w:val="FootnoteReference"/>
        </w:rPr>
        <w:footnoteRef/>
      </w:r>
      <w:r>
        <w:t xml:space="preserve"> </w:t>
      </w:r>
      <w:r w:rsidRPr="00FC2C0C">
        <w:rPr>
          <w:rFonts w:ascii="Palatino Linotype" w:hAnsi="Palatino Linotype"/>
        </w:rPr>
        <w:t>AL 12-G at p. 41.</w:t>
      </w:r>
    </w:p>
  </w:footnote>
  <w:footnote w:id="208">
    <w:p w14:paraId="7D5C228F" w14:textId="77777777" w:rsidR="002F78F4" w:rsidRDefault="002F78F4" w:rsidP="002F78F4">
      <w:pPr>
        <w:pStyle w:val="FootnoteText"/>
      </w:pPr>
      <w:r>
        <w:rPr>
          <w:rStyle w:val="FootnoteReference"/>
        </w:rPr>
        <w:footnoteRef/>
      </w:r>
      <w:r>
        <w:t xml:space="preserve"> </w:t>
      </w:r>
      <w:r w:rsidRPr="001F7493">
        <w:rPr>
          <w:rFonts w:ascii="Palatino Linotype" w:hAnsi="Palatino Linotype"/>
        </w:rPr>
        <w:t>AL 12-G at p. 41-42; C-21; &amp; C-22.</w:t>
      </w:r>
    </w:p>
  </w:footnote>
  <w:footnote w:id="209">
    <w:p w14:paraId="52A6C77A" w14:textId="77777777" w:rsidR="002F78F4" w:rsidRDefault="002F78F4" w:rsidP="002F78F4">
      <w:pPr>
        <w:pStyle w:val="FootnoteText"/>
      </w:pPr>
      <w:r>
        <w:rPr>
          <w:rStyle w:val="FootnoteReference"/>
        </w:rPr>
        <w:footnoteRef/>
      </w:r>
      <w:r>
        <w:t xml:space="preserve"> </w:t>
      </w:r>
      <w:r w:rsidRPr="001F7493">
        <w:rPr>
          <w:rFonts w:ascii="Palatino Linotype" w:hAnsi="Palatino Linotype"/>
          <w:i/>
          <w:iCs/>
        </w:rPr>
        <w:t>Ibid.</w:t>
      </w:r>
    </w:p>
  </w:footnote>
  <w:footnote w:id="210">
    <w:p w14:paraId="26EE86B2" w14:textId="01C9C157" w:rsidR="00D65E88" w:rsidRDefault="00D65E88">
      <w:pPr>
        <w:pStyle w:val="FootnoteText"/>
      </w:pPr>
      <w:r>
        <w:rPr>
          <w:rStyle w:val="FootnoteReference"/>
        </w:rPr>
        <w:footnoteRef/>
      </w:r>
      <w:r>
        <w:t xml:space="preserve"> </w:t>
      </w:r>
      <w:r w:rsidRPr="00D65E88">
        <w:rPr>
          <w:rFonts w:ascii="Palatino Linotype" w:hAnsi="Palatino Linotype"/>
        </w:rPr>
        <w:t>AL 12-G at p. 42.</w:t>
      </w:r>
      <w:r>
        <w:t xml:space="preserve"> </w:t>
      </w:r>
    </w:p>
  </w:footnote>
  <w:footnote w:id="211">
    <w:p w14:paraId="633F7327" w14:textId="77777777" w:rsidR="002F78F4" w:rsidRDefault="002F78F4" w:rsidP="002F78F4">
      <w:pPr>
        <w:pStyle w:val="FootnoteText"/>
      </w:pPr>
      <w:r>
        <w:rPr>
          <w:rStyle w:val="FootnoteReference"/>
        </w:rPr>
        <w:footnoteRef/>
      </w:r>
      <w:r>
        <w:t xml:space="preserve"> </w:t>
      </w:r>
      <w:r w:rsidRPr="009479A7">
        <w:rPr>
          <w:rFonts w:ascii="Palatino Linotype" w:hAnsi="Palatino Linotype"/>
        </w:rPr>
        <w:t>AL 12-G at p. 25.</w:t>
      </w:r>
    </w:p>
  </w:footnote>
  <w:footnote w:id="212">
    <w:p w14:paraId="14318539" w14:textId="77777777" w:rsidR="002F78F4" w:rsidRDefault="002F78F4" w:rsidP="002F78F4">
      <w:pPr>
        <w:pStyle w:val="FootnoteText"/>
      </w:pPr>
      <w:r>
        <w:rPr>
          <w:rStyle w:val="FootnoteReference"/>
        </w:rPr>
        <w:footnoteRef/>
      </w:r>
      <w:r>
        <w:t xml:space="preserve"> </w:t>
      </w:r>
      <w:r w:rsidRPr="009479A7">
        <w:rPr>
          <w:rFonts w:ascii="Palatino Linotype" w:hAnsi="Palatino Linotype"/>
        </w:rPr>
        <w:t>AL 12-G at p. 26.</w:t>
      </w:r>
    </w:p>
  </w:footnote>
  <w:footnote w:id="213">
    <w:p w14:paraId="4AD09E51" w14:textId="77777777" w:rsidR="002F78F4" w:rsidRDefault="002F78F4" w:rsidP="002F78F4">
      <w:pPr>
        <w:pStyle w:val="FootnoteText"/>
      </w:pPr>
      <w:r>
        <w:rPr>
          <w:rStyle w:val="FootnoteReference"/>
        </w:rPr>
        <w:footnoteRef/>
      </w:r>
      <w:r>
        <w:t xml:space="preserve"> </w:t>
      </w:r>
      <w:r w:rsidRPr="009479A7">
        <w:rPr>
          <w:rFonts w:ascii="Palatino Linotype" w:hAnsi="Palatino Linotype"/>
          <w:i/>
          <w:iCs/>
        </w:rPr>
        <w:t>Ibid.</w:t>
      </w:r>
    </w:p>
  </w:footnote>
  <w:footnote w:id="214">
    <w:p w14:paraId="4056759F" w14:textId="77777777" w:rsidR="002F78F4" w:rsidRDefault="002F78F4" w:rsidP="002F78F4">
      <w:pPr>
        <w:pStyle w:val="FootnoteText"/>
      </w:pPr>
      <w:r>
        <w:rPr>
          <w:rStyle w:val="FootnoteReference"/>
        </w:rPr>
        <w:footnoteRef/>
      </w:r>
      <w:r>
        <w:t xml:space="preserve"> </w:t>
      </w:r>
      <w:r w:rsidRPr="00200B0A">
        <w:rPr>
          <w:rFonts w:ascii="Palatino Linotype" w:hAnsi="Palatino Linotype"/>
        </w:rPr>
        <w:t>AL 12-G at p. 31.</w:t>
      </w:r>
    </w:p>
  </w:footnote>
  <w:footnote w:id="215">
    <w:p w14:paraId="4FEB39B1" w14:textId="77777777" w:rsidR="002F78F4" w:rsidRDefault="002F78F4" w:rsidP="002F78F4">
      <w:pPr>
        <w:pStyle w:val="FootnoteText"/>
      </w:pPr>
      <w:r>
        <w:rPr>
          <w:rStyle w:val="FootnoteReference"/>
        </w:rPr>
        <w:footnoteRef/>
      </w:r>
      <w:r>
        <w:t xml:space="preserve"> </w:t>
      </w:r>
      <w:r w:rsidRPr="0082425A">
        <w:rPr>
          <w:rFonts w:ascii="Palatino Linotype" w:hAnsi="Palatino Linotype"/>
        </w:rPr>
        <w:t>AL 12-G at C-20.</w:t>
      </w:r>
    </w:p>
  </w:footnote>
  <w:footnote w:id="216">
    <w:p w14:paraId="0E11087B" w14:textId="77777777" w:rsidR="002F78F4" w:rsidRDefault="002F78F4" w:rsidP="002F78F4">
      <w:pPr>
        <w:pStyle w:val="FootnoteText"/>
      </w:pPr>
      <w:r>
        <w:rPr>
          <w:rStyle w:val="FootnoteReference"/>
        </w:rPr>
        <w:footnoteRef/>
      </w:r>
      <w:r>
        <w:t xml:space="preserve"> </w:t>
      </w:r>
      <w:r w:rsidRPr="00C700FE">
        <w:rPr>
          <w:rFonts w:ascii="Palatino Linotype" w:hAnsi="Palatino Linotype"/>
        </w:rPr>
        <w:t>AL 12-G at p. 20-22.</w:t>
      </w:r>
    </w:p>
  </w:footnote>
  <w:footnote w:id="217">
    <w:p w14:paraId="3E7F0D9B" w14:textId="77777777" w:rsidR="002F78F4" w:rsidRDefault="002F78F4" w:rsidP="002F78F4">
      <w:pPr>
        <w:pStyle w:val="FootnoteText"/>
      </w:pPr>
      <w:r>
        <w:rPr>
          <w:rStyle w:val="FootnoteReference"/>
        </w:rPr>
        <w:footnoteRef/>
      </w:r>
      <w:r>
        <w:t xml:space="preserve"> </w:t>
      </w:r>
      <w:r w:rsidRPr="009B240C">
        <w:rPr>
          <w:rFonts w:ascii="Palatino Linotype" w:hAnsi="Palatino Linotype"/>
        </w:rPr>
        <w:t>AL 12-G at p. 28-29, 34-35, &amp; 42-44.</w:t>
      </w:r>
    </w:p>
  </w:footnote>
  <w:footnote w:id="218">
    <w:p w14:paraId="2B39D29E" w14:textId="77777777" w:rsidR="002F78F4" w:rsidRDefault="002F78F4" w:rsidP="002F78F4">
      <w:pPr>
        <w:pStyle w:val="FootnoteText"/>
      </w:pPr>
      <w:r>
        <w:rPr>
          <w:rStyle w:val="FootnoteReference"/>
        </w:rPr>
        <w:footnoteRef/>
      </w:r>
      <w:r>
        <w:t xml:space="preserve"> </w:t>
      </w:r>
      <w:r w:rsidRPr="004E00BD">
        <w:rPr>
          <w:rFonts w:ascii="Palatino Linotype" w:hAnsi="Palatino Linotype"/>
        </w:rPr>
        <w:t>AL 12-G at p. 28-29.</w:t>
      </w:r>
    </w:p>
  </w:footnote>
  <w:footnote w:id="219">
    <w:p w14:paraId="6451D309" w14:textId="77777777" w:rsidR="002F78F4" w:rsidRDefault="002F78F4" w:rsidP="002F78F4">
      <w:pPr>
        <w:pStyle w:val="FootnoteText"/>
      </w:pPr>
      <w:r>
        <w:rPr>
          <w:rStyle w:val="FootnoteReference"/>
        </w:rPr>
        <w:footnoteRef/>
      </w:r>
      <w:r>
        <w:t xml:space="preserve"> </w:t>
      </w:r>
      <w:r w:rsidRPr="00CB5B0F">
        <w:rPr>
          <w:rFonts w:ascii="Palatino Linotype" w:hAnsi="Palatino Linotype"/>
        </w:rPr>
        <w:t>AL 12-G at p. 34-35.</w:t>
      </w:r>
    </w:p>
  </w:footnote>
  <w:footnote w:id="220">
    <w:p w14:paraId="3219DFBB" w14:textId="77777777" w:rsidR="002F78F4" w:rsidRDefault="002F78F4" w:rsidP="002F78F4">
      <w:pPr>
        <w:pStyle w:val="FootnoteText"/>
      </w:pPr>
      <w:r>
        <w:rPr>
          <w:rStyle w:val="FootnoteReference"/>
        </w:rPr>
        <w:footnoteRef/>
      </w:r>
      <w:r>
        <w:t xml:space="preserve"> </w:t>
      </w:r>
      <w:r w:rsidRPr="00CD3C17">
        <w:rPr>
          <w:rFonts w:ascii="Palatino Linotype" w:hAnsi="Palatino Linotype"/>
        </w:rPr>
        <w:t>AL 12-G at p. 42-44.</w:t>
      </w:r>
    </w:p>
  </w:footnote>
  <w:footnote w:id="221">
    <w:p w14:paraId="25A8CC25"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w:t>
      </w:r>
      <w:r>
        <w:rPr>
          <w:rFonts w:ascii="Palatino Linotype" w:hAnsi="Palatino Linotype"/>
        </w:rPr>
        <w:t>7</w:t>
      </w:r>
    </w:p>
  </w:footnote>
  <w:footnote w:id="222">
    <w:p w14:paraId="57AC7EA8"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w:t>
      </w:r>
    </w:p>
  </w:footnote>
  <w:footnote w:id="223">
    <w:p w14:paraId="0F83DD5C" w14:textId="77777777" w:rsidR="002F78F4" w:rsidRDefault="002F78F4" w:rsidP="002F78F4">
      <w:pPr>
        <w:pStyle w:val="FootnoteText"/>
      </w:pPr>
      <w:r w:rsidRPr="004B5E95">
        <w:rPr>
          <w:rStyle w:val="FootnoteReference"/>
          <w:rFonts w:ascii="Palatino Linotype" w:hAnsi="Palatino Linotype"/>
        </w:rPr>
        <w:footnoteRef/>
      </w:r>
      <w:r w:rsidRPr="004B5E95">
        <w:rPr>
          <w:rFonts w:ascii="Palatino Linotype" w:hAnsi="Palatino Linotype"/>
        </w:rPr>
        <w:t xml:space="preserve"> AL </w:t>
      </w:r>
    </w:p>
  </w:footnote>
  <w:footnote w:id="224">
    <w:p w14:paraId="50CFBC3B" w14:textId="77777777" w:rsidR="002F78F4" w:rsidRDefault="002F78F4" w:rsidP="002F78F4">
      <w:pPr>
        <w:pStyle w:val="FootnoteText"/>
      </w:pPr>
      <w:r>
        <w:rPr>
          <w:rStyle w:val="FootnoteReference"/>
        </w:rPr>
        <w:footnoteRef/>
      </w:r>
      <w:r>
        <w:t xml:space="preserve"> </w:t>
      </w:r>
      <w:r w:rsidRPr="004B2C74">
        <w:rPr>
          <w:rFonts w:ascii="Palatino Linotype" w:hAnsi="Palatino Linotype"/>
        </w:rPr>
        <w:t xml:space="preserve">AL </w:t>
      </w:r>
      <w:r>
        <w:rPr>
          <w:rFonts w:ascii="Palatino Linotype" w:hAnsi="Palatino Linotype"/>
        </w:rPr>
        <w:t>10-G-A at p. 6-7.</w:t>
      </w:r>
    </w:p>
  </w:footnote>
  <w:footnote w:id="225">
    <w:p w14:paraId="4C750AE9" w14:textId="77777777" w:rsidR="002F78F4" w:rsidRDefault="002F78F4" w:rsidP="002F78F4">
      <w:pPr>
        <w:pStyle w:val="FootnoteText"/>
      </w:pPr>
      <w:r>
        <w:rPr>
          <w:rStyle w:val="FootnoteReference"/>
        </w:rPr>
        <w:footnoteRef/>
      </w:r>
      <w:r>
        <w:t xml:space="preserve"> </w:t>
      </w:r>
      <w:r w:rsidRPr="00C73545">
        <w:rPr>
          <w:rFonts w:ascii="Palatino Linotype" w:hAnsi="Palatino Linotype"/>
        </w:rPr>
        <w:t xml:space="preserve">AL </w:t>
      </w:r>
      <w:r>
        <w:rPr>
          <w:rFonts w:ascii="Palatino Linotype" w:hAnsi="Palatino Linotype"/>
        </w:rPr>
        <w:t>10-G-A at p. 2 &amp; 22.</w:t>
      </w:r>
    </w:p>
  </w:footnote>
  <w:footnote w:id="226">
    <w:p w14:paraId="41306091" w14:textId="77777777" w:rsidR="002F78F4" w:rsidRDefault="002F78F4" w:rsidP="002F78F4">
      <w:pPr>
        <w:pStyle w:val="FootnoteText"/>
      </w:pPr>
      <w:r>
        <w:rPr>
          <w:rStyle w:val="FootnoteReference"/>
        </w:rPr>
        <w:footnoteRef/>
      </w:r>
      <w:r>
        <w:t xml:space="preserve"> </w:t>
      </w:r>
      <w:r w:rsidRPr="00A36047">
        <w:rPr>
          <w:rFonts w:ascii="Palatino Linotype" w:hAnsi="Palatino Linotype"/>
        </w:rPr>
        <w:t>Consistent with</w:t>
      </w:r>
      <w:r>
        <w:t xml:space="preserve"> </w:t>
      </w:r>
      <w:hyperlink r:id="rId151" w:history="1">
        <w:r w:rsidRPr="00174D64">
          <w:rPr>
            <w:rStyle w:val="Hyperlink"/>
            <w:rFonts w:ascii="Palatino Linotype" w:hAnsi="Palatino Linotype"/>
          </w:rPr>
          <w:t>Public Utilities Code Section 384</w:t>
        </w:r>
      </w:hyperlink>
      <w:r w:rsidRPr="00174D64">
        <w:rPr>
          <w:rFonts w:ascii="Palatino Linotype" w:hAnsi="Palatino Linotype"/>
        </w:rPr>
        <w:t xml:space="preserve"> at (a) </w:t>
      </w:r>
      <w:r>
        <w:rPr>
          <w:rFonts w:ascii="Palatino Linotype" w:hAnsi="Palatino Linotype"/>
        </w:rPr>
        <w:t xml:space="preserve">&amp; </w:t>
      </w:r>
      <w:hyperlink r:id="rId152" w:tgtFrame="_blank" w:history="1">
        <w:r>
          <w:rPr>
            <w:rStyle w:val="Hyperlink"/>
            <w:rFonts w:ascii="Palatino Linotype" w:hAnsi="Palatino Linotype"/>
          </w:rPr>
          <w:t>Resolution G-3584</w:t>
        </w:r>
      </w:hyperlink>
      <w:r>
        <w:rPr>
          <w:rFonts w:ascii="Palatino Linotype" w:hAnsi="Palatino Linotype"/>
        </w:rPr>
        <w:t xml:space="preserve"> (2021) at p. 8.</w:t>
      </w:r>
    </w:p>
  </w:footnote>
  <w:footnote w:id="227">
    <w:p w14:paraId="77F55EEF" w14:textId="77777777" w:rsidR="002F78F4" w:rsidRDefault="002F78F4" w:rsidP="002F78F4">
      <w:pPr>
        <w:pStyle w:val="FootnoteText"/>
      </w:pPr>
      <w:r>
        <w:rPr>
          <w:rStyle w:val="FootnoteReference"/>
        </w:rPr>
        <w:footnoteRef/>
      </w:r>
      <w:r>
        <w:t xml:space="preserve"> </w:t>
      </w:r>
      <w:r w:rsidRPr="00D66C1F">
        <w:rPr>
          <w:rFonts w:ascii="Palatino Linotype" w:hAnsi="Palatino Linotype"/>
        </w:rPr>
        <w:t>AL 1</w:t>
      </w:r>
      <w:r>
        <w:rPr>
          <w:rFonts w:ascii="Palatino Linotype" w:hAnsi="Palatino Linotype"/>
        </w:rPr>
        <w:t>0</w:t>
      </w:r>
      <w:r w:rsidRPr="00D66C1F">
        <w:rPr>
          <w:rFonts w:ascii="Palatino Linotype" w:hAnsi="Palatino Linotype"/>
        </w:rPr>
        <w:t>-G</w:t>
      </w:r>
      <w:r>
        <w:rPr>
          <w:rFonts w:ascii="Palatino Linotype" w:hAnsi="Palatino Linotype"/>
        </w:rPr>
        <w:t>-A</w:t>
      </w:r>
      <w:r w:rsidRPr="00D66C1F">
        <w:rPr>
          <w:rFonts w:ascii="Palatino Linotype" w:hAnsi="Palatino Linotype"/>
        </w:rPr>
        <w:t xml:space="preserve"> at B-1.</w:t>
      </w:r>
      <w:r>
        <w:t xml:space="preserve"> </w:t>
      </w:r>
    </w:p>
  </w:footnote>
  <w:footnote w:id="228">
    <w:p w14:paraId="1B47E2E0"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w:t>
      </w:r>
      <w:r>
        <w:rPr>
          <w:rFonts w:ascii="Palatino Linotype" w:hAnsi="Palatino Linotype"/>
        </w:rPr>
        <w:t>0-G-A</w:t>
      </w:r>
      <w:r w:rsidRPr="00971EE0">
        <w:rPr>
          <w:rFonts w:ascii="Palatino Linotype" w:hAnsi="Palatino Linotype"/>
        </w:rPr>
        <w:t xml:space="preserve"> at B-1.</w:t>
      </w:r>
    </w:p>
  </w:footnote>
  <w:footnote w:id="229">
    <w:p w14:paraId="2FD75C28" w14:textId="77777777" w:rsidR="002F78F4" w:rsidRDefault="002F78F4" w:rsidP="002F78F4">
      <w:pPr>
        <w:pStyle w:val="FootnoteText"/>
      </w:pPr>
      <w:r>
        <w:rPr>
          <w:rStyle w:val="FootnoteReference"/>
        </w:rPr>
        <w:footnoteRef/>
      </w:r>
      <w:r>
        <w:t xml:space="preserve"> </w:t>
      </w:r>
      <w:r w:rsidRPr="003B3B6D">
        <w:rPr>
          <w:rFonts w:ascii="Palatino Linotype" w:hAnsi="Palatino Linotype"/>
        </w:rPr>
        <w:t xml:space="preserve">The Commission’s compliance assessments </w:t>
      </w:r>
      <w:r w:rsidRPr="002032BA">
        <w:rPr>
          <w:rFonts w:ascii="Palatino Linotype" w:hAnsi="Palatino Linotype"/>
        </w:rPr>
        <w:t xml:space="preserve">of </w:t>
      </w:r>
      <w:hyperlink r:id="rId153" w:history="1">
        <w:r w:rsidRPr="002032BA">
          <w:rPr>
            <w:rStyle w:val="Hyperlink"/>
            <w:rFonts w:ascii="Palatino Linotype" w:hAnsi="Palatino Linotype"/>
          </w:rPr>
          <w:t>Resolution G-3571</w:t>
        </w:r>
      </w:hyperlink>
      <w:r w:rsidRPr="002032BA">
        <w:rPr>
          <w:rFonts w:ascii="Palatino Linotype" w:hAnsi="Palatino Linotype"/>
        </w:rPr>
        <w:t xml:space="preserve"> at OP 5a is</w:t>
      </w:r>
      <w:r w:rsidRPr="003B3B6D">
        <w:rPr>
          <w:rFonts w:ascii="Palatino Linotype" w:hAnsi="Palatino Linotype"/>
        </w:rPr>
        <w:t xml:space="preserve"> captured in the compliance assessment</w:t>
      </w:r>
      <w:r>
        <w:rPr>
          <w:rFonts w:ascii="Palatino Linotype" w:hAnsi="Palatino Linotype"/>
        </w:rPr>
        <w:t xml:space="preserve"> of AL 10-G-A </w:t>
      </w:r>
      <w:r w:rsidRPr="003B3B6D">
        <w:rPr>
          <w:rFonts w:ascii="Palatino Linotype" w:hAnsi="Palatino Linotype"/>
        </w:rPr>
        <w:t xml:space="preserve">with </w:t>
      </w:r>
      <w:hyperlink r:id="rId154" w:history="1">
        <w:r w:rsidRPr="00C45D8E">
          <w:rPr>
            <w:rStyle w:val="Hyperlink"/>
            <w:rFonts w:ascii="Palatino Linotype" w:hAnsi="Palatino Linotype"/>
          </w:rPr>
          <w:t>Resolution G-3603</w:t>
        </w:r>
      </w:hyperlink>
      <w:r>
        <w:rPr>
          <w:rFonts w:ascii="Palatino Linotype" w:hAnsi="Palatino Linotype"/>
        </w:rPr>
        <w:t xml:space="preserve"> at OP 5.</w:t>
      </w:r>
    </w:p>
  </w:footnote>
  <w:footnote w:id="230">
    <w:p w14:paraId="73F72785" w14:textId="77777777" w:rsidR="002F78F4" w:rsidRDefault="002F78F4" w:rsidP="002F78F4">
      <w:pPr>
        <w:pStyle w:val="FootnoteText"/>
      </w:pPr>
      <w:r>
        <w:rPr>
          <w:rStyle w:val="FootnoteReference"/>
        </w:rPr>
        <w:footnoteRef/>
      </w:r>
      <w:r>
        <w:t xml:space="preserve"> </w:t>
      </w:r>
      <w:r w:rsidRPr="00F244B7">
        <w:rPr>
          <w:rFonts w:ascii="Palatino Linotype" w:hAnsi="Palatino Linotype"/>
        </w:rPr>
        <w:t>AL 1</w:t>
      </w:r>
      <w:r>
        <w:rPr>
          <w:rFonts w:ascii="Palatino Linotype" w:hAnsi="Palatino Linotype"/>
        </w:rPr>
        <w:t>0-G-A</w:t>
      </w:r>
      <w:r w:rsidRPr="00F244B7">
        <w:rPr>
          <w:rFonts w:ascii="Palatino Linotype" w:hAnsi="Palatino Linotype"/>
        </w:rPr>
        <w:t xml:space="preserve"> at p. 10.</w:t>
      </w:r>
    </w:p>
  </w:footnote>
  <w:footnote w:id="231">
    <w:p w14:paraId="6BB413F9" w14:textId="77777777" w:rsidR="002F78F4" w:rsidRDefault="002F78F4" w:rsidP="002F78F4">
      <w:pPr>
        <w:pStyle w:val="FootnoteText"/>
      </w:pPr>
      <w:r>
        <w:rPr>
          <w:rStyle w:val="FootnoteReference"/>
        </w:rPr>
        <w:footnoteRef/>
      </w:r>
      <w:r>
        <w:t xml:space="preserve"> </w:t>
      </w:r>
      <w:r w:rsidRPr="0025265A">
        <w:rPr>
          <w:rFonts w:ascii="Palatino Linotype" w:hAnsi="Palatino Linotype"/>
          <w:i/>
          <w:iCs/>
        </w:rPr>
        <w:t>Ibid.</w:t>
      </w:r>
    </w:p>
  </w:footnote>
  <w:footnote w:id="232">
    <w:p w14:paraId="766F1EA1" w14:textId="77777777" w:rsidR="002F78F4" w:rsidRDefault="002F78F4" w:rsidP="002F78F4">
      <w:pPr>
        <w:pStyle w:val="FootnoteText"/>
      </w:pPr>
      <w:r>
        <w:rPr>
          <w:rStyle w:val="FootnoteReference"/>
        </w:rPr>
        <w:footnoteRef/>
      </w:r>
      <w:r>
        <w:t xml:space="preserve"> </w:t>
      </w:r>
      <w:r w:rsidRPr="00BF170A">
        <w:rPr>
          <w:rFonts w:ascii="Palatino Linotype" w:hAnsi="Palatino Linotype"/>
        </w:rPr>
        <w:t xml:space="preserve">AL </w:t>
      </w:r>
      <w:r>
        <w:rPr>
          <w:rFonts w:ascii="Palatino Linotype" w:hAnsi="Palatino Linotype"/>
        </w:rPr>
        <w:t>10-G-A at p. 10.</w:t>
      </w:r>
    </w:p>
  </w:footnote>
  <w:footnote w:id="233">
    <w:p w14:paraId="1FF70B57" w14:textId="77777777" w:rsidR="002F78F4" w:rsidRDefault="002F78F4" w:rsidP="002F78F4">
      <w:pPr>
        <w:pStyle w:val="FootnoteText"/>
      </w:pPr>
      <w:r>
        <w:rPr>
          <w:rStyle w:val="FootnoteReference"/>
        </w:rPr>
        <w:footnoteRef/>
      </w:r>
      <w:r>
        <w:t xml:space="preserve"> </w:t>
      </w:r>
      <w:r w:rsidRPr="00547E0D">
        <w:rPr>
          <w:rFonts w:ascii="Palatino Linotype" w:hAnsi="Palatino Linotype"/>
        </w:rPr>
        <w:t>Kenney, Michael, Nicholas Janusch, Ingrid Neumann, and Mike Jaske. California Energy Commission. 2021. “California Building Decarbonization Assessment.” Publication Number: CEC-400-2021-006-CMF.</w:t>
      </w:r>
      <w:r>
        <w:rPr>
          <w:rFonts w:ascii="Palatino Linotype" w:hAnsi="Palatino Linotype"/>
        </w:rPr>
        <w:t xml:space="preserve"> </w:t>
      </w:r>
      <w:hyperlink r:id="rId155" w:history="1">
        <w:r w:rsidRPr="00642C5F">
          <w:rPr>
            <w:rStyle w:val="Hyperlink"/>
            <w:rFonts w:ascii="Palatino Linotype" w:hAnsi="Palatino Linotype"/>
          </w:rPr>
          <w:t>https://www.energy.ca.gov/publications/2021/california-building-decarbonization-assessment</w:t>
        </w:r>
      </w:hyperlink>
      <w:r>
        <w:rPr>
          <w:rFonts w:ascii="Palatino Linotype" w:hAnsi="Palatino Linotype"/>
        </w:rPr>
        <w:t>.</w:t>
      </w:r>
    </w:p>
  </w:footnote>
  <w:footnote w:id="234">
    <w:p w14:paraId="637ABE07" w14:textId="77777777" w:rsidR="002F78F4" w:rsidRDefault="002F78F4" w:rsidP="002F78F4">
      <w:pPr>
        <w:pStyle w:val="FootnoteText"/>
      </w:pPr>
      <w:r>
        <w:rPr>
          <w:rStyle w:val="FootnoteReference"/>
        </w:rPr>
        <w:footnoteRef/>
      </w:r>
      <w:r>
        <w:t xml:space="preserve"> </w:t>
      </w:r>
      <w:r w:rsidRPr="00D561F9">
        <w:rPr>
          <w:rFonts w:ascii="Palatino Linotype" w:hAnsi="Palatino Linotype"/>
        </w:rPr>
        <w:t>AL 10-G-A at p. 8-9.</w:t>
      </w:r>
    </w:p>
  </w:footnote>
  <w:footnote w:id="235">
    <w:p w14:paraId="76D8FFEF" w14:textId="77777777" w:rsidR="002F78F4" w:rsidRDefault="002F78F4" w:rsidP="002F78F4">
      <w:pPr>
        <w:pStyle w:val="FootnoteText"/>
      </w:pPr>
      <w:r>
        <w:rPr>
          <w:rStyle w:val="FootnoteReference"/>
        </w:rPr>
        <w:footnoteRef/>
      </w:r>
      <w:r>
        <w:t xml:space="preserve"> </w:t>
      </w:r>
      <w:r w:rsidRPr="003D2171">
        <w:rPr>
          <w:rFonts w:ascii="Palatino Linotype" w:hAnsi="Palatino Linotype"/>
        </w:rPr>
        <w:t xml:space="preserve">AL </w:t>
      </w:r>
      <w:r>
        <w:rPr>
          <w:rFonts w:ascii="Palatino Linotype" w:hAnsi="Palatino Linotype"/>
        </w:rPr>
        <w:t>10-G-A at p. 9.</w:t>
      </w:r>
    </w:p>
  </w:footnote>
  <w:footnote w:id="236">
    <w:p w14:paraId="22DAB601" w14:textId="4F95BE07" w:rsidR="000E561B" w:rsidRDefault="000E561B" w:rsidP="002F78F4">
      <w:pPr>
        <w:pStyle w:val="FootnoteText"/>
      </w:pPr>
      <w:r>
        <w:rPr>
          <w:rStyle w:val="FootnoteReference"/>
        </w:rPr>
        <w:footnoteRef/>
      </w:r>
      <w:r>
        <w:t xml:space="preserve"> </w:t>
      </w:r>
      <w:r w:rsidRPr="00C73545">
        <w:rPr>
          <w:rFonts w:ascii="Palatino Linotype" w:hAnsi="Palatino Linotype"/>
        </w:rPr>
        <w:t xml:space="preserve">AL </w:t>
      </w:r>
      <w:r>
        <w:rPr>
          <w:rFonts w:ascii="Palatino Linotype" w:hAnsi="Palatino Linotype"/>
        </w:rPr>
        <w:t>10-G-A at p. 2 &amp; 22.</w:t>
      </w:r>
    </w:p>
  </w:footnote>
  <w:footnote w:id="237">
    <w:p w14:paraId="7DDF7B84" w14:textId="77777777" w:rsidR="002F78F4" w:rsidRDefault="002F78F4" w:rsidP="002F78F4">
      <w:pPr>
        <w:pStyle w:val="FootnoteText"/>
      </w:pPr>
      <w:r>
        <w:rPr>
          <w:rStyle w:val="FootnoteReference"/>
        </w:rPr>
        <w:footnoteRef/>
      </w:r>
      <w:r>
        <w:t xml:space="preserve"> </w:t>
      </w:r>
      <w:r w:rsidRPr="00B05EA2">
        <w:rPr>
          <w:rFonts w:ascii="Palatino Linotype" w:hAnsi="Palatino Linotype"/>
        </w:rPr>
        <w:t>AL 1</w:t>
      </w:r>
      <w:r>
        <w:rPr>
          <w:rFonts w:ascii="Palatino Linotype" w:hAnsi="Palatino Linotype"/>
        </w:rPr>
        <w:t>0-G-A at p. 45.</w:t>
      </w:r>
    </w:p>
  </w:footnote>
  <w:footnote w:id="238">
    <w:p w14:paraId="0192755C"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 xml:space="preserve">AL </w:t>
      </w:r>
      <w:r>
        <w:rPr>
          <w:rFonts w:ascii="Palatino Linotype" w:hAnsi="Palatino Linotype"/>
        </w:rPr>
        <w:t>10-G-A at p. 6.</w:t>
      </w:r>
    </w:p>
  </w:footnote>
  <w:footnote w:id="239">
    <w:p w14:paraId="6AAD0E61" w14:textId="77777777" w:rsidR="002F78F4" w:rsidRDefault="002F78F4" w:rsidP="002F78F4">
      <w:pPr>
        <w:pStyle w:val="FootnoteText"/>
      </w:pPr>
      <w:r>
        <w:rPr>
          <w:rStyle w:val="FootnoteReference"/>
        </w:rPr>
        <w:footnoteRef/>
      </w:r>
      <w:r>
        <w:t xml:space="preserve"> </w:t>
      </w:r>
      <w:r w:rsidRPr="00551269">
        <w:rPr>
          <w:rFonts w:ascii="Palatino Linotype" w:hAnsi="Palatino Linotype"/>
        </w:rPr>
        <w:t>AL 1</w:t>
      </w:r>
      <w:r>
        <w:rPr>
          <w:rFonts w:ascii="Palatino Linotype" w:hAnsi="Palatino Linotype"/>
        </w:rPr>
        <w:t>0</w:t>
      </w:r>
      <w:r w:rsidRPr="00551269">
        <w:rPr>
          <w:rFonts w:ascii="Palatino Linotype" w:hAnsi="Palatino Linotype"/>
        </w:rPr>
        <w:t>-G</w:t>
      </w:r>
      <w:r>
        <w:rPr>
          <w:rFonts w:ascii="Palatino Linotype" w:hAnsi="Palatino Linotype"/>
        </w:rPr>
        <w:t>-A</w:t>
      </w:r>
      <w:r w:rsidRPr="00551269">
        <w:rPr>
          <w:rFonts w:ascii="Palatino Linotype" w:hAnsi="Palatino Linotype"/>
        </w:rPr>
        <w:t xml:space="preserve"> at p. 13.</w:t>
      </w:r>
    </w:p>
  </w:footnote>
  <w:footnote w:id="240">
    <w:p w14:paraId="0C0D95C8" w14:textId="77777777" w:rsidR="002F78F4" w:rsidRDefault="002F78F4" w:rsidP="002F78F4">
      <w:pPr>
        <w:pStyle w:val="FootnoteText"/>
      </w:pPr>
      <w:r>
        <w:rPr>
          <w:rStyle w:val="FootnoteReference"/>
        </w:rPr>
        <w:footnoteRef/>
      </w:r>
      <w:r>
        <w:t xml:space="preserve"> </w:t>
      </w:r>
      <w:r w:rsidRPr="00C75177">
        <w:rPr>
          <w:rFonts w:ascii="Palatino Linotype" w:hAnsi="Palatino Linotype"/>
        </w:rPr>
        <w:t>AL 10-G-A at D-10 to D-11.</w:t>
      </w:r>
    </w:p>
  </w:footnote>
  <w:footnote w:id="241">
    <w:p w14:paraId="0037BFE0" w14:textId="77777777" w:rsidR="002F78F4" w:rsidRDefault="002F78F4" w:rsidP="002F78F4">
      <w:pPr>
        <w:pStyle w:val="FootnoteText"/>
      </w:pPr>
      <w:r>
        <w:rPr>
          <w:rStyle w:val="FootnoteReference"/>
        </w:rPr>
        <w:footnoteRef/>
      </w:r>
      <w:r>
        <w:t xml:space="preserve"> </w:t>
      </w:r>
      <w:r w:rsidRPr="00AD001C">
        <w:rPr>
          <w:rFonts w:ascii="Palatino Linotype" w:hAnsi="Palatino Linotype"/>
        </w:rPr>
        <w:t>AL 10-G-A at p. 14.</w:t>
      </w:r>
    </w:p>
  </w:footnote>
  <w:footnote w:id="242">
    <w:p w14:paraId="75C899E9" w14:textId="77777777" w:rsidR="002F78F4" w:rsidRDefault="002F78F4" w:rsidP="002F78F4">
      <w:pPr>
        <w:pStyle w:val="FootnoteText"/>
      </w:pPr>
      <w:r>
        <w:rPr>
          <w:rStyle w:val="FootnoteReference"/>
        </w:rPr>
        <w:footnoteRef/>
      </w:r>
      <w:r>
        <w:t xml:space="preserve"> </w:t>
      </w:r>
      <w:r w:rsidRPr="00D571B3">
        <w:rPr>
          <w:rFonts w:ascii="Palatino Linotype" w:hAnsi="Palatino Linotype"/>
        </w:rPr>
        <w:t>AL 10-G-A at D-8 to D-9.</w:t>
      </w:r>
    </w:p>
  </w:footnote>
  <w:footnote w:id="243">
    <w:p w14:paraId="2BC57FED" w14:textId="77777777" w:rsidR="002F78F4" w:rsidRDefault="002F78F4" w:rsidP="002F78F4">
      <w:pPr>
        <w:pStyle w:val="FootnoteText"/>
      </w:pPr>
      <w:r>
        <w:rPr>
          <w:rStyle w:val="FootnoteReference"/>
        </w:rPr>
        <w:footnoteRef/>
      </w:r>
      <w:r>
        <w:t xml:space="preserve"> </w:t>
      </w:r>
      <w:r w:rsidRPr="00D87576">
        <w:rPr>
          <w:rFonts w:ascii="Palatino Linotype" w:hAnsi="Palatino Linotype"/>
          <w:i/>
          <w:iCs/>
        </w:rPr>
        <w:t>Ibid.</w:t>
      </w:r>
    </w:p>
  </w:footnote>
  <w:footnote w:id="244">
    <w:p w14:paraId="52C967C3" w14:textId="77777777" w:rsidR="002F78F4" w:rsidRDefault="002F78F4" w:rsidP="002F78F4">
      <w:pPr>
        <w:pStyle w:val="FootnoteText"/>
      </w:pPr>
      <w:r>
        <w:rPr>
          <w:rStyle w:val="FootnoteReference"/>
        </w:rPr>
        <w:footnoteRef/>
      </w:r>
      <w:r>
        <w:t xml:space="preserve"> </w:t>
      </w:r>
      <w:r w:rsidRPr="00D87576">
        <w:rPr>
          <w:rFonts w:ascii="Palatino Linotype" w:hAnsi="Palatino Linotype"/>
        </w:rPr>
        <w:t>AL 10-G-A at D-10.</w:t>
      </w:r>
    </w:p>
  </w:footnote>
  <w:footnote w:id="245">
    <w:p w14:paraId="139E7451" w14:textId="77777777" w:rsidR="002F78F4" w:rsidRDefault="002F78F4" w:rsidP="002F78F4">
      <w:pPr>
        <w:pStyle w:val="FootnoteText"/>
      </w:pPr>
      <w:r>
        <w:rPr>
          <w:rStyle w:val="FootnoteReference"/>
        </w:rPr>
        <w:footnoteRef/>
      </w:r>
      <w:r>
        <w:t xml:space="preserve"> </w:t>
      </w:r>
      <w:r w:rsidRPr="00D87576">
        <w:rPr>
          <w:rFonts w:ascii="Palatino Linotype" w:hAnsi="Palatino Linotype"/>
        </w:rPr>
        <w:t>AL 10-G-A at p. 27.</w:t>
      </w:r>
    </w:p>
  </w:footnote>
  <w:footnote w:id="246">
    <w:p w14:paraId="40E0FE0C" w14:textId="77777777" w:rsidR="002F78F4" w:rsidRDefault="002F78F4" w:rsidP="002F78F4">
      <w:pPr>
        <w:pStyle w:val="FootnoteText"/>
      </w:pPr>
      <w:r>
        <w:rPr>
          <w:rStyle w:val="FootnoteReference"/>
        </w:rPr>
        <w:footnoteRef/>
      </w:r>
      <w:r>
        <w:t xml:space="preserve"> </w:t>
      </w:r>
      <w:r w:rsidRPr="00125748">
        <w:rPr>
          <w:rFonts w:ascii="Palatino Linotype" w:hAnsi="Palatino Linotype"/>
        </w:rPr>
        <w:t>AL 10-G-A at D-8.</w:t>
      </w:r>
    </w:p>
  </w:footnote>
  <w:footnote w:id="247">
    <w:p w14:paraId="127EFC29" w14:textId="77777777" w:rsidR="002F78F4" w:rsidRDefault="002F78F4" w:rsidP="002F78F4">
      <w:pPr>
        <w:pStyle w:val="FootnoteText"/>
      </w:pPr>
      <w:r>
        <w:rPr>
          <w:rStyle w:val="FootnoteReference"/>
        </w:rPr>
        <w:footnoteRef/>
      </w:r>
      <w:r>
        <w:t xml:space="preserve"> </w:t>
      </w:r>
      <w:r w:rsidRPr="0059597B">
        <w:rPr>
          <w:rFonts w:ascii="Palatino Linotype" w:hAnsi="Palatino Linotype"/>
        </w:rPr>
        <w:t>AL 10-G-A at D-10 to D-11.</w:t>
      </w:r>
    </w:p>
  </w:footnote>
  <w:footnote w:id="248">
    <w:p w14:paraId="2C9C76A7" w14:textId="77777777" w:rsidR="002F78F4" w:rsidRPr="00E2542D" w:rsidRDefault="002F78F4" w:rsidP="002F78F4">
      <w:pPr>
        <w:pStyle w:val="FootnoteText"/>
        <w:rPr>
          <w:rFonts w:ascii="Palatino Linotype" w:hAnsi="Palatino Linotype"/>
        </w:rPr>
      </w:pPr>
      <w:r>
        <w:rPr>
          <w:rStyle w:val="FootnoteReference"/>
        </w:rPr>
        <w:footnoteRef/>
      </w:r>
      <w:r>
        <w:t xml:space="preserve"> </w:t>
      </w:r>
      <w:r w:rsidRPr="00E2542D">
        <w:rPr>
          <w:rFonts w:ascii="Palatino Linotype" w:hAnsi="Palatino Linotype"/>
        </w:rPr>
        <w:t>AL 1</w:t>
      </w:r>
      <w:r>
        <w:rPr>
          <w:rFonts w:ascii="Palatino Linotype" w:hAnsi="Palatino Linotype"/>
        </w:rPr>
        <w:t>0-G-A</w:t>
      </w:r>
      <w:r w:rsidRPr="00E2542D">
        <w:rPr>
          <w:rFonts w:ascii="Palatino Linotype" w:hAnsi="Palatino Linotype"/>
        </w:rPr>
        <w:t xml:space="preserve"> at p. </w:t>
      </w:r>
      <w:r>
        <w:rPr>
          <w:rFonts w:ascii="Palatino Linotype" w:hAnsi="Palatino Linotype"/>
        </w:rPr>
        <w:t>17</w:t>
      </w:r>
      <w:r w:rsidRPr="00E2542D">
        <w:rPr>
          <w:rFonts w:ascii="Palatino Linotype" w:hAnsi="Palatino Linotype"/>
        </w:rPr>
        <w:t>.</w:t>
      </w:r>
    </w:p>
  </w:footnote>
  <w:footnote w:id="249">
    <w:p w14:paraId="0980C2A2" w14:textId="77777777" w:rsidR="002F78F4" w:rsidRDefault="002F78F4" w:rsidP="002F78F4">
      <w:pPr>
        <w:pStyle w:val="FootnoteText"/>
      </w:pPr>
      <w:r>
        <w:rPr>
          <w:rStyle w:val="FootnoteReference"/>
        </w:rPr>
        <w:footnoteRef/>
      </w:r>
      <w:r>
        <w:t xml:space="preserve"> </w:t>
      </w:r>
      <w:r w:rsidRPr="009B03F4">
        <w:rPr>
          <w:rFonts w:ascii="Palatino Linotype" w:hAnsi="Palatino Linotype"/>
        </w:rPr>
        <w:t>AL 1</w:t>
      </w:r>
      <w:r>
        <w:rPr>
          <w:rFonts w:ascii="Palatino Linotype" w:hAnsi="Palatino Linotype"/>
        </w:rPr>
        <w:t>0-G-A</w:t>
      </w:r>
      <w:r w:rsidRPr="009B03F4">
        <w:rPr>
          <w:rFonts w:ascii="Palatino Linotype" w:hAnsi="Palatino Linotype"/>
        </w:rPr>
        <w:t xml:space="preserve"> at p. 18.</w:t>
      </w:r>
    </w:p>
  </w:footnote>
  <w:footnote w:id="250">
    <w:p w14:paraId="2BB76BC9" w14:textId="3D608498" w:rsidR="002F78F4" w:rsidRDefault="002F78F4" w:rsidP="002F78F4">
      <w:pPr>
        <w:pStyle w:val="FootnoteText"/>
      </w:pPr>
      <w:r>
        <w:rPr>
          <w:rStyle w:val="FootnoteReference"/>
        </w:rPr>
        <w:footnoteRef/>
      </w:r>
      <w:r>
        <w:t xml:space="preserve"> </w:t>
      </w:r>
      <w:r w:rsidRPr="00435F5D">
        <w:rPr>
          <w:rFonts w:ascii="Palatino Linotype" w:hAnsi="Palatino Linotype"/>
        </w:rPr>
        <w:t xml:space="preserve">See Resolution </w:t>
      </w:r>
      <w:r w:rsidR="002E0702" w:rsidRPr="00A22C9B">
        <w:rPr>
          <w:rFonts w:ascii="Palatino Linotype" w:hAnsi="Palatino Linotype"/>
        </w:rPr>
        <w:t>G</w:t>
      </w:r>
      <w:r w:rsidR="002E0702">
        <w:rPr>
          <w:rFonts w:ascii="Palatino Linotype" w:hAnsi="Palatino Linotype"/>
        </w:rPr>
        <w:t>-3622</w:t>
      </w:r>
      <w:r w:rsidR="002E0702" w:rsidRPr="00A22C9B">
        <w:rPr>
          <w:rFonts w:ascii="Palatino Linotype" w:hAnsi="Palatino Linotype"/>
        </w:rPr>
        <w:t xml:space="preserve"> </w:t>
      </w:r>
      <w:r w:rsidRPr="00435F5D">
        <w:rPr>
          <w:rFonts w:ascii="Palatino Linotype" w:hAnsi="Palatino Linotype"/>
        </w:rPr>
        <w:t xml:space="preserve">at Appendix </w:t>
      </w:r>
      <w:r w:rsidR="008A3957">
        <w:rPr>
          <w:rFonts w:ascii="Palatino Linotype" w:hAnsi="Palatino Linotype"/>
        </w:rPr>
        <w:t>B</w:t>
      </w:r>
      <w:r w:rsidRPr="00435F5D">
        <w:rPr>
          <w:rFonts w:ascii="Palatino Linotype" w:hAnsi="Palatino Linotype"/>
        </w:rPr>
        <w:t>: Administrative Budget Cost Categories.</w:t>
      </w:r>
    </w:p>
  </w:footnote>
  <w:footnote w:id="251">
    <w:p w14:paraId="36AEDAEE" w14:textId="77777777" w:rsidR="002F78F4" w:rsidRDefault="002F78F4" w:rsidP="002F78F4">
      <w:pPr>
        <w:pStyle w:val="FootnoteText"/>
      </w:pPr>
      <w:r>
        <w:rPr>
          <w:rStyle w:val="FootnoteReference"/>
        </w:rPr>
        <w:footnoteRef/>
      </w:r>
      <w:r>
        <w:t xml:space="preserve"> </w:t>
      </w:r>
      <w:r w:rsidRPr="00971EE0">
        <w:rPr>
          <w:rFonts w:ascii="Palatino Linotype" w:hAnsi="Palatino Linotype"/>
        </w:rPr>
        <w:t>AL 1</w:t>
      </w:r>
      <w:r>
        <w:rPr>
          <w:rFonts w:ascii="Palatino Linotype" w:hAnsi="Palatino Linotype"/>
        </w:rPr>
        <w:t>0-G-A</w:t>
      </w:r>
      <w:r w:rsidRPr="00971EE0">
        <w:rPr>
          <w:rFonts w:ascii="Palatino Linotype" w:hAnsi="Palatino Linotype"/>
        </w:rPr>
        <w:t xml:space="preserve"> at B-1.</w:t>
      </w:r>
    </w:p>
  </w:footnote>
  <w:footnote w:id="252">
    <w:p w14:paraId="6D11BF4A" w14:textId="77777777" w:rsidR="002F78F4" w:rsidRDefault="002F78F4" w:rsidP="002F78F4">
      <w:pPr>
        <w:pStyle w:val="FootnoteText"/>
      </w:pPr>
      <w:r>
        <w:rPr>
          <w:rStyle w:val="FootnoteReference"/>
        </w:rPr>
        <w:footnoteRef/>
      </w:r>
      <w:r>
        <w:t xml:space="preserve"> </w:t>
      </w:r>
      <w:r w:rsidRPr="0012086A">
        <w:rPr>
          <w:rFonts w:ascii="Palatino Linotype" w:hAnsi="Palatino Linotype"/>
        </w:rPr>
        <w:t>AL 1</w:t>
      </w:r>
      <w:r>
        <w:rPr>
          <w:rFonts w:ascii="Palatino Linotype" w:hAnsi="Palatino Linotype"/>
        </w:rPr>
        <w:t>0-G-A</w:t>
      </w:r>
      <w:r w:rsidRPr="0012086A">
        <w:rPr>
          <w:rFonts w:ascii="Palatino Linotype" w:hAnsi="Palatino Linotype"/>
        </w:rPr>
        <w:t xml:space="preserve"> at p. 9.</w:t>
      </w:r>
    </w:p>
  </w:footnote>
  <w:footnote w:id="253">
    <w:p w14:paraId="5CE46A20" w14:textId="77777777" w:rsidR="002F78F4" w:rsidRDefault="002F78F4" w:rsidP="002F78F4">
      <w:pPr>
        <w:pStyle w:val="FootnoteText"/>
      </w:pPr>
      <w:r>
        <w:rPr>
          <w:rStyle w:val="FootnoteReference"/>
        </w:rPr>
        <w:footnoteRef/>
      </w:r>
      <w:r>
        <w:t xml:space="preserve"> </w:t>
      </w:r>
      <w:r w:rsidRPr="007F4020">
        <w:rPr>
          <w:rFonts w:ascii="Palatino Linotype" w:hAnsi="Palatino Linotype"/>
        </w:rPr>
        <w:t>AL 1</w:t>
      </w:r>
      <w:r>
        <w:rPr>
          <w:rFonts w:ascii="Palatino Linotype" w:hAnsi="Palatino Linotype"/>
        </w:rPr>
        <w:t>0-G-A</w:t>
      </w:r>
      <w:r w:rsidRPr="007F4020">
        <w:rPr>
          <w:rFonts w:ascii="Palatino Linotype" w:hAnsi="Palatino Linotype"/>
        </w:rPr>
        <w:t xml:space="preserve"> at B-</w:t>
      </w:r>
      <w:r>
        <w:rPr>
          <w:rFonts w:ascii="Palatino Linotype" w:hAnsi="Palatino Linotype"/>
        </w:rPr>
        <w:t>3</w:t>
      </w:r>
      <w:r w:rsidRPr="007F4020">
        <w:rPr>
          <w:rFonts w:ascii="Palatino Linotype" w:hAnsi="Palatino Linotype"/>
        </w:rPr>
        <w:t>.</w:t>
      </w:r>
    </w:p>
  </w:footnote>
  <w:footnote w:id="254">
    <w:p w14:paraId="41C82B5C" w14:textId="77777777" w:rsidR="002F78F4" w:rsidRPr="00622FB7" w:rsidRDefault="002F78F4" w:rsidP="002F78F4">
      <w:pPr>
        <w:spacing w:after="0" w:line="240" w:lineRule="auto"/>
        <w:rPr>
          <w:rFonts w:ascii="Palatino Linotype" w:hAnsi="Palatino Linotype"/>
          <w:bCs/>
          <w:color w:val="000000" w:themeColor="text1"/>
          <w:sz w:val="20"/>
          <w:szCs w:val="20"/>
        </w:rPr>
      </w:pPr>
      <w:r w:rsidRPr="0044354C">
        <w:rPr>
          <w:rStyle w:val="FootnoteReference"/>
          <w:sz w:val="20"/>
          <w:szCs w:val="20"/>
        </w:rPr>
        <w:footnoteRef/>
      </w:r>
      <w:r w:rsidRPr="0044354C">
        <w:rPr>
          <w:rStyle w:val="FootnoteReference"/>
          <w:sz w:val="20"/>
          <w:szCs w:val="20"/>
        </w:rPr>
        <w:t xml:space="preserve"> </w:t>
      </w:r>
      <w:r w:rsidRPr="00403057">
        <w:rPr>
          <w:rFonts w:ascii="Palatino Linotype" w:hAnsi="Palatino Linotype"/>
          <w:sz w:val="20"/>
          <w:szCs w:val="20"/>
        </w:rPr>
        <w:t xml:space="preserve">Consistent with </w:t>
      </w:r>
      <w:hyperlink r:id="rId156" w:history="1">
        <w:r w:rsidRPr="009A2771">
          <w:rPr>
            <w:rStyle w:val="Hyperlink"/>
            <w:rFonts w:ascii="Palatino Linotype" w:hAnsi="Palatino Linotype"/>
            <w:bCs/>
            <w:sz w:val="20"/>
            <w:szCs w:val="20"/>
          </w:rPr>
          <w:t>Resolution G-3495</w:t>
        </w:r>
      </w:hyperlink>
      <w:r w:rsidRPr="009A2771">
        <w:rPr>
          <w:rFonts w:ascii="Palatino Linotype" w:hAnsi="Palatino Linotype"/>
          <w:bCs/>
          <w:color w:val="000000" w:themeColor="text1"/>
          <w:sz w:val="20"/>
          <w:szCs w:val="20"/>
        </w:rPr>
        <w:t xml:space="preserve"> (2014)</w:t>
      </w:r>
      <w:r>
        <w:rPr>
          <w:rFonts w:ascii="Palatino Linotype" w:hAnsi="Palatino Linotype"/>
          <w:bCs/>
          <w:color w:val="000000" w:themeColor="text1"/>
          <w:sz w:val="20"/>
          <w:szCs w:val="20"/>
        </w:rPr>
        <w:t xml:space="preserve"> </w:t>
      </w:r>
      <w:r w:rsidRPr="009A2771">
        <w:rPr>
          <w:rFonts w:ascii="Palatino Linotype" w:hAnsi="Palatino Linotype"/>
          <w:bCs/>
          <w:color w:val="000000" w:themeColor="text1"/>
          <w:sz w:val="20"/>
          <w:szCs w:val="20"/>
        </w:rPr>
        <w:t xml:space="preserve">at p. </w:t>
      </w:r>
      <w:r>
        <w:rPr>
          <w:rFonts w:ascii="Palatino Linotype" w:hAnsi="Palatino Linotype"/>
          <w:bCs/>
          <w:color w:val="000000" w:themeColor="text1"/>
          <w:sz w:val="20"/>
          <w:szCs w:val="20"/>
        </w:rPr>
        <w:t>6-</w:t>
      </w:r>
      <w:r w:rsidRPr="009A2771">
        <w:rPr>
          <w:rFonts w:ascii="Palatino Linotype" w:hAnsi="Palatino Linotype"/>
          <w:bCs/>
          <w:color w:val="000000" w:themeColor="text1"/>
          <w:sz w:val="20"/>
          <w:szCs w:val="20"/>
        </w:rPr>
        <w:t>9; FOF 6; &amp; OP 5.</w:t>
      </w:r>
    </w:p>
  </w:footnote>
  <w:footnote w:id="255">
    <w:p w14:paraId="37344B2E" w14:textId="77777777" w:rsidR="002F78F4" w:rsidRDefault="002F78F4" w:rsidP="002F78F4">
      <w:pPr>
        <w:pStyle w:val="FootnoteText"/>
      </w:pPr>
      <w:r>
        <w:rPr>
          <w:rStyle w:val="FootnoteReference"/>
        </w:rPr>
        <w:footnoteRef/>
      </w:r>
      <w:r>
        <w:t xml:space="preserve"> </w:t>
      </w:r>
      <w:r w:rsidRPr="00454C03">
        <w:rPr>
          <w:rFonts w:ascii="Palatino Linotype" w:hAnsi="Palatino Linotype"/>
        </w:rPr>
        <w:t>AL 1</w:t>
      </w:r>
      <w:r>
        <w:rPr>
          <w:rFonts w:ascii="Palatino Linotype" w:hAnsi="Palatino Linotype"/>
        </w:rPr>
        <w:t>0-G-A</w:t>
      </w:r>
      <w:r w:rsidRPr="00454C03">
        <w:rPr>
          <w:rFonts w:ascii="Palatino Linotype" w:hAnsi="Palatino Linotype"/>
        </w:rPr>
        <w:t xml:space="preserve"> at </w:t>
      </w:r>
      <w:r w:rsidRPr="000A6C94">
        <w:rPr>
          <w:rFonts w:ascii="Palatino Linotype" w:hAnsi="Palatino Linotype"/>
          <w:color w:val="000000" w:themeColor="text1"/>
        </w:rPr>
        <w:t>D-1 to D-7 &amp; D-11 to D-19</w:t>
      </w:r>
      <w:r w:rsidRPr="00454C03">
        <w:rPr>
          <w:rFonts w:ascii="Palatino Linotype" w:hAnsi="Palatino Linotype"/>
        </w:rPr>
        <w:t>.</w:t>
      </w:r>
    </w:p>
  </w:footnote>
  <w:footnote w:id="256">
    <w:p w14:paraId="6C34E69F" w14:textId="77777777" w:rsidR="002F78F4" w:rsidRDefault="002F78F4" w:rsidP="002F78F4">
      <w:pPr>
        <w:pStyle w:val="FootnoteText"/>
      </w:pPr>
      <w:r>
        <w:rPr>
          <w:rStyle w:val="FootnoteReference"/>
        </w:rPr>
        <w:footnoteRef/>
      </w:r>
      <w:r>
        <w:t xml:space="preserve"> </w:t>
      </w:r>
      <w:r w:rsidRPr="00084609">
        <w:rPr>
          <w:rFonts w:ascii="Palatino Linotype" w:hAnsi="Palatino Linotype"/>
        </w:rPr>
        <w:t>AL 10-G-A at D-1.</w:t>
      </w:r>
    </w:p>
  </w:footnote>
  <w:footnote w:id="257">
    <w:p w14:paraId="44804378"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w:t>
      </w:r>
      <w:r>
        <w:rPr>
          <w:rFonts w:ascii="Palatino Linotype" w:hAnsi="Palatino Linotype"/>
        </w:rPr>
        <w:t>0-G-A</w:t>
      </w:r>
      <w:r w:rsidRPr="00E92951">
        <w:rPr>
          <w:rFonts w:ascii="Palatino Linotype" w:hAnsi="Palatino Linotype"/>
        </w:rPr>
        <w:t xml:space="preserve"> at p. 6.</w:t>
      </w:r>
    </w:p>
  </w:footnote>
  <w:footnote w:id="258">
    <w:p w14:paraId="07A9270B" w14:textId="77777777" w:rsidR="002F78F4" w:rsidRDefault="002F78F4" w:rsidP="002F78F4">
      <w:pPr>
        <w:pStyle w:val="FootnoteText"/>
      </w:pPr>
      <w:r>
        <w:rPr>
          <w:rStyle w:val="FootnoteReference"/>
        </w:rPr>
        <w:footnoteRef/>
      </w:r>
      <w:r>
        <w:t xml:space="preserve"> </w:t>
      </w:r>
      <w:r w:rsidRPr="009914F6">
        <w:rPr>
          <w:rFonts w:ascii="Palatino Linotype" w:hAnsi="Palatino Linotype"/>
        </w:rPr>
        <w:t>AL 1</w:t>
      </w:r>
      <w:r>
        <w:rPr>
          <w:rFonts w:ascii="Palatino Linotype" w:hAnsi="Palatino Linotype"/>
        </w:rPr>
        <w:t>0-G-A</w:t>
      </w:r>
      <w:r w:rsidRPr="009914F6">
        <w:rPr>
          <w:rFonts w:ascii="Palatino Linotype" w:hAnsi="Palatino Linotype"/>
        </w:rPr>
        <w:t xml:space="preserve"> at p. 14-1</w:t>
      </w:r>
      <w:r>
        <w:rPr>
          <w:rFonts w:ascii="Palatino Linotype" w:hAnsi="Palatino Linotype"/>
        </w:rPr>
        <w:t>7</w:t>
      </w:r>
      <w:r w:rsidRPr="009914F6">
        <w:rPr>
          <w:rFonts w:ascii="Palatino Linotype" w:hAnsi="Palatino Linotype"/>
        </w:rPr>
        <w:t>.</w:t>
      </w:r>
      <w:r>
        <w:t xml:space="preserve"> </w:t>
      </w:r>
    </w:p>
  </w:footnote>
  <w:footnote w:id="259">
    <w:p w14:paraId="7F4B794E" w14:textId="77777777" w:rsidR="002F78F4" w:rsidRDefault="002F78F4" w:rsidP="002F78F4">
      <w:pPr>
        <w:pStyle w:val="FootnoteText"/>
      </w:pPr>
      <w:r>
        <w:rPr>
          <w:rStyle w:val="FootnoteReference"/>
        </w:rPr>
        <w:footnoteRef/>
      </w:r>
      <w:r>
        <w:t xml:space="preserve"> </w:t>
      </w:r>
      <w:r w:rsidRPr="00000F1C">
        <w:rPr>
          <w:rFonts w:ascii="Palatino Linotype" w:hAnsi="Palatino Linotype"/>
        </w:rPr>
        <w:t>AL 10-G-A at D-11 to D-13.</w:t>
      </w:r>
    </w:p>
  </w:footnote>
  <w:footnote w:id="260">
    <w:p w14:paraId="0D799AE7" w14:textId="77777777" w:rsidR="002F78F4" w:rsidRDefault="002F78F4" w:rsidP="002F78F4">
      <w:pPr>
        <w:pStyle w:val="FootnoteText"/>
      </w:pPr>
      <w:r>
        <w:rPr>
          <w:rStyle w:val="FootnoteReference"/>
        </w:rPr>
        <w:footnoteRef/>
      </w:r>
      <w:r>
        <w:t xml:space="preserve"> </w:t>
      </w:r>
      <w:r w:rsidRPr="00D876B0">
        <w:rPr>
          <w:rFonts w:ascii="Palatino Linotype" w:hAnsi="Palatino Linotype"/>
        </w:rPr>
        <w:t>AL 10-G-A at D-3 to D-4.</w:t>
      </w:r>
    </w:p>
  </w:footnote>
  <w:footnote w:id="261">
    <w:p w14:paraId="0D38433F" w14:textId="77777777" w:rsidR="002F78F4" w:rsidRDefault="002F78F4" w:rsidP="002F78F4">
      <w:pPr>
        <w:pStyle w:val="FootnoteText"/>
      </w:pPr>
      <w:r>
        <w:rPr>
          <w:rStyle w:val="FootnoteReference"/>
        </w:rPr>
        <w:footnoteRef/>
      </w:r>
      <w:r>
        <w:t xml:space="preserve"> </w:t>
      </w:r>
      <w:r w:rsidRPr="009C1F05">
        <w:rPr>
          <w:rFonts w:ascii="Palatino Linotype" w:hAnsi="Palatino Linotype"/>
        </w:rPr>
        <w:t>AL 10-G-A a</w:t>
      </w:r>
      <w:r>
        <w:rPr>
          <w:rFonts w:ascii="Palatino Linotype" w:hAnsi="Palatino Linotype"/>
        </w:rPr>
        <w:t>t</w:t>
      </w:r>
      <w:r w:rsidRPr="009C1F05">
        <w:rPr>
          <w:rFonts w:ascii="Palatino Linotype" w:hAnsi="Palatino Linotype"/>
        </w:rPr>
        <w:t xml:space="preserve"> D-2 to D-3.</w:t>
      </w:r>
    </w:p>
  </w:footnote>
  <w:footnote w:id="262">
    <w:p w14:paraId="42788B9F" w14:textId="77777777" w:rsidR="002F78F4" w:rsidRDefault="002F78F4" w:rsidP="002F78F4">
      <w:pPr>
        <w:pStyle w:val="FootnoteText"/>
      </w:pPr>
      <w:r>
        <w:rPr>
          <w:rStyle w:val="FootnoteReference"/>
        </w:rPr>
        <w:footnoteRef/>
      </w:r>
      <w:r>
        <w:t xml:space="preserve"> </w:t>
      </w:r>
      <w:r w:rsidRPr="009C1F05">
        <w:rPr>
          <w:rFonts w:ascii="Palatino Linotype" w:hAnsi="Palatino Linotype"/>
        </w:rPr>
        <w:t>AL 10-G-A at D-4 to D-6.</w:t>
      </w:r>
    </w:p>
  </w:footnote>
  <w:footnote w:id="263">
    <w:p w14:paraId="25913465" w14:textId="77777777" w:rsidR="002F78F4" w:rsidRDefault="002F78F4" w:rsidP="002F78F4">
      <w:pPr>
        <w:pStyle w:val="FootnoteText"/>
      </w:pPr>
      <w:r>
        <w:rPr>
          <w:rStyle w:val="FootnoteReference"/>
        </w:rPr>
        <w:footnoteRef/>
      </w:r>
      <w:r>
        <w:t xml:space="preserve"> </w:t>
      </w:r>
      <w:r w:rsidRPr="009C1F05">
        <w:rPr>
          <w:rFonts w:ascii="Palatino Linotype" w:hAnsi="Palatino Linotype"/>
        </w:rPr>
        <w:t>AL 10-G-A at p. 24-25.</w:t>
      </w:r>
    </w:p>
  </w:footnote>
  <w:footnote w:id="264">
    <w:p w14:paraId="4E93D42B" w14:textId="77777777" w:rsidR="002F78F4" w:rsidRDefault="002F78F4" w:rsidP="002F78F4">
      <w:pPr>
        <w:pStyle w:val="FootnoteText"/>
      </w:pPr>
      <w:r>
        <w:rPr>
          <w:rStyle w:val="FootnoteReference"/>
        </w:rPr>
        <w:footnoteRef/>
      </w:r>
      <w:r>
        <w:t xml:space="preserve"> </w:t>
      </w:r>
      <w:r w:rsidRPr="00E72C71">
        <w:rPr>
          <w:rFonts w:ascii="Palatino Linotype" w:hAnsi="Palatino Linotype"/>
        </w:rPr>
        <w:t>AL 10-G-A at D-14.</w:t>
      </w:r>
    </w:p>
  </w:footnote>
  <w:footnote w:id="265">
    <w:p w14:paraId="183F486B" w14:textId="77777777" w:rsidR="002F78F4" w:rsidRDefault="002F78F4" w:rsidP="002F78F4">
      <w:pPr>
        <w:pStyle w:val="FootnoteText"/>
      </w:pPr>
      <w:r>
        <w:rPr>
          <w:rStyle w:val="FootnoteReference"/>
        </w:rPr>
        <w:footnoteRef/>
      </w:r>
      <w:r>
        <w:t xml:space="preserve"> </w:t>
      </w:r>
      <w:r w:rsidRPr="00E72C71">
        <w:rPr>
          <w:rFonts w:ascii="Palatino Linotype" w:hAnsi="Palatino Linotype"/>
        </w:rPr>
        <w:t>AL 10-G-A at p. 24-25.</w:t>
      </w:r>
    </w:p>
  </w:footnote>
  <w:footnote w:id="266">
    <w:p w14:paraId="4EC9FFB2" w14:textId="77777777" w:rsidR="002F78F4" w:rsidRDefault="002F78F4" w:rsidP="002F78F4">
      <w:pPr>
        <w:pStyle w:val="FootnoteText"/>
      </w:pPr>
      <w:r>
        <w:rPr>
          <w:rStyle w:val="FootnoteReference"/>
        </w:rPr>
        <w:footnoteRef/>
      </w:r>
      <w:r>
        <w:t xml:space="preserve"> </w:t>
      </w:r>
      <w:r w:rsidRPr="00E72C71">
        <w:rPr>
          <w:rFonts w:ascii="Palatino Linotype" w:hAnsi="Palatino Linotype"/>
        </w:rPr>
        <w:t>AL 10-G-A at D-6.</w:t>
      </w:r>
    </w:p>
  </w:footnote>
  <w:footnote w:id="267">
    <w:p w14:paraId="36632CCD" w14:textId="77777777" w:rsidR="002F78F4" w:rsidRDefault="002F78F4" w:rsidP="002F78F4">
      <w:pPr>
        <w:pStyle w:val="FootnoteText"/>
      </w:pPr>
      <w:r>
        <w:rPr>
          <w:rStyle w:val="FootnoteReference"/>
        </w:rPr>
        <w:footnoteRef/>
      </w:r>
      <w:r>
        <w:t xml:space="preserve"> </w:t>
      </w:r>
      <w:r w:rsidRPr="00FE2F58">
        <w:rPr>
          <w:rFonts w:ascii="Palatino Linotype" w:hAnsi="Palatino Linotype"/>
        </w:rPr>
        <w:t>AL 10-G-A at D-1</w:t>
      </w:r>
      <w:r>
        <w:rPr>
          <w:rFonts w:ascii="Palatino Linotype" w:hAnsi="Palatino Linotype"/>
        </w:rPr>
        <w:t>3</w:t>
      </w:r>
      <w:r w:rsidRPr="00FE2F58">
        <w:rPr>
          <w:rFonts w:ascii="Palatino Linotype" w:hAnsi="Palatino Linotype"/>
        </w:rPr>
        <w:t xml:space="preserve"> to D-15.</w:t>
      </w:r>
    </w:p>
  </w:footnote>
  <w:footnote w:id="268">
    <w:p w14:paraId="15BA85D9" w14:textId="77777777" w:rsidR="002F78F4" w:rsidRDefault="002F78F4" w:rsidP="002F78F4">
      <w:pPr>
        <w:pStyle w:val="FootnoteText"/>
      </w:pPr>
      <w:r>
        <w:rPr>
          <w:rStyle w:val="FootnoteReference"/>
        </w:rPr>
        <w:footnoteRef/>
      </w:r>
      <w:r>
        <w:t xml:space="preserve"> </w:t>
      </w:r>
      <w:r w:rsidRPr="00405654">
        <w:rPr>
          <w:rFonts w:ascii="Palatino Linotype" w:hAnsi="Palatino Linotype"/>
        </w:rPr>
        <w:t>AL 10-G-A at p. 45.</w:t>
      </w:r>
    </w:p>
  </w:footnote>
  <w:footnote w:id="269">
    <w:p w14:paraId="2FAD9359" w14:textId="77777777" w:rsidR="002F78F4" w:rsidRDefault="002F78F4" w:rsidP="002F78F4">
      <w:pPr>
        <w:pStyle w:val="FootnoteText"/>
      </w:pPr>
      <w:r>
        <w:rPr>
          <w:rStyle w:val="FootnoteReference"/>
        </w:rPr>
        <w:footnoteRef/>
      </w:r>
      <w:r>
        <w:t xml:space="preserve"> </w:t>
      </w:r>
      <w:r w:rsidRPr="00405654">
        <w:rPr>
          <w:rFonts w:ascii="Palatino Linotype" w:hAnsi="Palatino Linotype"/>
        </w:rPr>
        <w:t>AL 10-G-A at</w:t>
      </w:r>
      <w:r>
        <w:rPr>
          <w:rFonts w:ascii="Palatino Linotype" w:hAnsi="Palatino Linotype"/>
        </w:rPr>
        <w:t xml:space="preserve"> D-17.</w:t>
      </w:r>
    </w:p>
  </w:footnote>
  <w:footnote w:id="270">
    <w:p w14:paraId="30FA9C0B" w14:textId="77777777" w:rsidR="002F78F4" w:rsidRDefault="002F78F4" w:rsidP="002F78F4">
      <w:pPr>
        <w:pStyle w:val="FootnoteText"/>
      </w:pPr>
      <w:r>
        <w:rPr>
          <w:rStyle w:val="FootnoteReference"/>
        </w:rPr>
        <w:footnoteRef/>
      </w:r>
      <w:r>
        <w:t xml:space="preserve"> </w:t>
      </w:r>
      <w:r w:rsidRPr="00405654">
        <w:rPr>
          <w:rFonts w:ascii="Palatino Linotype" w:hAnsi="Palatino Linotype"/>
        </w:rPr>
        <w:t>AL 10-G-A at</w:t>
      </w:r>
      <w:r>
        <w:rPr>
          <w:rFonts w:ascii="Palatino Linotype" w:hAnsi="Palatino Linotype"/>
        </w:rPr>
        <w:t xml:space="preserve"> p. 43; D-15; &amp; D-16.</w:t>
      </w:r>
    </w:p>
  </w:footnote>
  <w:footnote w:id="271">
    <w:p w14:paraId="19411C41" w14:textId="77777777" w:rsidR="002F78F4" w:rsidRDefault="002F78F4" w:rsidP="002F78F4">
      <w:pPr>
        <w:pStyle w:val="FootnoteText"/>
      </w:pPr>
      <w:r>
        <w:rPr>
          <w:rStyle w:val="FootnoteReference"/>
        </w:rPr>
        <w:footnoteRef/>
      </w:r>
      <w:r>
        <w:t xml:space="preserve"> </w:t>
      </w:r>
      <w:r w:rsidRPr="00A462AF">
        <w:rPr>
          <w:rFonts w:ascii="Palatino Linotype" w:hAnsi="Palatino Linotype"/>
          <w:i/>
          <w:iCs/>
        </w:rPr>
        <w:t>Ibid.</w:t>
      </w:r>
    </w:p>
  </w:footnote>
  <w:footnote w:id="272">
    <w:p w14:paraId="71E59D50"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12-G at C-17.</w:t>
      </w:r>
    </w:p>
  </w:footnote>
  <w:footnote w:id="273">
    <w:p w14:paraId="10D0ECA4"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12-G at C-17 to C-18.</w:t>
      </w:r>
    </w:p>
  </w:footnote>
  <w:footnote w:id="274">
    <w:p w14:paraId="3A131CAE"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 p. 43-44.</w:t>
      </w:r>
    </w:p>
  </w:footnote>
  <w:footnote w:id="275">
    <w:p w14:paraId="0A401588"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w:t>
      </w:r>
      <w:r>
        <w:rPr>
          <w:rFonts w:ascii="Palatino Linotype" w:hAnsi="Palatino Linotype"/>
        </w:rPr>
        <w:t xml:space="preserve"> p. 40 &amp; D-15.</w:t>
      </w:r>
    </w:p>
  </w:footnote>
  <w:footnote w:id="276">
    <w:p w14:paraId="5786BF79"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w:t>
      </w:r>
      <w:r>
        <w:rPr>
          <w:rFonts w:ascii="Palatino Linotype" w:hAnsi="Palatino Linotype"/>
        </w:rPr>
        <w:t xml:space="preserve"> p. 41.</w:t>
      </w:r>
    </w:p>
  </w:footnote>
  <w:footnote w:id="277">
    <w:p w14:paraId="676C6038" w14:textId="77777777" w:rsidR="002F78F4" w:rsidRDefault="002F78F4" w:rsidP="002F78F4">
      <w:pPr>
        <w:pStyle w:val="FootnoteText"/>
      </w:pPr>
      <w:r>
        <w:rPr>
          <w:rStyle w:val="FootnoteReference"/>
        </w:rPr>
        <w:footnoteRef/>
      </w:r>
      <w:r>
        <w:t xml:space="preserve"> </w:t>
      </w:r>
      <w:r w:rsidRPr="00612693">
        <w:rPr>
          <w:rFonts w:ascii="Palatino Linotype" w:hAnsi="Palatino Linotype"/>
        </w:rPr>
        <w:t>AL 10-G-A at</w:t>
      </w:r>
      <w:r>
        <w:rPr>
          <w:rFonts w:ascii="Palatino Linotype" w:hAnsi="Palatino Linotype"/>
        </w:rPr>
        <w:t xml:space="preserve"> p. 40; p. 42; &amp; D-16 to D-17.</w:t>
      </w:r>
    </w:p>
  </w:footnote>
  <w:footnote w:id="278">
    <w:p w14:paraId="43B42753" w14:textId="77777777" w:rsidR="002F78F4" w:rsidRDefault="002F78F4" w:rsidP="002F78F4">
      <w:pPr>
        <w:pStyle w:val="FootnoteText"/>
      </w:pPr>
      <w:r>
        <w:rPr>
          <w:rStyle w:val="FootnoteReference"/>
        </w:rPr>
        <w:footnoteRef/>
      </w:r>
      <w:r>
        <w:t xml:space="preserve"> </w:t>
      </w:r>
      <w:r w:rsidRPr="00E92951">
        <w:rPr>
          <w:rFonts w:ascii="Palatino Linotype" w:hAnsi="Palatino Linotype"/>
        </w:rPr>
        <w:t>AL 1</w:t>
      </w:r>
      <w:r>
        <w:rPr>
          <w:rFonts w:ascii="Palatino Linotype" w:hAnsi="Palatino Linotype"/>
        </w:rPr>
        <w:t>0</w:t>
      </w:r>
      <w:r w:rsidRPr="00E92951">
        <w:rPr>
          <w:rFonts w:ascii="Palatino Linotype" w:hAnsi="Palatino Linotype"/>
        </w:rPr>
        <w:t>-G</w:t>
      </w:r>
      <w:r>
        <w:rPr>
          <w:rFonts w:ascii="Palatino Linotype" w:hAnsi="Palatino Linotype"/>
        </w:rPr>
        <w:t>-A</w:t>
      </w:r>
      <w:r w:rsidRPr="00E92951">
        <w:rPr>
          <w:rFonts w:ascii="Palatino Linotype" w:hAnsi="Palatino Linotype"/>
        </w:rPr>
        <w:t xml:space="preserve"> at p. 6.</w:t>
      </w:r>
    </w:p>
  </w:footnote>
  <w:footnote w:id="279">
    <w:p w14:paraId="715572F7" w14:textId="77777777" w:rsidR="002F78F4" w:rsidRDefault="002F78F4" w:rsidP="002F78F4">
      <w:pPr>
        <w:pStyle w:val="FootnoteText"/>
      </w:pPr>
      <w:r>
        <w:rPr>
          <w:rStyle w:val="FootnoteReference"/>
        </w:rPr>
        <w:footnoteRef/>
      </w:r>
      <w:r>
        <w:t xml:space="preserve"> </w:t>
      </w:r>
      <w:r w:rsidRPr="00CB1B03">
        <w:rPr>
          <w:rFonts w:ascii="Palatino Linotype" w:hAnsi="Palatino Linotype"/>
        </w:rPr>
        <w:t>AL 10-G-A at p. 16.</w:t>
      </w:r>
    </w:p>
  </w:footnote>
  <w:footnote w:id="280">
    <w:p w14:paraId="7628696F" w14:textId="77777777" w:rsidR="002F78F4" w:rsidRDefault="002F78F4" w:rsidP="002F78F4">
      <w:pPr>
        <w:pStyle w:val="FootnoteText"/>
      </w:pPr>
      <w:r>
        <w:rPr>
          <w:rStyle w:val="FootnoteReference"/>
        </w:rPr>
        <w:footnoteRef/>
      </w:r>
      <w:r>
        <w:t xml:space="preserve"> </w:t>
      </w:r>
      <w:r w:rsidRPr="005F5D73">
        <w:rPr>
          <w:rFonts w:ascii="Palatino Linotype" w:hAnsi="Palatino Linotype"/>
        </w:rPr>
        <w:t>AL 1</w:t>
      </w:r>
      <w:r>
        <w:rPr>
          <w:rFonts w:ascii="Palatino Linotype" w:hAnsi="Palatino Linotype"/>
        </w:rPr>
        <w:t>0</w:t>
      </w:r>
      <w:r w:rsidRPr="005F5D73">
        <w:rPr>
          <w:rFonts w:ascii="Palatino Linotype" w:hAnsi="Palatino Linotype"/>
        </w:rPr>
        <w:t>-G-A at D-1.</w:t>
      </w:r>
    </w:p>
  </w:footnote>
  <w:footnote w:id="281">
    <w:p w14:paraId="0761C356" w14:textId="77777777" w:rsidR="002F78F4" w:rsidRDefault="002F78F4" w:rsidP="002F78F4">
      <w:pPr>
        <w:pStyle w:val="FootnoteText"/>
      </w:pPr>
      <w:r>
        <w:rPr>
          <w:rStyle w:val="FootnoteReference"/>
        </w:rPr>
        <w:footnoteRef/>
      </w:r>
      <w:r>
        <w:t xml:space="preserve"> </w:t>
      </w:r>
      <w:r w:rsidRPr="002C1E2E">
        <w:rPr>
          <w:rFonts w:ascii="Palatino Linotype" w:hAnsi="Palatino Linotype"/>
        </w:rPr>
        <w:t>AL 1</w:t>
      </w:r>
      <w:r>
        <w:rPr>
          <w:rFonts w:ascii="Palatino Linotype" w:hAnsi="Palatino Linotype"/>
        </w:rPr>
        <w:t>0</w:t>
      </w:r>
      <w:r w:rsidRPr="002C1E2E">
        <w:rPr>
          <w:rFonts w:ascii="Palatino Linotype" w:hAnsi="Palatino Linotype"/>
        </w:rPr>
        <w:t>-G</w:t>
      </w:r>
      <w:r>
        <w:rPr>
          <w:rFonts w:ascii="Palatino Linotype" w:hAnsi="Palatino Linotype"/>
        </w:rPr>
        <w:t>-A</w:t>
      </w:r>
      <w:r w:rsidRPr="002C1E2E">
        <w:rPr>
          <w:rFonts w:ascii="Palatino Linotype" w:hAnsi="Palatino Linotype"/>
        </w:rPr>
        <w:t xml:space="preserve"> at p. 1</w:t>
      </w:r>
      <w:r>
        <w:rPr>
          <w:rFonts w:ascii="Palatino Linotype" w:hAnsi="Palatino Linotype"/>
        </w:rPr>
        <w:t>8</w:t>
      </w:r>
      <w:r w:rsidRPr="002C1E2E">
        <w:rPr>
          <w:rFonts w:ascii="Palatino Linotype" w:hAnsi="Palatino Linotype"/>
        </w:rPr>
        <w:t>-</w:t>
      </w:r>
      <w:r>
        <w:rPr>
          <w:rFonts w:ascii="Palatino Linotype" w:hAnsi="Palatino Linotype"/>
        </w:rPr>
        <w:t>19</w:t>
      </w:r>
      <w:r w:rsidRPr="002C1E2E">
        <w:rPr>
          <w:rFonts w:ascii="Palatino Linotype" w:hAnsi="Palatino Linotype"/>
        </w:rPr>
        <w:t>.</w:t>
      </w:r>
    </w:p>
  </w:footnote>
  <w:footnote w:id="282">
    <w:p w14:paraId="4C8F5F08" w14:textId="77777777" w:rsidR="002F78F4" w:rsidRDefault="002F78F4" w:rsidP="002F78F4">
      <w:pPr>
        <w:pStyle w:val="FootnoteText"/>
      </w:pPr>
      <w:r>
        <w:rPr>
          <w:rStyle w:val="FootnoteReference"/>
        </w:rPr>
        <w:footnoteRef/>
      </w:r>
      <w:r>
        <w:t xml:space="preserve"> </w:t>
      </w:r>
      <w:r w:rsidRPr="00A766BF">
        <w:rPr>
          <w:rFonts w:ascii="Palatino Linotype" w:hAnsi="Palatino Linotype"/>
        </w:rPr>
        <w:t>AL 10-G-A at D-9 to D-11.</w:t>
      </w:r>
    </w:p>
  </w:footnote>
  <w:footnote w:id="283">
    <w:p w14:paraId="333D96DD" w14:textId="77777777" w:rsidR="002F78F4" w:rsidRDefault="002F78F4" w:rsidP="002F78F4">
      <w:pPr>
        <w:pStyle w:val="FootnoteText"/>
      </w:pPr>
      <w:r>
        <w:rPr>
          <w:rStyle w:val="FootnoteReference"/>
        </w:rPr>
        <w:footnoteRef/>
      </w:r>
      <w:r>
        <w:t xml:space="preserve"> </w:t>
      </w:r>
      <w:r w:rsidRPr="00F95C33">
        <w:rPr>
          <w:rFonts w:ascii="Palatino Linotype" w:hAnsi="Palatino Linotype"/>
        </w:rPr>
        <w:t>AL 10-G-A at p. 29-30.</w:t>
      </w:r>
    </w:p>
  </w:footnote>
  <w:footnote w:id="284">
    <w:p w14:paraId="5CD177C5" w14:textId="77777777" w:rsidR="002F78F4" w:rsidRDefault="002F78F4" w:rsidP="002F78F4">
      <w:pPr>
        <w:pStyle w:val="FootnoteText"/>
      </w:pPr>
      <w:r>
        <w:rPr>
          <w:rStyle w:val="FootnoteReference"/>
        </w:rPr>
        <w:footnoteRef/>
      </w:r>
      <w:r>
        <w:t xml:space="preserve"> </w:t>
      </w:r>
      <w:r w:rsidRPr="001B7A9D">
        <w:rPr>
          <w:rFonts w:ascii="Palatino Linotype" w:hAnsi="Palatino Linotype"/>
        </w:rPr>
        <w:t>AL 10-G-A at D-9.</w:t>
      </w:r>
    </w:p>
  </w:footnote>
  <w:footnote w:id="285">
    <w:p w14:paraId="6AECB873" w14:textId="77777777" w:rsidR="002F78F4" w:rsidRDefault="002F78F4" w:rsidP="002F78F4">
      <w:pPr>
        <w:pStyle w:val="FootnoteText"/>
      </w:pPr>
      <w:r>
        <w:rPr>
          <w:rStyle w:val="FootnoteReference"/>
        </w:rPr>
        <w:footnoteRef/>
      </w:r>
      <w:r>
        <w:t xml:space="preserve"> </w:t>
      </w:r>
      <w:r w:rsidRPr="00B15E80">
        <w:rPr>
          <w:rFonts w:ascii="Palatino Linotype" w:hAnsi="Palatino Linotype"/>
        </w:rPr>
        <w:t>AL 10-G-A at p. 43-44.</w:t>
      </w:r>
    </w:p>
  </w:footnote>
  <w:footnote w:id="286">
    <w:p w14:paraId="166D0599" w14:textId="77777777" w:rsidR="002F78F4" w:rsidRDefault="002F78F4" w:rsidP="002F78F4">
      <w:pPr>
        <w:pStyle w:val="FootnoteText"/>
      </w:pPr>
      <w:r>
        <w:rPr>
          <w:rStyle w:val="FootnoteReference"/>
        </w:rPr>
        <w:footnoteRef/>
      </w:r>
      <w:r>
        <w:t xml:space="preserve"> </w:t>
      </w:r>
      <w:r w:rsidRPr="00C700FE">
        <w:rPr>
          <w:rFonts w:ascii="Palatino Linotype" w:hAnsi="Palatino Linotype"/>
        </w:rPr>
        <w:t>AL 1</w:t>
      </w:r>
      <w:r>
        <w:rPr>
          <w:rFonts w:ascii="Palatino Linotype" w:hAnsi="Palatino Linotype"/>
        </w:rPr>
        <w:t>0-G-A</w:t>
      </w:r>
      <w:r w:rsidRPr="00C700FE">
        <w:rPr>
          <w:rFonts w:ascii="Palatino Linotype" w:hAnsi="Palatino Linotype"/>
        </w:rPr>
        <w:t xml:space="preserve"> at p</w:t>
      </w:r>
      <w:r>
        <w:rPr>
          <w:rFonts w:ascii="Palatino Linotype" w:hAnsi="Palatino Linotype"/>
        </w:rPr>
        <w:t>. 19-21</w:t>
      </w:r>
      <w:r w:rsidRPr="00C700FE">
        <w:rPr>
          <w:rFonts w:ascii="Palatino Linotype" w:hAnsi="Palatino Linotype"/>
        </w:rPr>
        <w:t>.</w:t>
      </w:r>
    </w:p>
  </w:footnote>
  <w:footnote w:id="287">
    <w:p w14:paraId="6F7C6EC2" w14:textId="77777777" w:rsidR="002F78F4" w:rsidRDefault="002F78F4" w:rsidP="002F78F4">
      <w:pPr>
        <w:pStyle w:val="FootnoteText"/>
      </w:pPr>
      <w:r>
        <w:rPr>
          <w:rStyle w:val="FootnoteReference"/>
        </w:rPr>
        <w:footnoteRef/>
      </w:r>
      <w:r>
        <w:t xml:space="preserve"> </w:t>
      </w:r>
      <w:r w:rsidRPr="009B240C">
        <w:rPr>
          <w:rFonts w:ascii="Palatino Linotype" w:hAnsi="Palatino Linotype"/>
        </w:rPr>
        <w:t>AL 1</w:t>
      </w:r>
      <w:r>
        <w:rPr>
          <w:rFonts w:ascii="Palatino Linotype" w:hAnsi="Palatino Linotype"/>
        </w:rPr>
        <w:t>0</w:t>
      </w:r>
      <w:r w:rsidRPr="009B240C">
        <w:rPr>
          <w:rFonts w:ascii="Palatino Linotype" w:hAnsi="Palatino Linotype"/>
        </w:rPr>
        <w:t>-G</w:t>
      </w:r>
      <w:r>
        <w:rPr>
          <w:rFonts w:ascii="Palatino Linotype" w:hAnsi="Palatino Linotype"/>
        </w:rPr>
        <w:t>-A</w:t>
      </w:r>
      <w:r w:rsidRPr="009B240C">
        <w:rPr>
          <w:rFonts w:ascii="Palatino Linotype" w:hAnsi="Palatino Linotype"/>
        </w:rPr>
        <w:t xml:space="preserve"> at p. 2</w:t>
      </w:r>
      <w:r>
        <w:rPr>
          <w:rFonts w:ascii="Palatino Linotype" w:hAnsi="Palatino Linotype"/>
        </w:rPr>
        <w:t>7</w:t>
      </w:r>
      <w:r w:rsidRPr="009B240C">
        <w:rPr>
          <w:rFonts w:ascii="Palatino Linotype" w:hAnsi="Palatino Linotype"/>
        </w:rPr>
        <w:t>-29, 3</w:t>
      </w:r>
      <w:r>
        <w:rPr>
          <w:rFonts w:ascii="Palatino Linotype" w:hAnsi="Palatino Linotype"/>
        </w:rPr>
        <w:t>2</w:t>
      </w:r>
      <w:r w:rsidRPr="009B240C">
        <w:rPr>
          <w:rFonts w:ascii="Palatino Linotype" w:hAnsi="Palatino Linotype"/>
        </w:rPr>
        <w:t>-3</w:t>
      </w:r>
      <w:r>
        <w:rPr>
          <w:rFonts w:ascii="Palatino Linotype" w:hAnsi="Palatino Linotype"/>
        </w:rPr>
        <w:t>4</w:t>
      </w:r>
      <w:r w:rsidRPr="009B240C">
        <w:rPr>
          <w:rFonts w:ascii="Palatino Linotype" w:hAnsi="Palatino Linotype"/>
        </w:rPr>
        <w:t>, &amp; 4</w:t>
      </w:r>
      <w:r>
        <w:rPr>
          <w:rFonts w:ascii="Palatino Linotype" w:hAnsi="Palatino Linotype"/>
        </w:rPr>
        <w:t>0-42</w:t>
      </w:r>
      <w:r w:rsidRPr="009B240C">
        <w:rPr>
          <w:rFonts w:ascii="Palatino Linotype" w:hAnsi="Palatino Linoty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A99F" w14:textId="0E9E79F6" w:rsidR="00FC571F" w:rsidRDefault="00FC571F" w:rsidP="00A36CD7">
    <w:pPr>
      <w:pStyle w:val="Header"/>
      <w:rPr>
        <w:rFonts w:ascii="Palatino Linotype" w:hAnsi="Palatino Linotype"/>
      </w:rPr>
    </w:pPr>
    <w:r>
      <w:rPr>
        <w:rFonts w:ascii="Palatino Linotype" w:hAnsi="Palatino Linotype"/>
      </w:rPr>
      <w:t>ED/Resolution G-3622</w:t>
    </w:r>
    <w:r>
      <w:rPr>
        <w:rFonts w:ascii="Palatino Linotype" w:hAnsi="Palatino Linotype"/>
      </w:rPr>
      <w:tab/>
    </w:r>
    <w:r w:rsidR="0087218A">
      <w:rPr>
        <w:rFonts w:ascii="Palatino Linotype" w:hAnsi="Palatino Linotype"/>
      </w:rPr>
      <w:t>DRAFT</w:t>
    </w:r>
    <w:r>
      <w:rPr>
        <w:rFonts w:ascii="Palatino Linotype" w:hAnsi="Palatino Linotype"/>
      </w:rPr>
      <w:tab/>
    </w:r>
    <w:r w:rsidRPr="00E21964">
      <w:rPr>
        <w:rFonts w:ascii="Palatino Linotype" w:eastAsia="Times New Roman" w:hAnsi="Palatino Linotype" w:cs="Times New Roman"/>
        <w:color w:val="000000" w:themeColor="text1"/>
        <w:kern w:val="0"/>
        <w14:ligatures w14:val="none"/>
      </w:rPr>
      <w:t xml:space="preserve">October </w:t>
    </w:r>
    <w:r w:rsidR="0087218A">
      <w:rPr>
        <w:rFonts w:ascii="Palatino Linotype" w:eastAsia="Times New Roman" w:hAnsi="Palatino Linotype" w:cs="Times New Roman"/>
        <w:color w:val="000000" w:themeColor="text1"/>
        <w:kern w:val="0"/>
        <w14:ligatures w14:val="none"/>
      </w:rPr>
      <w:t>29</w:t>
    </w:r>
    <w:r w:rsidRPr="00E21964">
      <w:rPr>
        <w:rFonts w:ascii="Palatino Linotype" w:eastAsia="Times New Roman" w:hAnsi="Palatino Linotype" w:cs="Times New Roman"/>
        <w:color w:val="000000" w:themeColor="text1"/>
      </w:rPr>
      <w:t>, 2026</w:t>
    </w:r>
  </w:p>
  <w:p w14:paraId="1DFA0065" w14:textId="2A9B2104" w:rsidR="00FC571F" w:rsidRDefault="00FC571F" w:rsidP="00F66D8C">
    <w:pPr>
      <w:pStyle w:val="Header"/>
      <w:rPr>
        <w:rFonts w:ascii="Palatino Linotype" w:hAnsi="Palatino Linotype"/>
      </w:rPr>
    </w:pPr>
    <w:r>
      <w:rPr>
        <w:rFonts w:ascii="Palatino Linotype" w:hAnsi="Palatino Linotype"/>
      </w:rPr>
      <w:t>CEC AL 1</w:t>
    </w:r>
    <w:r w:rsidR="00295E0C">
      <w:rPr>
        <w:rFonts w:ascii="Palatino Linotype" w:hAnsi="Palatino Linotype"/>
      </w:rPr>
      <w:t>0</w:t>
    </w:r>
    <w:r>
      <w:rPr>
        <w:rFonts w:ascii="Palatino Linotype" w:hAnsi="Palatino Linotype"/>
      </w:rPr>
      <w:t>-G &amp; AL 1</w:t>
    </w:r>
    <w:r w:rsidR="00295E0C">
      <w:rPr>
        <w:rFonts w:ascii="Palatino Linotype" w:hAnsi="Palatino Linotype"/>
      </w:rPr>
      <w:t>2</w:t>
    </w:r>
    <w:r>
      <w:rPr>
        <w:rFonts w:ascii="Palatino Linotype" w:hAnsi="Palatino Linotype"/>
      </w:rPr>
      <w:t>-G/EM9</w:t>
    </w:r>
  </w:p>
  <w:p w14:paraId="1AEDEF0C" w14:textId="77777777" w:rsidR="00FC571F" w:rsidRDefault="00FC5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93D3" w14:textId="77777777" w:rsidR="00FC571F" w:rsidRPr="00C245C0" w:rsidRDefault="00FC571F" w:rsidP="000C4CBF">
    <w:pPr>
      <w:pStyle w:val="Header"/>
      <w:jc w:val="center"/>
      <w:rPr>
        <w:rFonts w:ascii="Palatino Linotype" w:hAnsi="Palatino Linotype"/>
      </w:rPr>
    </w:pPr>
    <w:r>
      <w:rPr>
        <w:rFonts w:ascii="Palatino Linotype" w:hAnsi="Palatino Linotype"/>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5400" w14:textId="50D6E1EC" w:rsidR="001D386B" w:rsidRDefault="001D386B" w:rsidP="001D386B">
    <w:pPr>
      <w:pStyle w:val="Header"/>
      <w:rPr>
        <w:rFonts w:ascii="Palatino Linotype" w:hAnsi="Palatino Linotype"/>
      </w:rPr>
    </w:pPr>
    <w:r>
      <w:rPr>
        <w:rFonts w:ascii="Palatino Linotype" w:hAnsi="Palatino Linotype"/>
      </w:rPr>
      <w:t>ED/Resolution G-3622</w:t>
    </w:r>
    <w:r>
      <w:rPr>
        <w:rFonts w:ascii="Palatino Linotype" w:hAnsi="Palatino Linotype"/>
      </w:rPr>
      <w:tab/>
    </w:r>
    <w:r>
      <w:rPr>
        <w:rFonts w:ascii="Palatino Linotype" w:hAnsi="Palatino Linotype"/>
      </w:rPr>
      <w:tab/>
    </w:r>
    <w:r w:rsidRPr="00E21964">
      <w:rPr>
        <w:rFonts w:ascii="Palatino Linotype" w:eastAsia="Times New Roman" w:hAnsi="Palatino Linotype" w:cs="Times New Roman"/>
        <w:color w:val="000000" w:themeColor="text1"/>
        <w:kern w:val="0"/>
        <w14:ligatures w14:val="none"/>
      </w:rPr>
      <w:t xml:space="preserve">October </w:t>
    </w:r>
    <w:r w:rsidR="002B3226">
      <w:rPr>
        <w:rFonts w:ascii="Palatino Linotype" w:eastAsia="Times New Roman" w:hAnsi="Palatino Linotype" w:cs="Times New Roman"/>
        <w:color w:val="000000" w:themeColor="text1"/>
        <w:kern w:val="0"/>
        <w14:ligatures w14:val="none"/>
      </w:rPr>
      <w:t>29</w:t>
    </w:r>
    <w:r w:rsidRPr="00E21964">
      <w:rPr>
        <w:rFonts w:ascii="Palatino Linotype" w:eastAsia="Times New Roman" w:hAnsi="Palatino Linotype" w:cs="Times New Roman"/>
        <w:color w:val="000000" w:themeColor="text1"/>
      </w:rPr>
      <w:t>, 2026</w:t>
    </w:r>
  </w:p>
  <w:p w14:paraId="3927640F" w14:textId="291D19BE" w:rsidR="001D386B" w:rsidRDefault="001D386B" w:rsidP="001D386B">
    <w:pPr>
      <w:pStyle w:val="Header"/>
      <w:rPr>
        <w:rFonts w:ascii="Palatino Linotype" w:hAnsi="Palatino Linotype"/>
      </w:rPr>
    </w:pPr>
    <w:r>
      <w:rPr>
        <w:rFonts w:ascii="Palatino Linotype" w:hAnsi="Palatino Linotype"/>
      </w:rPr>
      <w:t>CEC AL 1</w:t>
    </w:r>
    <w:r w:rsidR="002B3226">
      <w:rPr>
        <w:rFonts w:ascii="Palatino Linotype" w:hAnsi="Palatino Linotype"/>
      </w:rPr>
      <w:t>0</w:t>
    </w:r>
    <w:r>
      <w:rPr>
        <w:rFonts w:ascii="Palatino Linotype" w:hAnsi="Palatino Linotype"/>
      </w:rPr>
      <w:t>-G &amp; AL 1</w:t>
    </w:r>
    <w:r w:rsidR="002B3226">
      <w:rPr>
        <w:rFonts w:ascii="Palatino Linotype" w:hAnsi="Palatino Linotype"/>
      </w:rPr>
      <w:t>2</w:t>
    </w:r>
    <w:r>
      <w:rPr>
        <w:rFonts w:ascii="Palatino Linotype" w:hAnsi="Palatino Linotype"/>
      </w:rPr>
      <w:t>-G/EM9</w:t>
    </w:r>
  </w:p>
  <w:p w14:paraId="63F77158" w14:textId="4D5B0179" w:rsidR="001D386B" w:rsidRPr="001D386B" w:rsidRDefault="001D386B" w:rsidP="001D38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1D68" w14:textId="785F089A" w:rsidR="00F66D8C" w:rsidRDefault="00F66D8C" w:rsidP="00F66D8C">
    <w:pPr>
      <w:pStyle w:val="Header"/>
      <w:rPr>
        <w:rFonts w:ascii="Palatino Linotype" w:hAnsi="Palatino Linotype"/>
      </w:rPr>
    </w:pPr>
    <w:r>
      <w:rPr>
        <w:rFonts w:ascii="Palatino Linotype" w:hAnsi="Palatino Linotype"/>
      </w:rPr>
      <w:t>ED/Resolution G-3622</w:t>
    </w:r>
    <w:r>
      <w:rPr>
        <w:rFonts w:ascii="Palatino Linotype" w:hAnsi="Palatino Linotype"/>
      </w:rPr>
      <w:tab/>
    </w:r>
    <w:r>
      <w:rPr>
        <w:rFonts w:ascii="Palatino Linotype" w:hAnsi="Palatino Linotype"/>
      </w:rPr>
      <w:tab/>
    </w:r>
    <w:r w:rsidRPr="00E21964">
      <w:rPr>
        <w:rFonts w:ascii="Palatino Linotype" w:eastAsia="Times New Roman" w:hAnsi="Palatino Linotype" w:cs="Times New Roman"/>
        <w:color w:val="000000" w:themeColor="text1"/>
        <w:kern w:val="0"/>
        <w14:ligatures w14:val="none"/>
      </w:rPr>
      <w:t xml:space="preserve">October </w:t>
    </w:r>
    <w:r w:rsidR="00965FB6">
      <w:rPr>
        <w:rFonts w:ascii="Palatino Linotype" w:eastAsia="Times New Roman" w:hAnsi="Palatino Linotype" w:cs="Times New Roman"/>
        <w:color w:val="000000" w:themeColor="text1"/>
        <w:kern w:val="0"/>
        <w14:ligatures w14:val="none"/>
      </w:rPr>
      <w:t>29</w:t>
    </w:r>
    <w:r w:rsidRPr="00E21964">
      <w:rPr>
        <w:rFonts w:ascii="Palatino Linotype" w:eastAsia="Times New Roman" w:hAnsi="Palatino Linotype" w:cs="Times New Roman"/>
        <w:color w:val="000000" w:themeColor="text1"/>
      </w:rPr>
      <w:t>, 2026</w:t>
    </w:r>
  </w:p>
  <w:p w14:paraId="73AAE1B0" w14:textId="4FDE749F" w:rsidR="00F66D8C" w:rsidRDefault="00F66D8C" w:rsidP="00F66D8C">
    <w:pPr>
      <w:pStyle w:val="Header"/>
      <w:rPr>
        <w:rFonts w:ascii="Palatino Linotype" w:hAnsi="Palatino Linotype"/>
      </w:rPr>
    </w:pPr>
    <w:r>
      <w:rPr>
        <w:rFonts w:ascii="Palatino Linotype" w:hAnsi="Palatino Linotype"/>
      </w:rPr>
      <w:t>CEC AL 1</w:t>
    </w:r>
    <w:r w:rsidR="00965FB6">
      <w:rPr>
        <w:rFonts w:ascii="Palatino Linotype" w:hAnsi="Palatino Linotype"/>
      </w:rPr>
      <w:t>0</w:t>
    </w:r>
    <w:r>
      <w:rPr>
        <w:rFonts w:ascii="Palatino Linotype" w:hAnsi="Palatino Linotype"/>
      </w:rPr>
      <w:t>-G &amp; AL 1</w:t>
    </w:r>
    <w:r w:rsidR="00965FB6">
      <w:rPr>
        <w:rFonts w:ascii="Palatino Linotype" w:hAnsi="Palatino Linotype"/>
      </w:rPr>
      <w:t>2</w:t>
    </w:r>
    <w:r>
      <w:rPr>
        <w:rFonts w:ascii="Palatino Linotype" w:hAnsi="Palatino Linotype"/>
      </w:rPr>
      <w:t>-G/EM9</w:t>
    </w:r>
  </w:p>
  <w:p w14:paraId="78A1619A" w14:textId="09D46EDF" w:rsidR="00F66D8C" w:rsidRPr="00F66D8C" w:rsidRDefault="00F66D8C" w:rsidP="00F66D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07AEDA13" w:rsidR="00A76F4A" w:rsidRDefault="008213BB" w:rsidP="006555A6">
    <w:pPr>
      <w:pStyle w:val="Header"/>
      <w:rPr>
        <w:rFonts w:ascii="Palatino Linotype" w:hAnsi="Palatino Linotype"/>
      </w:rPr>
    </w:pPr>
    <w:r>
      <w:rPr>
        <w:rFonts w:ascii="Palatino Linotype" w:hAnsi="Palatino Linotype"/>
      </w:rPr>
      <w:t>E</w:t>
    </w:r>
    <w:r w:rsidR="00FB1DB6">
      <w:rPr>
        <w:rFonts w:ascii="Palatino Linotype" w:hAnsi="Palatino Linotype"/>
      </w:rPr>
      <w:t>D</w:t>
    </w:r>
    <w:r>
      <w:rPr>
        <w:rFonts w:ascii="Palatino Linotype" w:hAnsi="Palatino Linotype"/>
      </w:rPr>
      <w:t xml:space="preserve">/Resolution </w:t>
    </w:r>
    <w:r w:rsidR="00CD2149">
      <w:rPr>
        <w:rFonts w:ascii="Palatino Linotype" w:hAnsi="Palatino Linotype"/>
      </w:rPr>
      <w:t>G</w:t>
    </w:r>
    <w:r w:rsidR="00654697">
      <w:rPr>
        <w:rFonts w:ascii="Palatino Linotype" w:hAnsi="Palatino Linotype"/>
      </w:rPr>
      <w:t>-3622</w:t>
    </w:r>
    <w:r w:rsidR="004255F8">
      <w:rPr>
        <w:rFonts w:ascii="Palatino Linotype" w:hAnsi="Palatino Linotype"/>
      </w:rPr>
      <w:tab/>
    </w:r>
    <w:r w:rsidR="004255F8">
      <w:rPr>
        <w:rFonts w:ascii="Palatino Linotype" w:hAnsi="Palatino Linotype"/>
      </w:rPr>
      <w:tab/>
    </w:r>
    <w:r w:rsidR="00FB1DB6" w:rsidRPr="00FB1DB6">
      <w:rPr>
        <w:rFonts w:ascii="Palatino Linotype" w:eastAsia="Times New Roman" w:hAnsi="Palatino Linotype" w:cs="Times New Roman"/>
        <w:color w:val="000000" w:themeColor="text1"/>
        <w:kern w:val="0"/>
        <w14:ligatures w14:val="none"/>
      </w:rPr>
      <w:t xml:space="preserve">October </w:t>
    </w:r>
    <w:r w:rsidR="002B3226">
      <w:rPr>
        <w:rFonts w:ascii="Palatino Linotype" w:eastAsia="Times New Roman" w:hAnsi="Palatino Linotype" w:cs="Times New Roman"/>
        <w:color w:val="000000" w:themeColor="text1"/>
        <w:kern w:val="0"/>
        <w14:ligatures w14:val="none"/>
      </w:rPr>
      <w:t>29</w:t>
    </w:r>
    <w:r w:rsidR="00FB1DB6" w:rsidRPr="00FB1DB6">
      <w:rPr>
        <w:rFonts w:ascii="Palatino Linotype" w:eastAsia="Times New Roman" w:hAnsi="Palatino Linotype" w:cs="Times New Roman"/>
        <w:color w:val="000000" w:themeColor="text1"/>
      </w:rPr>
      <w:t>, 2026</w:t>
    </w:r>
  </w:p>
  <w:p w14:paraId="39E35C4E" w14:textId="7EC7AAB5" w:rsidR="00CD2149" w:rsidRDefault="00195541" w:rsidP="006555A6">
    <w:pPr>
      <w:pStyle w:val="Header"/>
      <w:rPr>
        <w:rFonts w:ascii="Palatino Linotype" w:hAnsi="Palatino Linotype"/>
      </w:rPr>
    </w:pPr>
    <w:r>
      <w:rPr>
        <w:rFonts w:ascii="Palatino Linotype" w:hAnsi="Palatino Linotype"/>
      </w:rPr>
      <w:t>CEC</w:t>
    </w:r>
    <w:r w:rsidR="00CD2149">
      <w:rPr>
        <w:rFonts w:ascii="Palatino Linotype" w:hAnsi="Palatino Linotype"/>
      </w:rPr>
      <w:t xml:space="preserve"> </w:t>
    </w:r>
    <w:r w:rsidR="008213BB">
      <w:rPr>
        <w:rFonts w:ascii="Palatino Linotype" w:hAnsi="Palatino Linotype"/>
      </w:rPr>
      <w:t>AL</w:t>
    </w:r>
    <w:r w:rsidR="00CD2149">
      <w:rPr>
        <w:rFonts w:ascii="Palatino Linotype" w:hAnsi="Palatino Linotype"/>
      </w:rPr>
      <w:t xml:space="preserve"> </w:t>
    </w:r>
    <w:r w:rsidR="00772143">
      <w:rPr>
        <w:rFonts w:ascii="Palatino Linotype" w:hAnsi="Palatino Linotype"/>
      </w:rPr>
      <w:t>1</w:t>
    </w:r>
    <w:r w:rsidR="002B3226">
      <w:rPr>
        <w:rFonts w:ascii="Palatino Linotype" w:hAnsi="Palatino Linotype"/>
      </w:rPr>
      <w:t>0</w:t>
    </w:r>
    <w:r w:rsidR="00772143">
      <w:rPr>
        <w:rFonts w:ascii="Palatino Linotype" w:hAnsi="Palatino Linotype"/>
      </w:rPr>
      <w:t>-G</w:t>
    </w:r>
    <w:r w:rsidR="00DB68D5">
      <w:rPr>
        <w:rFonts w:ascii="Palatino Linotype" w:hAnsi="Palatino Linotype"/>
      </w:rPr>
      <w:t xml:space="preserve"> &amp; AL </w:t>
    </w:r>
    <w:r w:rsidR="00772143">
      <w:rPr>
        <w:rFonts w:ascii="Palatino Linotype" w:hAnsi="Palatino Linotype"/>
      </w:rPr>
      <w:t>1</w:t>
    </w:r>
    <w:r w:rsidR="002B3226">
      <w:rPr>
        <w:rFonts w:ascii="Palatino Linotype" w:hAnsi="Palatino Linotype"/>
      </w:rPr>
      <w:t>2</w:t>
    </w:r>
    <w:r w:rsidR="00772143">
      <w:rPr>
        <w:rFonts w:ascii="Palatino Linotype" w:hAnsi="Palatino Linotype"/>
      </w:rPr>
      <w:t>-G</w:t>
    </w:r>
    <w:r w:rsidR="00565F65">
      <w:rPr>
        <w:rFonts w:ascii="Palatino Linotype" w:hAnsi="Palatino Linotype"/>
      </w:rPr>
      <w:t>/</w:t>
    </w:r>
    <w:r w:rsidR="00CD2149">
      <w:rPr>
        <w:rFonts w:ascii="Palatino Linotype" w:hAnsi="Palatino Linotype"/>
      </w:rPr>
      <w:t>EM9</w:t>
    </w:r>
  </w:p>
  <w:p w14:paraId="6B090989" w14:textId="77777777" w:rsidR="00167F5B" w:rsidRPr="00CD2149" w:rsidRDefault="00167F5B" w:rsidP="006555A6">
    <w:pPr>
      <w:pStyle w:val="Header"/>
      <w:rPr>
        <w:rFonts w:ascii="Palatino Linotype" w:hAnsi="Palatino Linotyp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7309" w14:textId="21B0F666" w:rsidR="00C245C0" w:rsidRDefault="00C245C0" w:rsidP="00C245C0">
    <w:pPr>
      <w:pStyle w:val="Header"/>
      <w:rPr>
        <w:rFonts w:ascii="Palatino Linotype" w:hAnsi="Palatino Linotype"/>
      </w:rPr>
    </w:pPr>
    <w:r>
      <w:rPr>
        <w:rFonts w:ascii="Palatino Linotype" w:hAnsi="Palatino Linotype"/>
      </w:rPr>
      <w:t>E</w:t>
    </w:r>
    <w:r w:rsidR="00F66D8C">
      <w:rPr>
        <w:rFonts w:ascii="Palatino Linotype" w:hAnsi="Palatino Linotype"/>
      </w:rPr>
      <w:t>D</w:t>
    </w:r>
    <w:r>
      <w:rPr>
        <w:rFonts w:ascii="Palatino Linotype" w:hAnsi="Palatino Linotype"/>
      </w:rPr>
      <w:t>/Resolution G-3622</w:t>
    </w:r>
    <w:r>
      <w:rPr>
        <w:rFonts w:ascii="Palatino Linotype" w:hAnsi="Palatino Linotype"/>
      </w:rPr>
      <w:tab/>
    </w:r>
    <w:r>
      <w:rPr>
        <w:rFonts w:ascii="Palatino Linotype" w:hAnsi="Palatino Linotype"/>
      </w:rPr>
      <w:tab/>
    </w:r>
    <w:r w:rsidR="00F66D8C">
      <w:rPr>
        <w:rFonts w:ascii="Palatino Linotype" w:hAnsi="Palatino Linotype"/>
      </w:rPr>
      <w:t xml:space="preserve">October </w:t>
    </w:r>
    <w:r w:rsidR="002B3226">
      <w:rPr>
        <w:rFonts w:ascii="Palatino Linotype" w:hAnsi="Palatino Linotype"/>
      </w:rPr>
      <w:t>29</w:t>
    </w:r>
    <w:r>
      <w:rPr>
        <w:rFonts w:ascii="Palatino Linotype" w:hAnsi="Palatino Linotype"/>
      </w:rPr>
      <w:t>, 2026</w:t>
    </w:r>
  </w:p>
  <w:p w14:paraId="0DEB4018" w14:textId="0CD4FDF6" w:rsidR="00FB1DB6" w:rsidRDefault="00FB1DB6" w:rsidP="00FB1DB6">
    <w:pPr>
      <w:pStyle w:val="Header"/>
      <w:rPr>
        <w:rFonts w:ascii="Palatino Linotype" w:hAnsi="Palatino Linotype"/>
      </w:rPr>
    </w:pPr>
    <w:r>
      <w:rPr>
        <w:rFonts w:ascii="Palatino Linotype" w:hAnsi="Palatino Linotype"/>
      </w:rPr>
      <w:t>CEC AL 1</w:t>
    </w:r>
    <w:r w:rsidR="002B3226">
      <w:rPr>
        <w:rFonts w:ascii="Palatino Linotype" w:hAnsi="Palatino Linotype"/>
      </w:rPr>
      <w:t>0</w:t>
    </w:r>
    <w:r>
      <w:rPr>
        <w:rFonts w:ascii="Palatino Linotype" w:hAnsi="Palatino Linotype"/>
      </w:rPr>
      <w:t>-G &amp; AL 1</w:t>
    </w:r>
    <w:r w:rsidR="002B3226">
      <w:rPr>
        <w:rFonts w:ascii="Palatino Linotype" w:hAnsi="Palatino Linotype"/>
      </w:rPr>
      <w:t>2</w:t>
    </w:r>
    <w:r>
      <w:rPr>
        <w:rFonts w:ascii="Palatino Linotype" w:hAnsi="Palatino Linotype"/>
      </w:rPr>
      <w:t>-G/EM9</w:t>
    </w:r>
  </w:p>
  <w:p w14:paraId="52E21BBB" w14:textId="17ED83F0" w:rsidR="00750E92" w:rsidRPr="00750E92" w:rsidRDefault="00750E92" w:rsidP="00FB1DB6">
    <w:pPr>
      <w:pStyle w:val="Header"/>
      <w:rPr>
        <w:rFonts w:ascii="Palatino Linotype" w:hAnsi="Palatino Linotyp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73AA" w14:textId="0E5929C8" w:rsidR="007008A4" w:rsidRDefault="007008A4" w:rsidP="006555A6">
    <w:pPr>
      <w:pStyle w:val="Header"/>
      <w:rPr>
        <w:rFonts w:ascii="Palatino Linotype" w:hAnsi="Palatino Linotype"/>
      </w:rPr>
    </w:pPr>
    <w:r>
      <w:rPr>
        <w:rFonts w:ascii="Palatino Linotype" w:hAnsi="Palatino Linotype"/>
      </w:rPr>
      <w:t>ED/Resolution G-3622</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Pr="00FB1DB6">
      <w:rPr>
        <w:rFonts w:ascii="Palatino Linotype" w:eastAsia="Times New Roman" w:hAnsi="Palatino Linotype" w:cs="Times New Roman"/>
        <w:color w:val="000000" w:themeColor="text1"/>
        <w:kern w:val="0"/>
        <w14:ligatures w14:val="none"/>
      </w:rPr>
      <w:t xml:space="preserve">October </w:t>
    </w:r>
    <w:r w:rsidR="00295E0C">
      <w:rPr>
        <w:rFonts w:ascii="Palatino Linotype" w:eastAsia="Times New Roman" w:hAnsi="Palatino Linotype" w:cs="Times New Roman"/>
        <w:color w:val="000000" w:themeColor="text1"/>
        <w:kern w:val="0"/>
        <w14:ligatures w14:val="none"/>
      </w:rPr>
      <w:t>29</w:t>
    </w:r>
    <w:r w:rsidRPr="00FB1DB6">
      <w:rPr>
        <w:rFonts w:ascii="Palatino Linotype" w:eastAsia="Times New Roman" w:hAnsi="Palatino Linotype" w:cs="Times New Roman"/>
        <w:color w:val="000000" w:themeColor="text1"/>
      </w:rPr>
      <w:t>, 2026</w:t>
    </w:r>
  </w:p>
  <w:p w14:paraId="22FB07F1" w14:textId="2953C3A7" w:rsidR="007008A4" w:rsidRDefault="007008A4" w:rsidP="006555A6">
    <w:pPr>
      <w:pStyle w:val="Header"/>
      <w:rPr>
        <w:rFonts w:ascii="Palatino Linotype" w:hAnsi="Palatino Linotype"/>
      </w:rPr>
    </w:pPr>
    <w:r>
      <w:rPr>
        <w:rFonts w:ascii="Palatino Linotype" w:hAnsi="Palatino Linotype"/>
      </w:rPr>
      <w:t>CEC AL 1</w:t>
    </w:r>
    <w:r w:rsidR="00295E0C">
      <w:rPr>
        <w:rFonts w:ascii="Palatino Linotype" w:hAnsi="Palatino Linotype"/>
      </w:rPr>
      <w:t>0</w:t>
    </w:r>
    <w:r>
      <w:rPr>
        <w:rFonts w:ascii="Palatino Linotype" w:hAnsi="Palatino Linotype"/>
      </w:rPr>
      <w:t>-G &amp; AL 1</w:t>
    </w:r>
    <w:r w:rsidR="00295E0C">
      <w:rPr>
        <w:rFonts w:ascii="Palatino Linotype" w:hAnsi="Palatino Linotype"/>
      </w:rPr>
      <w:t>2</w:t>
    </w:r>
    <w:r>
      <w:rPr>
        <w:rFonts w:ascii="Palatino Linotype" w:hAnsi="Palatino Linotype"/>
      </w:rPr>
      <w:t>-G/EM9</w:t>
    </w:r>
  </w:p>
  <w:p w14:paraId="136C7176" w14:textId="77777777" w:rsidR="007008A4" w:rsidRPr="00CD2149" w:rsidRDefault="007008A4" w:rsidP="006555A6">
    <w:pPr>
      <w:pStyle w:val="Header"/>
      <w:rPr>
        <w:rFonts w:ascii="Palatino Linotype" w:hAnsi="Palatino Linotyp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A82"/>
    <w:multiLevelType w:val="hybridMultilevel"/>
    <w:tmpl w:val="9E26B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264989"/>
    <w:multiLevelType w:val="hybridMultilevel"/>
    <w:tmpl w:val="2A881122"/>
    <w:lvl w:ilvl="0" w:tplc="8C9CA3E2">
      <w:start w:val="1"/>
      <w:numFmt w:val="decimal"/>
      <w:lvlText w:val="%1)"/>
      <w:lvlJc w:val="left"/>
      <w:pPr>
        <w:ind w:left="720" w:hanging="360"/>
      </w:pPr>
      <w:rPr>
        <w:rFonts w:ascii="Palatino Linotype" w:eastAsiaTheme="minorHAnsi" w:hAnsi="Palatino Linotype"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50E09"/>
    <w:multiLevelType w:val="hybridMultilevel"/>
    <w:tmpl w:val="20026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9645A8"/>
    <w:multiLevelType w:val="multilevel"/>
    <w:tmpl w:val="1A50CC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9996146"/>
    <w:multiLevelType w:val="hybridMultilevel"/>
    <w:tmpl w:val="2D2A0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0A5253"/>
    <w:multiLevelType w:val="hybridMultilevel"/>
    <w:tmpl w:val="0D7A5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8934EE"/>
    <w:multiLevelType w:val="hybridMultilevel"/>
    <w:tmpl w:val="15C21A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84A70"/>
    <w:multiLevelType w:val="hybridMultilevel"/>
    <w:tmpl w:val="E71E21E6"/>
    <w:lvl w:ilvl="0" w:tplc="56044820">
      <w:start w:val="1"/>
      <w:numFmt w:val="lowerLetter"/>
      <w:lvlText w:val="%1)"/>
      <w:lvlJc w:val="left"/>
      <w:pPr>
        <w:ind w:left="720" w:hanging="360"/>
      </w:pPr>
      <w:rPr>
        <w:rFonts w:ascii="Palatino Linotype" w:eastAsia="SimSun" w:hAnsi="Palatino Linotype"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4372D"/>
    <w:multiLevelType w:val="hybridMultilevel"/>
    <w:tmpl w:val="D7FC742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F48F1"/>
    <w:multiLevelType w:val="hybridMultilevel"/>
    <w:tmpl w:val="DBE0AD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920A2B"/>
    <w:multiLevelType w:val="hybridMultilevel"/>
    <w:tmpl w:val="A132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B19EB"/>
    <w:multiLevelType w:val="hybridMultilevel"/>
    <w:tmpl w:val="E9E0F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674419"/>
    <w:multiLevelType w:val="multilevel"/>
    <w:tmpl w:val="7AB8547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CC86259"/>
    <w:multiLevelType w:val="multilevel"/>
    <w:tmpl w:val="890AA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0D3999"/>
    <w:multiLevelType w:val="hybridMultilevel"/>
    <w:tmpl w:val="C28CE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0DB1825"/>
    <w:multiLevelType w:val="hybridMultilevel"/>
    <w:tmpl w:val="D14CC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B81321"/>
    <w:multiLevelType w:val="hybridMultilevel"/>
    <w:tmpl w:val="FC027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074680"/>
    <w:multiLevelType w:val="hybridMultilevel"/>
    <w:tmpl w:val="C9AC63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2830AA"/>
    <w:multiLevelType w:val="hybridMultilevel"/>
    <w:tmpl w:val="466AC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886CB1"/>
    <w:multiLevelType w:val="hybridMultilevel"/>
    <w:tmpl w:val="32AA33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6F8414F"/>
    <w:multiLevelType w:val="hybridMultilevel"/>
    <w:tmpl w:val="5C827A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7023B0E"/>
    <w:multiLevelType w:val="hybridMultilevel"/>
    <w:tmpl w:val="A7B2D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E51B53"/>
    <w:multiLevelType w:val="multilevel"/>
    <w:tmpl w:val="054453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B0117E"/>
    <w:multiLevelType w:val="hybridMultilevel"/>
    <w:tmpl w:val="E61C7D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6504F"/>
    <w:multiLevelType w:val="hybridMultilevel"/>
    <w:tmpl w:val="4EEE8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90C31C2"/>
    <w:multiLevelType w:val="hybridMultilevel"/>
    <w:tmpl w:val="2F6E10A6"/>
    <w:lvl w:ilvl="0" w:tplc="FDE4A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512AD2"/>
    <w:multiLevelType w:val="hybridMultilevel"/>
    <w:tmpl w:val="28964612"/>
    <w:lvl w:ilvl="0" w:tplc="D5781E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7E7DDF"/>
    <w:multiLevelType w:val="hybridMultilevel"/>
    <w:tmpl w:val="F24C0230"/>
    <w:lvl w:ilvl="0" w:tplc="2A3ED80A">
      <w:start w:val="1"/>
      <w:numFmt w:val="decimal"/>
      <w:lvlText w:val="%1."/>
      <w:lvlJc w:val="left"/>
      <w:pPr>
        <w:ind w:left="720" w:hanging="360"/>
      </w:pPr>
    </w:lvl>
    <w:lvl w:ilvl="1" w:tplc="70A62C00">
      <w:start w:val="1"/>
      <w:numFmt w:val="lowerLetter"/>
      <w:lvlText w:val="%2."/>
      <w:lvlJc w:val="left"/>
      <w:pPr>
        <w:ind w:left="1440" w:hanging="360"/>
      </w:pPr>
    </w:lvl>
    <w:lvl w:ilvl="2" w:tplc="6AE8B54A">
      <w:start w:val="1"/>
      <w:numFmt w:val="lowerRoman"/>
      <w:lvlText w:val="%3."/>
      <w:lvlJc w:val="right"/>
      <w:pPr>
        <w:ind w:left="2160" w:hanging="180"/>
      </w:pPr>
    </w:lvl>
    <w:lvl w:ilvl="3" w:tplc="80BAD950">
      <w:start w:val="1"/>
      <w:numFmt w:val="decimal"/>
      <w:lvlText w:val="%4."/>
      <w:lvlJc w:val="left"/>
      <w:pPr>
        <w:ind w:left="2880" w:hanging="360"/>
      </w:pPr>
    </w:lvl>
    <w:lvl w:ilvl="4" w:tplc="56A44F06">
      <w:start w:val="1"/>
      <w:numFmt w:val="lowerLetter"/>
      <w:lvlText w:val="%5."/>
      <w:lvlJc w:val="left"/>
      <w:pPr>
        <w:ind w:left="3600" w:hanging="360"/>
      </w:pPr>
    </w:lvl>
    <w:lvl w:ilvl="5" w:tplc="0994F682">
      <w:start w:val="1"/>
      <w:numFmt w:val="lowerRoman"/>
      <w:lvlText w:val="%6."/>
      <w:lvlJc w:val="right"/>
      <w:pPr>
        <w:ind w:left="4320" w:hanging="180"/>
      </w:pPr>
    </w:lvl>
    <w:lvl w:ilvl="6" w:tplc="8B280AC4">
      <w:start w:val="1"/>
      <w:numFmt w:val="decimal"/>
      <w:lvlText w:val="%7."/>
      <w:lvlJc w:val="left"/>
      <w:pPr>
        <w:ind w:left="5040" w:hanging="360"/>
      </w:pPr>
    </w:lvl>
    <w:lvl w:ilvl="7" w:tplc="5DD061F6">
      <w:start w:val="1"/>
      <w:numFmt w:val="lowerLetter"/>
      <w:lvlText w:val="%8."/>
      <w:lvlJc w:val="left"/>
      <w:pPr>
        <w:ind w:left="5760" w:hanging="360"/>
      </w:pPr>
    </w:lvl>
    <w:lvl w:ilvl="8" w:tplc="7BA84F3C">
      <w:start w:val="1"/>
      <w:numFmt w:val="lowerRoman"/>
      <w:lvlText w:val="%9."/>
      <w:lvlJc w:val="right"/>
      <w:pPr>
        <w:ind w:left="6480" w:hanging="180"/>
      </w:pPr>
    </w:lvl>
  </w:abstractNum>
  <w:abstractNum w:abstractNumId="28" w15:restartNumberingAfterBreak="0">
    <w:nsid w:val="40111613"/>
    <w:multiLevelType w:val="hybridMultilevel"/>
    <w:tmpl w:val="843C54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A408AB"/>
    <w:multiLevelType w:val="hybridMultilevel"/>
    <w:tmpl w:val="691E0774"/>
    <w:lvl w:ilvl="0" w:tplc="A9220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CE6582"/>
    <w:multiLevelType w:val="hybridMultilevel"/>
    <w:tmpl w:val="F8C2D5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5213F6B"/>
    <w:multiLevelType w:val="hybridMultilevel"/>
    <w:tmpl w:val="41EC5B1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1B2FD1"/>
    <w:multiLevelType w:val="hybridMultilevel"/>
    <w:tmpl w:val="F2E0FCC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77645D4"/>
    <w:multiLevelType w:val="hybridMultilevel"/>
    <w:tmpl w:val="55E2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094603"/>
    <w:multiLevelType w:val="hybridMultilevel"/>
    <w:tmpl w:val="328EE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A14403"/>
    <w:multiLevelType w:val="multilevel"/>
    <w:tmpl w:val="C6AC57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C416C9"/>
    <w:multiLevelType w:val="hybridMultilevel"/>
    <w:tmpl w:val="B308D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B5F498A"/>
    <w:multiLevelType w:val="hybridMultilevel"/>
    <w:tmpl w:val="E688B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BF655E7"/>
    <w:multiLevelType w:val="hybridMultilevel"/>
    <w:tmpl w:val="9AC61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EE1372"/>
    <w:multiLevelType w:val="hybridMultilevel"/>
    <w:tmpl w:val="5202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9B4B64"/>
    <w:multiLevelType w:val="hybridMultilevel"/>
    <w:tmpl w:val="E996AF8A"/>
    <w:lvl w:ilvl="0" w:tplc="FDE4A3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8C70179"/>
    <w:multiLevelType w:val="hybridMultilevel"/>
    <w:tmpl w:val="7326EC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C1C66C9"/>
    <w:multiLevelType w:val="hybridMultilevel"/>
    <w:tmpl w:val="EE525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F56A29"/>
    <w:multiLevelType w:val="hybridMultilevel"/>
    <w:tmpl w:val="54C45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DEF6DDE"/>
    <w:multiLevelType w:val="hybridMultilevel"/>
    <w:tmpl w:val="15C21AB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3796459"/>
    <w:multiLevelType w:val="hybridMultilevel"/>
    <w:tmpl w:val="D278E0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9BD3A92"/>
    <w:multiLevelType w:val="hybridMultilevel"/>
    <w:tmpl w:val="79C4D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B945CCB"/>
    <w:multiLevelType w:val="hybridMultilevel"/>
    <w:tmpl w:val="549C5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BB84711"/>
    <w:multiLevelType w:val="hybridMultilevel"/>
    <w:tmpl w:val="04EE7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50" w15:restartNumberingAfterBreak="0">
    <w:nsid w:val="75C37B0C"/>
    <w:multiLevelType w:val="hybridMultilevel"/>
    <w:tmpl w:val="B3E04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5C3F93"/>
    <w:multiLevelType w:val="multilevel"/>
    <w:tmpl w:val="6FD6F6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754620235">
    <w:abstractNumId w:val="20"/>
  </w:num>
  <w:num w:numId="2" w16cid:durableId="969365539">
    <w:abstractNumId w:val="48"/>
  </w:num>
  <w:num w:numId="3" w16cid:durableId="426273653">
    <w:abstractNumId w:val="49"/>
  </w:num>
  <w:num w:numId="4" w16cid:durableId="1299454016">
    <w:abstractNumId w:val="23"/>
  </w:num>
  <w:num w:numId="5" w16cid:durableId="1679309455">
    <w:abstractNumId w:val="28"/>
  </w:num>
  <w:num w:numId="6" w16cid:durableId="1901943406">
    <w:abstractNumId w:val="26"/>
  </w:num>
  <w:num w:numId="7" w16cid:durableId="244657654">
    <w:abstractNumId w:val="40"/>
  </w:num>
  <w:num w:numId="8" w16cid:durableId="1998723742">
    <w:abstractNumId w:val="1"/>
  </w:num>
  <w:num w:numId="9" w16cid:durableId="1483504008">
    <w:abstractNumId w:val="27"/>
  </w:num>
  <w:num w:numId="10" w16cid:durableId="742096123">
    <w:abstractNumId w:val="6"/>
  </w:num>
  <w:num w:numId="11" w16cid:durableId="657658086">
    <w:abstractNumId w:val="44"/>
  </w:num>
  <w:num w:numId="12" w16cid:durableId="1509707999">
    <w:abstractNumId w:val="32"/>
  </w:num>
  <w:num w:numId="13" w16cid:durableId="1533415376">
    <w:abstractNumId w:val="33"/>
  </w:num>
  <w:num w:numId="14" w16cid:durableId="628173806">
    <w:abstractNumId w:val="10"/>
  </w:num>
  <w:num w:numId="15" w16cid:durableId="1579244243">
    <w:abstractNumId w:val="16"/>
  </w:num>
  <w:num w:numId="16" w16cid:durableId="2021002017">
    <w:abstractNumId w:val="15"/>
  </w:num>
  <w:num w:numId="17" w16cid:durableId="210964838">
    <w:abstractNumId w:val="21"/>
  </w:num>
  <w:num w:numId="18" w16cid:durableId="35473544">
    <w:abstractNumId w:val="38"/>
  </w:num>
  <w:num w:numId="19" w16cid:durableId="1533150403">
    <w:abstractNumId w:val="39"/>
  </w:num>
  <w:num w:numId="20" w16cid:durableId="1319262154">
    <w:abstractNumId w:val="30"/>
  </w:num>
  <w:num w:numId="21" w16cid:durableId="840239882">
    <w:abstractNumId w:val="25"/>
  </w:num>
  <w:num w:numId="22" w16cid:durableId="1981642063">
    <w:abstractNumId w:val="18"/>
  </w:num>
  <w:num w:numId="23" w16cid:durableId="1268000252">
    <w:abstractNumId w:val="43"/>
  </w:num>
  <w:num w:numId="24" w16cid:durableId="612637397">
    <w:abstractNumId w:val="9"/>
  </w:num>
  <w:num w:numId="25" w16cid:durableId="585923174">
    <w:abstractNumId w:val="8"/>
  </w:num>
  <w:num w:numId="26" w16cid:durableId="474108692">
    <w:abstractNumId w:val="46"/>
  </w:num>
  <w:num w:numId="27" w16cid:durableId="1912425364">
    <w:abstractNumId w:val="31"/>
  </w:num>
  <w:num w:numId="28" w16cid:durableId="562522817">
    <w:abstractNumId w:val="24"/>
  </w:num>
  <w:num w:numId="29" w16cid:durableId="643437217">
    <w:abstractNumId w:val="29"/>
  </w:num>
  <w:num w:numId="30" w16cid:durableId="224875705">
    <w:abstractNumId w:val="2"/>
  </w:num>
  <w:num w:numId="31" w16cid:durableId="2057581894">
    <w:abstractNumId w:val="5"/>
  </w:num>
  <w:num w:numId="32" w16cid:durableId="469447235">
    <w:abstractNumId w:val="47"/>
  </w:num>
  <w:num w:numId="33" w16cid:durableId="1272937375">
    <w:abstractNumId w:val="41"/>
  </w:num>
  <w:num w:numId="34" w16cid:durableId="1545633649">
    <w:abstractNumId w:val="45"/>
  </w:num>
  <w:num w:numId="35" w16cid:durableId="2109693785">
    <w:abstractNumId w:val="14"/>
  </w:num>
  <w:num w:numId="36" w16cid:durableId="2066759013">
    <w:abstractNumId w:val="0"/>
  </w:num>
  <w:num w:numId="37" w16cid:durableId="813529918">
    <w:abstractNumId w:val="36"/>
  </w:num>
  <w:num w:numId="38" w16cid:durableId="1037388291">
    <w:abstractNumId w:val="19"/>
  </w:num>
  <w:num w:numId="39" w16cid:durableId="361899006">
    <w:abstractNumId w:val="4"/>
  </w:num>
  <w:num w:numId="40" w16cid:durableId="2130197883">
    <w:abstractNumId w:val="37"/>
  </w:num>
  <w:num w:numId="41" w16cid:durableId="1660383525">
    <w:abstractNumId w:val="50"/>
  </w:num>
  <w:num w:numId="42" w16cid:durableId="406466466">
    <w:abstractNumId w:val="7"/>
  </w:num>
  <w:num w:numId="43" w16cid:durableId="321659753">
    <w:abstractNumId w:val="17"/>
  </w:num>
  <w:num w:numId="44" w16cid:durableId="172035179">
    <w:abstractNumId w:val="11"/>
  </w:num>
  <w:num w:numId="45" w16cid:durableId="771706413">
    <w:abstractNumId w:val="34"/>
  </w:num>
  <w:num w:numId="46" w16cid:durableId="1136801820">
    <w:abstractNumId w:val="42"/>
  </w:num>
  <w:num w:numId="47" w16cid:durableId="302471784">
    <w:abstractNumId w:val="13"/>
  </w:num>
  <w:num w:numId="48" w16cid:durableId="549389031">
    <w:abstractNumId w:val="3"/>
  </w:num>
  <w:num w:numId="49" w16cid:durableId="2005860708">
    <w:abstractNumId w:val="51"/>
  </w:num>
  <w:num w:numId="50" w16cid:durableId="244194167">
    <w:abstractNumId w:val="12"/>
  </w:num>
  <w:num w:numId="51" w16cid:durableId="1139305590">
    <w:abstractNumId w:val="35"/>
  </w:num>
  <w:num w:numId="52" w16cid:durableId="280694469">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8B5"/>
    <w:rsid w:val="00000B1E"/>
    <w:rsid w:val="00000B8A"/>
    <w:rsid w:val="00000C97"/>
    <w:rsid w:val="00000EB6"/>
    <w:rsid w:val="00000FC7"/>
    <w:rsid w:val="00001022"/>
    <w:rsid w:val="000011E5"/>
    <w:rsid w:val="00001203"/>
    <w:rsid w:val="00001865"/>
    <w:rsid w:val="00001A3B"/>
    <w:rsid w:val="00001DFC"/>
    <w:rsid w:val="00002139"/>
    <w:rsid w:val="0000219E"/>
    <w:rsid w:val="000022C1"/>
    <w:rsid w:val="00002407"/>
    <w:rsid w:val="00002784"/>
    <w:rsid w:val="00002ABE"/>
    <w:rsid w:val="00002B61"/>
    <w:rsid w:val="00002FF9"/>
    <w:rsid w:val="000034E0"/>
    <w:rsid w:val="00003805"/>
    <w:rsid w:val="00003E32"/>
    <w:rsid w:val="000041A0"/>
    <w:rsid w:val="000044FC"/>
    <w:rsid w:val="00004652"/>
    <w:rsid w:val="00004C87"/>
    <w:rsid w:val="000050D0"/>
    <w:rsid w:val="000058D1"/>
    <w:rsid w:val="00005D5A"/>
    <w:rsid w:val="00006431"/>
    <w:rsid w:val="00006489"/>
    <w:rsid w:val="000067BD"/>
    <w:rsid w:val="00006886"/>
    <w:rsid w:val="0000690E"/>
    <w:rsid w:val="00006B79"/>
    <w:rsid w:val="00007788"/>
    <w:rsid w:val="000079E4"/>
    <w:rsid w:val="0001013B"/>
    <w:rsid w:val="00010361"/>
    <w:rsid w:val="0001077B"/>
    <w:rsid w:val="00010EFE"/>
    <w:rsid w:val="0001172E"/>
    <w:rsid w:val="000119E7"/>
    <w:rsid w:val="00011EF8"/>
    <w:rsid w:val="000121D0"/>
    <w:rsid w:val="00012343"/>
    <w:rsid w:val="0001262D"/>
    <w:rsid w:val="00012B28"/>
    <w:rsid w:val="00012C87"/>
    <w:rsid w:val="00012E8F"/>
    <w:rsid w:val="00013099"/>
    <w:rsid w:val="00013208"/>
    <w:rsid w:val="00013408"/>
    <w:rsid w:val="0001362A"/>
    <w:rsid w:val="0001369D"/>
    <w:rsid w:val="00013713"/>
    <w:rsid w:val="00013AE3"/>
    <w:rsid w:val="00013BC1"/>
    <w:rsid w:val="00013BC5"/>
    <w:rsid w:val="00013D7A"/>
    <w:rsid w:val="00014440"/>
    <w:rsid w:val="0001446F"/>
    <w:rsid w:val="000144D2"/>
    <w:rsid w:val="0001455A"/>
    <w:rsid w:val="0001471A"/>
    <w:rsid w:val="00014A57"/>
    <w:rsid w:val="00014BFC"/>
    <w:rsid w:val="00014D1E"/>
    <w:rsid w:val="0001510F"/>
    <w:rsid w:val="000151F6"/>
    <w:rsid w:val="0001537E"/>
    <w:rsid w:val="00015683"/>
    <w:rsid w:val="00015D98"/>
    <w:rsid w:val="00015F80"/>
    <w:rsid w:val="000163F6"/>
    <w:rsid w:val="00016713"/>
    <w:rsid w:val="00016D30"/>
    <w:rsid w:val="00016D67"/>
    <w:rsid w:val="00017496"/>
    <w:rsid w:val="00017F41"/>
    <w:rsid w:val="00020156"/>
    <w:rsid w:val="0002023C"/>
    <w:rsid w:val="0002045F"/>
    <w:rsid w:val="0002085A"/>
    <w:rsid w:val="0002183E"/>
    <w:rsid w:val="0002197C"/>
    <w:rsid w:val="000223BC"/>
    <w:rsid w:val="0002244B"/>
    <w:rsid w:val="000224A7"/>
    <w:rsid w:val="00022A3B"/>
    <w:rsid w:val="00022AC5"/>
    <w:rsid w:val="00023625"/>
    <w:rsid w:val="00023FCA"/>
    <w:rsid w:val="000242BC"/>
    <w:rsid w:val="00024367"/>
    <w:rsid w:val="000244A5"/>
    <w:rsid w:val="00024CAC"/>
    <w:rsid w:val="00024E40"/>
    <w:rsid w:val="0002520D"/>
    <w:rsid w:val="00025459"/>
    <w:rsid w:val="000255C0"/>
    <w:rsid w:val="00026381"/>
    <w:rsid w:val="000264F5"/>
    <w:rsid w:val="0002656E"/>
    <w:rsid w:val="00026572"/>
    <w:rsid w:val="0002657C"/>
    <w:rsid w:val="000268BD"/>
    <w:rsid w:val="00026FD9"/>
    <w:rsid w:val="00026FE6"/>
    <w:rsid w:val="0002702C"/>
    <w:rsid w:val="00027100"/>
    <w:rsid w:val="000271DB"/>
    <w:rsid w:val="0002749F"/>
    <w:rsid w:val="000274A4"/>
    <w:rsid w:val="0002755C"/>
    <w:rsid w:val="000277E2"/>
    <w:rsid w:val="0002791A"/>
    <w:rsid w:val="00027960"/>
    <w:rsid w:val="00027E74"/>
    <w:rsid w:val="00027F5E"/>
    <w:rsid w:val="0003056F"/>
    <w:rsid w:val="00030882"/>
    <w:rsid w:val="00030B8C"/>
    <w:rsid w:val="00030D63"/>
    <w:rsid w:val="00030E28"/>
    <w:rsid w:val="00030EC9"/>
    <w:rsid w:val="00031371"/>
    <w:rsid w:val="000325AE"/>
    <w:rsid w:val="00032D1A"/>
    <w:rsid w:val="00032F1B"/>
    <w:rsid w:val="00033095"/>
    <w:rsid w:val="0003314F"/>
    <w:rsid w:val="00033164"/>
    <w:rsid w:val="00033502"/>
    <w:rsid w:val="00033919"/>
    <w:rsid w:val="00033A37"/>
    <w:rsid w:val="0003404A"/>
    <w:rsid w:val="00034076"/>
    <w:rsid w:val="00034178"/>
    <w:rsid w:val="0003423D"/>
    <w:rsid w:val="00034715"/>
    <w:rsid w:val="00034C86"/>
    <w:rsid w:val="00034D5B"/>
    <w:rsid w:val="000350E7"/>
    <w:rsid w:val="000350E9"/>
    <w:rsid w:val="0003539B"/>
    <w:rsid w:val="000355B0"/>
    <w:rsid w:val="000358A7"/>
    <w:rsid w:val="0003593C"/>
    <w:rsid w:val="00035C05"/>
    <w:rsid w:val="00036510"/>
    <w:rsid w:val="00036DB0"/>
    <w:rsid w:val="00036FB7"/>
    <w:rsid w:val="0003754C"/>
    <w:rsid w:val="000379CD"/>
    <w:rsid w:val="00037C5F"/>
    <w:rsid w:val="00037DA9"/>
    <w:rsid w:val="00037E30"/>
    <w:rsid w:val="00037FCA"/>
    <w:rsid w:val="000400EB"/>
    <w:rsid w:val="000401D8"/>
    <w:rsid w:val="0004092B"/>
    <w:rsid w:val="00040EEC"/>
    <w:rsid w:val="00041095"/>
    <w:rsid w:val="000416AC"/>
    <w:rsid w:val="000416EC"/>
    <w:rsid w:val="0004172E"/>
    <w:rsid w:val="000417CC"/>
    <w:rsid w:val="00041903"/>
    <w:rsid w:val="00041918"/>
    <w:rsid w:val="00041AD5"/>
    <w:rsid w:val="00041D44"/>
    <w:rsid w:val="00041DC1"/>
    <w:rsid w:val="0004204C"/>
    <w:rsid w:val="00042414"/>
    <w:rsid w:val="000429B2"/>
    <w:rsid w:val="00042BBE"/>
    <w:rsid w:val="00042C56"/>
    <w:rsid w:val="00043838"/>
    <w:rsid w:val="00043D7F"/>
    <w:rsid w:val="000440BF"/>
    <w:rsid w:val="000442F4"/>
    <w:rsid w:val="00044525"/>
    <w:rsid w:val="000446C5"/>
    <w:rsid w:val="000449C3"/>
    <w:rsid w:val="00045250"/>
    <w:rsid w:val="000454A1"/>
    <w:rsid w:val="000456EF"/>
    <w:rsid w:val="00045701"/>
    <w:rsid w:val="00045993"/>
    <w:rsid w:val="00045AF7"/>
    <w:rsid w:val="00045BFB"/>
    <w:rsid w:val="00045CC9"/>
    <w:rsid w:val="00046301"/>
    <w:rsid w:val="0004639E"/>
    <w:rsid w:val="0004644D"/>
    <w:rsid w:val="00046DA2"/>
    <w:rsid w:val="0004735D"/>
    <w:rsid w:val="0004773F"/>
    <w:rsid w:val="00047A59"/>
    <w:rsid w:val="00047B2D"/>
    <w:rsid w:val="00047B49"/>
    <w:rsid w:val="00047EA2"/>
    <w:rsid w:val="00047FE6"/>
    <w:rsid w:val="00050276"/>
    <w:rsid w:val="000504A1"/>
    <w:rsid w:val="00050554"/>
    <w:rsid w:val="00050674"/>
    <w:rsid w:val="00050FFE"/>
    <w:rsid w:val="000510AA"/>
    <w:rsid w:val="00051306"/>
    <w:rsid w:val="00051949"/>
    <w:rsid w:val="00051A81"/>
    <w:rsid w:val="00051F70"/>
    <w:rsid w:val="00052227"/>
    <w:rsid w:val="000522A3"/>
    <w:rsid w:val="000522E2"/>
    <w:rsid w:val="000527F6"/>
    <w:rsid w:val="00052934"/>
    <w:rsid w:val="00053245"/>
    <w:rsid w:val="0005349F"/>
    <w:rsid w:val="00053822"/>
    <w:rsid w:val="0005382A"/>
    <w:rsid w:val="00053FD8"/>
    <w:rsid w:val="00054610"/>
    <w:rsid w:val="00054D11"/>
    <w:rsid w:val="00054F92"/>
    <w:rsid w:val="0005593F"/>
    <w:rsid w:val="00055A03"/>
    <w:rsid w:val="00055D3B"/>
    <w:rsid w:val="00055D8F"/>
    <w:rsid w:val="00055E21"/>
    <w:rsid w:val="00056542"/>
    <w:rsid w:val="00057031"/>
    <w:rsid w:val="000573B9"/>
    <w:rsid w:val="0005740A"/>
    <w:rsid w:val="00057591"/>
    <w:rsid w:val="00057767"/>
    <w:rsid w:val="00057B22"/>
    <w:rsid w:val="00057F98"/>
    <w:rsid w:val="00060049"/>
    <w:rsid w:val="0006021D"/>
    <w:rsid w:val="000609A4"/>
    <w:rsid w:val="00060A29"/>
    <w:rsid w:val="00060E1A"/>
    <w:rsid w:val="00061B48"/>
    <w:rsid w:val="00061B63"/>
    <w:rsid w:val="00061E11"/>
    <w:rsid w:val="000623A7"/>
    <w:rsid w:val="00062764"/>
    <w:rsid w:val="00062C03"/>
    <w:rsid w:val="0006317E"/>
    <w:rsid w:val="0006360A"/>
    <w:rsid w:val="00063BE8"/>
    <w:rsid w:val="00063D7E"/>
    <w:rsid w:val="00063DAA"/>
    <w:rsid w:val="00064089"/>
    <w:rsid w:val="000641EF"/>
    <w:rsid w:val="00064607"/>
    <w:rsid w:val="000649D7"/>
    <w:rsid w:val="00064C1A"/>
    <w:rsid w:val="00064D08"/>
    <w:rsid w:val="000653C7"/>
    <w:rsid w:val="00065701"/>
    <w:rsid w:val="00066037"/>
    <w:rsid w:val="00066395"/>
    <w:rsid w:val="000667A9"/>
    <w:rsid w:val="000668C8"/>
    <w:rsid w:val="00066BDF"/>
    <w:rsid w:val="00066EC9"/>
    <w:rsid w:val="00067622"/>
    <w:rsid w:val="00067976"/>
    <w:rsid w:val="00067BBF"/>
    <w:rsid w:val="00067CBF"/>
    <w:rsid w:val="000702A1"/>
    <w:rsid w:val="000704AD"/>
    <w:rsid w:val="0007054D"/>
    <w:rsid w:val="00070755"/>
    <w:rsid w:val="00070CAC"/>
    <w:rsid w:val="000713FA"/>
    <w:rsid w:val="000716C9"/>
    <w:rsid w:val="00071963"/>
    <w:rsid w:val="000719D6"/>
    <w:rsid w:val="00071E43"/>
    <w:rsid w:val="00072336"/>
    <w:rsid w:val="00072727"/>
    <w:rsid w:val="00072F7A"/>
    <w:rsid w:val="000731DE"/>
    <w:rsid w:val="00073316"/>
    <w:rsid w:val="000733DB"/>
    <w:rsid w:val="0007358E"/>
    <w:rsid w:val="00073A7D"/>
    <w:rsid w:val="00073AA3"/>
    <w:rsid w:val="00073B2C"/>
    <w:rsid w:val="00073CEA"/>
    <w:rsid w:val="0007407B"/>
    <w:rsid w:val="00074206"/>
    <w:rsid w:val="00074304"/>
    <w:rsid w:val="00074811"/>
    <w:rsid w:val="00074CD5"/>
    <w:rsid w:val="00074F64"/>
    <w:rsid w:val="00075198"/>
    <w:rsid w:val="000757D3"/>
    <w:rsid w:val="000758D1"/>
    <w:rsid w:val="0007657A"/>
    <w:rsid w:val="00076EBD"/>
    <w:rsid w:val="00077087"/>
    <w:rsid w:val="00077210"/>
    <w:rsid w:val="000775B9"/>
    <w:rsid w:val="00077879"/>
    <w:rsid w:val="00077C33"/>
    <w:rsid w:val="000803B1"/>
    <w:rsid w:val="00080430"/>
    <w:rsid w:val="00080527"/>
    <w:rsid w:val="000806F0"/>
    <w:rsid w:val="00080709"/>
    <w:rsid w:val="00080817"/>
    <w:rsid w:val="00080C60"/>
    <w:rsid w:val="00080F12"/>
    <w:rsid w:val="00080FBB"/>
    <w:rsid w:val="000813E9"/>
    <w:rsid w:val="00081849"/>
    <w:rsid w:val="00082286"/>
    <w:rsid w:val="000824D5"/>
    <w:rsid w:val="00082667"/>
    <w:rsid w:val="000828E0"/>
    <w:rsid w:val="00082E80"/>
    <w:rsid w:val="000831D6"/>
    <w:rsid w:val="0008368A"/>
    <w:rsid w:val="0008379D"/>
    <w:rsid w:val="00083C40"/>
    <w:rsid w:val="00083E4D"/>
    <w:rsid w:val="00083ECD"/>
    <w:rsid w:val="000840E2"/>
    <w:rsid w:val="0008476B"/>
    <w:rsid w:val="000849AB"/>
    <w:rsid w:val="00084A4F"/>
    <w:rsid w:val="00084B15"/>
    <w:rsid w:val="0008578D"/>
    <w:rsid w:val="00085A25"/>
    <w:rsid w:val="00085B90"/>
    <w:rsid w:val="0008621C"/>
    <w:rsid w:val="00087180"/>
    <w:rsid w:val="00087386"/>
    <w:rsid w:val="00087556"/>
    <w:rsid w:val="00087AAE"/>
    <w:rsid w:val="00087B78"/>
    <w:rsid w:val="00087B97"/>
    <w:rsid w:val="000903AA"/>
    <w:rsid w:val="000904CB"/>
    <w:rsid w:val="00090555"/>
    <w:rsid w:val="00090A91"/>
    <w:rsid w:val="00091AC1"/>
    <w:rsid w:val="00091EE9"/>
    <w:rsid w:val="000920AA"/>
    <w:rsid w:val="0009257C"/>
    <w:rsid w:val="00092785"/>
    <w:rsid w:val="00092A53"/>
    <w:rsid w:val="00092A73"/>
    <w:rsid w:val="00092B6F"/>
    <w:rsid w:val="000932E0"/>
    <w:rsid w:val="00093469"/>
    <w:rsid w:val="0009374B"/>
    <w:rsid w:val="000937D6"/>
    <w:rsid w:val="00093E45"/>
    <w:rsid w:val="000941A5"/>
    <w:rsid w:val="000941F4"/>
    <w:rsid w:val="0009435D"/>
    <w:rsid w:val="00094677"/>
    <w:rsid w:val="00094710"/>
    <w:rsid w:val="00094819"/>
    <w:rsid w:val="00094D30"/>
    <w:rsid w:val="00094D9A"/>
    <w:rsid w:val="000956AD"/>
    <w:rsid w:val="00095AA4"/>
    <w:rsid w:val="00095C32"/>
    <w:rsid w:val="0009626A"/>
    <w:rsid w:val="0009642F"/>
    <w:rsid w:val="00096EBA"/>
    <w:rsid w:val="0009715C"/>
    <w:rsid w:val="000971A3"/>
    <w:rsid w:val="00097304"/>
    <w:rsid w:val="0009773D"/>
    <w:rsid w:val="000A02E6"/>
    <w:rsid w:val="000A03A1"/>
    <w:rsid w:val="000A0879"/>
    <w:rsid w:val="000A0B5A"/>
    <w:rsid w:val="000A0C8B"/>
    <w:rsid w:val="000A172F"/>
    <w:rsid w:val="000A1E61"/>
    <w:rsid w:val="000A1F44"/>
    <w:rsid w:val="000A1F65"/>
    <w:rsid w:val="000A226B"/>
    <w:rsid w:val="000A2548"/>
    <w:rsid w:val="000A2AFC"/>
    <w:rsid w:val="000A3098"/>
    <w:rsid w:val="000A32F7"/>
    <w:rsid w:val="000A3409"/>
    <w:rsid w:val="000A3424"/>
    <w:rsid w:val="000A3610"/>
    <w:rsid w:val="000A3967"/>
    <w:rsid w:val="000A39A3"/>
    <w:rsid w:val="000A3A9A"/>
    <w:rsid w:val="000A42A3"/>
    <w:rsid w:val="000A4541"/>
    <w:rsid w:val="000A49D4"/>
    <w:rsid w:val="000A4B58"/>
    <w:rsid w:val="000A4CD4"/>
    <w:rsid w:val="000A51D8"/>
    <w:rsid w:val="000A541F"/>
    <w:rsid w:val="000A54B6"/>
    <w:rsid w:val="000A555B"/>
    <w:rsid w:val="000A5DDA"/>
    <w:rsid w:val="000A6280"/>
    <w:rsid w:val="000A67B1"/>
    <w:rsid w:val="000A69BE"/>
    <w:rsid w:val="000A6B32"/>
    <w:rsid w:val="000A74E2"/>
    <w:rsid w:val="000A7AB5"/>
    <w:rsid w:val="000A7FD1"/>
    <w:rsid w:val="000B0004"/>
    <w:rsid w:val="000B0997"/>
    <w:rsid w:val="000B0C93"/>
    <w:rsid w:val="000B0D6A"/>
    <w:rsid w:val="000B1886"/>
    <w:rsid w:val="000B1BAD"/>
    <w:rsid w:val="000B1BEA"/>
    <w:rsid w:val="000B24C3"/>
    <w:rsid w:val="000B2575"/>
    <w:rsid w:val="000B324C"/>
    <w:rsid w:val="000B3C02"/>
    <w:rsid w:val="000B40EB"/>
    <w:rsid w:val="000B4186"/>
    <w:rsid w:val="000B4755"/>
    <w:rsid w:val="000B480B"/>
    <w:rsid w:val="000B4CE5"/>
    <w:rsid w:val="000B4DEE"/>
    <w:rsid w:val="000B4E81"/>
    <w:rsid w:val="000B50D4"/>
    <w:rsid w:val="000B5197"/>
    <w:rsid w:val="000B52F0"/>
    <w:rsid w:val="000B53EF"/>
    <w:rsid w:val="000B54C2"/>
    <w:rsid w:val="000B5531"/>
    <w:rsid w:val="000B58AB"/>
    <w:rsid w:val="000B59D7"/>
    <w:rsid w:val="000B59E7"/>
    <w:rsid w:val="000B5CF1"/>
    <w:rsid w:val="000B5F65"/>
    <w:rsid w:val="000B6422"/>
    <w:rsid w:val="000B654F"/>
    <w:rsid w:val="000B6588"/>
    <w:rsid w:val="000B68FE"/>
    <w:rsid w:val="000B697F"/>
    <w:rsid w:val="000B6A6A"/>
    <w:rsid w:val="000B6F9A"/>
    <w:rsid w:val="000B6FC6"/>
    <w:rsid w:val="000B769B"/>
    <w:rsid w:val="000B7A68"/>
    <w:rsid w:val="000B7E4C"/>
    <w:rsid w:val="000B7F1D"/>
    <w:rsid w:val="000C01A5"/>
    <w:rsid w:val="000C073D"/>
    <w:rsid w:val="000C0B95"/>
    <w:rsid w:val="000C0D80"/>
    <w:rsid w:val="000C104F"/>
    <w:rsid w:val="000C1345"/>
    <w:rsid w:val="000C14B7"/>
    <w:rsid w:val="000C1761"/>
    <w:rsid w:val="000C1987"/>
    <w:rsid w:val="000C1DCF"/>
    <w:rsid w:val="000C2550"/>
    <w:rsid w:val="000C31E4"/>
    <w:rsid w:val="000C322B"/>
    <w:rsid w:val="000C3472"/>
    <w:rsid w:val="000C34B6"/>
    <w:rsid w:val="000C3AA5"/>
    <w:rsid w:val="000C3E9B"/>
    <w:rsid w:val="000C3ECD"/>
    <w:rsid w:val="000C3FB4"/>
    <w:rsid w:val="000C4150"/>
    <w:rsid w:val="000C419F"/>
    <w:rsid w:val="000C42A7"/>
    <w:rsid w:val="000C44A1"/>
    <w:rsid w:val="000C4CBF"/>
    <w:rsid w:val="000C51B8"/>
    <w:rsid w:val="000C5746"/>
    <w:rsid w:val="000C5C01"/>
    <w:rsid w:val="000C5CC6"/>
    <w:rsid w:val="000C5DF4"/>
    <w:rsid w:val="000C5F27"/>
    <w:rsid w:val="000C6147"/>
    <w:rsid w:val="000C6464"/>
    <w:rsid w:val="000C65C8"/>
    <w:rsid w:val="000C670C"/>
    <w:rsid w:val="000C684B"/>
    <w:rsid w:val="000C690A"/>
    <w:rsid w:val="000C69AC"/>
    <w:rsid w:val="000C6D1E"/>
    <w:rsid w:val="000C6F8D"/>
    <w:rsid w:val="000C6FE6"/>
    <w:rsid w:val="000C72ED"/>
    <w:rsid w:val="000C740C"/>
    <w:rsid w:val="000C7821"/>
    <w:rsid w:val="000C7ECB"/>
    <w:rsid w:val="000C7F7F"/>
    <w:rsid w:val="000D0185"/>
    <w:rsid w:val="000D0634"/>
    <w:rsid w:val="000D09FB"/>
    <w:rsid w:val="000D0B33"/>
    <w:rsid w:val="000D0B9E"/>
    <w:rsid w:val="000D0C3A"/>
    <w:rsid w:val="000D0DD0"/>
    <w:rsid w:val="000D0F51"/>
    <w:rsid w:val="000D1223"/>
    <w:rsid w:val="000D1293"/>
    <w:rsid w:val="000D15EC"/>
    <w:rsid w:val="000D1804"/>
    <w:rsid w:val="000D1813"/>
    <w:rsid w:val="000D1B90"/>
    <w:rsid w:val="000D1CD5"/>
    <w:rsid w:val="000D1D1B"/>
    <w:rsid w:val="000D217B"/>
    <w:rsid w:val="000D225A"/>
    <w:rsid w:val="000D27C6"/>
    <w:rsid w:val="000D2C66"/>
    <w:rsid w:val="000D2F86"/>
    <w:rsid w:val="000D2FEF"/>
    <w:rsid w:val="000D3CBD"/>
    <w:rsid w:val="000D43EA"/>
    <w:rsid w:val="000D4683"/>
    <w:rsid w:val="000D4817"/>
    <w:rsid w:val="000D4D2B"/>
    <w:rsid w:val="000D4F40"/>
    <w:rsid w:val="000D5195"/>
    <w:rsid w:val="000D5A6A"/>
    <w:rsid w:val="000D5BE2"/>
    <w:rsid w:val="000D62B5"/>
    <w:rsid w:val="000D64E0"/>
    <w:rsid w:val="000D6854"/>
    <w:rsid w:val="000D686C"/>
    <w:rsid w:val="000D7196"/>
    <w:rsid w:val="000D72BC"/>
    <w:rsid w:val="000D74C8"/>
    <w:rsid w:val="000D78F1"/>
    <w:rsid w:val="000D7959"/>
    <w:rsid w:val="000D7B88"/>
    <w:rsid w:val="000D7DE0"/>
    <w:rsid w:val="000D7FAB"/>
    <w:rsid w:val="000D7FD6"/>
    <w:rsid w:val="000D7FE0"/>
    <w:rsid w:val="000E01F1"/>
    <w:rsid w:val="000E03CC"/>
    <w:rsid w:val="000E0565"/>
    <w:rsid w:val="000E07BE"/>
    <w:rsid w:val="000E089C"/>
    <w:rsid w:val="000E0A65"/>
    <w:rsid w:val="000E0C24"/>
    <w:rsid w:val="000E0EBD"/>
    <w:rsid w:val="000E118A"/>
    <w:rsid w:val="000E164E"/>
    <w:rsid w:val="000E18B3"/>
    <w:rsid w:val="000E1FD6"/>
    <w:rsid w:val="000E245D"/>
    <w:rsid w:val="000E2503"/>
    <w:rsid w:val="000E27C6"/>
    <w:rsid w:val="000E2840"/>
    <w:rsid w:val="000E2F22"/>
    <w:rsid w:val="000E303F"/>
    <w:rsid w:val="000E3336"/>
    <w:rsid w:val="000E341C"/>
    <w:rsid w:val="000E3619"/>
    <w:rsid w:val="000E37E5"/>
    <w:rsid w:val="000E4069"/>
    <w:rsid w:val="000E43B1"/>
    <w:rsid w:val="000E4B6A"/>
    <w:rsid w:val="000E4BCE"/>
    <w:rsid w:val="000E4BDA"/>
    <w:rsid w:val="000E4DAE"/>
    <w:rsid w:val="000E561B"/>
    <w:rsid w:val="000E56BB"/>
    <w:rsid w:val="000E5DAA"/>
    <w:rsid w:val="000E6F9D"/>
    <w:rsid w:val="000E7076"/>
    <w:rsid w:val="000E753E"/>
    <w:rsid w:val="000E77D1"/>
    <w:rsid w:val="000E7C8E"/>
    <w:rsid w:val="000E7F14"/>
    <w:rsid w:val="000E7FB2"/>
    <w:rsid w:val="000F0723"/>
    <w:rsid w:val="000F0D0C"/>
    <w:rsid w:val="000F0EAC"/>
    <w:rsid w:val="000F1239"/>
    <w:rsid w:val="000F237F"/>
    <w:rsid w:val="000F24F2"/>
    <w:rsid w:val="000F2794"/>
    <w:rsid w:val="000F289B"/>
    <w:rsid w:val="000F2927"/>
    <w:rsid w:val="000F2C32"/>
    <w:rsid w:val="000F2F44"/>
    <w:rsid w:val="000F3622"/>
    <w:rsid w:val="000F3B28"/>
    <w:rsid w:val="000F4139"/>
    <w:rsid w:val="000F4578"/>
    <w:rsid w:val="000F460B"/>
    <w:rsid w:val="000F4833"/>
    <w:rsid w:val="000F495B"/>
    <w:rsid w:val="000F4EF8"/>
    <w:rsid w:val="000F5550"/>
    <w:rsid w:val="000F5643"/>
    <w:rsid w:val="000F57E7"/>
    <w:rsid w:val="000F5812"/>
    <w:rsid w:val="000F5EC6"/>
    <w:rsid w:val="000F5FEE"/>
    <w:rsid w:val="000F615F"/>
    <w:rsid w:val="000F64FF"/>
    <w:rsid w:val="000F65AB"/>
    <w:rsid w:val="000F6B9F"/>
    <w:rsid w:val="000F718D"/>
    <w:rsid w:val="000F78FC"/>
    <w:rsid w:val="000F7DC0"/>
    <w:rsid w:val="000F7FF7"/>
    <w:rsid w:val="001004D2"/>
    <w:rsid w:val="00100BA5"/>
    <w:rsid w:val="0010138C"/>
    <w:rsid w:val="00101732"/>
    <w:rsid w:val="00101977"/>
    <w:rsid w:val="001025EA"/>
    <w:rsid w:val="0010283A"/>
    <w:rsid w:val="00102A8B"/>
    <w:rsid w:val="0010381E"/>
    <w:rsid w:val="00103D18"/>
    <w:rsid w:val="001042D1"/>
    <w:rsid w:val="0010435C"/>
    <w:rsid w:val="00104673"/>
    <w:rsid w:val="0010480D"/>
    <w:rsid w:val="001048FD"/>
    <w:rsid w:val="00104989"/>
    <w:rsid w:val="00104AB5"/>
    <w:rsid w:val="00104F23"/>
    <w:rsid w:val="001052C6"/>
    <w:rsid w:val="00105411"/>
    <w:rsid w:val="00105554"/>
    <w:rsid w:val="00105566"/>
    <w:rsid w:val="00105684"/>
    <w:rsid w:val="00106193"/>
    <w:rsid w:val="0010624E"/>
    <w:rsid w:val="0010699C"/>
    <w:rsid w:val="00106B50"/>
    <w:rsid w:val="00107064"/>
    <w:rsid w:val="0010714E"/>
    <w:rsid w:val="00107478"/>
    <w:rsid w:val="0010749D"/>
    <w:rsid w:val="00107AAF"/>
    <w:rsid w:val="00107DC9"/>
    <w:rsid w:val="0011021B"/>
    <w:rsid w:val="00110305"/>
    <w:rsid w:val="001105E6"/>
    <w:rsid w:val="0011062E"/>
    <w:rsid w:val="001108EF"/>
    <w:rsid w:val="00110958"/>
    <w:rsid w:val="00110A88"/>
    <w:rsid w:val="00110E90"/>
    <w:rsid w:val="001116E9"/>
    <w:rsid w:val="00111795"/>
    <w:rsid w:val="00111A60"/>
    <w:rsid w:val="00111A9F"/>
    <w:rsid w:val="00111B2F"/>
    <w:rsid w:val="00111F1C"/>
    <w:rsid w:val="001120BF"/>
    <w:rsid w:val="0011265E"/>
    <w:rsid w:val="00112661"/>
    <w:rsid w:val="001128E7"/>
    <w:rsid w:val="00113061"/>
    <w:rsid w:val="001134B4"/>
    <w:rsid w:val="001135A0"/>
    <w:rsid w:val="0011381F"/>
    <w:rsid w:val="00113C33"/>
    <w:rsid w:val="00113CAA"/>
    <w:rsid w:val="00114222"/>
    <w:rsid w:val="001145C0"/>
    <w:rsid w:val="00114747"/>
    <w:rsid w:val="00114772"/>
    <w:rsid w:val="001158D6"/>
    <w:rsid w:val="00116415"/>
    <w:rsid w:val="00116ABF"/>
    <w:rsid w:val="00116BEA"/>
    <w:rsid w:val="0011743E"/>
    <w:rsid w:val="001175BE"/>
    <w:rsid w:val="0011768B"/>
    <w:rsid w:val="0011772F"/>
    <w:rsid w:val="001179F1"/>
    <w:rsid w:val="00117EB6"/>
    <w:rsid w:val="00117F2A"/>
    <w:rsid w:val="0012019D"/>
    <w:rsid w:val="0012074A"/>
    <w:rsid w:val="001207B9"/>
    <w:rsid w:val="00121186"/>
    <w:rsid w:val="00121763"/>
    <w:rsid w:val="0012188D"/>
    <w:rsid w:val="00121A3B"/>
    <w:rsid w:val="00122075"/>
    <w:rsid w:val="001223AC"/>
    <w:rsid w:val="001228DA"/>
    <w:rsid w:val="0012294D"/>
    <w:rsid w:val="00122B8B"/>
    <w:rsid w:val="00122E08"/>
    <w:rsid w:val="0012317E"/>
    <w:rsid w:val="0012319A"/>
    <w:rsid w:val="001232C4"/>
    <w:rsid w:val="00123811"/>
    <w:rsid w:val="001239C5"/>
    <w:rsid w:val="00123ABA"/>
    <w:rsid w:val="00123E36"/>
    <w:rsid w:val="0012413C"/>
    <w:rsid w:val="001248D3"/>
    <w:rsid w:val="00124A80"/>
    <w:rsid w:val="0012539A"/>
    <w:rsid w:val="0012553D"/>
    <w:rsid w:val="001255CB"/>
    <w:rsid w:val="0012564C"/>
    <w:rsid w:val="00125A35"/>
    <w:rsid w:val="00125B63"/>
    <w:rsid w:val="00125D4F"/>
    <w:rsid w:val="001261C2"/>
    <w:rsid w:val="00126835"/>
    <w:rsid w:val="001270D5"/>
    <w:rsid w:val="0012760F"/>
    <w:rsid w:val="00127627"/>
    <w:rsid w:val="00127745"/>
    <w:rsid w:val="00127BDD"/>
    <w:rsid w:val="0013019C"/>
    <w:rsid w:val="0013083F"/>
    <w:rsid w:val="00131072"/>
    <w:rsid w:val="001317EC"/>
    <w:rsid w:val="00131855"/>
    <w:rsid w:val="00131C22"/>
    <w:rsid w:val="00131C48"/>
    <w:rsid w:val="00132143"/>
    <w:rsid w:val="00132682"/>
    <w:rsid w:val="001326C6"/>
    <w:rsid w:val="00132740"/>
    <w:rsid w:val="001327CA"/>
    <w:rsid w:val="0013290A"/>
    <w:rsid w:val="001329DB"/>
    <w:rsid w:val="00132FF1"/>
    <w:rsid w:val="00133354"/>
    <w:rsid w:val="001336E6"/>
    <w:rsid w:val="001340E6"/>
    <w:rsid w:val="001340FC"/>
    <w:rsid w:val="00134D49"/>
    <w:rsid w:val="00134FC1"/>
    <w:rsid w:val="001352D2"/>
    <w:rsid w:val="00135445"/>
    <w:rsid w:val="0013549D"/>
    <w:rsid w:val="00135544"/>
    <w:rsid w:val="00135707"/>
    <w:rsid w:val="001358A8"/>
    <w:rsid w:val="00135B05"/>
    <w:rsid w:val="00137017"/>
    <w:rsid w:val="0013781D"/>
    <w:rsid w:val="00137D41"/>
    <w:rsid w:val="00137E96"/>
    <w:rsid w:val="00137EDA"/>
    <w:rsid w:val="00137EE6"/>
    <w:rsid w:val="001403EB"/>
    <w:rsid w:val="0014054E"/>
    <w:rsid w:val="00140570"/>
    <w:rsid w:val="001405D1"/>
    <w:rsid w:val="0014060C"/>
    <w:rsid w:val="00140A6A"/>
    <w:rsid w:val="001412DD"/>
    <w:rsid w:val="00141527"/>
    <w:rsid w:val="001417D1"/>
    <w:rsid w:val="0014194A"/>
    <w:rsid w:val="00141BDC"/>
    <w:rsid w:val="00141D28"/>
    <w:rsid w:val="00141F58"/>
    <w:rsid w:val="001422FA"/>
    <w:rsid w:val="00142AE5"/>
    <w:rsid w:val="00142D44"/>
    <w:rsid w:val="00142DB0"/>
    <w:rsid w:val="00142DD0"/>
    <w:rsid w:val="001434EE"/>
    <w:rsid w:val="0014394E"/>
    <w:rsid w:val="00143B4E"/>
    <w:rsid w:val="00143BB1"/>
    <w:rsid w:val="00144647"/>
    <w:rsid w:val="001447C9"/>
    <w:rsid w:val="001448F3"/>
    <w:rsid w:val="00144EB1"/>
    <w:rsid w:val="00145188"/>
    <w:rsid w:val="00145847"/>
    <w:rsid w:val="00145B7A"/>
    <w:rsid w:val="001470E7"/>
    <w:rsid w:val="001470FB"/>
    <w:rsid w:val="00147178"/>
    <w:rsid w:val="0014775E"/>
    <w:rsid w:val="0014789A"/>
    <w:rsid w:val="00147FC2"/>
    <w:rsid w:val="0015070A"/>
    <w:rsid w:val="001508A3"/>
    <w:rsid w:val="001509A9"/>
    <w:rsid w:val="00150C73"/>
    <w:rsid w:val="001516DE"/>
    <w:rsid w:val="00151B6A"/>
    <w:rsid w:val="00151DA7"/>
    <w:rsid w:val="001525BB"/>
    <w:rsid w:val="001525E1"/>
    <w:rsid w:val="001527F3"/>
    <w:rsid w:val="00153236"/>
    <w:rsid w:val="00153309"/>
    <w:rsid w:val="00153C0E"/>
    <w:rsid w:val="00153E48"/>
    <w:rsid w:val="00154058"/>
    <w:rsid w:val="00154336"/>
    <w:rsid w:val="001543F1"/>
    <w:rsid w:val="00154653"/>
    <w:rsid w:val="00154654"/>
    <w:rsid w:val="00154C5F"/>
    <w:rsid w:val="00154F8F"/>
    <w:rsid w:val="00155080"/>
    <w:rsid w:val="00155146"/>
    <w:rsid w:val="00155417"/>
    <w:rsid w:val="00155497"/>
    <w:rsid w:val="00155596"/>
    <w:rsid w:val="0015575D"/>
    <w:rsid w:val="00155B77"/>
    <w:rsid w:val="00155D14"/>
    <w:rsid w:val="00155E0F"/>
    <w:rsid w:val="0015659E"/>
    <w:rsid w:val="00156654"/>
    <w:rsid w:val="001567C8"/>
    <w:rsid w:val="00156830"/>
    <w:rsid w:val="00156841"/>
    <w:rsid w:val="00156ABD"/>
    <w:rsid w:val="00156ABE"/>
    <w:rsid w:val="0015739B"/>
    <w:rsid w:val="00157524"/>
    <w:rsid w:val="001579AE"/>
    <w:rsid w:val="001579F6"/>
    <w:rsid w:val="00157B62"/>
    <w:rsid w:val="00157C5A"/>
    <w:rsid w:val="00157C9C"/>
    <w:rsid w:val="001604E2"/>
    <w:rsid w:val="00160828"/>
    <w:rsid w:val="001608A9"/>
    <w:rsid w:val="00160AC9"/>
    <w:rsid w:val="00160C45"/>
    <w:rsid w:val="00160DC6"/>
    <w:rsid w:val="00160FC4"/>
    <w:rsid w:val="001612A0"/>
    <w:rsid w:val="001617E2"/>
    <w:rsid w:val="00161947"/>
    <w:rsid w:val="001619D5"/>
    <w:rsid w:val="00161BE0"/>
    <w:rsid w:val="00161CB6"/>
    <w:rsid w:val="00161E0F"/>
    <w:rsid w:val="00162087"/>
    <w:rsid w:val="001627B3"/>
    <w:rsid w:val="0016280F"/>
    <w:rsid w:val="00162947"/>
    <w:rsid w:val="00162A78"/>
    <w:rsid w:val="00162B66"/>
    <w:rsid w:val="00162C47"/>
    <w:rsid w:val="00162F5D"/>
    <w:rsid w:val="001632E5"/>
    <w:rsid w:val="0016358C"/>
    <w:rsid w:val="0016374A"/>
    <w:rsid w:val="00163840"/>
    <w:rsid w:val="00163B48"/>
    <w:rsid w:val="00163EAF"/>
    <w:rsid w:val="00164439"/>
    <w:rsid w:val="001646CA"/>
    <w:rsid w:val="00164794"/>
    <w:rsid w:val="00164C91"/>
    <w:rsid w:val="00164FA5"/>
    <w:rsid w:val="00166400"/>
    <w:rsid w:val="001667F8"/>
    <w:rsid w:val="00166D24"/>
    <w:rsid w:val="00166D61"/>
    <w:rsid w:val="00166F36"/>
    <w:rsid w:val="00166F97"/>
    <w:rsid w:val="001673C4"/>
    <w:rsid w:val="00167757"/>
    <w:rsid w:val="0016778D"/>
    <w:rsid w:val="00167B48"/>
    <w:rsid w:val="00167D21"/>
    <w:rsid w:val="00167F5B"/>
    <w:rsid w:val="00170063"/>
    <w:rsid w:val="001700F3"/>
    <w:rsid w:val="001703B0"/>
    <w:rsid w:val="0017044E"/>
    <w:rsid w:val="001707B0"/>
    <w:rsid w:val="00170938"/>
    <w:rsid w:val="00170B50"/>
    <w:rsid w:val="00171607"/>
    <w:rsid w:val="001716E5"/>
    <w:rsid w:val="001719BF"/>
    <w:rsid w:val="00171C3D"/>
    <w:rsid w:val="00171F9E"/>
    <w:rsid w:val="001723CE"/>
    <w:rsid w:val="001723E2"/>
    <w:rsid w:val="00172444"/>
    <w:rsid w:val="0017259F"/>
    <w:rsid w:val="00172656"/>
    <w:rsid w:val="001727E1"/>
    <w:rsid w:val="00172AAB"/>
    <w:rsid w:val="00173266"/>
    <w:rsid w:val="00173694"/>
    <w:rsid w:val="001741BD"/>
    <w:rsid w:val="0017444F"/>
    <w:rsid w:val="00174D64"/>
    <w:rsid w:val="001752A3"/>
    <w:rsid w:val="001759C2"/>
    <w:rsid w:val="00175D56"/>
    <w:rsid w:val="00175D6E"/>
    <w:rsid w:val="00175ED5"/>
    <w:rsid w:val="00176257"/>
    <w:rsid w:val="001764BB"/>
    <w:rsid w:val="0017659A"/>
    <w:rsid w:val="00176B83"/>
    <w:rsid w:val="00176BA5"/>
    <w:rsid w:val="00176BD3"/>
    <w:rsid w:val="001774CF"/>
    <w:rsid w:val="001776FC"/>
    <w:rsid w:val="00177718"/>
    <w:rsid w:val="001779A1"/>
    <w:rsid w:val="00177AA2"/>
    <w:rsid w:val="00177CFF"/>
    <w:rsid w:val="00177F80"/>
    <w:rsid w:val="00180184"/>
    <w:rsid w:val="001803BB"/>
    <w:rsid w:val="001805FB"/>
    <w:rsid w:val="001807CD"/>
    <w:rsid w:val="00180B5F"/>
    <w:rsid w:val="00180E37"/>
    <w:rsid w:val="001813C3"/>
    <w:rsid w:val="001816FF"/>
    <w:rsid w:val="00181D98"/>
    <w:rsid w:val="00181E34"/>
    <w:rsid w:val="001822EE"/>
    <w:rsid w:val="001829F5"/>
    <w:rsid w:val="00182FE4"/>
    <w:rsid w:val="001836A3"/>
    <w:rsid w:val="0018395F"/>
    <w:rsid w:val="00183D16"/>
    <w:rsid w:val="0018401E"/>
    <w:rsid w:val="00184295"/>
    <w:rsid w:val="00184317"/>
    <w:rsid w:val="00184385"/>
    <w:rsid w:val="001843EB"/>
    <w:rsid w:val="001844F5"/>
    <w:rsid w:val="00184C6E"/>
    <w:rsid w:val="00185781"/>
    <w:rsid w:val="001858B6"/>
    <w:rsid w:val="00185B5B"/>
    <w:rsid w:val="00185ECE"/>
    <w:rsid w:val="00185FB7"/>
    <w:rsid w:val="001862F7"/>
    <w:rsid w:val="00186488"/>
    <w:rsid w:val="00186BEB"/>
    <w:rsid w:val="00186C39"/>
    <w:rsid w:val="00186D4F"/>
    <w:rsid w:val="00186D81"/>
    <w:rsid w:val="00187680"/>
    <w:rsid w:val="001878A8"/>
    <w:rsid w:val="00187F0C"/>
    <w:rsid w:val="00190515"/>
    <w:rsid w:val="00190FC6"/>
    <w:rsid w:val="00191850"/>
    <w:rsid w:val="00191A18"/>
    <w:rsid w:val="00192404"/>
    <w:rsid w:val="00192436"/>
    <w:rsid w:val="001924C3"/>
    <w:rsid w:val="001924E5"/>
    <w:rsid w:val="0019299D"/>
    <w:rsid w:val="0019318C"/>
    <w:rsid w:val="00193532"/>
    <w:rsid w:val="001935C4"/>
    <w:rsid w:val="0019367B"/>
    <w:rsid w:val="0019372D"/>
    <w:rsid w:val="00193763"/>
    <w:rsid w:val="001937CA"/>
    <w:rsid w:val="00193E7A"/>
    <w:rsid w:val="00193E99"/>
    <w:rsid w:val="00194315"/>
    <w:rsid w:val="00194E6F"/>
    <w:rsid w:val="00194EC2"/>
    <w:rsid w:val="0019501E"/>
    <w:rsid w:val="00195541"/>
    <w:rsid w:val="00195A2F"/>
    <w:rsid w:val="00195BD4"/>
    <w:rsid w:val="00195D01"/>
    <w:rsid w:val="00195D29"/>
    <w:rsid w:val="00195F35"/>
    <w:rsid w:val="001961B3"/>
    <w:rsid w:val="001963AF"/>
    <w:rsid w:val="0019699E"/>
    <w:rsid w:val="00196A30"/>
    <w:rsid w:val="001971BF"/>
    <w:rsid w:val="001973EA"/>
    <w:rsid w:val="00197452"/>
    <w:rsid w:val="00197583"/>
    <w:rsid w:val="0019792F"/>
    <w:rsid w:val="001979D8"/>
    <w:rsid w:val="00197C34"/>
    <w:rsid w:val="00197DBD"/>
    <w:rsid w:val="001A063A"/>
    <w:rsid w:val="001A0A45"/>
    <w:rsid w:val="001A0B92"/>
    <w:rsid w:val="001A0C9A"/>
    <w:rsid w:val="001A0CC4"/>
    <w:rsid w:val="001A107C"/>
    <w:rsid w:val="001A1287"/>
    <w:rsid w:val="001A14BE"/>
    <w:rsid w:val="001A172B"/>
    <w:rsid w:val="001A17F9"/>
    <w:rsid w:val="001A19D2"/>
    <w:rsid w:val="001A1FD9"/>
    <w:rsid w:val="001A227A"/>
    <w:rsid w:val="001A2AB6"/>
    <w:rsid w:val="001A2EC2"/>
    <w:rsid w:val="001A30D5"/>
    <w:rsid w:val="001A336B"/>
    <w:rsid w:val="001A3419"/>
    <w:rsid w:val="001A378E"/>
    <w:rsid w:val="001A3E8C"/>
    <w:rsid w:val="001A454C"/>
    <w:rsid w:val="001A4830"/>
    <w:rsid w:val="001A4894"/>
    <w:rsid w:val="001A4CA6"/>
    <w:rsid w:val="001A4CE5"/>
    <w:rsid w:val="001A4D43"/>
    <w:rsid w:val="001A51EF"/>
    <w:rsid w:val="001A531B"/>
    <w:rsid w:val="001A5364"/>
    <w:rsid w:val="001A57D5"/>
    <w:rsid w:val="001A68BA"/>
    <w:rsid w:val="001A6914"/>
    <w:rsid w:val="001A6F8B"/>
    <w:rsid w:val="001A703F"/>
    <w:rsid w:val="001A7203"/>
    <w:rsid w:val="001A7577"/>
    <w:rsid w:val="001A79F4"/>
    <w:rsid w:val="001A7BB1"/>
    <w:rsid w:val="001A7D92"/>
    <w:rsid w:val="001B06E3"/>
    <w:rsid w:val="001B0AE1"/>
    <w:rsid w:val="001B0BDC"/>
    <w:rsid w:val="001B0D0E"/>
    <w:rsid w:val="001B10C1"/>
    <w:rsid w:val="001B1132"/>
    <w:rsid w:val="001B1A26"/>
    <w:rsid w:val="001B1C3D"/>
    <w:rsid w:val="001B1D00"/>
    <w:rsid w:val="001B1F38"/>
    <w:rsid w:val="001B22D2"/>
    <w:rsid w:val="001B265C"/>
    <w:rsid w:val="001B2A9B"/>
    <w:rsid w:val="001B2FBD"/>
    <w:rsid w:val="001B3235"/>
    <w:rsid w:val="001B3C80"/>
    <w:rsid w:val="001B3D2E"/>
    <w:rsid w:val="001B3DFD"/>
    <w:rsid w:val="001B4372"/>
    <w:rsid w:val="001B44BA"/>
    <w:rsid w:val="001B4937"/>
    <w:rsid w:val="001B49EF"/>
    <w:rsid w:val="001B4AFE"/>
    <w:rsid w:val="001B5B03"/>
    <w:rsid w:val="001B6664"/>
    <w:rsid w:val="001B687C"/>
    <w:rsid w:val="001B6B73"/>
    <w:rsid w:val="001B6D8D"/>
    <w:rsid w:val="001B728F"/>
    <w:rsid w:val="001B7A33"/>
    <w:rsid w:val="001B7C2B"/>
    <w:rsid w:val="001B7CE3"/>
    <w:rsid w:val="001B7E14"/>
    <w:rsid w:val="001B7ED3"/>
    <w:rsid w:val="001C0292"/>
    <w:rsid w:val="001C1452"/>
    <w:rsid w:val="001C1626"/>
    <w:rsid w:val="001C1879"/>
    <w:rsid w:val="001C286C"/>
    <w:rsid w:val="001C2C87"/>
    <w:rsid w:val="001C375E"/>
    <w:rsid w:val="001C3768"/>
    <w:rsid w:val="001C3AD5"/>
    <w:rsid w:val="001C3B2E"/>
    <w:rsid w:val="001C3C92"/>
    <w:rsid w:val="001C3D2E"/>
    <w:rsid w:val="001C3D69"/>
    <w:rsid w:val="001C4000"/>
    <w:rsid w:val="001C43A8"/>
    <w:rsid w:val="001C44F7"/>
    <w:rsid w:val="001C467C"/>
    <w:rsid w:val="001C48C7"/>
    <w:rsid w:val="001C4A0C"/>
    <w:rsid w:val="001C51D8"/>
    <w:rsid w:val="001C5433"/>
    <w:rsid w:val="001C5592"/>
    <w:rsid w:val="001C57E6"/>
    <w:rsid w:val="001C5D12"/>
    <w:rsid w:val="001C5D2E"/>
    <w:rsid w:val="001C5F0D"/>
    <w:rsid w:val="001C61EF"/>
    <w:rsid w:val="001C6253"/>
    <w:rsid w:val="001C6470"/>
    <w:rsid w:val="001C64C5"/>
    <w:rsid w:val="001C68CC"/>
    <w:rsid w:val="001C6FBF"/>
    <w:rsid w:val="001C72F8"/>
    <w:rsid w:val="001C777E"/>
    <w:rsid w:val="001C78BA"/>
    <w:rsid w:val="001C7A56"/>
    <w:rsid w:val="001C7AAC"/>
    <w:rsid w:val="001D018C"/>
    <w:rsid w:val="001D01B3"/>
    <w:rsid w:val="001D01EB"/>
    <w:rsid w:val="001D02DD"/>
    <w:rsid w:val="001D07E7"/>
    <w:rsid w:val="001D0CE7"/>
    <w:rsid w:val="001D0CF5"/>
    <w:rsid w:val="001D0E78"/>
    <w:rsid w:val="001D1282"/>
    <w:rsid w:val="001D19BF"/>
    <w:rsid w:val="001D1CE8"/>
    <w:rsid w:val="001D2450"/>
    <w:rsid w:val="001D283E"/>
    <w:rsid w:val="001D2856"/>
    <w:rsid w:val="001D2AE9"/>
    <w:rsid w:val="001D30AA"/>
    <w:rsid w:val="001D3113"/>
    <w:rsid w:val="001D36D5"/>
    <w:rsid w:val="001D376C"/>
    <w:rsid w:val="001D386B"/>
    <w:rsid w:val="001D3CEC"/>
    <w:rsid w:val="001D42B3"/>
    <w:rsid w:val="001D4A55"/>
    <w:rsid w:val="001D4F66"/>
    <w:rsid w:val="001D5023"/>
    <w:rsid w:val="001D54E6"/>
    <w:rsid w:val="001D5F2F"/>
    <w:rsid w:val="001D5FD7"/>
    <w:rsid w:val="001D6025"/>
    <w:rsid w:val="001D61F4"/>
    <w:rsid w:val="001D6472"/>
    <w:rsid w:val="001D64E7"/>
    <w:rsid w:val="001D6585"/>
    <w:rsid w:val="001D65F2"/>
    <w:rsid w:val="001D6760"/>
    <w:rsid w:val="001D685C"/>
    <w:rsid w:val="001D6CBB"/>
    <w:rsid w:val="001D6F98"/>
    <w:rsid w:val="001D75FF"/>
    <w:rsid w:val="001D786F"/>
    <w:rsid w:val="001D78B1"/>
    <w:rsid w:val="001D7996"/>
    <w:rsid w:val="001D7C0F"/>
    <w:rsid w:val="001D7C46"/>
    <w:rsid w:val="001D7EC1"/>
    <w:rsid w:val="001D7FCA"/>
    <w:rsid w:val="001E005E"/>
    <w:rsid w:val="001E0537"/>
    <w:rsid w:val="001E06B6"/>
    <w:rsid w:val="001E0717"/>
    <w:rsid w:val="001E0910"/>
    <w:rsid w:val="001E0A44"/>
    <w:rsid w:val="001E118B"/>
    <w:rsid w:val="001E11F3"/>
    <w:rsid w:val="001E137A"/>
    <w:rsid w:val="001E14B4"/>
    <w:rsid w:val="001E159B"/>
    <w:rsid w:val="001E1F09"/>
    <w:rsid w:val="001E23AC"/>
    <w:rsid w:val="001E23C8"/>
    <w:rsid w:val="001E2526"/>
    <w:rsid w:val="001E2561"/>
    <w:rsid w:val="001E2A00"/>
    <w:rsid w:val="001E30F3"/>
    <w:rsid w:val="001E371E"/>
    <w:rsid w:val="001E3913"/>
    <w:rsid w:val="001E3B69"/>
    <w:rsid w:val="001E3D5D"/>
    <w:rsid w:val="001E3F39"/>
    <w:rsid w:val="001E4701"/>
    <w:rsid w:val="001E497A"/>
    <w:rsid w:val="001E4CE2"/>
    <w:rsid w:val="001E4D36"/>
    <w:rsid w:val="001E4E2E"/>
    <w:rsid w:val="001E4EFB"/>
    <w:rsid w:val="001E5A48"/>
    <w:rsid w:val="001E614D"/>
    <w:rsid w:val="001E618C"/>
    <w:rsid w:val="001E6737"/>
    <w:rsid w:val="001E6802"/>
    <w:rsid w:val="001E6D4B"/>
    <w:rsid w:val="001E6E4E"/>
    <w:rsid w:val="001E6E9F"/>
    <w:rsid w:val="001E6F21"/>
    <w:rsid w:val="001E707C"/>
    <w:rsid w:val="001E7610"/>
    <w:rsid w:val="001E76CC"/>
    <w:rsid w:val="001F02C7"/>
    <w:rsid w:val="001F0361"/>
    <w:rsid w:val="001F06EB"/>
    <w:rsid w:val="001F0884"/>
    <w:rsid w:val="001F0D4E"/>
    <w:rsid w:val="001F102D"/>
    <w:rsid w:val="001F1129"/>
    <w:rsid w:val="001F15B3"/>
    <w:rsid w:val="001F187A"/>
    <w:rsid w:val="001F1BEB"/>
    <w:rsid w:val="001F200D"/>
    <w:rsid w:val="001F257A"/>
    <w:rsid w:val="001F2655"/>
    <w:rsid w:val="001F2737"/>
    <w:rsid w:val="001F27E8"/>
    <w:rsid w:val="001F3071"/>
    <w:rsid w:val="001F320A"/>
    <w:rsid w:val="001F39C1"/>
    <w:rsid w:val="001F3A52"/>
    <w:rsid w:val="001F3C28"/>
    <w:rsid w:val="001F3E36"/>
    <w:rsid w:val="001F3F15"/>
    <w:rsid w:val="001F4473"/>
    <w:rsid w:val="001F4499"/>
    <w:rsid w:val="001F4957"/>
    <w:rsid w:val="001F49EF"/>
    <w:rsid w:val="001F4ADF"/>
    <w:rsid w:val="001F504D"/>
    <w:rsid w:val="001F59FB"/>
    <w:rsid w:val="001F6057"/>
    <w:rsid w:val="001F6159"/>
    <w:rsid w:val="001F6171"/>
    <w:rsid w:val="001F64B6"/>
    <w:rsid w:val="001F665F"/>
    <w:rsid w:val="001F699B"/>
    <w:rsid w:val="001F703E"/>
    <w:rsid w:val="001F75CD"/>
    <w:rsid w:val="001F7AD0"/>
    <w:rsid w:val="00200144"/>
    <w:rsid w:val="0020015A"/>
    <w:rsid w:val="002005C1"/>
    <w:rsid w:val="0020075E"/>
    <w:rsid w:val="0020085C"/>
    <w:rsid w:val="002009AD"/>
    <w:rsid w:val="00200DB9"/>
    <w:rsid w:val="00201993"/>
    <w:rsid w:val="00201B96"/>
    <w:rsid w:val="00201D0F"/>
    <w:rsid w:val="00201E29"/>
    <w:rsid w:val="00202063"/>
    <w:rsid w:val="0020213F"/>
    <w:rsid w:val="002021D8"/>
    <w:rsid w:val="00202321"/>
    <w:rsid w:val="002025C8"/>
    <w:rsid w:val="00202CB5"/>
    <w:rsid w:val="002031E4"/>
    <w:rsid w:val="00203220"/>
    <w:rsid w:val="002032BA"/>
    <w:rsid w:val="00203711"/>
    <w:rsid w:val="0020386C"/>
    <w:rsid w:val="00203CCC"/>
    <w:rsid w:val="00203CFE"/>
    <w:rsid w:val="002040A0"/>
    <w:rsid w:val="00204180"/>
    <w:rsid w:val="00204397"/>
    <w:rsid w:val="00204866"/>
    <w:rsid w:val="00204B1B"/>
    <w:rsid w:val="00205045"/>
    <w:rsid w:val="002054B8"/>
    <w:rsid w:val="0020593A"/>
    <w:rsid w:val="00205BC1"/>
    <w:rsid w:val="00205C1C"/>
    <w:rsid w:val="00205E34"/>
    <w:rsid w:val="002060F4"/>
    <w:rsid w:val="002062AB"/>
    <w:rsid w:val="002063FA"/>
    <w:rsid w:val="00206652"/>
    <w:rsid w:val="00207091"/>
    <w:rsid w:val="00207434"/>
    <w:rsid w:val="00207950"/>
    <w:rsid w:val="00207F79"/>
    <w:rsid w:val="002107FE"/>
    <w:rsid w:val="00210849"/>
    <w:rsid w:val="0021090D"/>
    <w:rsid w:val="00210BBF"/>
    <w:rsid w:val="00210D1B"/>
    <w:rsid w:val="00210D9B"/>
    <w:rsid w:val="00210FBE"/>
    <w:rsid w:val="00210FFA"/>
    <w:rsid w:val="00211C0A"/>
    <w:rsid w:val="00211D3A"/>
    <w:rsid w:val="002125DE"/>
    <w:rsid w:val="00212897"/>
    <w:rsid w:val="00212B6F"/>
    <w:rsid w:val="002132A5"/>
    <w:rsid w:val="00213864"/>
    <w:rsid w:val="00213FEC"/>
    <w:rsid w:val="00214574"/>
    <w:rsid w:val="00214932"/>
    <w:rsid w:val="0021511F"/>
    <w:rsid w:val="00215420"/>
    <w:rsid w:val="00215421"/>
    <w:rsid w:val="0021576B"/>
    <w:rsid w:val="002161AE"/>
    <w:rsid w:val="00216639"/>
    <w:rsid w:val="00216814"/>
    <w:rsid w:val="00216D03"/>
    <w:rsid w:val="00216E18"/>
    <w:rsid w:val="00217308"/>
    <w:rsid w:val="00217364"/>
    <w:rsid w:val="00217540"/>
    <w:rsid w:val="00217B21"/>
    <w:rsid w:val="00220070"/>
    <w:rsid w:val="00220364"/>
    <w:rsid w:val="00220C19"/>
    <w:rsid w:val="00221487"/>
    <w:rsid w:val="00221698"/>
    <w:rsid w:val="00221A2D"/>
    <w:rsid w:val="00221BF7"/>
    <w:rsid w:val="00221E52"/>
    <w:rsid w:val="0022227A"/>
    <w:rsid w:val="002225F3"/>
    <w:rsid w:val="00222C3E"/>
    <w:rsid w:val="00222E70"/>
    <w:rsid w:val="00222EF3"/>
    <w:rsid w:val="002230B1"/>
    <w:rsid w:val="002231C6"/>
    <w:rsid w:val="00223274"/>
    <w:rsid w:val="0022380E"/>
    <w:rsid w:val="00223874"/>
    <w:rsid w:val="00223B47"/>
    <w:rsid w:val="0022449C"/>
    <w:rsid w:val="002244EE"/>
    <w:rsid w:val="00224664"/>
    <w:rsid w:val="00224790"/>
    <w:rsid w:val="00224871"/>
    <w:rsid w:val="002248AB"/>
    <w:rsid w:val="00224D07"/>
    <w:rsid w:val="00224F1E"/>
    <w:rsid w:val="002251E6"/>
    <w:rsid w:val="00227467"/>
    <w:rsid w:val="002277FB"/>
    <w:rsid w:val="002279B8"/>
    <w:rsid w:val="002279BA"/>
    <w:rsid w:val="00227B3F"/>
    <w:rsid w:val="00227C0A"/>
    <w:rsid w:val="00230063"/>
    <w:rsid w:val="002304B7"/>
    <w:rsid w:val="00230544"/>
    <w:rsid w:val="0023067A"/>
    <w:rsid w:val="00230724"/>
    <w:rsid w:val="00230E28"/>
    <w:rsid w:val="002310F6"/>
    <w:rsid w:val="00231231"/>
    <w:rsid w:val="0023132A"/>
    <w:rsid w:val="00231BEB"/>
    <w:rsid w:val="00231D95"/>
    <w:rsid w:val="00232CC4"/>
    <w:rsid w:val="00232E23"/>
    <w:rsid w:val="00232F51"/>
    <w:rsid w:val="0023317E"/>
    <w:rsid w:val="0023344E"/>
    <w:rsid w:val="002337B0"/>
    <w:rsid w:val="002337FE"/>
    <w:rsid w:val="00233C07"/>
    <w:rsid w:val="00233CAE"/>
    <w:rsid w:val="00233F3C"/>
    <w:rsid w:val="0023429E"/>
    <w:rsid w:val="00234303"/>
    <w:rsid w:val="00234536"/>
    <w:rsid w:val="00234710"/>
    <w:rsid w:val="00234889"/>
    <w:rsid w:val="002357C6"/>
    <w:rsid w:val="00235AA0"/>
    <w:rsid w:val="00235CCD"/>
    <w:rsid w:val="0023616E"/>
    <w:rsid w:val="00236214"/>
    <w:rsid w:val="0023676F"/>
    <w:rsid w:val="002367C5"/>
    <w:rsid w:val="00236810"/>
    <w:rsid w:val="00236A46"/>
    <w:rsid w:val="00237AE7"/>
    <w:rsid w:val="00237C31"/>
    <w:rsid w:val="00237D73"/>
    <w:rsid w:val="002400B2"/>
    <w:rsid w:val="002402FD"/>
    <w:rsid w:val="00240490"/>
    <w:rsid w:val="00240A09"/>
    <w:rsid w:val="00240DC0"/>
    <w:rsid w:val="00240E03"/>
    <w:rsid w:val="00240FFF"/>
    <w:rsid w:val="00241071"/>
    <w:rsid w:val="002410CB"/>
    <w:rsid w:val="00241231"/>
    <w:rsid w:val="002414DD"/>
    <w:rsid w:val="0024158F"/>
    <w:rsid w:val="00241D7F"/>
    <w:rsid w:val="00242185"/>
    <w:rsid w:val="00242903"/>
    <w:rsid w:val="0024298C"/>
    <w:rsid w:val="00242E7A"/>
    <w:rsid w:val="002434CA"/>
    <w:rsid w:val="00243B3F"/>
    <w:rsid w:val="00243BA0"/>
    <w:rsid w:val="00243EE1"/>
    <w:rsid w:val="002443DA"/>
    <w:rsid w:val="00244BBC"/>
    <w:rsid w:val="00244CBC"/>
    <w:rsid w:val="00244D93"/>
    <w:rsid w:val="00244F10"/>
    <w:rsid w:val="00244F35"/>
    <w:rsid w:val="00244F76"/>
    <w:rsid w:val="00246206"/>
    <w:rsid w:val="0024664B"/>
    <w:rsid w:val="00246723"/>
    <w:rsid w:val="00246A08"/>
    <w:rsid w:val="00246CBD"/>
    <w:rsid w:val="0024747D"/>
    <w:rsid w:val="002474D8"/>
    <w:rsid w:val="0024782B"/>
    <w:rsid w:val="0024787F"/>
    <w:rsid w:val="00247B90"/>
    <w:rsid w:val="00247E50"/>
    <w:rsid w:val="002501EA"/>
    <w:rsid w:val="002505E5"/>
    <w:rsid w:val="002514A5"/>
    <w:rsid w:val="00251B47"/>
    <w:rsid w:val="00251C19"/>
    <w:rsid w:val="00251EA6"/>
    <w:rsid w:val="00251F04"/>
    <w:rsid w:val="00251FF4"/>
    <w:rsid w:val="002524D0"/>
    <w:rsid w:val="00252C6F"/>
    <w:rsid w:val="00253185"/>
    <w:rsid w:val="002535CB"/>
    <w:rsid w:val="002537CB"/>
    <w:rsid w:val="00253A6E"/>
    <w:rsid w:val="00254434"/>
    <w:rsid w:val="00254B66"/>
    <w:rsid w:val="00255295"/>
    <w:rsid w:val="00255301"/>
    <w:rsid w:val="00255BC3"/>
    <w:rsid w:val="0025649D"/>
    <w:rsid w:val="00256BF8"/>
    <w:rsid w:val="00256F57"/>
    <w:rsid w:val="0025701F"/>
    <w:rsid w:val="002571F8"/>
    <w:rsid w:val="002600D3"/>
    <w:rsid w:val="00260304"/>
    <w:rsid w:val="00260404"/>
    <w:rsid w:val="0026053A"/>
    <w:rsid w:val="002606AF"/>
    <w:rsid w:val="002607AE"/>
    <w:rsid w:val="00260AB5"/>
    <w:rsid w:val="00261904"/>
    <w:rsid w:val="00261BBF"/>
    <w:rsid w:val="00261FD9"/>
    <w:rsid w:val="0026204F"/>
    <w:rsid w:val="00262349"/>
    <w:rsid w:val="00264609"/>
    <w:rsid w:val="002649E4"/>
    <w:rsid w:val="00264B2B"/>
    <w:rsid w:val="00265078"/>
    <w:rsid w:val="00265459"/>
    <w:rsid w:val="002654EB"/>
    <w:rsid w:val="0026595A"/>
    <w:rsid w:val="00265DD6"/>
    <w:rsid w:val="00265F95"/>
    <w:rsid w:val="00266089"/>
    <w:rsid w:val="00266555"/>
    <w:rsid w:val="0026686C"/>
    <w:rsid w:val="00266BF6"/>
    <w:rsid w:val="00266E9B"/>
    <w:rsid w:val="002672A8"/>
    <w:rsid w:val="00267486"/>
    <w:rsid w:val="00267664"/>
    <w:rsid w:val="00267B86"/>
    <w:rsid w:val="00267C52"/>
    <w:rsid w:val="00267D1F"/>
    <w:rsid w:val="00270938"/>
    <w:rsid w:val="00270AEF"/>
    <w:rsid w:val="0027167A"/>
    <w:rsid w:val="00271CAA"/>
    <w:rsid w:val="00271EDB"/>
    <w:rsid w:val="00272503"/>
    <w:rsid w:val="00272639"/>
    <w:rsid w:val="00272673"/>
    <w:rsid w:val="0027282D"/>
    <w:rsid w:val="00272A9A"/>
    <w:rsid w:val="002736B5"/>
    <w:rsid w:val="00273AC3"/>
    <w:rsid w:val="00273BFB"/>
    <w:rsid w:val="00273F66"/>
    <w:rsid w:val="0027449F"/>
    <w:rsid w:val="002749B7"/>
    <w:rsid w:val="00274A05"/>
    <w:rsid w:val="00274BC3"/>
    <w:rsid w:val="00274CDB"/>
    <w:rsid w:val="00274E3A"/>
    <w:rsid w:val="0027501B"/>
    <w:rsid w:val="00275343"/>
    <w:rsid w:val="0027591D"/>
    <w:rsid w:val="00275D19"/>
    <w:rsid w:val="00275D59"/>
    <w:rsid w:val="00276C43"/>
    <w:rsid w:val="00277277"/>
    <w:rsid w:val="00277478"/>
    <w:rsid w:val="002775ED"/>
    <w:rsid w:val="002777CB"/>
    <w:rsid w:val="0028033B"/>
    <w:rsid w:val="002804C9"/>
    <w:rsid w:val="00280648"/>
    <w:rsid w:val="002809E9"/>
    <w:rsid w:val="00280CDE"/>
    <w:rsid w:val="002815D3"/>
    <w:rsid w:val="00281855"/>
    <w:rsid w:val="00281915"/>
    <w:rsid w:val="00281AA2"/>
    <w:rsid w:val="00281BAC"/>
    <w:rsid w:val="00282949"/>
    <w:rsid w:val="00282A35"/>
    <w:rsid w:val="00282FED"/>
    <w:rsid w:val="0028303C"/>
    <w:rsid w:val="00283328"/>
    <w:rsid w:val="002839A1"/>
    <w:rsid w:val="00283FC1"/>
    <w:rsid w:val="002841CA"/>
    <w:rsid w:val="0028431C"/>
    <w:rsid w:val="002847D4"/>
    <w:rsid w:val="00284835"/>
    <w:rsid w:val="00284D07"/>
    <w:rsid w:val="00285067"/>
    <w:rsid w:val="0028506F"/>
    <w:rsid w:val="0028509F"/>
    <w:rsid w:val="0028531A"/>
    <w:rsid w:val="0028561F"/>
    <w:rsid w:val="0028567B"/>
    <w:rsid w:val="00285783"/>
    <w:rsid w:val="0028579D"/>
    <w:rsid w:val="00285A7A"/>
    <w:rsid w:val="00285C0D"/>
    <w:rsid w:val="002862A8"/>
    <w:rsid w:val="00286441"/>
    <w:rsid w:val="002867B9"/>
    <w:rsid w:val="002867BF"/>
    <w:rsid w:val="0028687B"/>
    <w:rsid w:val="00286B93"/>
    <w:rsid w:val="00286CBA"/>
    <w:rsid w:val="002877C5"/>
    <w:rsid w:val="00287892"/>
    <w:rsid w:val="002878C2"/>
    <w:rsid w:val="0028797B"/>
    <w:rsid w:val="00287E15"/>
    <w:rsid w:val="0029010A"/>
    <w:rsid w:val="00290666"/>
    <w:rsid w:val="00290724"/>
    <w:rsid w:val="00290AB6"/>
    <w:rsid w:val="00290C90"/>
    <w:rsid w:val="00290DE6"/>
    <w:rsid w:val="002913EF"/>
    <w:rsid w:val="00291769"/>
    <w:rsid w:val="0029211C"/>
    <w:rsid w:val="00292325"/>
    <w:rsid w:val="002927AF"/>
    <w:rsid w:val="00292C9F"/>
    <w:rsid w:val="002933EF"/>
    <w:rsid w:val="0029386B"/>
    <w:rsid w:val="002938C7"/>
    <w:rsid w:val="00293C59"/>
    <w:rsid w:val="00294111"/>
    <w:rsid w:val="002946FC"/>
    <w:rsid w:val="00294B6A"/>
    <w:rsid w:val="00295143"/>
    <w:rsid w:val="002956A6"/>
    <w:rsid w:val="002956D8"/>
    <w:rsid w:val="00295862"/>
    <w:rsid w:val="00295C8C"/>
    <w:rsid w:val="00295E0C"/>
    <w:rsid w:val="00296034"/>
    <w:rsid w:val="00296472"/>
    <w:rsid w:val="002965EC"/>
    <w:rsid w:val="00296896"/>
    <w:rsid w:val="00296EF5"/>
    <w:rsid w:val="00297031"/>
    <w:rsid w:val="00297368"/>
    <w:rsid w:val="00297590"/>
    <w:rsid w:val="002975D9"/>
    <w:rsid w:val="002976B2"/>
    <w:rsid w:val="00297871"/>
    <w:rsid w:val="0029791A"/>
    <w:rsid w:val="002A0971"/>
    <w:rsid w:val="002A0FA4"/>
    <w:rsid w:val="002A1513"/>
    <w:rsid w:val="002A1800"/>
    <w:rsid w:val="002A1968"/>
    <w:rsid w:val="002A1BB2"/>
    <w:rsid w:val="002A22EE"/>
    <w:rsid w:val="002A2343"/>
    <w:rsid w:val="002A2362"/>
    <w:rsid w:val="002A2C12"/>
    <w:rsid w:val="002A2E2F"/>
    <w:rsid w:val="002A2E79"/>
    <w:rsid w:val="002A2FA3"/>
    <w:rsid w:val="002A3427"/>
    <w:rsid w:val="002A349C"/>
    <w:rsid w:val="002A3507"/>
    <w:rsid w:val="002A370C"/>
    <w:rsid w:val="002A3840"/>
    <w:rsid w:val="002A39A1"/>
    <w:rsid w:val="002A3EF4"/>
    <w:rsid w:val="002A419C"/>
    <w:rsid w:val="002A44C3"/>
    <w:rsid w:val="002A480B"/>
    <w:rsid w:val="002A4887"/>
    <w:rsid w:val="002A4B30"/>
    <w:rsid w:val="002A4C8F"/>
    <w:rsid w:val="002A4CF3"/>
    <w:rsid w:val="002A4D49"/>
    <w:rsid w:val="002A4E19"/>
    <w:rsid w:val="002A4FC4"/>
    <w:rsid w:val="002A4FD0"/>
    <w:rsid w:val="002A56F7"/>
    <w:rsid w:val="002A585C"/>
    <w:rsid w:val="002A597A"/>
    <w:rsid w:val="002A5BC7"/>
    <w:rsid w:val="002A5D49"/>
    <w:rsid w:val="002A6312"/>
    <w:rsid w:val="002A6A91"/>
    <w:rsid w:val="002A6A9B"/>
    <w:rsid w:val="002A705B"/>
    <w:rsid w:val="002A773C"/>
    <w:rsid w:val="002A7903"/>
    <w:rsid w:val="002A7CCE"/>
    <w:rsid w:val="002A7D2F"/>
    <w:rsid w:val="002B058A"/>
    <w:rsid w:val="002B0612"/>
    <w:rsid w:val="002B0EC8"/>
    <w:rsid w:val="002B0EF0"/>
    <w:rsid w:val="002B13EA"/>
    <w:rsid w:val="002B1600"/>
    <w:rsid w:val="002B17A7"/>
    <w:rsid w:val="002B1A2F"/>
    <w:rsid w:val="002B1DA7"/>
    <w:rsid w:val="002B1EDE"/>
    <w:rsid w:val="002B200F"/>
    <w:rsid w:val="002B2254"/>
    <w:rsid w:val="002B2532"/>
    <w:rsid w:val="002B26E7"/>
    <w:rsid w:val="002B3226"/>
    <w:rsid w:val="002B33DE"/>
    <w:rsid w:val="002B35CA"/>
    <w:rsid w:val="002B3892"/>
    <w:rsid w:val="002B3D04"/>
    <w:rsid w:val="002B3E62"/>
    <w:rsid w:val="002B401F"/>
    <w:rsid w:val="002B428A"/>
    <w:rsid w:val="002B457C"/>
    <w:rsid w:val="002B4600"/>
    <w:rsid w:val="002B4841"/>
    <w:rsid w:val="002B4DD2"/>
    <w:rsid w:val="002B505A"/>
    <w:rsid w:val="002B5082"/>
    <w:rsid w:val="002B556D"/>
    <w:rsid w:val="002B5E10"/>
    <w:rsid w:val="002B5E77"/>
    <w:rsid w:val="002B5ECA"/>
    <w:rsid w:val="002B63C0"/>
    <w:rsid w:val="002B649E"/>
    <w:rsid w:val="002B687D"/>
    <w:rsid w:val="002B6C26"/>
    <w:rsid w:val="002B7310"/>
    <w:rsid w:val="002B73B3"/>
    <w:rsid w:val="002B7459"/>
    <w:rsid w:val="002B7E4E"/>
    <w:rsid w:val="002B7EE9"/>
    <w:rsid w:val="002C06B0"/>
    <w:rsid w:val="002C0906"/>
    <w:rsid w:val="002C0A8D"/>
    <w:rsid w:val="002C1275"/>
    <w:rsid w:val="002C1A0A"/>
    <w:rsid w:val="002C1A7C"/>
    <w:rsid w:val="002C1C47"/>
    <w:rsid w:val="002C258A"/>
    <w:rsid w:val="002C277A"/>
    <w:rsid w:val="002C29DC"/>
    <w:rsid w:val="002C31A7"/>
    <w:rsid w:val="002C33E4"/>
    <w:rsid w:val="002C3B3D"/>
    <w:rsid w:val="002C3C7A"/>
    <w:rsid w:val="002C3E93"/>
    <w:rsid w:val="002C4567"/>
    <w:rsid w:val="002C493A"/>
    <w:rsid w:val="002C4B5B"/>
    <w:rsid w:val="002C4DEC"/>
    <w:rsid w:val="002C4F27"/>
    <w:rsid w:val="002C5411"/>
    <w:rsid w:val="002C5A15"/>
    <w:rsid w:val="002C5B16"/>
    <w:rsid w:val="002C5B35"/>
    <w:rsid w:val="002C6446"/>
    <w:rsid w:val="002C65DB"/>
    <w:rsid w:val="002C6A9D"/>
    <w:rsid w:val="002C7423"/>
    <w:rsid w:val="002C74D9"/>
    <w:rsid w:val="002C7BB9"/>
    <w:rsid w:val="002D0007"/>
    <w:rsid w:val="002D0372"/>
    <w:rsid w:val="002D04C3"/>
    <w:rsid w:val="002D0632"/>
    <w:rsid w:val="002D0653"/>
    <w:rsid w:val="002D075E"/>
    <w:rsid w:val="002D07D9"/>
    <w:rsid w:val="002D0F2D"/>
    <w:rsid w:val="002D0F56"/>
    <w:rsid w:val="002D1308"/>
    <w:rsid w:val="002D17A3"/>
    <w:rsid w:val="002D1E8D"/>
    <w:rsid w:val="002D1FE0"/>
    <w:rsid w:val="002D22B1"/>
    <w:rsid w:val="002D2548"/>
    <w:rsid w:val="002D259C"/>
    <w:rsid w:val="002D2618"/>
    <w:rsid w:val="002D29B4"/>
    <w:rsid w:val="002D2C7A"/>
    <w:rsid w:val="002D2E10"/>
    <w:rsid w:val="002D3792"/>
    <w:rsid w:val="002D3B4D"/>
    <w:rsid w:val="002D40CE"/>
    <w:rsid w:val="002D42A2"/>
    <w:rsid w:val="002D4449"/>
    <w:rsid w:val="002D4690"/>
    <w:rsid w:val="002D46B2"/>
    <w:rsid w:val="002D4866"/>
    <w:rsid w:val="002D4AC3"/>
    <w:rsid w:val="002D4AE0"/>
    <w:rsid w:val="002D530C"/>
    <w:rsid w:val="002D5B40"/>
    <w:rsid w:val="002D5B8E"/>
    <w:rsid w:val="002D5D3F"/>
    <w:rsid w:val="002D5E89"/>
    <w:rsid w:val="002D6832"/>
    <w:rsid w:val="002D69B1"/>
    <w:rsid w:val="002D69BC"/>
    <w:rsid w:val="002D701F"/>
    <w:rsid w:val="002D7111"/>
    <w:rsid w:val="002D7926"/>
    <w:rsid w:val="002D793B"/>
    <w:rsid w:val="002D7B96"/>
    <w:rsid w:val="002E00B9"/>
    <w:rsid w:val="002E02AC"/>
    <w:rsid w:val="002E03C5"/>
    <w:rsid w:val="002E05EC"/>
    <w:rsid w:val="002E0702"/>
    <w:rsid w:val="002E089A"/>
    <w:rsid w:val="002E17BD"/>
    <w:rsid w:val="002E1A4E"/>
    <w:rsid w:val="002E1D2B"/>
    <w:rsid w:val="002E27D6"/>
    <w:rsid w:val="002E2835"/>
    <w:rsid w:val="002E2A14"/>
    <w:rsid w:val="002E2D74"/>
    <w:rsid w:val="002E2F47"/>
    <w:rsid w:val="002E2FEA"/>
    <w:rsid w:val="002E36EA"/>
    <w:rsid w:val="002E37C9"/>
    <w:rsid w:val="002E3A92"/>
    <w:rsid w:val="002E3C75"/>
    <w:rsid w:val="002E44A2"/>
    <w:rsid w:val="002E4616"/>
    <w:rsid w:val="002E4722"/>
    <w:rsid w:val="002E488C"/>
    <w:rsid w:val="002E4A04"/>
    <w:rsid w:val="002E4FFD"/>
    <w:rsid w:val="002E50A1"/>
    <w:rsid w:val="002E50BD"/>
    <w:rsid w:val="002E52A6"/>
    <w:rsid w:val="002E59D0"/>
    <w:rsid w:val="002E5C8C"/>
    <w:rsid w:val="002E62FB"/>
    <w:rsid w:val="002E66BE"/>
    <w:rsid w:val="002E7171"/>
    <w:rsid w:val="002E7377"/>
    <w:rsid w:val="002E73FA"/>
    <w:rsid w:val="002E7814"/>
    <w:rsid w:val="002E79C2"/>
    <w:rsid w:val="002E7F29"/>
    <w:rsid w:val="002F02BE"/>
    <w:rsid w:val="002F08DE"/>
    <w:rsid w:val="002F0BF9"/>
    <w:rsid w:val="002F0C83"/>
    <w:rsid w:val="002F0F2A"/>
    <w:rsid w:val="002F116C"/>
    <w:rsid w:val="002F1541"/>
    <w:rsid w:val="002F1723"/>
    <w:rsid w:val="002F1B04"/>
    <w:rsid w:val="002F1D7A"/>
    <w:rsid w:val="002F1F01"/>
    <w:rsid w:val="002F26A6"/>
    <w:rsid w:val="002F2709"/>
    <w:rsid w:val="002F28F5"/>
    <w:rsid w:val="002F2998"/>
    <w:rsid w:val="002F2C07"/>
    <w:rsid w:val="002F2D8C"/>
    <w:rsid w:val="002F312F"/>
    <w:rsid w:val="002F315F"/>
    <w:rsid w:val="002F346F"/>
    <w:rsid w:val="002F3816"/>
    <w:rsid w:val="002F3A33"/>
    <w:rsid w:val="002F3CFD"/>
    <w:rsid w:val="002F3DA6"/>
    <w:rsid w:val="002F419F"/>
    <w:rsid w:val="002F41A8"/>
    <w:rsid w:val="002F42ED"/>
    <w:rsid w:val="002F460A"/>
    <w:rsid w:val="002F4B15"/>
    <w:rsid w:val="002F4C5D"/>
    <w:rsid w:val="002F4EF5"/>
    <w:rsid w:val="002F5551"/>
    <w:rsid w:val="002F57C2"/>
    <w:rsid w:val="002F5BAD"/>
    <w:rsid w:val="002F5F87"/>
    <w:rsid w:val="002F693E"/>
    <w:rsid w:val="002F6F54"/>
    <w:rsid w:val="002F7086"/>
    <w:rsid w:val="002F71EF"/>
    <w:rsid w:val="002F7414"/>
    <w:rsid w:val="002F74B8"/>
    <w:rsid w:val="002F7528"/>
    <w:rsid w:val="002F7764"/>
    <w:rsid w:val="002F77FF"/>
    <w:rsid w:val="002F78C6"/>
    <w:rsid w:val="002F78F4"/>
    <w:rsid w:val="002F7F4A"/>
    <w:rsid w:val="0030041D"/>
    <w:rsid w:val="00300518"/>
    <w:rsid w:val="00300591"/>
    <w:rsid w:val="00300697"/>
    <w:rsid w:val="0030086C"/>
    <w:rsid w:val="00300B52"/>
    <w:rsid w:val="00301691"/>
    <w:rsid w:val="003016FA"/>
    <w:rsid w:val="00301D15"/>
    <w:rsid w:val="00301F39"/>
    <w:rsid w:val="003020A3"/>
    <w:rsid w:val="003021B1"/>
    <w:rsid w:val="00302287"/>
    <w:rsid w:val="00302991"/>
    <w:rsid w:val="00303566"/>
    <w:rsid w:val="00303840"/>
    <w:rsid w:val="00303B5D"/>
    <w:rsid w:val="00303D6F"/>
    <w:rsid w:val="00304017"/>
    <w:rsid w:val="0030414A"/>
    <w:rsid w:val="003042B4"/>
    <w:rsid w:val="00304702"/>
    <w:rsid w:val="003047F3"/>
    <w:rsid w:val="00304B5D"/>
    <w:rsid w:val="00304C3A"/>
    <w:rsid w:val="00305602"/>
    <w:rsid w:val="0030567C"/>
    <w:rsid w:val="0030582A"/>
    <w:rsid w:val="00305A73"/>
    <w:rsid w:val="00305F56"/>
    <w:rsid w:val="0030628A"/>
    <w:rsid w:val="0030631F"/>
    <w:rsid w:val="0030653B"/>
    <w:rsid w:val="003065E9"/>
    <w:rsid w:val="00306696"/>
    <w:rsid w:val="003068E3"/>
    <w:rsid w:val="00306E4D"/>
    <w:rsid w:val="00307109"/>
    <w:rsid w:val="003071A3"/>
    <w:rsid w:val="00307581"/>
    <w:rsid w:val="00307DC0"/>
    <w:rsid w:val="00307E80"/>
    <w:rsid w:val="00310096"/>
    <w:rsid w:val="003103BD"/>
    <w:rsid w:val="00311127"/>
    <w:rsid w:val="0031131D"/>
    <w:rsid w:val="00311725"/>
    <w:rsid w:val="0031182B"/>
    <w:rsid w:val="00311B64"/>
    <w:rsid w:val="00311E51"/>
    <w:rsid w:val="00311F69"/>
    <w:rsid w:val="0031236D"/>
    <w:rsid w:val="003123AA"/>
    <w:rsid w:val="00312C7F"/>
    <w:rsid w:val="00313581"/>
    <w:rsid w:val="00314108"/>
    <w:rsid w:val="00314720"/>
    <w:rsid w:val="003147DD"/>
    <w:rsid w:val="003149DA"/>
    <w:rsid w:val="00314A6B"/>
    <w:rsid w:val="00314B31"/>
    <w:rsid w:val="003151C6"/>
    <w:rsid w:val="003157FB"/>
    <w:rsid w:val="00315899"/>
    <w:rsid w:val="0031639E"/>
    <w:rsid w:val="00316561"/>
    <w:rsid w:val="00316B4E"/>
    <w:rsid w:val="00316E51"/>
    <w:rsid w:val="0031711D"/>
    <w:rsid w:val="003174A4"/>
    <w:rsid w:val="00317595"/>
    <w:rsid w:val="0031769C"/>
    <w:rsid w:val="003176DC"/>
    <w:rsid w:val="003178AC"/>
    <w:rsid w:val="00317ACF"/>
    <w:rsid w:val="00317E49"/>
    <w:rsid w:val="00320009"/>
    <w:rsid w:val="00320031"/>
    <w:rsid w:val="003201C4"/>
    <w:rsid w:val="00320404"/>
    <w:rsid w:val="0032061C"/>
    <w:rsid w:val="00320C87"/>
    <w:rsid w:val="00320CCD"/>
    <w:rsid w:val="003210BA"/>
    <w:rsid w:val="0032121D"/>
    <w:rsid w:val="0032136A"/>
    <w:rsid w:val="00321699"/>
    <w:rsid w:val="00321CE5"/>
    <w:rsid w:val="00321DB1"/>
    <w:rsid w:val="003221BC"/>
    <w:rsid w:val="003221CF"/>
    <w:rsid w:val="0032276D"/>
    <w:rsid w:val="0032313E"/>
    <w:rsid w:val="0032331E"/>
    <w:rsid w:val="00323562"/>
    <w:rsid w:val="00323638"/>
    <w:rsid w:val="00323DCB"/>
    <w:rsid w:val="00323F58"/>
    <w:rsid w:val="003241AA"/>
    <w:rsid w:val="00324B0F"/>
    <w:rsid w:val="00324C29"/>
    <w:rsid w:val="003250EF"/>
    <w:rsid w:val="00325196"/>
    <w:rsid w:val="0032536E"/>
    <w:rsid w:val="00325E28"/>
    <w:rsid w:val="00325F8B"/>
    <w:rsid w:val="0032615D"/>
    <w:rsid w:val="00326591"/>
    <w:rsid w:val="00326813"/>
    <w:rsid w:val="00326AB1"/>
    <w:rsid w:val="00326AF7"/>
    <w:rsid w:val="00326D32"/>
    <w:rsid w:val="00326F1D"/>
    <w:rsid w:val="003271BF"/>
    <w:rsid w:val="003273BD"/>
    <w:rsid w:val="00327451"/>
    <w:rsid w:val="003275A9"/>
    <w:rsid w:val="003277C0"/>
    <w:rsid w:val="00330585"/>
    <w:rsid w:val="00330BDF"/>
    <w:rsid w:val="003310D8"/>
    <w:rsid w:val="003310E2"/>
    <w:rsid w:val="00331113"/>
    <w:rsid w:val="00331116"/>
    <w:rsid w:val="0033190A"/>
    <w:rsid w:val="00331C5A"/>
    <w:rsid w:val="00331E81"/>
    <w:rsid w:val="00331F6C"/>
    <w:rsid w:val="00331F74"/>
    <w:rsid w:val="0033264B"/>
    <w:rsid w:val="00333081"/>
    <w:rsid w:val="0033317E"/>
    <w:rsid w:val="003333A6"/>
    <w:rsid w:val="0033373F"/>
    <w:rsid w:val="00333BCD"/>
    <w:rsid w:val="00333BEB"/>
    <w:rsid w:val="0033406D"/>
    <w:rsid w:val="003340F6"/>
    <w:rsid w:val="0033454A"/>
    <w:rsid w:val="00334564"/>
    <w:rsid w:val="0033465C"/>
    <w:rsid w:val="00334709"/>
    <w:rsid w:val="00335516"/>
    <w:rsid w:val="00335D6F"/>
    <w:rsid w:val="0033630C"/>
    <w:rsid w:val="0033646C"/>
    <w:rsid w:val="00336494"/>
    <w:rsid w:val="00336592"/>
    <w:rsid w:val="00336889"/>
    <w:rsid w:val="00336F5E"/>
    <w:rsid w:val="00337809"/>
    <w:rsid w:val="00337DA4"/>
    <w:rsid w:val="00340317"/>
    <w:rsid w:val="0034036A"/>
    <w:rsid w:val="003406BC"/>
    <w:rsid w:val="0034075F"/>
    <w:rsid w:val="00340C35"/>
    <w:rsid w:val="00340C96"/>
    <w:rsid w:val="00340D63"/>
    <w:rsid w:val="003411FE"/>
    <w:rsid w:val="003412B1"/>
    <w:rsid w:val="003413D3"/>
    <w:rsid w:val="00342D8E"/>
    <w:rsid w:val="00342F04"/>
    <w:rsid w:val="003430EA"/>
    <w:rsid w:val="00343EF7"/>
    <w:rsid w:val="003444DE"/>
    <w:rsid w:val="0034461E"/>
    <w:rsid w:val="00344A06"/>
    <w:rsid w:val="00344AF1"/>
    <w:rsid w:val="00344BB2"/>
    <w:rsid w:val="00345086"/>
    <w:rsid w:val="00345193"/>
    <w:rsid w:val="00345611"/>
    <w:rsid w:val="00346602"/>
    <w:rsid w:val="00346D3C"/>
    <w:rsid w:val="00346EDA"/>
    <w:rsid w:val="0034706A"/>
    <w:rsid w:val="0034751B"/>
    <w:rsid w:val="003475AD"/>
    <w:rsid w:val="00347AD3"/>
    <w:rsid w:val="00347DA1"/>
    <w:rsid w:val="0035072E"/>
    <w:rsid w:val="00350FC6"/>
    <w:rsid w:val="003517CD"/>
    <w:rsid w:val="0035184F"/>
    <w:rsid w:val="003518E0"/>
    <w:rsid w:val="003519BE"/>
    <w:rsid w:val="00352077"/>
    <w:rsid w:val="00352142"/>
    <w:rsid w:val="0035230D"/>
    <w:rsid w:val="003524CA"/>
    <w:rsid w:val="00352AB6"/>
    <w:rsid w:val="00353154"/>
    <w:rsid w:val="00353539"/>
    <w:rsid w:val="003536C6"/>
    <w:rsid w:val="00353918"/>
    <w:rsid w:val="00353B99"/>
    <w:rsid w:val="00353ED7"/>
    <w:rsid w:val="00353F1C"/>
    <w:rsid w:val="003540D0"/>
    <w:rsid w:val="003543DC"/>
    <w:rsid w:val="0035470F"/>
    <w:rsid w:val="00354BA3"/>
    <w:rsid w:val="00354E4F"/>
    <w:rsid w:val="00354FC7"/>
    <w:rsid w:val="00356EBF"/>
    <w:rsid w:val="0035706E"/>
    <w:rsid w:val="003573D0"/>
    <w:rsid w:val="00357819"/>
    <w:rsid w:val="00357B2A"/>
    <w:rsid w:val="003601BF"/>
    <w:rsid w:val="00360523"/>
    <w:rsid w:val="00360527"/>
    <w:rsid w:val="00360802"/>
    <w:rsid w:val="0036084E"/>
    <w:rsid w:val="003608B8"/>
    <w:rsid w:val="00360E95"/>
    <w:rsid w:val="00360EDA"/>
    <w:rsid w:val="00361AAB"/>
    <w:rsid w:val="00361B15"/>
    <w:rsid w:val="00361DEA"/>
    <w:rsid w:val="003621D4"/>
    <w:rsid w:val="00362251"/>
    <w:rsid w:val="003623FC"/>
    <w:rsid w:val="00362711"/>
    <w:rsid w:val="00362A2B"/>
    <w:rsid w:val="00362DEF"/>
    <w:rsid w:val="00363422"/>
    <w:rsid w:val="00364501"/>
    <w:rsid w:val="00364893"/>
    <w:rsid w:val="00364DA3"/>
    <w:rsid w:val="00365029"/>
    <w:rsid w:val="00365474"/>
    <w:rsid w:val="00365A84"/>
    <w:rsid w:val="00366F24"/>
    <w:rsid w:val="00366F42"/>
    <w:rsid w:val="00367756"/>
    <w:rsid w:val="00367CF9"/>
    <w:rsid w:val="003705F6"/>
    <w:rsid w:val="00370A00"/>
    <w:rsid w:val="00370BF6"/>
    <w:rsid w:val="00371AB1"/>
    <w:rsid w:val="00371D33"/>
    <w:rsid w:val="0037224F"/>
    <w:rsid w:val="003723D4"/>
    <w:rsid w:val="0037295E"/>
    <w:rsid w:val="00373276"/>
    <w:rsid w:val="003734A4"/>
    <w:rsid w:val="00373CC1"/>
    <w:rsid w:val="00374800"/>
    <w:rsid w:val="00374D55"/>
    <w:rsid w:val="003754A6"/>
    <w:rsid w:val="00375828"/>
    <w:rsid w:val="00375B39"/>
    <w:rsid w:val="00376413"/>
    <w:rsid w:val="003764F3"/>
    <w:rsid w:val="003768C5"/>
    <w:rsid w:val="00376F2C"/>
    <w:rsid w:val="0037751B"/>
    <w:rsid w:val="003775B9"/>
    <w:rsid w:val="00377C04"/>
    <w:rsid w:val="00377D03"/>
    <w:rsid w:val="003808AD"/>
    <w:rsid w:val="00380A9D"/>
    <w:rsid w:val="00380AAF"/>
    <w:rsid w:val="00380FFC"/>
    <w:rsid w:val="00381225"/>
    <w:rsid w:val="0038133F"/>
    <w:rsid w:val="00381875"/>
    <w:rsid w:val="00381925"/>
    <w:rsid w:val="00381B08"/>
    <w:rsid w:val="00381C91"/>
    <w:rsid w:val="00381EB5"/>
    <w:rsid w:val="00382B52"/>
    <w:rsid w:val="00382DB6"/>
    <w:rsid w:val="00382E49"/>
    <w:rsid w:val="00383368"/>
    <w:rsid w:val="0038396A"/>
    <w:rsid w:val="00383EF9"/>
    <w:rsid w:val="00384255"/>
    <w:rsid w:val="003843E0"/>
    <w:rsid w:val="003845D2"/>
    <w:rsid w:val="003846C8"/>
    <w:rsid w:val="00384A5D"/>
    <w:rsid w:val="00384E49"/>
    <w:rsid w:val="003851C1"/>
    <w:rsid w:val="00385212"/>
    <w:rsid w:val="0038570A"/>
    <w:rsid w:val="00385A78"/>
    <w:rsid w:val="00385AE6"/>
    <w:rsid w:val="00385E2D"/>
    <w:rsid w:val="0038628E"/>
    <w:rsid w:val="00386415"/>
    <w:rsid w:val="00386501"/>
    <w:rsid w:val="003866D9"/>
    <w:rsid w:val="00386761"/>
    <w:rsid w:val="00386793"/>
    <w:rsid w:val="00386BA1"/>
    <w:rsid w:val="00386CA3"/>
    <w:rsid w:val="00386CD9"/>
    <w:rsid w:val="0038727A"/>
    <w:rsid w:val="0038736A"/>
    <w:rsid w:val="00387424"/>
    <w:rsid w:val="00387489"/>
    <w:rsid w:val="003875DA"/>
    <w:rsid w:val="0038779D"/>
    <w:rsid w:val="003878C9"/>
    <w:rsid w:val="00387D25"/>
    <w:rsid w:val="00390294"/>
    <w:rsid w:val="00390499"/>
    <w:rsid w:val="003906CF"/>
    <w:rsid w:val="00390E68"/>
    <w:rsid w:val="00390EC0"/>
    <w:rsid w:val="00391185"/>
    <w:rsid w:val="0039159F"/>
    <w:rsid w:val="00391661"/>
    <w:rsid w:val="003917CC"/>
    <w:rsid w:val="00391AF7"/>
    <w:rsid w:val="00391BF9"/>
    <w:rsid w:val="00391FF2"/>
    <w:rsid w:val="003920C8"/>
    <w:rsid w:val="0039214D"/>
    <w:rsid w:val="003923CA"/>
    <w:rsid w:val="00392BC2"/>
    <w:rsid w:val="00392BDA"/>
    <w:rsid w:val="00393175"/>
    <w:rsid w:val="003933C8"/>
    <w:rsid w:val="00393420"/>
    <w:rsid w:val="0039345F"/>
    <w:rsid w:val="0039355C"/>
    <w:rsid w:val="003935F0"/>
    <w:rsid w:val="00393617"/>
    <w:rsid w:val="00393628"/>
    <w:rsid w:val="00393A3D"/>
    <w:rsid w:val="00393A7C"/>
    <w:rsid w:val="00393AB8"/>
    <w:rsid w:val="00393C89"/>
    <w:rsid w:val="00393CC8"/>
    <w:rsid w:val="0039447F"/>
    <w:rsid w:val="003944F6"/>
    <w:rsid w:val="0039456C"/>
    <w:rsid w:val="00394B19"/>
    <w:rsid w:val="00394C6A"/>
    <w:rsid w:val="00395191"/>
    <w:rsid w:val="003951BE"/>
    <w:rsid w:val="003952CC"/>
    <w:rsid w:val="00395474"/>
    <w:rsid w:val="00395773"/>
    <w:rsid w:val="00396794"/>
    <w:rsid w:val="003969DE"/>
    <w:rsid w:val="00396ABC"/>
    <w:rsid w:val="00397089"/>
    <w:rsid w:val="00397188"/>
    <w:rsid w:val="003973FB"/>
    <w:rsid w:val="00397489"/>
    <w:rsid w:val="00397686"/>
    <w:rsid w:val="00397FA3"/>
    <w:rsid w:val="003A08BF"/>
    <w:rsid w:val="003A0A83"/>
    <w:rsid w:val="003A0D87"/>
    <w:rsid w:val="003A109C"/>
    <w:rsid w:val="003A124A"/>
    <w:rsid w:val="003A1E4B"/>
    <w:rsid w:val="003A2238"/>
    <w:rsid w:val="003A26D4"/>
    <w:rsid w:val="003A29AA"/>
    <w:rsid w:val="003A2D03"/>
    <w:rsid w:val="003A3239"/>
    <w:rsid w:val="003A3AFF"/>
    <w:rsid w:val="003A3E88"/>
    <w:rsid w:val="003A43A9"/>
    <w:rsid w:val="003A466D"/>
    <w:rsid w:val="003A48E2"/>
    <w:rsid w:val="003A4AC1"/>
    <w:rsid w:val="003A4E99"/>
    <w:rsid w:val="003A533C"/>
    <w:rsid w:val="003A54B7"/>
    <w:rsid w:val="003A5B4F"/>
    <w:rsid w:val="003A5E46"/>
    <w:rsid w:val="003A642B"/>
    <w:rsid w:val="003A65F3"/>
    <w:rsid w:val="003A663C"/>
    <w:rsid w:val="003A6DD3"/>
    <w:rsid w:val="003A6DEA"/>
    <w:rsid w:val="003A6E94"/>
    <w:rsid w:val="003A7361"/>
    <w:rsid w:val="003A73CB"/>
    <w:rsid w:val="003A73D6"/>
    <w:rsid w:val="003A74A1"/>
    <w:rsid w:val="003A7AD1"/>
    <w:rsid w:val="003A7B0E"/>
    <w:rsid w:val="003A7DAD"/>
    <w:rsid w:val="003A7F5E"/>
    <w:rsid w:val="003A7FE6"/>
    <w:rsid w:val="003B024D"/>
    <w:rsid w:val="003B0402"/>
    <w:rsid w:val="003B0763"/>
    <w:rsid w:val="003B09A6"/>
    <w:rsid w:val="003B0D7B"/>
    <w:rsid w:val="003B0DDA"/>
    <w:rsid w:val="003B0E08"/>
    <w:rsid w:val="003B0E54"/>
    <w:rsid w:val="003B112C"/>
    <w:rsid w:val="003B1416"/>
    <w:rsid w:val="003B1E23"/>
    <w:rsid w:val="003B2394"/>
    <w:rsid w:val="003B2F4E"/>
    <w:rsid w:val="003B31D9"/>
    <w:rsid w:val="003B3652"/>
    <w:rsid w:val="003B3B6D"/>
    <w:rsid w:val="003B3F18"/>
    <w:rsid w:val="003B40B4"/>
    <w:rsid w:val="003B4152"/>
    <w:rsid w:val="003B42FD"/>
    <w:rsid w:val="003B44B8"/>
    <w:rsid w:val="003B4665"/>
    <w:rsid w:val="003B475F"/>
    <w:rsid w:val="003B479F"/>
    <w:rsid w:val="003B4917"/>
    <w:rsid w:val="003B491A"/>
    <w:rsid w:val="003B4961"/>
    <w:rsid w:val="003B49B7"/>
    <w:rsid w:val="003B5085"/>
    <w:rsid w:val="003B5344"/>
    <w:rsid w:val="003B54B7"/>
    <w:rsid w:val="003B565C"/>
    <w:rsid w:val="003B5A0F"/>
    <w:rsid w:val="003B5AE3"/>
    <w:rsid w:val="003B610A"/>
    <w:rsid w:val="003B663B"/>
    <w:rsid w:val="003B675A"/>
    <w:rsid w:val="003B67F4"/>
    <w:rsid w:val="003B691B"/>
    <w:rsid w:val="003B6B3E"/>
    <w:rsid w:val="003B6BC9"/>
    <w:rsid w:val="003B6C50"/>
    <w:rsid w:val="003B6C99"/>
    <w:rsid w:val="003B6D35"/>
    <w:rsid w:val="003B6E9F"/>
    <w:rsid w:val="003B713D"/>
    <w:rsid w:val="003B74E0"/>
    <w:rsid w:val="003B7681"/>
    <w:rsid w:val="003B77EB"/>
    <w:rsid w:val="003B7C9E"/>
    <w:rsid w:val="003C03BF"/>
    <w:rsid w:val="003C071C"/>
    <w:rsid w:val="003C10E9"/>
    <w:rsid w:val="003C1EE3"/>
    <w:rsid w:val="003C23D7"/>
    <w:rsid w:val="003C2671"/>
    <w:rsid w:val="003C2675"/>
    <w:rsid w:val="003C2928"/>
    <w:rsid w:val="003C2D1E"/>
    <w:rsid w:val="003C2D8B"/>
    <w:rsid w:val="003C2DE7"/>
    <w:rsid w:val="003C32DB"/>
    <w:rsid w:val="003C34B8"/>
    <w:rsid w:val="003C37C3"/>
    <w:rsid w:val="003C3F23"/>
    <w:rsid w:val="003C3FED"/>
    <w:rsid w:val="003C4104"/>
    <w:rsid w:val="003C42FF"/>
    <w:rsid w:val="003C454B"/>
    <w:rsid w:val="003C55B5"/>
    <w:rsid w:val="003C5718"/>
    <w:rsid w:val="003C58C3"/>
    <w:rsid w:val="003C5ACB"/>
    <w:rsid w:val="003C6128"/>
    <w:rsid w:val="003C619D"/>
    <w:rsid w:val="003C72C7"/>
    <w:rsid w:val="003C760E"/>
    <w:rsid w:val="003C7626"/>
    <w:rsid w:val="003C7A05"/>
    <w:rsid w:val="003C7ED1"/>
    <w:rsid w:val="003D082A"/>
    <w:rsid w:val="003D0872"/>
    <w:rsid w:val="003D0873"/>
    <w:rsid w:val="003D1048"/>
    <w:rsid w:val="003D131D"/>
    <w:rsid w:val="003D192E"/>
    <w:rsid w:val="003D2498"/>
    <w:rsid w:val="003D24D2"/>
    <w:rsid w:val="003D2591"/>
    <w:rsid w:val="003D299B"/>
    <w:rsid w:val="003D2A47"/>
    <w:rsid w:val="003D372A"/>
    <w:rsid w:val="003D4182"/>
    <w:rsid w:val="003D41A0"/>
    <w:rsid w:val="003D447D"/>
    <w:rsid w:val="003D460E"/>
    <w:rsid w:val="003D4E29"/>
    <w:rsid w:val="003D54E8"/>
    <w:rsid w:val="003D54FC"/>
    <w:rsid w:val="003D575A"/>
    <w:rsid w:val="003D621C"/>
    <w:rsid w:val="003D63E8"/>
    <w:rsid w:val="003D6579"/>
    <w:rsid w:val="003D6641"/>
    <w:rsid w:val="003D6E27"/>
    <w:rsid w:val="003D6EB0"/>
    <w:rsid w:val="003D73CA"/>
    <w:rsid w:val="003D7524"/>
    <w:rsid w:val="003E01B8"/>
    <w:rsid w:val="003E0471"/>
    <w:rsid w:val="003E0F8B"/>
    <w:rsid w:val="003E1107"/>
    <w:rsid w:val="003E13B4"/>
    <w:rsid w:val="003E1B98"/>
    <w:rsid w:val="003E1D5B"/>
    <w:rsid w:val="003E2334"/>
    <w:rsid w:val="003E2D15"/>
    <w:rsid w:val="003E2FD9"/>
    <w:rsid w:val="003E351A"/>
    <w:rsid w:val="003E361C"/>
    <w:rsid w:val="003E36D0"/>
    <w:rsid w:val="003E37AB"/>
    <w:rsid w:val="003E37E3"/>
    <w:rsid w:val="003E4A5C"/>
    <w:rsid w:val="003E4B81"/>
    <w:rsid w:val="003E5131"/>
    <w:rsid w:val="003E5950"/>
    <w:rsid w:val="003E61C0"/>
    <w:rsid w:val="003E6257"/>
    <w:rsid w:val="003E6291"/>
    <w:rsid w:val="003E64B6"/>
    <w:rsid w:val="003E677B"/>
    <w:rsid w:val="003E6B85"/>
    <w:rsid w:val="003E6BDB"/>
    <w:rsid w:val="003E7037"/>
    <w:rsid w:val="003E731C"/>
    <w:rsid w:val="003F0248"/>
    <w:rsid w:val="003F03E5"/>
    <w:rsid w:val="003F09A6"/>
    <w:rsid w:val="003F0ABE"/>
    <w:rsid w:val="003F11A2"/>
    <w:rsid w:val="003F11C4"/>
    <w:rsid w:val="003F152F"/>
    <w:rsid w:val="003F1887"/>
    <w:rsid w:val="003F1D37"/>
    <w:rsid w:val="003F1E5D"/>
    <w:rsid w:val="003F20DB"/>
    <w:rsid w:val="003F2191"/>
    <w:rsid w:val="003F2478"/>
    <w:rsid w:val="003F250E"/>
    <w:rsid w:val="003F254E"/>
    <w:rsid w:val="003F2779"/>
    <w:rsid w:val="003F2DB6"/>
    <w:rsid w:val="003F30BE"/>
    <w:rsid w:val="003F3586"/>
    <w:rsid w:val="003F3D10"/>
    <w:rsid w:val="003F4531"/>
    <w:rsid w:val="003F491C"/>
    <w:rsid w:val="003F4E40"/>
    <w:rsid w:val="003F4F6C"/>
    <w:rsid w:val="003F59A7"/>
    <w:rsid w:val="003F5A79"/>
    <w:rsid w:val="003F5C96"/>
    <w:rsid w:val="003F5DE1"/>
    <w:rsid w:val="003F61CD"/>
    <w:rsid w:val="003F62EB"/>
    <w:rsid w:val="003F64F2"/>
    <w:rsid w:val="003F68D4"/>
    <w:rsid w:val="003F6B6E"/>
    <w:rsid w:val="003F6B7C"/>
    <w:rsid w:val="003F6BCC"/>
    <w:rsid w:val="003F7499"/>
    <w:rsid w:val="003F77B9"/>
    <w:rsid w:val="003F7ABD"/>
    <w:rsid w:val="003F7DAE"/>
    <w:rsid w:val="003F7FAA"/>
    <w:rsid w:val="0040026A"/>
    <w:rsid w:val="004003D4"/>
    <w:rsid w:val="00400CD5"/>
    <w:rsid w:val="00400D71"/>
    <w:rsid w:val="004011D5"/>
    <w:rsid w:val="00401768"/>
    <w:rsid w:val="00401950"/>
    <w:rsid w:val="00401DCC"/>
    <w:rsid w:val="0040268B"/>
    <w:rsid w:val="00402AAB"/>
    <w:rsid w:val="00402C53"/>
    <w:rsid w:val="00402D58"/>
    <w:rsid w:val="00402E38"/>
    <w:rsid w:val="004032E9"/>
    <w:rsid w:val="00403589"/>
    <w:rsid w:val="00403C04"/>
    <w:rsid w:val="00403DEA"/>
    <w:rsid w:val="00403EA5"/>
    <w:rsid w:val="0040402E"/>
    <w:rsid w:val="00404683"/>
    <w:rsid w:val="004046B5"/>
    <w:rsid w:val="00404780"/>
    <w:rsid w:val="00404954"/>
    <w:rsid w:val="00404A08"/>
    <w:rsid w:val="00404DCF"/>
    <w:rsid w:val="0040500F"/>
    <w:rsid w:val="00405060"/>
    <w:rsid w:val="0040546F"/>
    <w:rsid w:val="00405C60"/>
    <w:rsid w:val="00405C8A"/>
    <w:rsid w:val="00405DDC"/>
    <w:rsid w:val="00406317"/>
    <w:rsid w:val="004064D7"/>
    <w:rsid w:val="004065D8"/>
    <w:rsid w:val="00406769"/>
    <w:rsid w:val="004067FA"/>
    <w:rsid w:val="0040690D"/>
    <w:rsid w:val="0040692F"/>
    <w:rsid w:val="00406D73"/>
    <w:rsid w:val="00406D82"/>
    <w:rsid w:val="00406EC8"/>
    <w:rsid w:val="004103A4"/>
    <w:rsid w:val="00410537"/>
    <w:rsid w:val="00410C5C"/>
    <w:rsid w:val="00410D80"/>
    <w:rsid w:val="00410F4B"/>
    <w:rsid w:val="00410F98"/>
    <w:rsid w:val="0041156D"/>
    <w:rsid w:val="004115E3"/>
    <w:rsid w:val="0041193F"/>
    <w:rsid w:val="00411CB4"/>
    <w:rsid w:val="00411CFC"/>
    <w:rsid w:val="00411E7D"/>
    <w:rsid w:val="004120A1"/>
    <w:rsid w:val="004123CA"/>
    <w:rsid w:val="004127A1"/>
    <w:rsid w:val="004127C7"/>
    <w:rsid w:val="004128DF"/>
    <w:rsid w:val="00412F55"/>
    <w:rsid w:val="00413281"/>
    <w:rsid w:val="004133FD"/>
    <w:rsid w:val="00413462"/>
    <w:rsid w:val="004134E1"/>
    <w:rsid w:val="004136B4"/>
    <w:rsid w:val="00413803"/>
    <w:rsid w:val="00413906"/>
    <w:rsid w:val="004140AB"/>
    <w:rsid w:val="0041414C"/>
    <w:rsid w:val="0041441B"/>
    <w:rsid w:val="0041465A"/>
    <w:rsid w:val="00414758"/>
    <w:rsid w:val="004156F2"/>
    <w:rsid w:val="00415E77"/>
    <w:rsid w:val="004163B6"/>
    <w:rsid w:val="00416755"/>
    <w:rsid w:val="00416880"/>
    <w:rsid w:val="00416BCC"/>
    <w:rsid w:val="004174DE"/>
    <w:rsid w:val="00417816"/>
    <w:rsid w:val="0041796D"/>
    <w:rsid w:val="00417CF6"/>
    <w:rsid w:val="00417E34"/>
    <w:rsid w:val="004200F7"/>
    <w:rsid w:val="00420272"/>
    <w:rsid w:val="0042049C"/>
    <w:rsid w:val="0042061A"/>
    <w:rsid w:val="0042098D"/>
    <w:rsid w:val="00420AD6"/>
    <w:rsid w:val="004214A9"/>
    <w:rsid w:val="00421770"/>
    <w:rsid w:val="00421906"/>
    <w:rsid w:val="00421DE1"/>
    <w:rsid w:val="0042268C"/>
    <w:rsid w:val="00422719"/>
    <w:rsid w:val="00422BB3"/>
    <w:rsid w:val="00422C3C"/>
    <w:rsid w:val="00422D2A"/>
    <w:rsid w:val="00422FE8"/>
    <w:rsid w:val="00424ADA"/>
    <w:rsid w:val="00424BE4"/>
    <w:rsid w:val="004251E2"/>
    <w:rsid w:val="00425332"/>
    <w:rsid w:val="004255F8"/>
    <w:rsid w:val="0042578D"/>
    <w:rsid w:val="00425BCB"/>
    <w:rsid w:val="00425C9F"/>
    <w:rsid w:val="00425CFF"/>
    <w:rsid w:val="00425D68"/>
    <w:rsid w:val="00425E15"/>
    <w:rsid w:val="00425E2E"/>
    <w:rsid w:val="00425E49"/>
    <w:rsid w:val="00426087"/>
    <w:rsid w:val="00426110"/>
    <w:rsid w:val="0042627D"/>
    <w:rsid w:val="004266D9"/>
    <w:rsid w:val="00426A85"/>
    <w:rsid w:val="00426BD4"/>
    <w:rsid w:val="00426C8C"/>
    <w:rsid w:val="00426CD9"/>
    <w:rsid w:val="00426D5F"/>
    <w:rsid w:val="00426F1B"/>
    <w:rsid w:val="00427071"/>
    <w:rsid w:val="0042726F"/>
    <w:rsid w:val="00427BE5"/>
    <w:rsid w:val="00427F84"/>
    <w:rsid w:val="00430474"/>
    <w:rsid w:val="004305FF"/>
    <w:rsid w:val="00430614"/>
    <w:rsid w:val="00431008"/>
    <w:rsid w:val="00431151"/>
    <w:rsid w:val="004314EF"/>
    <w:rsid w:val="004315AC"/>
    <w:rsid w:val="0043164E"/>
    <w:rsid w:val="00431D6B"/>
    <w:rsid w:val="00431FFC"/>
    <w:rsid w:val="00432CE2"/>
    <w:rsid w:val="00433F5F"/>
    <w:rsid w:val="00433F7D"/>
    <w:rsid w:val="004341E9"/>
    <w:rsid w:val="004341F7"/>
    <w:rsid w:val="004343BB"/>
    <w:rsid w:val="00434434"/>
    <w:rsid w:val="00434452"/>
    <w:rsid w:val="00435109"/>
    <w:rsid w:val="0043597F"/>
    <w:rsid w:val="00435C78"/>
    <w:rsid w:val="00435D0A"/>
    <w:rsid w:val="00436048"/>
    <w:rsid w:val="00436077"/>
    <w:rsid w:val="004360E4"/>
    <w:rsid w:val="004362C5"/>
    <w:rsid w:val="004363D9"/>
    <w:rsid w:val="004364E1"/>
    <w:rsid w:val="00436AEF"/>
    <w:rsid w:val="00436DE8"/>
    <w:rsid w:val="004370EF"/>
    <w:rsid w:val="004371DC"/>
    <w:rsid w:val="0043726D"/>
    <w:rsid w:val="004374F5"/>
    <w:rsid w:val="0043762B"/>
    <w:rsid w:val="00437CEA"/>
    <w:rsid w:val="0044082E"/>
    <w:rsid w:val="00440937"/>
    <w:rsid w:val="00440C8D"/>
    <w:rsid w:val="00440D69"/>
    <w:rsid w:val="00440FC0"/>
    <w:rsid w:val="004411F1"/>
    <w:rsid w:val="004418C7"/>
    <w:rsid w:val="00441BF0"/>
    <w:rsid w:val="004426E4"/>
    <w:rsid w:val="00442739"/>
    <w:rsid w:val="004429BF"/>
    <w:rsid w:val="00442E81"/>
    <w:rsid w:val="00443167"/>
    <w:rsid w:val="00443253"/>
    <w:rsid w:val="00443865"/>
    <w:rsid w:val="0044387A"/>
    <w:rsid w:val="004440BA"/>
    <w:rsid w:val="004443FA"/>
    <w:rsid w:val="00444933"/>
    <w:rsid w:val="004451F9"/>
    <w:rsid w:val="00445486"/>
    <w:rsid w:val="0044591E"/>
    <w:rsid w:val="004459A5"/>
    <w:rsid w:val="004459A6"/>
    <w:rsid w:val="00445E49"/>
    <w:rsid w:val="004461A4"/>
    <w:rsid w:val="0044649E"/>
    <w:rsid w:val="004465E8"/>
    <w:rsid w:val="00446629"/>
    <w:rsid w:val="004469D0"/>
    <w:rsid w:val="00446A7E"/>
    <w:rsid w:val="004472D9"/>
    <w:rsid w:val="004473C8"/>
    <w:rsid w:val="0044760B"/>
    <w:rsid w:val="00447813"/>
    <w:rsid w:val="00447876"/>
    <w:rsid w:val="00447D92"/>
    <w:rsid w:val="00450223"/>
    <w:rsid w:val="004503FF"/>
    <w:rsid w:val="00450460"/>
    <w:rsid w:val="00450AE7"/>
    <w:rsid w:val="00451A71"/>
    <w:rsid w:val="00451A8A"/>
    <w:rsid w:val="004521C3"/>
    <w:rsid w:val="004523C4"/>
    <w:rsid w:val="00452480"/>
    <w:rsid w:val="00452542"/>
    <w:rsid w:val="004528A0"/>
    <w:rsid w:val="00452CE2"/>
    <w:rsid w:val="00452D39"/>
    <w:rsid w:val="00452DA5"/>
    <w:rsid w:val="00452DC4"/>
    <w:rsid w:val="0045370A"/>
    <w:rsid w:val="00453953"/>
    <w:rsid w:val="00454125"/>
    <w:rsid w:val="004546BE"/>
    <w:rsid w:val="00454CAF"/>
    <w:rsid w:val="004551C9"/>
    <w:rsid w:val="00455605"/>
    <w:rsid w:val="00455614"/>
    <w:rsid w:val="00456720"/>
    <w:rsid w:val="00456945"/>
    <w:rsid w:val="004569E6"/>
    <w:rsid w:val="004569EE"/>
    <w:rsid w:val="00456A38"/>
    <w:rsid w:val="00456C6E"/>
    <w:rsid w:val="00456FE5"/>
    <w:rsid w:val="00457609"/>
    <w:rsid w:val="004577DB"/>
    <w:rsid w:val="00460415"/>
    <w:rsid w:val="004604E6"/>
    <w:rsid w:val="0046117B"/>
    <w:rsid w:val="00461286"/>
    <w:rsid w:val="004614D2"/>
    <w:rsid w:val="00461921"/>
    <w:rsid w:val="00461951"/>
    <w:rsid w:val="0046197E"/>
    <w:rsid w:val="004619E6"/>
    <w:rsid w:val="004621F7"/>
    <w:rsid w:val="004626A2"/>
    <w:rsid w:val="004626BD"/>
    <w:rsid w:val="004627A0"/>
    <w:rsid w:val="00462816"/>
    <w:rsid w:val="00462881"/>
    <w:rsid w:val="00462A4B"/>
    <w:rsid w:val="00463419"/>
    <w:rsid w:val="004634A5"/>
    <w:rsid w:val="004634B0"/>
    <w:rsid w:val="00463646"/>
    <w:rsid w:val="004636F0"/>
    <w:rsid w:val="00463CA0"/>
    <w:rsid w:val="00463EA9"/>
    <w:rsid w:val="00463EFE"/>
    <w:rsid w:val="00464017"/>
    <w:rsid w:val="00464275"/>
    <w:rsid w:val="00464A2F"/>
    <w:rsid w:val="00464A35"/>
    <w:rsid w:val="00464DED"/>
    <w:rsid w:val="00465055"/>
    <w:rsid w:val="0046531D"/>
    <w:rsid w:val="0046566F"/>
    <w:rsid w:val="00465BD8"/>
    <w:rsid w:val="00465C64"/>
    <w:rsid w:val="00465D53"/>
    <w:rsid w:val="00465D68"/>
    <w:rsid w:val="00465E31"/>
    <w:rsid w:val="00466175"/>
    <w:rsid w:val="00466C32"/>
    <w:rsid w:val="00466DD1"/>
    <w:rsid w:val="00466FB1"/>
    <w:rsid w:val="0046740A"/>
    <w:rsid w:val="0046752A"/>
    <w:rsid w:val="00467625"/>
    <w:rsid w:val="004676BA"/>
    <w:rsid w:val="00470180"/>
    <w:rsid w:val="0047098D"/>
    <w:rsid w:val="00471207"/>
    <w:rsid w:val="00471440"/>
    <w:rsid w:val="004714B2"/>
    <w:rsid w:val="004715F5"/>
    <w:rsid w:val="004717CF"/>
    <w:rsid w:val="00471C81"/>
    <w:rsid w:val="00471CFF"/>
    <w:rsid w:val="004721DB"/>
    <w:rsid w:val="00472AEC"/>
    <w:rsid w:val="00472AF2"/>
    <w:rsid w:val="00472CB4"/>
    <w:rsid w:val="00472F84"/>
    <w:rsid w:val="00473554"/>
    <w:rsid w:val="004735BE"/>
    <w:rsid w:val="00473834"/>
    <w:rsid w:val="00473945"/>
    <w:rsid w:val="00473FD0"/>
    <w:rsid w:val="004741CC"/>
    <w:rsid w:val="0047420C"/>
    <w:rsid w:val="00474521"/>
    <w:rsid w:val="0047485B"/>
    <w:rsid w:val="00474FE0"/>
    <w:rsid w:val="00475065"/>
    <w:rsid w:val="00475862"/>
    <w:rsid w:val="0047595F"/>
    <w:rsid w:val="00475B91"/>
    <w:rsid w:val="004762CB"/>
    <w:rsid w:val="004763F2"/>
    <w:rsid w:val="00476429"/>
    <w:rsid w:val="004765EF"/>
    <w:rsid w:val="00476C9C"/>
    <w:rsid w:val="00476F27"/>
    <w:rsid w:val="00476F8A"/>
    <w:rsid w:val="004771CE"/>
    <w:rsid w:val="004775CD"/>
    <w:rsid w:val="004778CA"/>
    <w:rsid w:val="00477EB4"/>
    <w:rsid w:val="00480122"/>
    <w:rsid w:val="00480987"/>
    <w:rsid w:val="00480FCF"/>
    <w:rsid w:val="00481105"/>
    <w:rsid w:val="00481399"/>
    <w:rsid w:val="00481AAD"/>
    <w:rsid w:val="00482408"/>
    <w:rsid w:val="00482442"/>
    <w:rsid w:val="00482690"/>
    <w:rsid w:val="004827D1"/>
    <w:rsid w:val="00482B9D"/>
    <w:rsid w:val="00482C9E"/>
    <w:rsid w:val="00482E90"/>
    <w:rsid w:val="00483533"/>
    <w:rsid w:val="00483616"/>
    <w:rsid w:val="00483671"/>
    <w:rsid w:val="0048367C"/>
    <w:rsid w:val="0048370E"/>
    <w:rsid w:val="00483753"/>
    <w:rsid w:val="004837C3"/>
    <w:rsid w:val="004839C6"/>
    <w:rsid w:val="00483FB0"/>
    <w:rsid w:val="0048443D"/>
    <w:rsid w:val="0048494D"/>
    <w:rsid w:val="00484E77"/>
    <w:rsid w:val="00485199"/>
    <w:rsid w:val="00485248"/>
    <w:rsid w:val="004853B4"/>
    <w:rsid w:val="00485709"/>
    <w:rsid w:val="00485838"/>
    <w:rsid w:val="00486029"/>
    <w:rsid w:val="00486490"/>
    <w:rsid w:val="004868BF"/>
    <w:rsid w:val="00486B5A"/>
    <w:rsid w:val="00486D32"/>
    <w:rsid w:val="00486EEF"/>
    <w:rsid w:val="004879FE"/>
    <w:rsid w:val="00490004"/>
    <w:rsid w:val="00490A9A"/>
    <w:rsid w:val="00490AD4"/>
    <w:rsid w:val="00490B18"/>
    <w:rsid w:val="00490BA5"/>
    <w:rsid w:val="00490F5C"/>
    <w:rsid w:val="00490F62"/>
    <w:rsid w:val="0049191A"/>
    <w:rsid w:val="00491B0F"/>
    <w:rsid w:val="00491E96"/>
    <w:rsid w:val="0049208E"/>
    <w:rsid w:val="004921E5"/>
    <w:rsid w:val="004926F5"/>
    <w:rsid w:val="0049274E"/>
    <w:rsid w:val="0049286E"/>
    <w:rsid w:val="00492927"/>
    <w:rsid w:val="00492CD5"/>
    <w:rsid w:val="0049301E"/>
    <w:rsid w:val="004934EA"/>
    <w:rsid w:val="004935F0"/>
    <w:rsid w:val="00493645"/>
    <w:rsid w:val="0049380D"/>
    <w:rsid w:val="00493F1E"/>
    <w:rsid w:val="00493FCF"/>
    <w:rsid w:val="004941B6"/>
    <w:rsid w:val="00494AF2"/>
    <w:rsid w:val="00494B28"/>
    <w:rsid w:val="00494B78"/>
    <w:rsid w:val="00494DA4"/>
    <w:rsid w:val="0049518E"/>
    <w:rsid w:val="00495D7C"/>
    <w:rsid w:val="00495D9F"/>
    <w:rsid w:val="004977D0"/>
    <w:rsid w:val="00497B69"/>
    <w:rsid w:val="00497BAC"/>
    <w:rsid w:val="00497E44"/>
    <w:rsid w:val="00497FE9"/>
    <w:rsid w:val="004A025F"/>
    <w:rsid w:val="004A0364"/>
    <w:rsid w:val="004A0385"/>
    <w:rsid w:val="004A0659"/>
    <w:rsid w:val="004A0A85"/>
    <w:rsid w:val="004A0B09"/>
    <w:rsid w:val="004A0BA5"/>
    <w:rsid w:val="004A0D58"/>
    <w:rsid w:val="004A0F67"/>
    <w:rsid w:val="004A1066"/>
    <w:rsid w:val="004A1BA4"/>
    <w:rsid w:val="004A245B"/>
    <w:rsid w:val="004A2B47"/>
    <w:rsid w:val="004A2CE9"/>
    <w:rsid w:val="004A3257"/>
    <w:rsid w:val="004A32A2"/>
    <w:rsid w:val="004A3488"/>
    <w:rsid w:val="004A3C22"/>
    <w:rsid w:val="004A3D40"/>
    <w:rsid w:val="004A4002"/>
    <w:rsid w:val="004A41E3"/>
    <w:rsid w:val="004A498C"/>
    <w:rsid w:val="004A4CFE"/>
    <w:rsid w:val="004A4D59"/>
    <w:rsid w:val="004A4D5D"/>
    <w:rsid w:val="004A4FF1"/>
    <w:rsid w:val="004A5025"/>
    <w:rsid w:val="004A5050"/>
    <w:rsid w:val="004A527A"/>
    <w:rsid w:val="004A555C"/>
    <w:rsid w:val="004A55C8"/>
    <w:rsid w:val="004A5670"/>
    <w:rsid w:val="004A568A"/>
    <w:rsid w:val="004A56E2"/>
    <w:rsid w:val="004A5956"/>
    <w:rsid w:val="004A5B53"/>
    <w:rsid w:val="004A5D80"/>
    <w:rsid w:val="004A605F"/>
    <w:rsid w:val="004A623D"/>
    <w:rsid w:val="004A677C"/>
    <w:rsid w:val="004A7026"/>
    <w:rsid w:val="004A7117"/>
    <w:rsid w:val="004A736F"/>
    <w:rsid w:val="004A79C1"/>
    <w:rsid w:val="004A7A4C"/>
    <w:rsid w:val="004A7B26"/>
    <w:rsid w:val="004A7FE3"/>
    <w:rsid w:val="004B0531"/>
    <w:rsid w:val="004B05A2"/>
    <w:rsid w:val="004B067B"/>
    <w:rsid w:val="004B0D95"/>
    <w:rsid w:val="004B14F4"/>
    <w:rsid w:val="004B1707"/>
    <w:rsid w:val="004B18EC"/>
    <w:rsid w:val="004B1D86"/>
    <w:rsid w:val="004B2136"/>
    <w:rsid w:val="004B24D5"/>
    <w:rsid w:val="004B26C2"/>
    <w:rsid w:val="004B26F2"/>
    <w:rsid w:val="004B2DBC"/>
    <w:rsid w:val="004B2F47"/>
    <w:rsid w:val="004B34F0"/>
    <w:rsid w:val="004B3806"/>
    <w:rsid w:val="004B380E"/>
    <w:rsid w:val="004B3E38"/>
    <w:rsid w:val="004B3F58"/>
    <w:rsid w:val="004B43A3"/>
    <w:rsid w:val="004B4413"/>
    <w:rsid w:val="004B4478"/>
    <w:rsid w:val="004B47BE"/>
    <w:rsid w:val="004B49A7"/>
    <w:rsid w:val="004B49D3"/>
    <w:rsid w:val="004B4B5C"/>
    <w:rsid w:val="004B4BF5"/>
    <w:rsid w:val="004B5985"/>
    <w:rsid w:val="004B5BBC"/>
    <w:rsid w:val="004B5F57"/>
    <w:rsid w:val="004B65DC"/>
    <w:rsid w:val="004B6701"/>
    <w:rsid w:val="004B69AD"/>
    <w:rsid w:val="004B6C13"/>
    <w:rsid w:val="004B6D53"/>
    <w:rsid w:val="004B6E3C"/>
    <w:rsid w:val="004B7002"/>
    <w:rsid w:val="004B712F"/>
    <w:rsid w:val="004B742B"/>
    <w:rsid w:val="004B7745"/>
    <w:rsid w:val="004B7B64"/>
    <w:rsid w:val="004C0225"/>
    <w:rsid w:val="004C099B"/>
    <w:rsid w:val="004C09DC"/>
    <w:rsid w:val="004C0E65"/>
    <w:rsid w:val="004C1100"/>
    <w:rsid w:val="004C169B"/>
    <w:rsid w:val="004C182D"/>
    <w:rsid w:val="004C183E"/>
    <w:rsid w:val="004C1957"/>
    <w:rsid w:val="004C1FF0"/>
    <w:rsid w:val="004C20A1"/>
    <w:rsid w:val="004C2209"/>
    <w:rsid w:val="004C272F"/>
    <w:rsid w:val="004C2C32"/>
    <w:rsid w:val="004C2DE7"/>
    <w:rsid w:val="004C2F1D"/>
    <w:rsid w:val="004C3215"/>
    <w:rsid w:val="004C3703"/>
    <w:rsid w:val="004C3D0A"/>
    <w:rsid w:val="004C3EEE"/>
    <w:rsid w:val="004C3F99"/>
    <w:rsid w:val="004C4309"/>
    <w:rsid w:val="004C4390"/>
    <w:rsid w:val="004C4B89"/>
    <w:rsid w:val="004C4BD1"/>
    <w:rsid w:val="004C4C03"/>
    <w:rsid w:val="004C4C21"/>
    <w:rsid w:val="004C507B"/>
    <w:rsid w:val="004C517F"/>
    <w:rsid w:val="004C54C0"/>
    <w:rsid w:val="004C5F02"/>
    <w:rsid w:val="004C6989"/>
    <w:rsid w:val="004C6DF0"/>
    <w:rsid w:val="004C6F81"/>
    <w:rsid w:val="004C708F"/>
    <w:rsid w:val="004C7338"/>
    <w:rsid w:val="004C763A"/>
    <w:rsid w:val="004C7662"/>
    <w:rsid w:val="004C783E"/>
    <w:rsid w:val="004C790C"/>
    <w:rsid w:val="004C7D94"/>
    <w:rsid w:val="004D02FD"/>
    <w:rsid w:val="004D0AAB"/>
    <w:rsid w:val="004D147D"/>
    <w:rsid w:val="004D169B"/>
    <w:rsid w:val="004D17A0"/>
    <w:rsid w:val="004D1BD7"/>
    <w:rsid w:val="004D1CA0"/>
    <w:rsid w:val="004D1D1F"/>
    <w:rsid w:val="004D22FE"/>
    <w:rsid w:val="004D260D"/>
    <w:rsid w:val="004D2706"/>
    <w:rsid w:val="004D271B"/>
    <w:rsid w:val="004D2759"/>
    <w:rsid w:val="004D2761"/>
    <w:rsid w:val="004D2C10"/>
    <w:rsid w:val="004D2CA9"/>
    <w:rsid w:val="004D2F3F"/>
    <w:rsid w:val="004D3851"/>
    <w:rsid w:val="004D388E"/>
    <w:rsid w:val="004D38D4"/>
    <w:rsid w:val="004D3999"/>
    <w:rsid w:val="004D3A4D"/>
    <w:rsid w:val="004D3F79"/>
    <w:rsid w:val="004D3F99"/>
    <w:rsid w:val="004D489A"/>
    <w:rsid w:val="004D4B7B"/>
    <w:rsid w:val="004D4B86"/>
    <w:rsid w:val="004D511B"/>
    <w:rsid w:val="004D51D0"/>
    <w:rsid w:val="004D58A7"/>
    <w:rsid w:val="004D5B48"/>
    <w:rsid w:val="004D5D04"/>
    <w:rsid w:val="004D5FF2"/>
    <w:rsid w:val="004D602C"/>
    <w:rsid w:val="004D6D12"/>
    <w:rsid w:val="004D6DF6"/>
    <w:rsid w:val="004D7012"/>
    <w:rsid w:val="004D72F6"/>
    <w:rsid w:val="004D7552"/>
    <w:rsid w:val="004D7F4E"/>
    <w:rsid w:val="004E0115"/>
    <w:rsid w:val="004E0A18"/>
    <w:rsid w:val="004E0E18"/>
    <w:rsid w:val="004E1AED"/>
    <w:rsid w:val="004E2059"/>
    <w:rsid w:val="004E2101"/>
    <w:rsid w:val="004E3070"/>
    <w:rsid w:val="004E310A"/>
    <w:rsid w:val="004E3919"/>
    <w:rsid w:val="004E3B59"/>
    <w:rsid w:val="004E3C37"/>
    <w:rsid w:val="004E3D14"/>
    <w:rsid w:val="004E4077"/>
    <w:rsid w:val="004E40A0"/>
    <w:rsid w:val="004E41B6"/>
    <w:rsid w:val="004E434B"/>
    <w:rsid w:val="004E43A6"/>
    <w:rsid w:val="004E46DC"/>
    <w:rsid w:val="004E4770"/>
    <w:rsid w:val="004E4A01"/>
    <w:rsid w:val="004E4D44"/>
    <w:rsid w:val="004E4FC7"/>
    <w:rsid w:val="004E54B7"/>
    <w:rsid w:val="004E559E"/>
    <w:rsid w:val="004E5932"/>
    <w:rsid w:val="004E5AEB"/>
    <w:rsid w:val="004E5D98"/>
    <w:rsid w:val="004E5DFF"/>
    <w:rsid w:val="004E5F1F"/>
    <w:rsid w:val="004E67C0"/>
    <w:rsid w:val="004E6C3D"/>
    <w:rsid w:val="004E6FDD"/>
    <w:rsid w:val="004E71E6"/>
    <w:rsid w:val="004E74A2"/>
    <w:rsid w:val="004E752A"/>
    <w:rsid w:val="004E7706"/>
    <w:rsid w:val="004E78BD"/>
    <w:rsid w:val="004E7A37"/>
    <w:rsid w:val="004E7AE3"/>
    <w:rsid w:val="004E7BB0"/>
    <w:rsid w:val="004E7D50"/>
    <w:rsid w:val="004E7EBD"/>
    <w:rsid w:val="004F0169"/>
    <w:rsid w:val="004F04AB"/>
    <w:rsid w:val="004F0514"/>
    <w:rsid w:val="004F0861"/>
    <w:rsid w:val="004F08C9"/>
    <w:rsid w:val="004F0ECD"/>
    <w:rsid w:val="004F0FAF"/>
    <w:rsid w:val="004F146C"/>
    <w:rsid w:val="004F1707"/>
    <w:rsid w:val="004F17DA"/>
    <w:rsid w:val="004F195D"/>
    <w:rsid w:val="004F1BF3"/>
    <w:rsid w:val="004F1CE6"/>
    <w:rsid w:val="004F1D87"/>
    <w:rsid w:val="004F2404"/>
    <w:rsid w:val="004F26C4"/>
    <w:rsid w:val="004F2CBB"/>
    <w:rsid w:val="004F2CD9"/>
    <w:rsid w:val="004F2D00"/>
    <w:rsid w:val="004F31EB"/>
    <w:rsid w:val="004F32E2"/>
    <w:rsid w:val="004F3358"/>
    <w:rsid w:val="004F34D7"/>
    <w:rsid w:val="004F38F6"/>
    <w:rsid w:val="004F3CBB"/>
    <w:rsid w:val="004F4353"/>
    <w:rsid w:val="004F47C6"/>
    <w:rsid w:val="004F4951"/>
    <w:rsid w:val="004F4B16"/>
    <w:rsid w:val="004F53DD"/>
    <w:rsid w:val="004F5443"/>
    <w:rsid w:val="004F550A"/>
    <w:rsid w:val="004F59C0"/>
    <w:rsid w:val="004F59C6"/>
    <w:rsid w:val="004F5A2F"/>
    <w:rsid w:val="004F5D1B"/>
    <w:rsid w:val="004F5D44"/>
    <w:rsid w:val="004F5F27"/>
    <w:rsid w:val="004F719E"/>
    <w:rsid w:val="004F71E2"/>
    <w:rsid w:val="004F729F"/>
    <w:rsid w:val="004F7497"/>
    <w:rsid w:val="004F7671"/>
    <w:rsid w:val="00500068"/>
    <w:rsid w:val="00500414"/>
    <w:rsid w:val="00500544"/>
    <w:rsid w:val="005005C1"/>
    <w:rsid w:val="00500817"/>
    <w:rsid w:val="00500EE1"/>
    <w:rsid w:val="00500F41"/>
    <w:rsid w:val="005010B9"/>
    <w:rsid w:val="0050135C"/>
    <w:rsid w:val="00501688"/>
    <w:rsid w:val="005016AF"/>
    <w:rsid w:val="005016E1"/>
    <w:rsid w:val="005019DD"/>
    <w:rsid w:val="00502711"/>
    <w:rsid w:val="00502B68"/>
    <w:rsid w:val="00502C15"/>
    <w:rsid w:val="005030C1"/>
    <w:rsid w:val="00503292"/>
    <w:rsid w:val="005032A8"/>
    <w:rsid w:val="005033E6"/>
    <w:rsid w:val="00503838"/>
    <w:rsid w:val="00503911"/>
    <w:rsid w:val="00503AC3"/>
    <w:rsid w:val="00503AF5"/>
    <w:rsid w:val="00504600"/>
    <w:rsid w:val="00504846"/>
    <w:rsid w:val="00504860"/>
    <w:rsid w:val="00504C79"/>
    <w:rsid w:val="00504D96"/>
    <w:rsid w:val="005057A7"/>
    <w:rsid w:val="00505946"/>
    <w:rsid w:val="00505B27"/>
    <w:rsid w:val="00505D22"/>
    <w:rsid w:val="00505D64"/>
    <w:rsid w:val="005060AD"/>
    <w:rsid w:val="005064F6"/>
    <w:rsid w:val="005069B6"/>
    <w:rsid w:val="00506D98"/>
    <w:rsid w:val="005070A2"/>
    <w:rsid w:val="0050754E"/>
    <w:rsid w:val="00510098"/>
    <w:rsid w:val="0051015A"/>
    <w:rsid w:val="00510367"/>
    <w:rsid w:val="005104D1"/>
    <w:rsid w:val="00511441"/>
    <w:rsid w:val="00511442"/>
    <w:rsid w:val="005119C0"/>
    <w:rsid w:val="00511E95"/>
    <w:rsid w:val="0051281B"/>
    <w:rsid w:val="00512928"/>
    <w:rsid w:val="00512A46"/>
    <w:rsid w:val="00512ABF"/>
    <w:rsid w:val="00512BFB"/>
    <w:rsid w:val="00512C33"/>
    <w:rsid w:val="00512C3A"/>
    <w:rsid w:val="00512EB0"/>
    <w:rsid w:val="00512FB4"/>
    <w:rsid w:val="00513040"/>
    <w:rsid w:val="00513485"/>
    <w:rsid w:val="0051364C"/>
    <w:rsid w:val="00513F51"/>
    <w:rsid w:val="00513F87"/>
    <w:rsid w:val="005142C4"/>
    <w:rsid w:val="0051467B"/>
    <w:rsid w:val="005147CF"/>
    <w:rsid w:val="00514877"/>
    <w:rsid w:val="00514DE3"/>
    <w:rsid w:val="00514F68"/>
    <w:rsid w:val="00516630"/>
    <w:rsid w:val="00517154"/>
    <w:rsid w:val="00517B1C"/>
    <w:rsid w:val="00517EF9"/>
    <w:rsid w:val="005202CB"/>
    <w:rsid w:val="005206FA"/>
    <w:rsid w:val="005208A9"/>
    <w:rsid w:val="00520CAE"/>
    <w:rsid w:val="00520D5E"/>
    <w:rsid w:val="00521754"/>
    <w:rsid w:val="00521792"/>
    <w:rsid w:val="005217DC"/>
    <w:rsid w:val="00521C64"/>
    <w:rsid w:val="00521CDB"/>
    <w:rsid w:val="00521D5E"/>
    <w:rsid w:val="00522532"/>
    <w:rsid w:val="00522CB0"/>
    <w:rsid w:val="00523036"/>
    <w:rsid w:val="005230F4"/>
    <w:rsid w:val="00523306"/>
    <w:rsid w:val="00523353"/>
    <w:rsid w:val="00523C0C"/>
    <w:rsid w:val="0052400C"/>
    <w:rsid w:val="005240FB"/>
    <w:rsid w:val="00524580"/>
    <w:rsid w:val="0052481F"/>
    <w:rsid w:val="00524D58"/>
    <w:rsid w:val="00524DEB"/>
    <w:rsid w:val="00524EAB"/>
    <w:rsid w:val="00524FE2"/>
    <w:rsid w:val="00525549"/>
    <w:rsid w:val="005259AF"/>
    <w:rsid w:val="00525A0C"/>
    <w:rsid w:val="00525DF3"/>
    <w:rsid w:val="0052603A"/>
    <w:rsid w:val="0052616E"/>
    <w:rsid w:val="00526285"/>
    <w:rsid w:val="0052668F"/>
    <w:rsid w:val="00526807"/>
    <w:rsid w:val="0052699A"/>
    <w:rsid w:val="00526DC7"/>
    <w:rsid w:val="00526E9D"/>
    <w:rsid w:val="00526F59"/>
    <w:rsid w:val="0052710F"/>
    <w:rsid w:val="00527413"/>
    <w:rsid w:val="0052778E"/>
    <w:rsid w:val="005277E1"/>
    <w:rsid w:val="00527948"/>
    <w:rsid w:val="005279E8"/>
    <w:rsid w:val="00527AD2"/>
    <w:rsid w:val="00527EBB"/>
    <w:rsid w:val="005303F8"/>
    <w:rsid w:val="005305BF"/>
    <w:rsid w:val="0053069C"/>
    <w:rsid w:val="005306E1"/>
    <w:rsid w:val="0053077A"/>
    <w:rsid w:val="0053077E"/>
    <w:rsid w:val="00530B50"/>
    <w:rsid w:val="00530D42"/>
    <w:rsid w:val="00530FBC"/>
    <w:rsid w:val="005310B4"/>
    <w:rsid w:val="0053117D"/>
    <w:rsid w:val="005315E0"/>
    <w:rsid w:val="0053179A"/>
    <w:rsid w:val="00531893"/>
    <w:rsid w:val="005319FB"/>
    <w:rsid w:val="0053202A"/>
    <w:rsid w:val="005322DF"/>
    <w:rsid w:val="005330B7"/>
    <w:rsid w:val="005332EF"/>
    <w:rsid w:val="0053335A"/>
    <w:rsid w:val="00533BEA"/>
    <w:rsid w:val="00533D28"/>
    <w:rsid w:val="005344D2"/>
    <w:rsid w:val="00534E97"/>
    <w:rsid w:val="00535042"/>
    <w:rsid w:val="00535155"/>
    <w:rsid w:val="0053524B"/>
    <w:rsid w:val="00535522"/>
    <w:rsid w:val="005356CE"/>
    <w:rsid w:val="00535E4F"/>
    <w:rsid w:val="005360A9"/>
    <w:rsid w:val="0053636C"/>
    <w:rsid w:val="00536A3A"/>
    <w:rsid w:val="00536C15"/>
    <w:rsid w:val="0053703F"/>
    <w:rsid w:val="0053762F"/>
    <w:rsid w:val="00537703"/>
    <w:rsid w:val="00537712"/>
    <w:rsid w:val="0053778C"/>
    <w:rsid w:val="00537BA1"/>
    <w:rsid w:val="00540778"/>
    <w:rsid w:val="005407EF"/>
    <w:rsid w:val="00540A3F"/>
    <w:rsid w:val="00540B01"/>
    <w:rsid w:val="00540BA6"/>
    <w:rsid w:val="00540D49"/>
    <w:rsid w:val="00540DB4"/>
    <w:rsid w:val="00541A14"/>
    <w:rsid w:val="0054209A"/>
    <w:rsid w:val="00542325"/>
    <w:rsid w:val="0054239A"/>
    <w:rsid w:val="0054278F"/>
    <w:rsid w:val="0054280D"/>
    <w:rsid w:val="00542B20"/>
    <w:rsid w:val="00542BC5"/>
    <w:rsid w:val="00542EF3"/>
    <w:rsid w:val="005439B2"/>
    <w:rsid w:val="00543BE1"/>
    <w:rsid w:val="00543C9E"/>
    <w:rsid w:val="005441D2"/>
    <w:rsid w:val="005446B1"/>
    <w:rsid w:val="00544C16"/>
    <w:rsid w:val="0054527B"/>
    <w:rsid w:val="0054544F"/>
    <w:rsid w:val="00545892"/>
    <w:rsid w:val="005458F6"/>
    <w:rsid w:val="00545C1D"/>
    <w:rsid w:val="00546183"/>
    <w:rsid w:val="005461CD"/>
    <w:rsid w:val="005464A7"/>
    <w:rsid w:val="0054698D"/>
    <w:rsid w:val="005472B1"/>
    <w:rsid w:val="00547414"/>
    <w:rsid w:val="005474A1"/>
    <w:rsid w:val="00547641"/>
    <w:rsid w:val="00547A99"/>
    <w:rsid w:val="00547C29"/>
    <w:rsid w:val="00547E0D"/>
    <w:rsid w:val="00550187"/>
    <w:rsid w:val="005501EC"/>
    <w:rsid w:val="005502CE"/>
    <w:rsid w:val="005505E7"/>
    <w:rsid w:val="00550938"/>
    <w:rsid w:val="00550A19"/>
    <w:rsid w:val="0055139C"/>
    <w:rsid w:val="005513DD"/>
    <w:rsid w:val="005513FC"/>
    <w:rsid w:val="005514B6"/>
    <w:rsid w:val="00551AE1"/>
    <w:rsid w:val="00551C23"/>
    <w:rsid w:val="00552110"/>
    <w:rsid w:val="00552778"/>
    <w:rsid w:val="005529C9"/>
    <w:rsid w:val="00552BC9"/>
    <w:rsid w:val="00552E85"/>
    <w:rsid w:val="0055317A"/>
    <w:rsid w:val="0055345C"/>
    <w:rsid w:val="005535A8"/>
    <w:rsid w:val="00553B02"/>
    <w:rsid w:val="005541CF"/>
    <w:rsid w:val="005543F2"/>
    <w:rsid w:val="005544F7"/>
    <w:rsid w:val="00554500"/>
    <w:rsid w:val="005545C8"/>
    <w:rsid w:val="005546BE"/>
    <w:rsid w:val="00554785"/>
    <w:rsid w:val="005547D4"/>
    <w:rsid w:val="00554C6F"/>
    <w:rsid w:val="0055545D"/>
    <w:rsid w:val="00555734"/>
    <w:rsid w:val="00555B51"/>
    <w:rsid w:val="00555C53"/>
    <w:rsid w:val="00555DBC"/>
    <w:rsid w:val="00555E76"/>
    <w:rsid w:val="00556254"/>
    <w:rsid w:val="005563D0"/>
    <w:rsid w:val="00556870"/>
    <w:rsid w:val="00556BD7"/>
    <w:rsid w:val="00556FC4"/>
    <w:rsid w:val="00557071"/>
    <w:rsid w:val="00557419"/>
    <w:rsid w:val="00557A34"/>
    <w:rsid w:val="005601A0"/>
    <w:rsid w:val="00560318"/>
    <w:rsid w:val="005603DF"/>
    <w:rsid w:val="005607C6"/>
    <w:rsid w:val="00560971"/>
    <w:rsid w:val="00560979"/>
    <w:rsid w:val="00560D5F"/>
    <w:rsid w:val="00561737"/>
    <w:rsid w:val="005618B8"/>
    <w:rsid w:val="005619D2"/>
    <w:rsid w:val="00561AED"/>
    <w:rsid w:val="00561EBA"/>
    <w:rsid w:val="00561F68"/>
    <w:rsid w:val="00562052"/>
    <w:rsid w:val="00562332"/>
    <w:rsid w:val="0056243F"/>
    <w:rsid w:val="0056250F"/>
    <w:rsid w:val="00562A94"/>
    <w:rsid w:val="00562CCD"/>
    <w:rsid w:val="00562F7D"/>
    <w:rsid w:val="0056301E"/>
    <w:rsid w:val="005630DD"/>
    <w:rsid w:val="005631E5"/>
    <w:rsid w:val="00563619"/>
    <w:rsid w:val="00563756"/>
    <w:rsid w:val="00563DE4"/>
    <w:rsid w:val="00563FEA"/>
    <w:rsid w:val="00564562"/>
    <w:rsid w:val="0056497D"/>
    <w:rsid w:val="005649D4"/>
    <w:rsid w:val="00564A10"/>
    <w:rsid w:val="00564B09"/>
    <w:rsid w:val="00564C7F"/>
    <w:rsid w:val="00564CF9"/>
    <w:rsid w:val="0056537D"/>
    <w:rsid w:val="00565656"/>
    <w:rsid w:val="00565DAF"/>
    <w:rsid w:val="00565E47"/>
    <w:rsid w:val="00565F65"/>
    <w:rsid w:val="005667C1"/>
    <w:rsid w:val="00566D74"/>
    <w:rsid w:val="00566EAF"/>
    <w:rsid w:val="00566EFD"/>
    <w:rsid w:val="00566FE3"/>
    <w:rsid w:val="0056719D"/>
    <w:rsid w:val="00567212"/>
    <w:rsid w:val="00567456"/>
    <w:rsid w:val="0056763F"/>
    <w:rsid w:val="005677AF"/>
    <w:rsid w:val="005679B0"/>
    <w:rsid w:val="00567C08"/>
    <w:rsid w:val="00570138"/>
    <w:rsid w:val="00570326"/>
    <w:rsid w:val="005708A4"/>
    <w:rsid w:val="005708CB"/>
    <w:rsid w:val="00570FDD"/>
    <w:rsid w:val="00571003"/>
    <w:rsid w:val="005711B3"/>
    <w:rsid w:val="0057130D"/>
    <w:rsid w:val="00571334"/>
    <w:rsid w:val="005713F7"/>
    <w:rsid w:val="005719FC"/>
    <w:rsid w:val="00571CCA"/>
    <w:rsid w:val="005724CB"/>
    <w:rsid w:val="00572686"/>
    <w:rsid w:val="005726A2"/>
    <w:rsid w:val="00572795"/>
    <w:rsid w:val="005727F3"/>
    <w:rsid w:val="00572CC2"/>
    <w:rsid w:val="00572E1B"/>
    <w:rsid w:val="00573453"/>
    <w:rsid w:val="0057354C"/>
    <w:rsid w:val="00573C4E"/>
    <w:rsid w:val="00573DDE"/>
    <w:rsid w:val="00573E82"/>
    <w:rsid w:val="005747FE"/>
    <w:rsid w:val="005749B2"/>
    <w:rsid w:val="005749BE"/>
    <w:rsid w:val="00574F97"/>
    <w:rsid w:val="0057559D"/>
    <w:rsid w:val="0057583C"/>
    <w:rsid w:val="00575875"/>
    <w:rsid w:val="00575AE9"/>
    <w:rsid w:val="00575D2D"/>
    <w:rsid w:val="005760B8"/>
    <w:rsid w:val="0057630A"/>
    <w:rsid w:val="00576AB5"/>
    <w:rsid w:val="00576FC3"/>
    <w:rsid w:val="005770A6"/>
    <w:rsid w:val="005778F9"/>
    <w:rsid w:val="005801B4"/>
    <w:rsid w:val="005803CE"/>
    <w:rsid w:val="00580FE4"/>
    <w:rsid w:val="0058104D"/>
    <w:rsid w:val="00581440"/>
    <w:rsid w:val="00581538"/>
    <w:rsid w:val="005816D4"/>
    <w:rsid w:val="00581CC9"/>
    <w:rsid w:val="00581D32"/>
    <w:rsid w:val="00581EB1"/>
    <w:rsid w:val="00581F3F"/>
    <w:rsid w:val="0058228F"/>
    <w:rsid w:val="00582788"/>
    <w:rsid w:val="00582E7F"/>
    <w:rsid w:val="00583276"/>
    <w:rsid w:val="0058341F"/>
    <w:rsid w:val="00583523"/>
    <w:rsid w:val="00583529"/>
    <w:rsid w:val="005836A3"/>
    <w:rsid w:val="00583D11"/>
    <w:rsid w:val="00584756"/>
    <w:rsid w:val="00584A4E"/>
    <w:rsid w:val="00585087"/>
    <w:rsid w:val="00585153"/>
    <w:rsid w:val="00585E26"/>
    <w:rsid w:val="00585E74"/>
    <w:rsid w:val="0058660A"/>
    <w:rsid w:val="00586B06"/>
    <w:rsid w:val="00586BD2"/>
    <w:rsid w:val="00587420"/>
    <w:rsid w:val="00587988"/>
    <w:rsid w:val="00587AE1"/>
    <w:rsid w:val="00587EB5"/>
    <w:rsid w:val="00590107"/>
    <w:rsid w:val="00590600"/>
    <w:rsid w:val="00590794"/>
    <w:rsid w:val="00590999"/>
    <w:rsid w:val="00591322"/>
    <w:rsid w:val="0059186E"/>
    <w:rsid w:val="005918AF"/>
    <w:rsid w:val="00591ACB"/>
    <w:rsid w:val="00591FA9"/>
    <w:rsid w:val="00592039"/>
    <w:rsid w:val="0059214E"/>
    <w:rsid w:val="00592227"/>
    <w:rsid w:val="005925E2"/>
    <w:rsid w:val="00592B79"/>
    <w:rsid w:val="00592C96"/>
    <w:rsid w:val="005931EF"/>
    <w:rsid w:val="005932BF"/>
    <w:rsid w:val="00593564"/>
    <w:rsid w:val="00593979"/>
    <w:rsid w:val="00593B5C"/>
    <w:rsid w:val="005943E6"/>
    <w:rsid w:val="00594653"/>
    <w:rsid w:val="00594A27"/>
    <w:rsid w:val="0059598D"/>
    <w:rsid w:val="005959F8"/>
    <w:rsid w:val="00595B99"/>
    <w:rsid w:val="00596111"/>
    <w:rsid w:val="005961A6"/>
    <w:rsid w:val="005966E9"/>
    <w:rsid w:val="0059692A"/>
    <w:rsid w:val="00596C52"/>
    <w:rsid w:val="00596D39"/>
    <w:rsid w:val="00596F6A"/>
    <w:rsid w:val="0059777A"/>
    <w:rsid w:val="00597967"/>
    <w:rsid w:val="005979DD"/>
    <w:rsid w:val="005A048E"/>
    <w:rsid w:val="005A0B80"/>
    <w:rsid w:val="005A10D3"/>
    <w:rsid w:val="005A12B8"/>
    <w:rsid w:val="005A1398"/>
    <w:rsid w:val="005A153F"/>
    <w:rsid w:val="005A1847"/>
    <w:rsid w:val="005A18E4"/>
    <w:rsid w:val="005A20D2"/>
    <w:rsid w:val="005A21A5"/>
    <w:rsid w:val="005A2501"/>
    <w:rsid w:val="005A2945"/>
    <w:rsid w:val="005A2AE2"/>
    <w:rsid w:val="005A2BF8"/>
    <w:rsid w:val="005A310F"/>
    <w:rsid w:val="005A3477"/>
    <w:rsid w:val="005A3BAA"/>
    <w:rsid w:val="005A3CFE"/>
    <w:rsid w:val="005A3E25"/>
    <w:rsid w:val="005A3F39"/>
    <w:rsid w:val="005A4176"/>
    <w:rsid w:val="005A4654"/>
    <w:rsid w:val="005A46BC"/>
    <w:rsid w:val="005A47A3"/>
    <w:rsid w:val="005A48B6"/>
    <w:rsid w:val="005A4AFB"/>
    <w:rsid w:val="005A4E98"/>
    <w:rsid w:val="005A4FAC"/>
    <w:rsid w:val="005A560C"/>
    <w:rsid w:val="005A5A07"/>
    <w:rsid w:val="005A5BDB"/>
    <w:rsid w:val="005A5DA7"/>
    <w:rsid w:val="005A6C0F"/>
    <w:rsid w:val="005A6CC8"/>
    <w:rsid w:val="005A6ED4"/>
    <w:rsid w:val="005A705B"/>
    <w:rsid w:val="005A7171"/>
    <w:rsid w:val="005A71B3"/>
    <w:rsid w:val="005A71BC"/>
    <w:rsid w:val="005A75F0"/>
    <w:rsid w:val="005A7824"/>
    <w:rsid w:val="005A7C04"/>
    <w:rsid w:val="005A7C67"/>
    <w:rsid w:val="005A7E5C"/>
    <w:rsid w:val="005B00BB"/>
    <w:rsid w:val="005B00FD"/>
    <w:rsid w:val="005B0364"/>
    <w:rsid w:val="005B03AE"/>
    <w:rsid w:val="005B07CB"/>
    <w:rsid w:val="005B0CDF"/>
    <w:rsid w:val="005B0F98"/>
    <w:rsid w:val="005B1196"/>
    <w:rsid w:val="005B1967"/>
    <w:rsid w:val="005B1ADA"/>
    <w:rsid w:val="005B204C"/>
    <w:rsid w:val="005B23FB"/>
    <w:rsid w:val="005B2419"/>
    <w:rsid w:val="005B261A"/>
    <w:rsid w:val="005B26DA"/>
    <w:rsid w:val="005B34D4"/>
    <w:rsid w:val="005B3935"/>
    <w:rsid w:val="005B3D0B"/>
    <w:rsid w:val="005B3E4D"/>
    <w:rsid w:val="005B416B"/>
    <w:rsid w:val="005B4387"/>
    <w:rsid w:val="005B44F0"/>
    <w:rsid w:val="005B4D54"/>
    <w:rsid w:val="005B4DB8"/>
    <w:rsid w:val="005B4E14"/>
    <w:rsid w:val="005B4EC5"/>
    <w:rsid w:val="005B50B8"/>
    <w:rsid w:val="005B58FA"/>
    <w:rsid w:val="005B59BD"/>
    <w:rsid w:val="005B5B1B"/>
    <w:rsid w:val="005B5F77"/>
    <w:rsid w:val="005B624C"/>
    <w:rsid w:val="005B660B"/>
    <w:rsid w:val="005B6739"/>
    <w:rsid w:val="005B6BDF"/>
    <w:rsid w:val="005B72E8"/>
    <w:rsid w:val="005B731B"/>
    <w:rsid w:val="005B78B1"/>
    <w:rsid w:val="005B7B57"/>
    <w:rsid w:val="005B7C6C"/>
    <w:rsid w:val="005B7F46"/>
    <w:rsid w:val="005C01C8"/>
    <w:rsid w:val="005C01CE"/>
    <w:rsid w:val="005C0424"/>
    <w:rsid w:val="005C0E1E"/>
    <w:rsid w:val="005C0E3F"/>
    <w:rsid w:val="005C0F00"/>
    <w:rsid w:val="005C1148"/>
    <w:rsid w:val="005C1CDD"/>
    <w:rsid w:val="005C1E63"/>
    <w:rsid w:val="005C2074"/>
    <w:rsid w:val="005C2112"/>
    <w:rsid w:val="005C21DA"/>
    <w:rsid w:val="005C2761"/>
    <w:rsid w:val="005C27AC"/>
    <w:rsid w:val="005C298B"/>
    <w:rsid w:val="005C2D5C"/>
    <w:rsid w:val="005C381F"/>
    <w:rsid w:val="005C39AC"/>
    <w:rsid w:val="005C3D7A"/>
    <w:rsid w:val="005C3E89"/>
    <w:rsid w:val="005C4586"/>
    <w:rsid w:val="005C47A4"/>
    <w:rsid w:val="005C4971"/>
    <w:rsid w:val="005C4BE6"/>
    <w:rsid w:val="005C4C85"/>
    <w:rsid w:val="005C507D"/>
    <w:rsid w:val="005C530E"/>
    <w:rsid w:val="005C5CF4"/>
    <w:rsid w:val="005C5D65"/>
    <w:rsid w:val="005C6191"/>
    <w:rsid w:val="005C62B7"/>
    <w:rsid w:val="005C63D4"/>
    <w:rsid w:val="005C6661"/>
    <w:rsid w:val="005C6737"/>
    <w:rsid w:val="005C69CC"/>
    <w:rsid w:val="005C6B0C"/>
    <w:rsid w:val="005C73F6"/>
    <w:rsid w:val="005C78D4"/>
    <w:rsid w:val="005C7970"/>
    <w:rsid w:val="005C7D7D"/>
    <w:rsid w:val="005C7E08"/>
    <w:rsid w:val="005C7F45"/>
    <w:rsid w:val="005D02DD"/>
    <w:rsid w:val="005D0C92"/>
    <w:rsid w:val="005D0D17"/>
    <w:rsid w:val="005D1239"/>
    <w:rsid w:val="005D13FA"/>
    <w:rsid w:val="005D181A"/>
    <w:rsid w:val="005D18EB"/>
    <w:rsid w:val="005D1BE1"/>
    <w:rsid w:val="005D1FC5"/>
    <w:rsid w:val="005D2023"/>
    <w:rsid w:val="005D216B"/>
    <w:rsid w:val="005D21D2"/>
    <w:rsid w:val="005D22F7"/>
    <w:rsid w:val="005D276C"/>
    <w:rsid w:val="005D29AC"/>
    <w:rsid w:val="005D2C8C"/>
    <w:rsid w:val="005D2D58"/>
    <w:rsid w:val="005D2F57"/>
    <w:rsid w:val="005D3039"/>
    <w:rsid w:val="005D3145"/>
    <w:rsid w:val="005D3271"/>
    <w:rsid w:val="005D329E"/>
    <w:rsid w:val="005D32A3"/>
    <w:rsid w:val="005D3568"/>
    <w:rsid w:val="005D4715"/>
    <w:rsid w:val="005D47BE"/>
    <w:rsid w:val="005D481F"/>
    <w:rsid w:val="005D48D2"/>
    <w:rsid w:val="005D4AF7"/>
    <w:rsid w:val="005D4E69"/>
    <w:rsid w:val="005D54B1"/>
    <w:rsid w:val="005D590A"/>
    <w:rsid w:val="005D5BA6"/>
    <w:rsid w:val="005D5D5B"/>
    <w:rsid w:val="005D5F94"/>
    <w:rsid w:val="005D5FED"/>
    <w:rsid w:val="005D618B"/>
    <w:rsid w:val="005D61BE"/>
    <w:rsid w:val="005D6D83"/>
    <w:rsid w:val="005D728C"/>
    <w:rsid w:val="005D772D"/>
    <w:rsid w:val="005D78B7"/>
    <w:rsid w:val="005D7B3E"/>
    <w:rsid w:val="005D7E9F"/>
    <w:rsid w:val="005D7F8B"/>
    <w:rsid w:val="005E0051"/>
    <w:rsid w:val="005E016F"/>
    <w:rsid w:val="005E030F"/>
    <w:rsid w:val="005E0580"/>
    <w:rsid w:val="005E0602"/>
    <w:rsid w:val="005E091A"/>
    <w:rsid w:val="005E09AB"/>
    <w:rsid w:val="005E09B0"/>
    <w:rsid w:val="005E0EDD"/>
    <w:rsid w:val="005E10C0"/>
    <w:rsid w:val="005E166B"/>
    <w:rsid w:val="005E19B3"/>
    <w:rsid w:val="005E1F44"/>
    <w:rsid w:val="005E2203"/>
    <w:rsid w:val="005E2278"/>
    <w:rsid w:val="005E2727"/>
    <w:rsid w:val="005E272E"/>
    <w:rsid w:val="005E29A4"/>
    <w:rsid w:val="005E2A1A"/>
    <w:rsid w:val="005E2F47"/>
    <w:rsid w:val="005E348A"/>
    <w:rsid w:val="005E3C0D"/>
    <w:rsid w:val="005E3CA6"/>
    <w:rsid w:val="005E426E"/>
    <w:rsid w:val="005E433B"/>
    <w:rsid w:val="005E46E4"/>
    <w:rsid w:val="005E471E"/>
    <w:rsid w:val="005E4979"/>
    <w:rsid w:val="005E547D"/>
    <w:rsid w:val="005E574A"/>
    <w:rsid w:val="005E58D0"/>
    <w:rsid w:val="005E5E15"/>
    <w:rsid w:val="005E5FF7"/>
    <w:rsid w:val="005E6084"/>
    <w:rsid w:val="005E6292"/>
    <w:rsid w:val="005E6388"/>
    <w:rsid w:val="005E69A0"/>
    <w:rsid w:val="005E7207"/>
    <w:rsid w:val="005E747C"/>
    <w:rsid w:val="005E75FD"/>
    <w:rsid w:val="005E7B8A"/>
    <w:rsid w:val="005F02BB"/>
    <w:rsid w:val="005F0759"/>
    <w:rsid w:val="005F0A03"/>
    <w:rsid w:val="005F0BBC"/>
    <w:rsid w:val="005F1079"/>
    <w:rsid w:val="005F148A"/>
    <w:rsid w:val="005F14F9"/>
    <w:rsid w:val="005F1A13"/>
    <w:rsid w:val="005F1E54"/>
    <w:rsid w:val="005F1E70"/>
    <w:rsid w:val="005F25B7"/>
    <w:rsid w:val="005F30F9"/>
    <w:rsid w:val="005F3433"/>
    <w:rsid w:val="005F35D6"/>
    <w:rsid w:val="005F4029"/>
    <w:rsid w:val="005F403E"/>
    <w:rsid w:val="005F45D0"/>
    <w:rsid w:val="005F460E"/>
    <w:rsid w:val="005F4A14"/>
    <w:rsid w:val="005F4A76"/>
    <w:rsid w:val="005F4C23"/>
    <w:rsid w:val="005F4D05"/>
    <w:rsid w:val="005F513E"/>
    <w:rsid w:val="005F5181"/>
    <w:rsid w:val="005F5275"/>
    <w:rsid w:val="005F577F"/>
    <w:rsid w:val="005F5B5E"/>
    <w:rsid w:val="005F5BC2"/>
    <w:rsid w:val="005F5EB8"/>
    <w:rsid w:val="005F6109"/>
    <w:rsid w:val="005F65BE"/>
    <w:rsid w:val="005F678E"/>
    <w:rsid w:val="005F68EC"/>
    <w:rsid w:val="005F6B71"/>
    <w:rsid w:val="005F6D14"/>
    <w:rsid w:val="005F72B9"/>
    <w:rsid w:val="005F7743"/>
    <w:rsid w:val="005F78FD"/>
    <w:rsid w:val="005F7940"/>
    <w:rsid w:val="005F7BF0"/>
    <w:rsid w:val="005F7E73"/>
    <w:rsid w:val="00600855"/>
    <w:rsid w:val="00601667"/>
    <w:rsid w:val="006018FD"/>
    <w:rsid w:val="00601992"/>
    <w:rsid w:val="00601D74"/>
    <w:rsid w:val="00601E56"/>
    <w:rsid w:val="00602038"/>
    <w:rsid w:val="00602174"/>
    <w:rsid w:val="0060224A"/>
    <w:rsid w:val="00602401"/>
    <w:rsid w:val="00602CA5"/>
    <w:rsid w:val="00602CCE"/>
    <w:rsid w:val="0060301B"/>
    <w:rsid w:val="00603028"/>
    <w:rsid w:val="006033B6"/>
    <w:rsid w:val="00603C9D"/>
    <w:rsid w:val="00604523"/>
    <w:rsid w:val="006046B1"/>
    <w:rsid w:val="00604802"/>
    <w:rsid w:val="00604A69"/>
    <w:rsid w:val="00604C73"/>
    <w:rsid w:val="00604E8C"/>
    <w:rsid w:val="00605014"/>
    <w:rsid w:val="0060504B"/>
    <w:rsid w:val="00605198"/>
    <w:rsid w:val="006059E0"/>
    <w:rsid w:val="00605CC0"/>
    <w:rsid w:val="00605E17"/>
    <w:rsid w:val="0060671E"/>
    <w:rsid w:val="00606DD5"/>
    <w:rsid w:val="00606E37"/>
    <w:rsid w:val="00607414"/>
    <w:rsid w:val="00607B7B"/>
    <w:rsid w:val="00607C0B"/>
    <w:rsid w:val="00607F79"/>
    <w:rsid w:val="006104DA"/>
    <w:rsid w:val="00610A30"/>
    <w:rsid w:val="00610C59"/>
    <w:rsid w:val="00610C65"/>
    <w:rsid w:val="00610E78"/>
    <w:rsid w:val="00610FCA"/>
    <w:rsid w:val="0061190C"/>
    <w:rsid w:val="00611A15"/>
    <w:rsid w:val="00611DBF"/>
    <w:rsid w:val="006121B6"/>
    <w:rsid w:val="00612457"/>
    <w:rsid w:val="006126F6"/>
    <w:rsid w:val="0061294A"/>
    <w:rsid w:val="00612C5B"/>
    <w:rsid w:val="00612E27"/>
    <w:rsid w:val="00612E85"/>
    <w:rsid w:val="00613299"/>
    <w:rsid w:val="006132E3"/>
    <w:rsid w:val="006139F9"/>
    <w:rsid w:val="00613AC8"/>
    <w:rsid w:val="00613C94"/>
    <w:rsid w:val="00613EF4"/>
    <w:rsid w:val="00614588"/>
    <w:rsid w:val="006145C7"/>
    <w:rsid w:val="006149C3"/>
    <w:rsid w:val="00614D52"/>
    <w:rsid w:val="0061507A"/>
    <w:rsid w:val="006153FC"/>
    <w:rsid w:val="00615681"/>
    <w:rsid w:val="0061598E"/>
    <w:rsid w:val="00615DFD"/>
    <w:rsid w:val="00615E92"/>
    <w:rsid w:val="00616781"/>
    <w:rsid w:val="006167E2"/>
    <w:rsid w:val="006169DD"/>
    <w:rsid w:val="00616A43"/>
    <w:rsid w:val="00616B53"/>
    <w:rsid w:val="00616EC7"/>
    <w:rsid w:val="00616F5D"/>
    <w:rsid w:val="006171CE"/>
    <w:rsid w:val="00617243"/>
    <w:rsid w:val="00617B23"/>
    <w:rsid w:val="00617C53"/>
    <w:rsid w:val="00617FD0"/>
    <w:rsid w:val="006203DC"/>
    <w:rsid w:val="00620501"/>
    <w:rsid w:val="006205BD"/>
    <w:rsid w:val="00621107"/>
    <w:rsid w:val="006212C8"/>
    <w:rsid w:val="0062152B"/>
    <w:rsid w:val="00621681"/>
    <w:rsid w:val="006217D7"/>
    <w:rsid w:val="0062197D"/>
    <w:rsid w:val="00621B33"/>
    <w:rsid w:val="00621C41"/>
    <w:rsid w:val="00621C66"/>
    <w:rsid w:val="006223D4"/>
    <w:rsid w:val="006224DB"/>
    <w:rsid w:val="00622641"/>
    <w:rsid w:val="0062283C"/>
    <w:rsid w:val="00622949"/>
    <w:rsid w:val="006229A7"/>
    <w:rsid w:val="00622A6B"/>
    <w:rsid w:val="00622E5E"/>
    <w:rsid w:val="00622F64"/>
    <w:rsid w:val="006231BC"/>
    <w:rsid w:val="006234FD"/>
    <w:rsid w:val="00623584"/>
    <w:rsid w:val="006235B9"/>
    <w:rsid w:val="00623AE8"/>
    <w:rsid w:val="00623CFE"/>
    <w:rsid w:val="00623E1A"/>
    <w:rsid w:val="006243A3"/>
    <w:rsid w:val="006245E9"/>
    <w:rsid w:val="00624604"/>
    <w:rsid w:val="00624668"/>
    <w:rsid w:val="006247C1"/>
    <w:rsid w:val="00624890"/>
    <w:rsid w:val="0062492E"/>
    <w:rsid w:val="00624A28"/>
    <w:rsid w:val="00624A65"/>
    <w:rsid w:val="00624DC0"/>
    <w:rsid w:val="0062513C"/>
    <w:rsid w:val="00625AA9"/>
    <w:rsid w:val="00625EB8"/>
    <w:rsid w:val="00625EEE"/>
    <w:rsid w:val="00626317"/>
    <w:rsid w:val="006266DB"/>
    <w:rsid w:val="00626757"/>
    <w:rsid w:val="006267A3"/>
    <w:rsid w:val="00626D07"/>
    <w:rsid w:val="00626D1C"/>
    <w:rsid w:val="00627B38"/>
    <w:rsid w:val="00627B74"/>
    <w:rsid w:val="0063034F"/>
    <w:rsid w:val="006303D2"/>
    <w:rsid w:val="0063053A"/>
    <w:rsid w:val="00630554"/>
    <w:rsid w:val="006306CD"/>
    <w:rsid w:val="00630C57"/>
    <w:rsid w:val="00630E5E"/>
    <w:rsid w:val="006313CD"/>
    <w:rsid w:val="00631D2A"/>
    <w:rsid w:val="00631DFB"/>
    <w:rsid w:val="006323B5"/>
    <w:rsid w:val="00632568"/>
    <w:rsid w:val="006334A7"/>
    <w:rsid w:val="006335A4"/>
    <w:rsid w:val="006337E1"/>
    <w:rsid w:val="00633B3B"/>
    <w:rsid w:val="00633CEE"/>
    <w:rsid w:val="00634031"/>
    <w:rsid w:val="006340E3"/>
    <w:rsid w:val="00634124"/>
    <w:rsid w:val="00634143"/>
    <w:rsid w:val="006343FA"/>
    <w:rsid w:val="006345DC"/>
    <w:rsid w:val="00634623"/>
    <w:rsid w:val="00634648"/>
    <w:rsid w:val="00634AFD"/>
    <w:rsid w:val="00634B96"/>
    <w:rsid w:val="00634CA9"/>
    <w:rsid w:val="006350E4"/>
    <w:rsid w:val="0063542C"/>
    <w:rsid w:val="006357BE"/>
    <w:rsid w:val="00635A69"/>
    <w:rsid w:val="00636517"/>
    <w:rsid w:val="006365A5"/>
    <w:rsid w:val="0063690E"/>
    <w:rsid w:val="00636E69"/>
    <w:rsid w:val="00636F85"/>
    <w:rsid w:val="006370D6"/>
    <w:rsid w:val="006371F5"/>
    <w:rsid w:val="006375B5"/>
    <w:rsid w:val="006376E3"/>
    <w:rsid w:val="00637790"/>
    <w:rsid w:val="0063780A"/>
    <w:rsid w:val="006379BD"/>
    <w:rsid w:val="00637F08"/>
    <w:rsid w:val="00640110"/>
    <w:rsid w:val="006401B6"/>
    <w:rsid w:val="006409FC"/>
    <w:rsid w:val="00640AA4"/>
    <w:rsid w:val="00640D67"/>
    <w:rsid w:val="00640D6E"/>
    <w:rsid w:val="00640FFC"/>
    <w:rsid w:val="006411D5"/>
    <w:rsid w:val="00641599"/>
    <w:rsid w:val="00641968"/>
    <w:rsid w:val="0064197B"/>
    <w:rsid w:val="00641ABF"/>
    <w:rsid w:val="00641F5B"/>
    <w:rsid w:val="0064203B"/>
    <w:rsid w:val="0064206B"/>
    <w:rsid w:val="0064234E"/>
    <w:rsid w:val="00642845"/>
    <w:rsid w:val="00642A67"/>
    <w:rsid w:val="00642DAE"/>
    <w:rsid w:val="00642E8B"/>
    <w:rsid w:val="0064312B"/>
    <w:rsid w:val="00643236"/>
    <w:rsid w:val="006439A8"/>
    <w:rsid w:val="00643D2F"/>
    <w:rsid w:val="006440B6"/>
    <w:rsid w:val="00644359"/>
    <w:rsid w:val="00644482"/>
    <w:rsid w:val="00644507"/>
    <w:rsid w:val="006446DB"/>
    <w:rsid w:val="00644AAD"/>
    <w:rsid w:val="00644E70"/>
    <w:rsid w:val="00644FCA"/>
    <w:rsid w:val="00644FE7"/>
    <w:rsid w:val="006451A3"/>
    <w:rsid w:val="00645240"/>
    <w:rsid w:val="006453EC"/>
    <w:rsid w:val="006459FE"/>
    <w:rsid w:val="00645ABD"/>
    <w:rsid w:val="00645BF4"/>
    <w:rsid w:val="0064618A"/>
    <w:rsid w:val="0064639B"/>
    <w:rsid w:val="00646630"/>
    <w:rsid w:val="00646643"/>
    <w:rsid w:val="006469FC"/>
    <w:rsid w:val="00646B78"/>
    <w:rsid w:val="00646C35"/>
    <w:rsid w:val="00646D6E"/>
    <w:rsid w:val="0064702F"/>
    <w:rsid w:val="006471A8"/>
    <w:rsid w:val="00647582"/>
    <w:rsid w:val="006479EE"/>
    <w:rsid w:val="00647B1C"/>
    <w:rsid w:val="00647CC7"/>
    <w:rsid w:val="00650087"/>
    <w:rsid w:val="00650505"/>
    <w:rsid w:val="0065064F"/>
    <w:rsid w:val="0065065E"/>
    <w:rsid w:val="0065114D"/>
    <w:rsid w:val="0065156C"/>
    <w:rsid w:val="00651630"/>
    <w:rsid w:val="00651D27"/>
    <w:rsid w:val="006527F6"/>
    <w:rsid w:val="006529F0"/>
    <w:rsid w:val="00652F8D"/>
    <w:rsid w:val="00653012"/>
    <w:rsid w:val="0065326F"/>
    <w:rsid w:val="00653456"/>
    <w:rsid w:val="006535AD"/>
    <w:rsid w:val="006535B2"/>
    <w:rsid w:val="006535B4"/>
    <w:rsid w:val="0065389D"/>
    <w:rsid w:val="00653C99"/>
    <w:rsid w:val="00653CEC"/>
    <w:rsid w:val="00653EF1"/>
    <w:rsid w:val="00653F1E"/>
    <w:rsid w:val="00654697"/>
    <w:rsid w:val="00654810"/>
    <w:rsid w:val="0065492E"/>
    <w:rsid w:val="00654AAD"/>
    <w:rsid w:val="00654C9F"/>
    <w:rsid w:val="006552A5"/>
    <w:rsid w:val="006555A6"/>
    <w:rsid w:val="00655A6D"/>
    <w:rsid w:val="00655CB5"/>
    <w:rsid w:val="00655EC5"/>
    <w:rsid w:val="00655F68"/>
    <w:rsid w:val="00656117"/>
    <w:rsid w:val="00656169"/>
    <w:rsid w:val="00656F35"/>
    <w:rsid w:val="0065769A"/>
    <w:rsid w:val="00657C94"/>
    <w:rsid w:val="00657D34"/>
    <w:rsid w:val="00657DAA"/>
    <w:rsid w:val="00657E7A"/>
    <w:rsid w:val="00660294"/>
    <w:rsid w:val="00660A35"/>
    <w:rsid w:val="00660A44"/>
    <w:rsid w:val="00660D75"/>
    <w:rsid w:val="00660D77"/>
    <w:rsid w:val="00661312"/>
    <w:rsid w:val="0066186D"/>
    <w:rsid w:val="00661A0A"/>
    <w:rsid w:val="00661A7F"/>
    <w:rsid w:val="00661CE6"/>
    <w:rsid w:val="006622D7"/>
    <w:rsid w:val="0066247C"/>
    <w:rsid w:val="006626DC"/>
    <w:rsid w:val="0066287C"/>
    <w:rsid w:val="00662C3F"/>
    <w:rsid w:val="00662DDB"/>
    <w:rsid w:val="00662F86"/>
    <w:rsid w:val="006630E9"/>
    <w:rsid w:val="006634A3"/>
    <w:rsid w:val="006636EF"/>
    <w:rsid w:val="00663951"/>
    <w:rsid w:val="00663B33"/>
    <w:rsid w:val="00663B5A"/>
    <w:rsid w:val="00663BF6"/>
    <w:rsid w:val="006643BA"/>
    <w:rsid w:val="0066462E"/>
    <w:rsid w:val="00664D82"/>
    <w:rsid w:val="00664F8E"/>
    <w:rsid w:val="00665434"/>
    <w:rsid w:val="00666035"/>
    <w:rsid w:val="00666361"/>
    <w:rsid w:val="0066638A"/>
    <w:rsid w:val="006664F7"/>
    <w:rsid w:val="00666699"/>
    <w:rsid w:val="0066697D"/>
    <w:rsid w:val="0066698B"/>
    <w:rsid w:val="00666FE0"/>
    <w:rsid w:val="006672CE"/>
    <w:rsid w:val="006672EF"/>
    <w:rsid w:val="00670883"/>
    <w:rsid w:val="006709F4"/>
    <w:rsid w:val="00670B75"/>
    <w:rsid w:val="00670CD9"/>
    <w:rsid w:val="00671717"/>
    <w:rsid w:val="00671FE0"/>
    <w:rsid w:val="006720AB"/>
    <w:rsid w:val="0067331D"/>
    <w:rsid w:val="006737FD"/>
    <w:rsid w:val="00673A5C"/>
    <w:rsid w:val="00673C09"/>
    <w:rsid w:val="00673C98"/>
    <w:rsid w:val="00673D10"/>
    <w:rsid w:val="0067482A"/>
    <w:rsid w:val="006748B5"/>
    <w:rsid w:val="00674DAD"/>
    <w:rsid w:val="00674FDA"/>
    <w:rsid w:val="006750DA"/>
    <w:rsid w:val="00675290"/>
    <w:rsid w:val="00675791"/>
    <w:rsid w:val="00675E4E"/>
    <w:rsid w:val="00675FD7"/>
    <w:rsid w:val="00676921"/>
    <w:rsid w:val="00676A13"/>
    <w:rsid w:val="00676C88"/>
    <w:rsid w:val="00676D5D"/>
    <w:rsid w:val="00676FBF"/>
    <w:rsid w:val="00677119"/>
    <w:rsid w:val="00677332"/>
    <w:rsid w:val="006777D1"/>
    <w:rsid w:val="00677862"/>
    <w:rsid w:val="00677AD2"/>
    <w:rsid w:val="00677D53"/>
    <w:rsid w:val="00677DB2"/>
    <w:rsid w:val="00680041"/>
    <w:rsid w:val="006801F3"/>
    <w:rsid w:val="00680248"/>
    <w:rsid w:val="00680F3C"/>
    <w:rsid w:val="00681060"/>
    <w:rsid w:val="0068127A"/>
    <w:rsid w:val="006816B4"/>
    <w:rsid w:val="00681F9C"/>
    <w:rsid w:val="00682021"/>
    <w:rsid w:val="0068237D"/>
    <w:rsid w:val="00682976"/>
    <w:rsid w:val="00682ACB"/>
    <w:rsid w:val="00682B7A"/>
    <w:rsid w:val="00682C09"/>
    <w:rsid w:val="00682DEC"/>
    <w:rsid w:val="00682E6E"/>
    <w:rsid w:val="0068309C"/>
    <w:rsid w:val="0068326C"/>
    <w:rsid w:val="006833A7"/>
    <w:rsid w:val="006835E9"/>
    <w:rsid w:val="0068394F"/>
    <w:rsid w:val="00683B81"/>
    <w:rsid w:val="0068418B"/>
    <w:rsid w:val="00684231"/>
    <w:rsid w:val="00684505"/>
    <w:rsid w:val="00684598"/>
    <w:rsid w:val="00684B2D"/>
    <w:rsid w:val="00684B4E"/>
    <w:rsid w:val="00684FA0"/>
    <w:rsid w:val="00684FEC"/>
    <w:rsid w:val="00685145"/>
    <w:rsid w:val="00685289"/>
    <w:rsid w:val="0068562C"/>
    <w:rsid w:val="00685A3E"/>
    <w:rsid w:val="00685BF8"/>
    <w:rsid w:val="00685C16"/>
    <w:rsid w:val="00686519"/>
    <w:rsid w:val="00686880"/>
    <w:rsid w:val="006868E0"/>
    <w:rsid w:val="00686A59"/>
    <w:rsid w:val="00686A9B"/>
    <w:rsid w:val="00686B8A"/>
    <w:rsid w:val="006873B5"/>
    <w:rsid w:val="0068758C"/>
    <w:rsid w:val="006876F9"/>
    <w:rsid w:val="00687B19"/>
    <w:rsid w:val="00687C12"/>
    <w:rsid w:val="00687CD0"/>
    <w:rsid w:val="00687EA5"/>
    <w:rsid w:val="0069010B"/>
    <w:rsid w:val="00690745"/>
    <w:rsid w:val="006908F6"/>
    <w:rsid w:val="00690976"/>
    <w:rsid w:val="006909AE"/>
    <w:rsid w:val="00690B47"/>
    <w:rsid w:val="0069107A"/>
    <w:rsid w:val="0069109E"/>
    <w:rsid w:val="0069121C"/>
    <w:rsid w:val="00691536"/>
    <w:rsid w:val="006915A8"/>
    <w:rsid w:val="006923AD"/>
    <w:rsid w:val="00692452"/>
    <w:rsid w:val="00692F49"/>
    <w:rsid w:val="006932FE"/>
    <w:rsid w:val="00693EC2"/>
    <w:rsid w:val="00694A25"/>
    <w:rsid w:val="00694CCF"/>
    <w:rsid w:val="00694D56"/>
    <w:rsid w:val="00694D63"/>
    <w:rsid w:val="00694E02"/>
    <w:rsid w:val="00694F09"/>
    <w:rsid w:val="006952E9"/>
    <w:rsid w:val="0069540D"/>
    <w:rsid w:val="006956D7"/>
    <w:rsid w:val="006958F9"/>
    <w:rsid w:val="00696567"/>
    <w:rsid w:val="00696694"/>
    <w:rsid w:val="006967E5"/>
    <w:rsid w:val="00696F10"/>
    <w:rsid w:val="00697442"/>
    <w:rsid w:val="00697A33"/>
    <w:rsid w:val="00697A37"/>
    <w:rsid w:val="00697A7F"/>
    <w:rsid w:val="00697D99"/>
    <w:rsid w:val="00697F9D"/>
    <w:rsid w:val="00697FC2"/>
    <w:rsid w:val="006A0047"/>
    <w:rsid w:val="006A0099"/>
    <w:rsid w:val="006A00AA"/>
    <w:rsid w:val="006A0466"/>
    <w:rsid w:val="006A0560"/>
    <w:rsid w:val="006A067C"/>
    <w:rsid w:val="006A069B"/>
    <w:rsid w:val="006A06EC"/>
    <w:rsid w:val="006A077A"/>
    <w:rsid w:val="006A0A0E"/>
    <w:rsid w:val="006A0B1C"/>
    <w:rsid w:val="006A0DD1"/>
    <w:rsid w:val="006A108B"/>
    <w:rsid w:val="006A120F"/>
    <w:rsid w:val="006A12AF"/>
    <w:rsid w:val="006A194F"/>
    <w:rsid w:val="006A1AC7"/>
    <w:rsid w:val="006A20C6"/>
    <w:rsid w:val="006A2115"/>
    <w:rsid w:val="006A235A"/>
    <w:rsid w:val="006A257C"/>
    <w:rsid w:val="006A2880"/>
    <w:rsid w:val="006A29A6"/>
    <w:rsid w:val="006A2F23"/>
    <w:rsid w:val="006A3163"/>
    <w:rsid w:val="006A37B7"/>
    <w:rsid w:val="006A38D4"/>
    <w:rsid w:val="006A3BA4"/>
    <w:rsid w:val="006A3CBA"/>
    <w:rsid w:val="006A3F0A"/>
    <w:rsid w:val="006A4170"/>
    <w:rsid w:val="006A439E"/>
    <w:rsid w:val="006A476A"/>
    <w:rsid w:val="006A4E16"/>
    <w:rsid w:val="006A53D0"/>
    <w:rsid w:val="006A5526"/>
    <w:rsid w:val="006A567B"/>
    <w:rsid w:val="006A5705"/>
    <w:rsid w:val="006A57AD"/>
    <w:rsid w:val="006A583A"/>
    <w:rsid w:val="006A5C4F"/>
    <w:rsid w:val="006A636F"/>
    <w:rsid w:val="006A6951"/>
    <w:rsid w:val="006A6BC1"/>
    <w:rsid w:val="006A6D0A"/>
    <w:rsid w:val="006A6F96"/>
    <w:rsid w:val="006A71AF"/>
    <w:rsid w:val="006A7378"/>
    <w:rsid w:val="006A77FD"/>
    <w:rsid w:val="006A797C"/>
    <w:rsid w:val="006A7A6E"/>
    <w:rsid w:val="006B0618"/>
    <w:rsid w:val="006B07EC"/>
    <w:rsid w:val="006B08A1"/>
    <w:rsid w:val="006B0DA9"/>
    <w:rsid w:val="006B1847"/>
    <w:rsid w:val="006B1D42"/>
    <w:rsid w:val="006B1F8A"/>
    <w:rsid w:val="006B232C"/>
    <w:rsid w:val="006B257A"/>
    <w:rsid w:val="006B2994"/>
    <w:rsid w:val="006B2A6C"/>
    <w:rsid w:val="006B3205"/>
    <w:rsid w:val="006B33A3"/>
    <w:rsid w:val="006B33C2"/>
    <w:rsid w:val="006B33D5"/>
    <w:rsid w:val="006B34BE"/>
    <w:rsid w:val="006B35C0"/>
    <w:rsid w:val="006B374C"/>
    <w:rsid w:val="006B39C1"/>
    <w:rsid w:val="006B3C4E"/>
    <w:rsid w:val="006B4707"/>
    <w:rsid w:val="006B4865"/>
    <w:rsid w:val="006B4C6C"/>
    <w:rsid w:val="006B4E95"/>
    <w:rsid w:val="006B4EC0"/>
    <w:rsid w:val="006B4F4C"/>
    <w:rsid w:val="006B5545"/>
    <w:rsid w:val="006B55F2"/>
    <w:rsid w:val="006B5A08"/>
    <w:rsid w:val="006B62D8"/>
    <w:rsid w:val="006B633B"/>
    <w:rsid w:val="006B692B"/>
    <w:rsid w:val="006B6AB9"/>
    <w:rsid w:val="006B73D8"/>
    <w:rsid w:val="006B75F7"/>
    <w:rsid w:val="006B768F"/>
    <w:rsid w:val="006B7A90"/>
    <w:rsid w:val="006B7ADA"/>
    <w:rsid w:val="006B7C75"/>
    <w:rsid w:val="006B7C91"/>
    <w:rsid w:val="006B7DC5"/>
    <w:rsid w:val="006B7F90"/>
    <w:rsid w:val="006C0075"/>
    <w:rsid w:val="006C02FE"/>
    <w:rsid w:val="006C05B1"/>
    <w:rsid w:val="006C079C"/>
    <w:rsid w:val="006C09B4"/>
    <w:rsid w:val="006C0BB2"/>
    <w:rsid w:val="006C123A"/>
    <w:rsid w:val="006C14D5"/>
    <w:rsid w:val="006C191B"/>
    <w:rsid w:val="006C1D57"/>
    <w:rsid w:val="006C1F69"/>
    <w:rsid w:val="006C2C2C"/>
    <w:rsid w:val="006C2F18"/>
    <w:rsid w:val="006C2F4F"/>
    <w:rsid w:val="006C391A"/>
    <w:rsid w:val="006C3D6B"/>
    <w:rsid w:val="006C406B"/>
    <w:rsid w:val="006C43F3"/>
    <w:rsid w:val="006C45CB"/>
    <w:rsid w:val="006C480C"/>
    <w:rsid w:val="006C4829"/>
    <w:rsid w:val="006C49DA"/>
    <w:rsid w:val="006C4C46"/>
    <w:rsid w:val="006C4D6F"/>
    <w:rsid w:val="006C4D8F"/>
    <w:rsid w:val="006C4E99"/>
    <w:rsid w:val="006C5226"/>
    <w:rsid w:val="006C52A1"/>
    <w:rsid w:val="006C5810"/>
    <w:rsid w:val="006C58B2"/>
    <w:rsid w:val="006C59DC"/>
    <w:rsid w:val="006C63F3"/>
    <w:rsid w:val="006C64D7"/>
    <w:rsid w:val="006C6C7E"/>
    <w:rsid w:val="006C6CA8"/>
    <w:rsid w:val="006C7285"/>
    <w:rsid w:val="006C733A"/>
    <w:rsid w:val="006C749D"/>
    <w:rsid w:val="006C761E"/>
    <w:rsid w:val="006C7BB2"/>
    <w:rsid w:val="006C7E5A"/>
    <w:rsid w:val="006C7E66"/>
    <w:rsid w:val="006D059E"/>
    <w:rsid w:val="006D0C16"/>
    <w:rsid w:val="006D0CA7"/>
    <w:rsid w:val="006D0D52"/>
    <w:rsid w:val="006D0E4C"/>
    <w:rsid w:val="006D0E57"/>
    <w:rsid w:val="006D1033"/>
    <w:rsid w:val="006D11DB"/>
    <w:rsid w:val="006D1327"/>
    <w:rsid w:val="006D1709"/>
    <w:rsid w:val="006D1815"/>
    <w:rsid w:val="006D1A93"/>
    <w:rsid w:val="006D1AEB"/>
    <w:rsid w:val="006D1B98"/>
    <w:rsid w:val="006D1BD9"/>
    <w:rsid w:val="006D1C64"/>
    <w:rsid w:val="006D1D92"/>
    <w:rsid w:val="006D20AC"/>
    <w:rsid w:val="006D2159"/>
    <w:rsid w:val="006D26B1"/>
    <w:rsid w:val="006D28A0"/>
    <w:rsid w:val="006D29E9"/>
    <w:rsid w:val="006D2D0E"/>
    <w:rsid w:val="006D2FD1"/>
    <w:rsid w:val="006D3838"/>
    <w:rsid w:val="006D3E7C"/>
    <w:rsid w:val="006D4187"/>
    <w:rsid w:val="006D42D1"/>
    <w:rsid w:val="006D4576"/>
    <w:rsid w:val="006D5067"/>
    <w:rsid w:val="006D597E"/>
    <w:rsid w:val="006D59E0"/>
    <w:rsid w:val="006D5AC9"/>
    <w:rsid w:val="006D5C64"/>
    <w:rsid w:val="006D5E47"/>
    <w:rsid w:val="006D615E"/>
    <w:rsid w:val="006D6FDD"/>
    <w:rsid w:val="006D702E"/>
    <w:rsid w:val="006D7188"/>
    <w:rsid w:val="006D72C0"/>
    <w:rsid w:val="006D7389"/>
    <w:rsid w:val="006D77A9"/>
    <w:rsid w:val="006E0004"/>
    <w:rsid w:val="006E02EE"/>
    <w:rsid w:val="006E0B64"/>
    <w:rsid w:val="006E1453"/>
    <w:rsid w:val="006E166D"/>
    <w:rsid w:val="006E16CF"/>
    <w:rsid w:val="006E1B56"/>
    <w:rsid w:val="006E1E1B"/>
    <w:rsid w:val="006E1FF0"/>
    <w:rsid w:val="006E2218"/>
    <w:rsid w:val="006E224F"/>
    <w:rsid w:val="006E227C"/>
    <w:rsid w:val="006E29BE"/>
    <w:rsid w:val="006E3012"/>
    <w:rsid w:val="006E3061"/>
    <w:rsid w:val="006E323D"/>
    <w:rsid w:val="006E371D"/>
    <w:rsid w:val="006E3B64"/>
    <w:rsid w:val="006E3D6D"/>
    <w:rsid w:val="006E3F09"/>
    <w:rsid w:val="006E4735"/>
    <w:rsid w:val="006E482E"/>
    <w:rsid w:val="006E4848"/>
    <w:rsid w:val="006E49BC"/>
    <w:rsid w:val="006E4B4A"/>
    <w:rsid w:val="006E4CE1"/>
    <w:rsid w:val="006E4D78"/>
    <w:rsid w:val="006E5359"/>
    <w:rsid w:val="006E576E"/>
    <w:rsid w:val="006E5798"/>
    <w:rsid w:val="006E5D6B"/>
    <w:rsid w:val="006E5EE9"/>
    <w:rsid w:val="006E6112"/>
    <w:rsid w:val="006E61E8"/>
    <w:rsid w:val="006E622C"/>
    <w:rsid w:val="006E645D"/>
    <w:rsid w:val="006E647F"/>
    <w:rsid w:val="006E68DE"/>
    <w:rsid w:val="006E6F93"/>
    <w:rsid w:val="006E6F9E"/>
    <w:rsid w:val="006E72B8"/>
    <w:rsid w:val="006E72C0"/>
    <w:rsid w:val="006E7357"/>
    <w:rsid w:val="006E7369"/>
    <w:rsid w:val="006E7438"/>
    <w:rsid w:val="006E7C8B"/>
    <w:rsid w:val="006E7CA4"/>
    <w:rsid w:val="006F00C1"/>
    <w:rsid w:val="006F0789"/>
    <w:rsid w:val="006F0C5B"/>
    <w:rsid w:val="006F1895"/>
    <w:rsid w:val="006F18A0"/>
    <w:rsid w:val="006F1CE8"/>
    <w:rsid w:val="006F2072"/>
    <w:rsid w:val="006F23C4"/>
    <w:rsid w:val="006F2408"/>
    <w:rsid w:val="006F25A3"/>
    <w:rsid w:val="006F2AA4"/>
    <w:rsid w:val="006F34D1"/>
    <w:rsid w:val="006F359D"/>
    <w:rsid w:val="006F3B7E"/>
    <w:rsid w:val="006F4341"/>
    <w:rsid w:val="006F483B"/>
    <w:rsid w:val="006F4864"/>
    <w:rsid w:val="006F5104"/>
    <w:rsid w:val="006F5573"/>
    <w:rsid w:val="006F561E"/>
    <w:rsid w:val="006F5EE8"/>
    <w:rsid w:val="006F64A1"/>
    <w:rsid w:val="006F6AE1"/>
    <w:rsid w:val="006F6C6C"/>
    <w:rsid w:val="006F6E75"/>
    <w:rsid w:val="006F758C"/>
    <w:rsid w:val="006F7716"/>
    <w:rsid w:val="006F7B5A"/>
    <w:rsid w:val="006F7DDB"/>
    <w:rsid w:val="00700486"/>
    <w:rsid w:val="007008A4"/>
    <w:rsid w:val="00700A3F"/>
    <w:rsid w:val="00700AC7"/>
    <w:rsid w:val="00700FB7"/>
    <w:rsid w:val="007014AA"/>
    <w:rsid w:val="00701644"/>
    <w:rsid w:val="00701837"/>
    <w:rsid w:val="0070196C"/>
    <w:rsid w:val="00701A8D"/>
    <w:rsid w:val="00701EBC"/>
    <w:rsid w:val="00701EC0"/>
    <w:rsid w:val="00701F5E"/>
    <w:rsid w:val="0070268A"/>
    <w:rsid w:val="00702A56"/>
    <w:rsid w:val="0070334C"/>
    <w:rsid w:val="007033DF"/>
    <w:rsid w:val="00703783"/>
    <w:rsid w:val="0070379F"/>
    <w:rsid w:val="00703AA3"/>
    <w:rsid w:val="00703E7A"/>
    <w:rsid w:val="00703F39"/>
    <w:rsid w:val="00704513"/>
    <w:rsid w:val="0070451C"/>
    <w:rsid w:val="0070467D"/>
    <w:rsid w:val="00704D72"/>
    <w:rsid w:val="00705405"/>
    <w:rsid w:val="00705576"/>
    <w:rsid w:val="00705662"/>
    <w:rsid w:val="00705A6F"/>
    <w:rsid w:val="00706189"/>
    <w:rsid w:val="00706630"/>
    <w:rsid w:val="007066FC"/>
    <w:rsid w:val="00706C2D"/>
    <w:rsid w:val="00706E93"/>
    <w:rsid w:val="00707754"/>
    <w:rsid w:val="00707923"/>
    <w:rsid w:val="007079D0"/>
    <w:rsid w:val="00707B74"/>
    <w:rsid w:val="00707B78"/>
    <w:rsid w:val="00707BC6"/>
    <w:rsid w:val="00710674"/>
    <w:rsid w:val="007106DA"/>
    <w:rsid w:val="00710917"/>
    <w:rsid w:val="00710A25"/>
    <w:rsid w:val="00710C09"/>
    <w:rsid w:val="00711257"/>
    <w:rsid w:val="007124A0"/>
    <w:rsid w:val="0071253F"/>
    <w:rsid w:val="00712571"/>
    <w:rsid w:val="00712D4E"/>
    <w:rsid w:val="007131B8"/>
    <w:rsid w:val="0071358E"/>
    <w:rsid w:val="007144F9"/>
    <w:rsid w:val="00715123"/>
    <w:rsid w:val="00715512"/>
    <w:rsid w:val="0071578B"/>
    <w:rsid w:val="00715913"/>
    <w:rsid w:val="00715940"/>
    <w:rsid w:val="0071595A"/>
    <w:rsid w:val="00715D37"/>
    <w:rsid w:val="007168D8"/>
    <w:rsid w:val="00716CC6"/>
    <w:rsid w:val="00716F62"/>
    <w:rsid w:val="00717084"/>
    <w:rsid w:val="00717310"/>
    <w:rsid w:val="0071742C"/>
    <w:rsid w:val="00720133"/>
    <w:rsid w:val="0072066A"/>
    <w:rsid w:val="00720694"/>
    <w:rsid w:val="00720697"/>
    <w:rsid w:val="00720FC1"/>
    <w:rsid w:val="0072133C"/>
    <w:rsid w:val="00721982"/>
    <w:rsid w:val="00721F33"/>
    <w:rsid w:val="00722562"/>
    <w:rsid w:val="00722809"/>
    <w:rsid w:val="00722E9D"/>
    <w:rsid w:val="007230B6"/>
    <w:rsid w:val="007232F1"/>
    <w:rsid w:val="0072344D"/>
    <w:rsid w:val="007241A6"/>
    <w:rsid w:val="007246AC"/>
    <w:rsid w:val="007246CE"/>
    <w:rsid w:val="007247B2"/>
    <w:rsid w:val="007247FB"/>
    <w:rsid w:val="00724A2F"/>
    <w:rsid w:val="00724AF5"/>
    <w:rsid w:val="00724B28"/>
    <w:rsid w:val="00724E8E"/>
    <w:rsid w:val="00725169"/>
    <w:rsid w:val="0072525A"/>
    <w:rsid w:val="00725335"/>
    <w:rsid w:val="0072550A"/>
    <w:rsid w:val="00725C57"/>
    <w:rsid w:val="00725E01"/>
    <w:rsid w:val="00725E1F"/>
    <w:rsid w:val="00725E45"/>
    <w:rsid w:val="00725F14"/>
    <w:rsid w:val="00726087"/>
    <w:rsid w:val="0072614D"/>
    <w:rsid w:val="007262C2"/>
    <w:rsid w:val="007266DC"/>
    <w:rsid w:val="007271B1"/>
    <w:rsid w:val="0072742F"/>
    <w:rsid w:val="007279CA"/>
    <w:rsid w:val="00727B88"/>
    <w:rsid w:val="00727C7A"/>
    <w:rsid w:val="007302B0"/>
    <w:rsid w:val="0073040D"/>
    <w:rsid w:val="0073067F"/>
    <w:rsid w:val="0073089A"/>
    <w:rsid w:val="00730F77"/>
    <w:rsid w:val="00731349"/>
    <w:rsid w:val="007316D5"/>
    <w:rsid w:val="00731C08"/>
    <w:rsid w:val="00732E74"/>
    <w:rsid w:val="00732F1B"/>
    <w:rsid w:val="00733132"/>
    <w:rsid w:val="007331D3"/>
    <w:rsid w:val="0073342F"/>
    <w:rsid w:val="0073357E"/>
    <w:rsid w:val="007337C9"/>
    <w:rsid w:val="00733CC8"/>
    <w:rsid w:val="00733E67"/>
    <w:rsid w:val="00734367"/>
    <w:rsid w:val="0073532F"/>
    <w:rsid w:val="00735AC9"/>
    <w:rsid w:val="007361B0"/>
    <w:rsid w:val="007366C8"/>
    <w:rsid w:val="00736A0F"/>
    <w:rsid w:val="00736CD1"/>
    <w:rsid w:val="00736EA6"/>
    <w:rsid w:val="007379F5"/>
    <w:rsid w:val="00737A21"/>
    <w:rsid w:val="00737A97"/>
    <w:rsid w:val="00737E1F"/>
    <w:rsid w:val="00740C99"/>
    <w:rsid w:val="00741572"/>
    <w:rsid w:val="007417C8"/>
    <w:rsid w:val="00742143"/>
    <w:rsid w:val="00742402"/>
    <w:rsid w:val="0074246A"/>
    <w:rsid w:val="00743077"/>
    <w:rsid w:val="007430F0"/>
    <w:rsid w:val="00743129"/>
    <w:rsid w:val="0074346C"/>
    <w:rsid w:val="0074349F"/>
    <w:rsid w:val="00743A19"/>
    <w:rsid w:val="0074475B"/>
    <w:rsid w:val="007447B1"/>
    <w:rsid w:val="00744AE7"/>
    <w:rsid w:val="00744D37"/>
    <w:rsid w:val="00744E0E"/>
    <w:rsid w:val="00745123"/>
    <w:rsid w:val="00745434"/>
    <w:rsid w:val="0074551D"/>
    <w:rsid w:val="0074565E"/>
    <w:rsid w:val="00745B38"/>
    <w:rsid w:val="00745B9D"/>
    <w:rsid w:val="00745C8B"/>
    <w:rsid w:val="00745E43"/>
    <w:rsid w:val="00745F00"/>
    <w:rsid w:val="007464D9"/>
    <w:rsid w:val="0074660B"/>
    <w:rsid w:val="0074704A"/>
    <w:rsid w:val="0074755C"/>
    <w:rsid w:val="00747A12"/>
    <w:rsid w:val="00747B04"/>
    <w:rsid w:val="00747BBE"/>
    <w:rsid w:val="00747E9E"/>
    <w:rsid w:val="007500A6"/>
    <w:rsid w:val="007502B8"/>
    <w:rsid w:val="007504D1"/>
    <w:rsid w:val="007508A1"/>
    <w:rsid w:val="007508AE"/>
    <w:rsid w:val="00750BF5"/>
    <w:rsid w:val="00750E1F"/>
    <w:rsid w:val="00750E92"/>
    <w:rsid w:val="00751276"/>
    <w:rsid w:val="00751956"/>
    <w:rsid w:val="007519C0"/>
    <w:rsid w:val="00751A8F"/>
    <w:rsid w:val="00751BA9"/>
    <w:rsid w:val="00753019"/>
    <w:rsid w:val="0075362B"/>
    <w:rsid w:val="00753655"/>
    <w:rsid w:val="0075386F"/>
    <w:rsid w:val="00753E2D"/>
    <w:rsid w:val="00753EBB"/>
    <w:rsid w:val="00754435"/>
    <w:rsid w:val="0075443C"/>
    <w:rsid w:val="00754458"/>
    <w:rsid w:val="00754694"/>
    <w:rsid w:val="007546AA"/>
    <w:rsid w:val="00754BD5"/>
    <w:rsid w:val="00754C9E"/>
    <w:rsid w:val="00754FEC"/>
    <w:rsid w:val="00755009"/>
    <w:rsid w:val="007550DE"/>
    <w:rsid w:val="007556D6"/>
    <w:rsid w:val="00755916"/>
    <w:rsid w:val="00755925"/>
    <w:rsid w:val="00755E49"/>
    <w:rsid w:val="007561ED"/>
    <w:rsid w:val="007565A6"/>
    <w:rsid w:val="00756BBF"/>
    <w:rsid w:val="00756BD6"/>
    <w:rsid w:val="00756C88"/>
    <w:rsid w:val="007570F2"/>
    <w:rsid w:val="00757145"/>
    <w:rsid w:val="0075746D"/>
    <w:rsid w:val="00757638"/>
    <w:rsid w:val="00757738"/>
    <w:rsid w:val="00757B04"/>
    <w:rsid w:val="00757D1C"/>
    <w:rsid w:val="007601A1"/>
    <w:rsid w:val="0076093B"/>
    <w:rsid w:val="00760C3E"/>
    <w:rsid w:val="00760DD8"/>
    <w:rsid w:val="0076125D"/>
    <w:rsid w:val="007615B2"/>
    <w:rsid w:val="0076180D"/>
    <w:rsid w:val="007620DB"/>
    <w:rsid w:val="00762847"/>
    <w:rsid w:val="00762A26"/>
    <w:rsid w:val="00762A32"/>
    <w:rsid w:val="00762ACE"/>
    <w:rsid w:val="00762C81"/>
    <w:rsid w:val="00762E06"/>
    <w:rsid w:val="007630A1"/>
    <w:rsid w:val="007631E7"/>
    <w:rsid w:val="007637DF"/>
    <w:rsid w:val="00763898"/>
    <w:rsid w:val="00763A09"/>
    <w:rsid w:val="00763A83"/>
    <w:rsid w:val="00763C3B"/>
    <w:rsid w:val="00763DFC"/>
    <w:rsid w:val="00764174"/>
    <w:rsid w:val="00764588"/>
    <w:rsid w:val="007647E0"/>
    <w:rsid w:val="0076504B"/>
    <w:rsid w:val="00765273"/>
    <w:rsid w:val="00765538"/>
    <w:rsid w:val="00765572"/>
    <w:rsid w:val="0076586A"/>
    <w:rsid w:val="007659BB"/>
    <w:rsid w:val="00765A2E"/>
    <w:rsid w:val="00765AE7"/>
    <w:rsid w:val="00766074"/>
    <w:rsid w:val="007661EF"/>
    <w:rsid w:val="00766364"/>
    <w:rsid w:val="00766C64"/>
    <w:rsid w:val="00766CD3"/>
    <w:rsid w:val="00766DF3"/>
    <w:rsid w:val="0076721E"/>
    <w:rsid w:val="00767B7A"/>
    <w:rsid w:val="007702C7"/>
    <w:rsid w:val="0077039B"/>
    <w:rsid w:val="007708B1"/>
    <w:rsid w:val="00771193"/>
    <w:rsid w:val="0077155E"/>
    <w:rsid w:val="007717B8"/>
    <w:rsid w:val="00771E78"/>
    <w:rsid w:val="007720BB"/>
    <w:rsid w:val="00772143"/>
    <w:rsid w:val="0077248B"/>
    <w:rsid w:val="00772A3A"/>
    <w:rsid w:val="00772D06"/>
    <w:rsid w:val="00772D64"/>
    <w:rsid w:val="00772D7E"/>
    <w:rsid w:val="00772E82"/>
    <w:rsid w:val="007732FA"/>
    <w:rsid w:val="0077353C"/>
    <w:rsid w:val="007739A2"/>
    <w:rsid w:val="00773B13"/>
    <w:rsid w:val="00774643"/>
    <w:rsid w:val="00774CD2"/>
    <w:rsid w:val="00774E1B"/>
    <w:rsid w:val="00775006"/>
    <w:rsid w:val="0077506D"/>
    <w:rsid w:val="00775165"/>
    <w:rsid w:val="00775461"/>
    <w:rsid w:val="007756FC"/>
    <w:rsid w:val="0077571C"/>
    <w:rsid w:val="00775E60"/>
    <w:rsid w:val="007761F3"/>
    <w:rsid w:val="0077671F"/>
    <w:rsid w:val="00776DD5"/>
    <w:rsid w:val="00776E53"/>
    <w:rsid w:val="00777051"/>
    <w:rsid w:val="00777315"/>
    <w:rsid w:val="007774BA"/>
    <w:rsid w:val="00777957"/>
    <w:rsid w:val="00777C94"/>
    <w:rsid w:val="00780D7B"/>
    <w:rsid w:val="00780DC2"/>
    <w:rsid w:val="0078107C"/>
    <w:rsid w:val="0078117A"/>
    <w:rsid w:val="007813BA"/>
    <w:rsid w:val="0078142F"/>
    <w:rsid w:val="00781817"/>
    <w:rsid w:val="00782092"/>
    <w:rsid w:val="007821A7"/>
    <w:rsid w:val="00782351"/>
    <w:rsid w:val="00782710"/>
    <w:rsid w:val="007827D3"/>
    <w:rsid w:val="00782BCB"/>
    <w:rsid w:val="00782BF3"/>
    <w:rsid w:val="00782C33"/>
    <w:rsid w:val="00782C41"/>
    <w:rsid w:val="007833F6"/>
    <w:rsid w:val="00783410"/>
    <w:rsid w:val="00783492"/>
    <w:rsid w:val="007839AF"/>
    <w:rsid w:val="00783A35"/>
    <w:rsid w:val="00784315"/>
    <w:rsid w:val="007845A9"/>
    <w:rsid w:val="00784771"/>
    <w:rsid w:val="0078485A"/>
    <w:rsid w:val="00784A18"/>
    <w:rsid w:val="00784A4C"/>
    <w:rsid w:val="00784AA2"/>
    <w:rsid w:val="00784B65"/>
    <w:rsid w:val="00784C44"/>
    <w:rsid w:val="00784D83"/>
    <w:rsid w:val="00785048"/>
    <w:rsid w:val="00785074"/>
    <w:rsid w:val="0078532B"/>
    <w:rsid w:val="00785517"/>
    <w:rsid w:val="007857E7"/>
    <w:rsid w:val="0078634C"/>
    <w:rsid w:val="00786730"/>
    <w:rsid w:val="00786754"/>
    <w:rsid w:val="007868BC"/>
    <w:rsid w:val="00786A48"/>
    <w:rsid w:val="00786B7C"/>
    <w:rsid w:val="00786D29"/>
    <w:rsid w:val="00786EBF"/>
    <w:rsid w:val="00786FA0"/>
    <w:rsid w:val="007871E4"/>
    <w:rsid w:val="007876D2"/>
    <w:rsid w:val="0078777B"/>
    <w:rsid w:val="00787C8A"/>
    <w:rsid w:val="00787D54"/>
    <w:rsid w:val="00790029"/>
    <w:rsid w:val="00790735"/>
    <w:rsid w:val="00790746"/>
    <w:rsid w:val="00790ED6"/>
    <w:rsid w:val="00791251"/>
    <w:rsid w:val="00791290"/>
    <w:rsid w:val="00791317"/>
    <w:rsid w:val="00791B68"/>
    <w:rsid w:val="00791C33"/>
    <w:rsid w:val="00791C77"/>
    <w:rsid w:val="00791E89"/>
    <w:rsid w:val="007923AA"/>
    <w:rsid w:val="007926AA"/>
    <w:rsid w:val="00792790"/>
    <w:rsid w:val="00792E7E"/>
    <w:rsid w:val="00793030"/>
    <w:rsid w:val="007930F5"/>
    <w:rsid w:val="007942E9"/>
    <w:rsid w:val="00794AF4"/>
    <w:rsid w:val="0079520A"/>
    <w:rsid w:val="00795883"/>
    <w:rsid w:val="00795CFD"/>
    <w:rsid w:val="00795E6C"/>
    <w:rsid w:val="0079617A"/>
    <w:rsid w:val="0079635F"/>
    <w:rsid w:val="0079648D"/>
    <w:rsid w:val="007967CA"/>
    <w:rsid w:val="00796A9F"/>
    <w:rsid w:val="00796AB5"/>
    <w:rsid w:val="00796B73"/>
    <w:rsid w:val="0079719B"/>
    <w:rsid w:val="00797250"/>
    <w:rsid w:val="007975BB"/>
    <w:rsid w:val="0079782E"/>
    <w:rsid w:val="00797A11"/>
    <w:rsid w:val="00797A87"/>
    <w:rsid w:val="007A0106"/>
    <w:rsid w:val="007A0AC8"/>
    <w:rsid w:val="007A0F00"/>
    <w:rsid w:val="007A1085"/>
    <w:rsid w:val="007A11D2"/>
    <w:rsid w:val="007A170E"/>
    <w:rsid w:val="007A1BB0"/>
    <w:rsid w:val="007A1E6C"/>
    <w:rsid w:val="007A20ED"/>
    <w:rsid w:val="007A24AE"/>
    <w:rsid w:val="007A24AF"/>
    <w:rsid w:val="007A2683"/>
    <w:rsid w:val="007A28F2"/>
    <w:rsid w:val="007A2F53"/>
    <w:rsid w:val="007A300A"/>
    <w:rsid w:val="007A3718"/>
    <w:rsid w:val="007A3B16"/>
    <w:rsid w:val="007A42B4"/>
    <w:rsid w:val="007A4377"/>
    <w:rsid w:val="007A4380"/>
    <w:rsid w:val="007A46F6"/>
    <w:rsid w:val="007A4885"/>
    <w:rsid w:val="007A520D"/>
    <w:rsid w:val="007A5216"/>
    <w:rsid w:val="007A575B"/>
    <w:rsid w:val="007A588D"/>
    <w:rsid w:val="007A5BE4"/>
    <w:rsid w:val="007A5E18"/>
    <w:rsid w:val="007A603A"/>
    <w:rsid w:val="007A61EE"/>
    <w:rsid w:val="007A63A6"/>
    <w:rsid w:val="007A63FD"/>
    <w:rsid w:val="007A66A6"/>
    <w:rsid w:val="007A752A"/>
    <w:rsid w:val="007A7739"/>
    <w:rsid w:val="007A7C6A"/>
    <w:rsid w:val="007B01EA"/>
    <w:rsid w:val="007B07BA"/>
    <w:rsid w:val="007B07FA"/>
    <w:rsid w:val="007B0B32"/>
    <w:rsid w:val="007B0F68"/>
    <w:rsid w:val="007B104A"/>
    <w:rsid w:val="007B14B7"/>
    <w:rsid w:val="007B150F"/>
    <w:rsid w:val="007B16A4"/>
    <w:rsid w:val="007B1FCF"/>
    <w:rsid w:val="007B203C"/>
    <w:rsid w:val="007B2065"/>
    <w:rsid w:val="007B25BC"/>
    <w:rsid w:val="007B2902"/>
    <w:rsid w:val="007B2B14"/>
    <w:rsid w:val="007B2B80"/>
    <w:rsid w:val="007B2EA0"/>
    <w:rsid w:val="007B31BA"/>
    <w:rsid w:val="007B32CC"/>
    <w:rsid w:val="007B367A"/>
    <w:rsid w:val="007B36CC"/>
    <w:rsid w:val="007B39B2"/>
    <w:rsid w:val="007B40E1"/>
    <w:rsid w:val="007B424F"/>
    <w:rsid w:val="007B43EF"/>
    <w:rsid w:val="007B4F9E"/>
    <w:rsid w:val="007B55AC"/>
    <w:rsid w:val="007B560E"/>
    <w:rsid w:val="007B586C"/>
    <w:rsid w:val="007B58C0"/>
    <w:rsid w:val="007B6E25"/>
    <w:rsid w:val="007B6E32"/>
    <w:rsid w:val="007B71FD"/>
    <w:rsid w:val="007B727F"/>
    <w:rsid w:val="007B7289"/>
    <w:rsid w:val="007B72E2"/>
    <w:rsid w:val="007B7AB5"/>
    <w:rsid w:val="007C01E0"/>
    <w:rsid w:val="007C0A6D"/>
    <w:rsid w:val="007C0C2A"/>
    <w:rsid w:val="007C0DF4"/>
    <w:rsid w:val="007C0EE1"/>
    <w:rsid w:val="007C1008"/>
    <w:rsid w:val="007C1ADB"/>
    <w:rsid w:val="007C1ADD"/>
    <w:rsid w:val="007C218D"/>
    <w:rsid w:val="007C271F"/>
    <w:rsid w:val="007C27C7"/>
    <w:rsid w:val="007C2D2C"/>
    <w:rsid w:val="007C2D72"/>
    <w:rsid w:val="007C3243"/>
    <w:rsid w:val="007C3679"/>
    <w:rsid w:val="007C3B3F"/>
    <w:rsid w:val="007C465E"/>
    <w:rsid w:val="007C4B8B"/>
    <w:rsid w:val="007C5168"/>
    <w:rsid w:val="007C5829"/>
    <w:rsid w:val="007C5CC3"/>
    <w:rsid w:val="007C5E12"/>
    <w:rsid w:val="007C5F96"/>
    <w:rsid w:val="007C6223"/>
    <w:rsid w:val="007C62F2"/>
    <w:rsid w:val="007C6D2D"/>
    <w:rsid w:val="007C7472"/>
    <w:rsid w:val="007C7C54"/>
    <w:rsid w:val="007D0030"/>
    <w:rsid w:val="007D076B"/>
    <w:rsid w:val="007D0B03"/>
    <w:rsid w:val="007D0CD2"/>
    <w:rsid w:val="007D109A"/>
    <w:rsid w:val="007D1139"/>
    <w:rsid w:val="007D1510"/>
    <w:rsid w:val="007D1C0D"/>
    <w:rsid w:val="007D1FC7"/>
    <w:rsid w:val="007D2396"/>
    <w:rsid w:val="007D24B9"/>
    <w:rsid w:val="007D2526"/>
    <w:rsid w:val="007D27C8"/>
    <w:rsid w:val="007D2F88"/>
    <w:rsid w:val="007D3285"/>
    <w:rsid w:val="007D342E"/>
    <w:rsid w:val="007D3550"/>
    <w:rsid w:val="007D3686"/>
    <w:rsid w:val="007D488A"/>
    <w:rsid w:val="007D4DDF"/>
    <w:rsid w:val="007D5087"/>
    <w:rsid w:val="007D5135"/>
    <w:rsid w:val="007D544F"/>
    <w:rsid w:val="007D5570"/>
    <w:rsid w:val="007D582C"/>
    <w:rsid w:val="007D5E68"/>
    <w:rsid w:val="007D61B3"/>
    <w:rsid w:val="007D63C7"/>
    <w:rsid w:val="007D697A"/>
    <w:rsid w:val="007D6CCF"/>
    <w:rsid w:val="007D6D1F"/>
    <w:rsid w:val="007D7158"/>
    <w:rsid w:val="007D7E48"/>
    <w:rsid w:val="007E0614"/>
    <w:rsid w:val="007E068C"/>
    <w:rsid w:val="007E0980"/>
    <w:rsid w:val="007E0BA7"/>
    <w:rsid w:val="007E0F32"/>
    <w:rsid w:val="007E0F6F"/>
    <w:rsid w:val="007E13FE"/>
    <w:rsid w:val="007E15D2"/>
    <w:rsid w:val="007E1646"/>
    <w:rsid w:val="007E1F0F"/>
    <w:rsid w:val="007E21F7"/>
    <w:rsid w:val="007E257E"/>
    <w:rsid w:val="007E2D81"/>
    <w:rsid w:val="007E2F34"/>
    <w:rsid w:val="007E3453"/>
    <w:rsid w:val="007E3660"/>
    <w:rsid w:val="007E39D1"/>
    <w:rsid w:val="007E3C6B"/>
    <w:rsid w:val="007E3E92"/>
    <w:rsid w:val="007E4026"/>
    <w:rsid w:val="007E42CE"/>
    <w:rsid w:val="007E432C"/>
    <w:rsid w:val="007E46DC"/>
    <w:rsid w:val="007E4D48"/>
    <w:rsid w:val="007E508C"/>
    <w:rsid w:val="007E53F9"/>
    <w:rsid w:val="007E5713"/>
    <w:rsid w:val="007E611B"/>
    <w:rsid w:val="007E6997"/>
    <w:rsid w:val="007E6A18"/>
    <w:rsid w:val="007E6B49"/>
    <w:rsid w:val="007E6ED9"/>
    <w:rsid w:val="007E7200"/>
    <w:rsid w:val="007E761B"/>
    <w:rsid w:val="007E7977"/>
    <w:rsid w:val="007E7A97"/>
    <w:rsid w:val="007F07DD"/>
    <w:rsid w:val="007F0B64"/>
    <w:rsid w:val="007F11C8"/>
    <w:rsid w:val="007F11E7"/>
    <w:rsid w:val="007F1956"/>
    <w:rsid w:val="007F2074"/>
    <w:rsid w:val="007F21E8"/>
    <w:rsid w:val="007F270C"/>
    <w:rsid w:val="007F2768"/>
    <w:rsid w:val="007F27C0"/>
    <w:rsid w:val="007F2BFE"/>
    <w:rsid w:val="007F2C79"/>
    <w:rsid w:val="007F2DB7"/>
    <w:rsid w:val="007F317B"/>
    <w:rsid w:val="007F3ECF"/>
    <w:rsid w:val="007F407D"/>
    <w:rsid w:val="007F4C4A"/>
    <w:rsid w:val="007F51BC"/>
    <w:rsid w:val="007F55F9"/>
    <w:rsid w:val="007F61CE"/>
    <w:rsid w:val="007F660F"/>
    <w:rsid w:val="007F6A8C"/>
    <w:rsid w:val="007F7D27"/>
    <w:rsid w:val="007F7F0A"/>
    <w:rsid w:val="0080013E"/>
    <w:rsid w:val="00800D34"/>
    <w:rsid w:val="008013AC"/>
    <w:rsid w:val="008013C2"/>
    <w:rsid w:val="00801480"/>
    <w:rsid w:val="008014F4"/>
    <w:rsid w:val="008019E4"/>
    <w:rsid w:val="00802156"/>
    <w:rsid w:val="008021CE"/>
    <w:rsid w:val="00802235"/>
    <w:rsid w:val="00802618"/>
    <w:rsid w:val="00802705"/>
    <w:rsid w:val="0080280D"/>
    <w:rsid w:val="00802B7A"/>
    <w:rsid w:val="00802B80"/>
    <w:rsid w:val="00802C10"/>
    <w:rsid w:val="00802FC9"/>
    <w:rsid w:val="0080307B"/>
    <w:rsid w:val="008035CB"/>
    <w:rsid w:val="008039F8"/>
    <w:rsid w:val="00803DFA"/>
    <w:rsid w:val="00803EA6"/>
    <w:rsid w:val="00803EC7"/>
    <w:rsid w:val="00803F76"/>
    <w:rsid w:val="00803FDD"/>
    <w:rsid w:val="008040F3"/>
    <w:rsid w:val="008043BD"/>
    <w:rsid w:val="00804409"/>
    <w:rsid w:val="00804930"/>
    <w:rsid w:val="00804F27"/>
    <w:rsid w:val="00805350"/>
    <w:rsid w:val="00805B0A"/>
    <w:rsid w:val="00806864"/>
    <w:rsid w:val="00806A51"/>
    <w:rsid w:val="008074AB"/>
    <w:rsid w:val="00807521"/>
    <w:rsid w:val="00807CD0"/>
    <w:rsid w:val="008100B6"/>
    <w:rsid w:val="008100FA"/>
    <w:rsid w:val="008102D4"/>
    <w:rsid w:val="008102D5"/>
    <w:rsid w:val="008102F6"/>
    <w:rsid w:val="008104C6"/>
    <w:rsid w:val="00810984"/>
    <w:rsid w:val="00810BC6"/>
    <w:rsid w:val="00810DBA"/>
    <w:rsid w:val="00810ED7"/>
    <w:rsid w:val="0081126F"/>
    <w:rsid w:val="00811E6C"/>
    <w:rsid w:val="00812092"/>
    <w:rsid w:val="00812371"/>
    <w:rsid w:val="00812453"/>
    <w:rsid w:val="008127CE"/>
    <w:rsid w:val="008138A3"/>
    <w:rsid w:val="008138A9"/>
    <w:rsid w:val="00813B4B"/>
    <w:rsid w:val="00813FC9"/>
    <w:rsid w:val="008145AA"/>
    <w:rsid w:val="00814C6A"/>
    <w:rsid w:val="00814E3A"/>
    <w:rsid w:val="008151EF"/>
    <w:rsid w:val="0081538A"/>
    <w:rsid w:val="008154AB"/>
    <w:rsid w:val="00816232"/>
    <w:rsid w:val="00816348"/>
    <w:rsid w:val="0081635F"/>
    <w:rsid w:val="008165AB"/>
    <w:rsid w:val="00816B62"/>
    <w:rsid w:val="00816C47"/>
    <w:rsid w:val="00817008"/>
    <w:rsid w:val="0081716B"/>
    <w:rsid w:val="00817342"/>
    <w:rsid w:val="00817384"/>
    <w:rsid w:val="00817498"/>
    <w:rsid w:val="00817BB9"/>
    <w:rsid w:val="00817F89"/>
    <w:rsid w:val="00820422"/>
    <w:rsid w:val="00820451"/>
    <w:rsid w:val="008204F3"/>
    <w:rsid w:val="00820657"/>
    <w:rsid w:val="00820BAC"/>
    <w:rsid w:val="00820D07"/>
    <w:rsid w:val="008213BB"/>
    <w:rsid w:val="008214F1"/>
    <w:rsid w:val="0082176F"/>
    <w:rsid w:val="0082178C"/>
    <w:rsid w:val="00821C26"/>
    <w:rsid w:val="00821FB9"/>
    <w:rsid w:val="00821FCB"/>
    <w:rsid w:val="00822147"/>
    <w:rsid w:val="00822700"/>
    <w:rsid w:val="0082290C"/>
    <w:rsid w:val="00822955"/>
    <w:rsid w:val="00822A5C"/>
    <w:rsid w:val="00822EF4"/>
    <w:rsid w:val="00822FB9"/>
    <w:rsid w:val="00823140"/>
    <w:rsid w:val="008231F6"/>
    <w:rsid w:val="00823574"/>
    <w:rsid w:val="008237AF"/>
    <w:rsid w:val="00823A65"/>
    <w:rsid w:val="00823AAD"/>
    <w:rsid w:val="00823CCE"/>
    <w:rsid w:val="00823D1D"/>
    <w:rsid w:val="0082414B"/>
    <w:rsid w:val="00824251"/>
    <w:rsid w:val="00824983"/>
    <w:rsid w:val="00824C84"/>
    <w:rsid w:val="00824E43"/>
    <w:rsid w:val="008251CF"/>
    <w:rsid w:val="008256BF"/>
    <w:rsid w:val="00825DE5"/>
    <w:rsid w:val="00825E53"/>
    <w:rsid w:val="00825F2F"/>
    <w:rsid w:val="00825FB0"/>
    <w:rsid w:val="00826039"/>
    <w:rsid w:val="00826813"/>
    <w:rsid w:val="00826DB1"/>
    <w:rsid w:val="00826F15"/>
    <w:rsid w:val="008276FF"/>
    <w:rsid w:val="00827A46"/>
    <w:rsid w:val="00827C51"/>
    <w:rsid w:val="00827EAB"/>
    <w:rsid w:val="00827EC6"/>
    <w:rsid w:val="00827F46"/>
    <w:rsid w:val="0083018D"/>
    <w:rsid w:val="00830330"/>
    <w:rsid w:val="00830B0E"/>
    <w:rsid w:val="00830BA5"/>
    <w:rsid w:val="00830F11"/>
    <w:rsid w:val="00831B41"/>
    <w:rsid w:val="00831D5F"/>
    <w:rsid w:val="00831E59"/>
    <w:rsid w:val="008320E4"/>
    <w:rsid w:val="00832344"/>
    <w:rsid w:val="008328C7"/>
    <w:rsid w:val="00832AB2"/>
    <w:rsid w:val="00832D97"/>
    <w:rsid w:val="00832E66"/>
    <w:rsid w:val="00833085"/>
    <w:rsid w:val="008332A1"/>
    <w:rsid w:val="0083346A"/>
    <w:rsid w:val="00833517"/>
    <w:rsid w:val="00833D65"/>
    <w:rsid w:val="00834373"/>
    <w:rsid w:val="0083474F"/>
    <w:rsid w:val="008347D3"/>
    <w:rsid w:val="00834A54"/>
    <w:rsid w:val="00834E17"/>
    <w:rsid w:val="008352B6"/>
    <w:rsid w:val="00835624"/>
    <w:rsid w:val="008364C2"/>
    <w:rsid w:val="008364E1"/>
    <w:rsid w:val="0083654E"/>
    <w:rsid w:val="00836551"/>
    <w:rsid w:val="008368D5"/>
    <w:rsid w:val="00836948"/>
    <w:rsid w:val="00836A3F"/>
    <w:rsid w:val="00836AFE"/>
    <w:rsid w:val="00836D12"/>
    <w:rsid w:val="00836D21"/>
    <w:rsid w:val="008372B7"/>
    <w:rsid w:val="008378E5"/>
    <w:rsid w:val="0083790D"/>
    <w:rsid w:val="008400E6"/>
    <w:rsid w:val="00840137"/>
    <w:rsid w:val="00840318"/>
    <w:rsid w:val="00840622"/>
    <w:rsid w:val="0084084E"/>
    <w:rsid w:val="008408E4"/>
    <w:rsid w:val="008409D6"/>
    <w:rsid w:val="00840C37"/>
    <w:rsid w:val="00841032"/>
    <w:rsid w:val="0084149F"/>
    <w:rsid w:val="008419C3"/>
    <w:rsid w:val="00841C2C"/>
    <w:rsid w:val="0084215D"/>
    <w:rsid w:val="00842A01"/>
    <w:rsid w:val="00842AE8"/>
    <w:rsid w:val="00842C7B"/>
    <w:rsid w:val="00842D8C"/>
    <w:rsid w:val="00842DE6"/>
    <w:rsid w:val="00842EEF"/>
    <w:rsid w:val="00842F3E"/>
    <w:rsid w:val="008432F4"/>
    <w:rsid w:val="008433A3"/>
    <w:rsid w:val="00843A86"/>
    <w:rsid w:val="008440FE"/>
    <w:rsid w:val="0084442B"/>
    <w:rsid w:val="008447CE"/>
    <w:rsid w:val="00844B73"/>
    <w:rsid w:val="008450BB"/>
    <w:rsid w:val="008452C7"/>
    <w:rsid w:val="00846022"/>
    <w:rsid w:val="00846073"/>
    <w:rsid w:val="00846271"/>
    <w:rsid w:val="0084633F"/>
    <w:rsid w:val="0084649B"/>
    <w:rsid w:val="008468EA"/>
    <w:rsid w:val="00846CAF"/>
    <w:rsid w:val="008476F9"/>
    <w:rsid w:val="008479BD"/>
    <w:rsid w:val="00847AC9"/>
    <w:rsid w:val="00847E43"/>
    <w:rsid w:val="00847E63"/>
    <w:rsid w:val="00850249"/>
    <w:rsid w:val="00850311"/>
    <w:rsid w:val="00850DD5"/>
    <w:rsid w:val="00851260"/>
    <w:rsid w:val="0085167E"/>
    <w:rsid w:val="008518A1"/>
    <w:rsid w:val="00851A19"/>
    <w:rsid w:val="00851D64"/>
    <w:rsid w:val="00851DFC"/>
    <w:rsid w:val="008521D5"/>
    <w:rsid w:val="00852374"/>
    <w:rsid w:val="008526AA"/>
    <w:rsid w:val="008526D6"/>
    <w:rsid w:val="008527C4"/>
    <w:rsid w:val="0085324D"/>
    <w:rsid w:val="00853362"/>
    <w:rsid w:val="00853725"/>
    <w:rsid w:val="00853CE5"/>
    <w:rsid w:val="00853EF7"/>
    <w:rsid w:val="008540F7"/>
    <w:rsid w:val="008547D7"/>
    <w:rsid w:val="00854B8C"/>
    <w:rsid w:val="0085501E"/>
    <w:rsid w:val="0085520E"/>
    <w:rsid w:val="00855F17"/>
    <w:rsid w:val="00855FBD"/>
    <w:rsid w:val="0085611B"/>
    <w:rsid w:val="008565B0"/>
    <w:rsid w:val="008565D7"/>
    <w:rsid w:val="00856677"/>
    <w:rsid w:val="00856749"/>
    <w:rsid w:val="00856ABB"/>
    <w:rsid w:val="008572EC"/>
    <w:rsid w:val="00857A0F"/>
    <w:rsid w:val="00857D1B"/>
    <w:rsid w:val="00857D54"/>
    <w:rsid w:val="0086066A"/>
    <w:rsid w:val="00860AAB"/>
    <w:rsid w:val="008612D1"/>
    <w:rsid w:val="0086178B"/>
    <w:rsid w:val="00861B52"/>
    <w:rsid w:val="00861CA0"/>
    <w:rsid w:val="008623C8"/>
    <w:rsid w:val="00862405"/>
    <w:rsid w:val="0086274E"/>
    <w:rsid w:val="00862941"/>
    <w:rsid w:val="00862A19"/>
    <w:rsid w:val="00862E50"/>
    <w:rsid w:val="00862EBA"/>
    <w:rsid w:val="00863BB5"/>
    <w:rsid w:val="00863C28"/>
    <w:rsid w:val="00863D3E"/>
    <w:rsid w:val="00863EC7"/>
    <w:rsid w:val="00864300"/>
    <w:rsid w:val="008644CB"/>
    <w:rsid w:val="00864569"/>
    <w:rsid w:val="00864BA3"/>
    <w:rsid w:val="00865555"/>
    <w:rsid w:val="0086568E"/>
    <w:rsid w:val="008656AD"/>
    <w:rsid w:val="00865BA9"/>
    <w:rsid w:val="00865F03"/>
    <w:rsid w:val="00865FE1"/>
    <w:rsid w:val="008665A2"/>
    <w:rsid w:val="0086660A"/>
    <w:rsid w:val="008666AA"/>
    <w:rsid w:val="0086683F"/>
    <w:rsid w:val="00867573"/>
    <w:rsid w:val="00867E54"/>
    <w:rsid w:val="00867EDB"/>
    <w:rsid w:val="00867FA5"/>
    <w:rsid w:val="00871375"/>
    <w:rsid w:val="008713B3"/>
    <w:rsid w:val="008713C1"/>
    <w:rsid w:val="00871624"/>
    <w:rsid w:val="008717D0"/>
    <w:rsid w:val="0087185B"/>
    <w:rsid w:val="00871B5C"/>
    <w:rsid w:val="00871E30"/>
    <w:rsid w:val="00871FE1"/>
    <w:rsid w:val="0087218A"/>
    <w:rsid w:val="008721BD"/>
    <w:rsid w:val="00872A2C"/>
    <w:rsid w:val="00872E20"/>
    <w:rsid w:val="00873110"/>
    <w:rsid w:val="00873272"/>
    <w:rsid w:val="00873628"/>
    <w:rsid w:val="0087385C"/>
    <w:rsid w:val="00873B30"/>
    <w:rsid w:val="00873C26"/>
    <w:rsid w:val="0087424B"/>
    <w:rsid w:val="0087430C"/>
    <w:rsid w:val="00874445"/>
    <w:rsid w:val="008747AC"/>
    <w:rsid w:val="00874AC3"/>
    <w:rsid w:val="00874D20"/>
    <w:rsid w:val="00874D33"/>
    <w:rsid w:val="00875273"/>
    <w:rsid w:val="00875510"/>
    <w:rsid w:val="00875736"/>
    <w:rsid w:val="00875B2F"/>
    <w:rsid w:val="00875E07"/>
    <w:rsid w:val="00875F31"/>
    <w:rsid w:val="008760A8"/>
    <w:rsid w:val="0087642A"/>
    <w:rsid w:val="0087677E"/>
    <w:rsid w:val="0087690E"/>
    <w:rsid w:val="00876CA6"/>
    <w:rsid w:val="008774C8"/>
    <w:rsid w:val="00877584"/>
    <w:rsid w:val="0087761E"/>
    <w:rsid w:val="008800DC"/>
    <w:rsid w:val="00880227"/>
    <w:rsid w:val="0088044D"/>
    <w:rsid w:val="00880F18"/>
    <w:rsid w:val="0088105C"/>
    <w:rsid w:val="0088112B"/>
    <w:rsid w:val="008814C4"/>
    <w:rsid w:val="008818C2"/>
    <w:rsid w:val="0088266F"/>
    <w:rsid w:val="008827EB"/>
    <w:rsid w:val="008829B8"/>
    <w:rsid w:val="008831AD"/>
    <w:rsid w:val="00883931"/>
    <w:rsid w:val="00883B25"/>
    <w:rsid w:val="00883C69"/>
    <w:rsid w:val="00883CF5"/>
    <w:rsid w:val="008845DC"/>
    <w:rsid w:val="008848DF"/>
    <w:rsid w:val="00884987"/>
    <w:rsid w:val="00884B5E"/>
    <w:rsid w:val="00884C35"/>
    <w:rsid w:val="008850A6"/>
    <w:rsid w:val="008851B9"/>
    <w:rsid w:val="008852E3"/>
    <w:rsid w:val="00885304"/>
    <w:rsid w:val="008855DF"/>
    <w:rsid w:val="00885BB0"/>
    <w:rsid w:val="00885CB5"/>
    <w:rsid w:val="00886073"/>
    <w:rsid w:val="008860CC"/>
    <w:rsid w:val="0088668B"/>
    <w:rsid w:val="00886F36"/>
    <w:rsid w:val="0088709C"/>
    <w:rsid w:val="008873F9"/>
    <w:rsid w:val="008879DF"/>
    <w:rsid w:val="00887E4C"/>
    <w:rsid w:val="00887FA6"/>
    <w:rsid w:val="00890515"/>
    <w:rsid w:val="008907EB"/>
    <w:rsid w:val="00891099"/>
    <w:rsid w:val="00891134"/>
    <w:rsid w:val="0089185F"/>
    <w:rsid w:val="00891935"/>
    <w:rsid w:val="008919ED"/>
    <w:rsid w:val="00891C4D"/>
    <w:rsid w:val="00891CF3"/>
    <w:rsid w:val="00891CFF"/>
    <w:rsid w:val="00892992"/>
    <w:rsid w:val="00892CBF"/>
    <w:rsid w:val="008930A0"/>
    <w:rsid w:val="00893403"/>
    <w:rsid w:val="00893447"/>
    <w:rsid w:val="008934AA"/>
    <w:rsid w:val="00893E51"/>
    <w:rsid w:val="0089411E"/>
    <w:rsid w:val="008942C9"/>
    <w:rsid w:val="008946D6"/>
    <w:rsid w:val="0089489A"/>
    <w:rsid w:val="008949E4"/>
    <w:rsid w:val="008954F2"/>
    <w:rsid w:val="008966CE"/>
    <w:rsid w:val="00896B48"/>
    <w:rsid w:val="008970E7"/>
    <w:rsid w:val="008971BF"/>
    <w:rsid w:val="0089751E"/>
    <w:rsid w:val="00897706"/>
    <w:rsid w:val="008A0172"/>
    <w:rsid w:val="008A031C"/>
    <w:rsid w:val="008A0955"/>
    <w:rsid w:val="008A0E3B"/>
    <w:rsid w:val="008A0E42"/>
    <w:rsid w:val="008A0E78"/>
    <w:rsid w:val="008A0F1B"/>
    <w:rsid w:val="008A1172"/>
    <w:rsid w:val="008A1434"/>
    <w:rsid w:val="008A16A5"/>
    <w:rsid w:val="008A16E1"/>
    <w:rsid w:val="008A1AD6"/>
    <w:rsid w:val="008A1CF0"/>
    <w:rsid w:val="008A2066"/>
    <w:rsid w:val="008A2079"/>
    <w:rsid w:val="008A26AB"/>
    <w:rsid w:val="008A29D9"/>
    <w:rsid w:val="008A2C28"/>
    <w:rsid w:val="008A2D43"/>
    <w:rsid w:val="008A2DF8"/>
    <w:rsid w:val="008A3050"/>
    <w:rsid w:val="008A30A3"/>
    <w:rsid w:val="008A30C8"/>
    <w:rsid w:val="008A3137"/>
    <w:rsid w:val="008A3146"/>
    <w:rsid w:val="008A3239"/>
    <w:rsid w:val="008A367A"/>
    <w:rsid w:val="008A3957"/>
    <w:rsid w:val="008A39E1"/>
    <w:rsid w:val="008A3D6C"/>
    <w:rsid w:val="008A3E3F"/>
    <w:rsid w:val="008A3F0C"/>
    <w:rsid w:val="008A4082"/>
    <w:rsid w:val="008A43A8"/>
    <w:rsid w:val="008A4A3A"/>
    <w:rsid w:val="008A4E5C"/>
    <w:rsid w:val="008A4F71"/>
    <w:rsid w:val="008A4FD2"/>
    <w:rsid w:val="008A5012"/>
    <w:rsid w:val="008A51C8"/>
    <w:rsid w:val="008A522C"/>
    <w:rsid w:val="008A5383"/>
    <w:rsid w:val="008A53CD"/>
    <w:rsid w:val="008A5623"/>
    <w:rsid w:val="008A5688"/>
    <w:rsid w:val="008A5788"/>
    <w:rsid w:val="008A5964"/>
    <w:rsid w:val="008A5DF4"/>
    <w:rsid w:val="008A5E3D"/>
    <w:rsid w:val="008A630C"/>
    <w:rsid w:val="008A641F"/>
    <w:rsid w:val="008A7041"/>
    <w:rsid w:val="008B001E"/>
    <w:rsid w:val="008B00F9"/>
    <w:rsid w:val="008B0173"/>
    <w:rsid w:val="008B0332"/>
    <w:rsid w:val="008B0AC9"/>
    <w:rsid w:val="008B0ADA"/>
    <w:rsid w:val="008B0B78"/>
    <w:rsid w:val="008B1BBC"/>
    <w:rsid w:val="008B1F51"/>
    <w:rsid w:val="008B218D"/>
    <w:rsid w:val="008B2F23"/>
    <w:rsid w:val="008B3A67"/>
    <w:rsid w:val="008B3B06"/>
    <w:rsid w:val="008B3D75"/>
    <w:rsid w:val="008B3EDD"/>
    <w:rsid w:val="008B4079"/>
    <w:rsid w:val="008B4507"/>
    <w:rsid w:val="008B45C2"/>
    <w:rsid w:val="008B468F"/>
    <w:rsid w:val="008B4D6D"/>
    <w:rsid w:val="008B4DA9"/>
    <w:rsid w:val="008B4E20"/>
    <w:rsid w:val="008B4FB0"/>
    <w:rsid w:val="008B5464"/>
    <w:rsid w:val="008B5750"/>
    <w:rsid w:val="008B59E4"/>
    <w:rsid w:val="008B60A3"/>
    <w:rsid w:val="008B623F"/>
    <w:rsid w:val="008B63CD"/>
    <w:rsid w:val="008B68A9"/>
    <w:rsid w:val="008B6D77"/>
    <w:rsid w:val="008B6F42"/>
    <w:rsid w:val="008B72A6"/>
    <w:rsid w:val="008B74A0"/>
    <w:rsid w:val="008B7927"/>
    <w:rsid w:val="008B79F2"/>
    <w:rsid w:val="008B7B08"/>
    <w:rsid w:val="008B7CF0"/>
    <w:rsid w:val="008C071C"/>
    <w:rsid w:val="008C0B00"/>
    <w:rsid w:val="008C0D53"/>
    <w:rsid w:val="008C1DC0"/>
    <w:rsid w:val="008C2483"/>
    <w:rsid w:val="008C259E"/>
    <w:rsid w:val="008C2659"/>
    <w:rsid w:val="008C2910"/>
    <w:rsid w:val="008C2A59"/>
    <w:rsid w:val="008C2F63"/>
    <w:rsid w:val="008C3163"/>
    <w:rsid w:val="008C3364"/>
    <w:rsid w:val="008C3B8F"/>
    <w:rsid w:val="008C3E38"/>
    <w:rsid w:val="008C41EE"/>
    <w:rsid w:val="008C4397"/>
    <w:rsid w:val="008C4499"/>
    <w:rsid w:val="008C44F9"/>
    <w:rsid w:val="008C463A"/>
    <w:rsid w:val="008C46A5"/>
    <w:rsid w:val="008C494F"/>
    <w:rsid w:val="008C4B22"/>
    <w:rsid w:val="008C4B5E"/>
    <w:rsid w:val="008C4FB2"/>
    <w:rsid w:val="008C56A1"/>
    <w:rsid w:val="008C622E"/>
    <w:rsid w:val="008C633C"/>
    <w:rsid w:val="008C6486"/>
    <w:rsid w:val="008C657F"/>
    <w:rsid w:val="008C6616"/>
    <w:rsid w:val="008C69E0"/>
    <w:rsid w:val="008C6F44"/>
    <w:rsid w:val="008C7A49"/>
    <w:rsid w:val="008C7B92"/>
    <w:rsid w:val="008C7D03"/>
    <w:rsid w:val="008C7E50"/>
    <w:rsid w:val="008D0160"/>
    <w:rsid w:val="008D0189"/>
    <w:rsid w:val="008D0E19"/>
    <w:rsid w:val="008D1370"/>
    <w:rsid w:val="008D14E8"/>
    <w:rsid w:val="008D1794"/>
    <w:rsid w:val="008D1BE9"/>
    <w:rsid w:val="008D1C01"/>
    <w:rsid w:val="008D1DB6"/>
    <w:rsid w:val="008D1E83"/>
    <w:rsid w:val="008D20EE"/>
    <w:rsid w:val="008D2849"/>
    <w:rsid w:val="008D2A18"/>
    <w:rsid w:val="008D2A4E"/>
    <w:rsid w:val="008D2F6D"/>
    <w:rsid w:val="008D2FCF"/>
    <w:rsid w:val="008D344A"/>
    <w:rsid w:val="008D35E5"/>
    <w:rsid w:val="008D3607"/>
    <w:rsid w:val="008D3656"/>
    <w:rsid w:val="008D39E2"/>
    <w:rsid w:val="008D416A"/>
    <w:rsid w:val="008D42C4"/>
    <w:rsid w:val="008D44E8"/>
    <w:rsid w:val="008D4583"/>
    <w:rsid w:val="008D4837"/>
    <w:rsid w:val="008D48F1"/>
    <w:rsid w:val="008D52ED"/>
    <w:rsid w:val="008D583F"/>
    <w:rsid w:val="008D5B12"/>
    <w:rsid w:val="008D5EBA"/>
    <w:rsid w:val="008D6123"/>
    <w:rsid w:val="008D66AF"/>
    <w:rsid w:val="008D6750"/>
    <w:rsid w:val="008D6AE5"/>
    <w:rsid w:val="008D6CF9"/>
    <w:rsid w:val="008D6E8D"/>
    <w:rsid w:val="008D7780"/>
    <w:rsid w:val="008D7B66"/>
    <w:rsid w:val="008D7CA9"/>
    <w:rsid w:val="008D7DAB"/>
    <w:rsid w:val="008E0044"/>
    <w:rsid w:val="008E06E0"/>
    <w:rsid w:val="008E08C7"/>
    <w:rsid w:val="008E090A"/>
    <w:rsid w:val="008E0A85"/>
    <w:rsid w:val="008E0F6B"/>
    <w:rsid w:val="008E166C"/>
    <w:rsid w:val="008E1698"/>
    <w:rsid w:val="008E17EF"/>
    <w:rsid w:val="008E1B57"/>
    <w:rsid w:val="008E1CBC"/>
    <w:rsid w:val="008E1D34"/>
    <w:rsid w:val="008E2230"/>
    <w:rsid w:val="008E3175"/>
    <w:rsid w:val="008E3928"/>
    <w:rsid w:val="008E3C6C"/>
    <w:rsid w:val="008E4250"/>
    <w:rsid w:val="008E4E32"/>
    <w:rsid w:val="008E5907"/>
    <w:rsid w:val="008E5C4C"/>
    <w:rsid w:val="008E63AE"/>
    <w:rsid w:val="008E6796"/>
    <w:rsid w:val="008E6989"/>
    <w:rsid w:val="008E7099"/>
    <w:rsid w:val="008E7489"/>
    <w:rsid w:val="008E76EE"/>
    <w:rsid w:val="008F0053"/>
    <w:rsid w:val="008F01A4"/>
    <w:rsid w:val="008F03E9"/>
    <w:rsid w:val="008F0520"/>
    <w:rsid w:val="008F080D"/>
    <w:rsid w:val="008F0B32"/>
    <w:rsid w:val="008F0D5D"/>
    <w:rsid w:val="008F0EE8"/>
    <w:rsid w:val="008F11A4"/>
    <w:rsid w:val="008F11A5"/>
    <w:rsid w:val="008F1318"/>
    <w:rsid w:val="008F1940"/>
    <w:rsid w:val="008F22F5"/>
    <w:rsid w:val="008F25D1"/>
    <w:rsid w:val="008F28AB"/>
    <w:rsid w:val="008F3034"/>
    <w:rsid w:val="008F3665"/>
    <w:rsid w:val="008F37D2"/>
    <w:rsid w:val="008F38CC"/>
    <w:rsid w:val="008F39C3"/>
    <w:rsid w:val="008F3BC2"/>
    <w:rsid w:val="008F3DA7"/>
    <w:rsid w:val="008F3DB5"/>
    <w:rsid w:val="008F3EDC"/>
    <w:rsid w:val="008F4050"/>
    <w:rsid w:val="008F4063"/>
    <w:rsid w:val="008F481D"/>
    <w:rsid w:val="008F4A0F"/>
    <w:rsid w:val="008F4F07"/>
    <w:rsid w:val="008F503F"/>
    <w:rsid w:val="008F51D1"/>
    <w:rsid w:val="008F56A5"/>
    <w:rsid w:val="008F5D36"/>
    <w:rsid w:val="008F5FB2"/>
    <w:rsid w:val="008F6DDD"/>
    <w:rsid w:val="008F74FB"/>
    <w:rsid w:val="008F75B2"/>
    <w:rsid w:val="008F7A5F"/>
    <w:rsid w:val="008F7A8A"/>
    <w:rsid w:val="008F7EDC"/>
    <w:rsid w:val="00900062"/>
    <w:rsid w:val="00900302"/>
    <w:rsid w:val="0090083F"/>
    <w:rsid w:val="00900A8E"/>
    <w:rsid w:val="009010C7"/>
    <w:rsid w:val="00901108"/>
    <w:rsid w:val="009011D1"/>
    <w:rsid w:val="00901274"/>
    <w:rsid w:val="00901961"/>
    <w:rsid w:val="00901A63"/>
    <w:rsid w:val="00901CEC"/>
    <w:rsid w:val="0090214C"/>
    <w:rsid w:val="009025B5"/>
    <w:rsid w:val="009025BC"/>
    <w:rsid w:val="00902C85"/>
    <w:rsid w:val="00902D05"/>
    <w:rsid w:val="00902E0E"/>
    <w:rsid w:val="00902E72"/>
    <w:rsid w:val="0090353D"/>
    <w:rsid w:val="009038A4"/>
    <w:rsid w:val="00903901"/>
    <w:rsid w:val="00903E1F"/>
    <w:rsid w:val="00903F53"/>
    <w:rsid w:val="00904F23"/>
    <w:rsid w:val="0090542B"/>
    <w:rsid w:val="00905A4D"/>
    <w:rsid w:val="00905A66"/>
    <w:rsid w:val="00905AD4"/>
    <w:rsid w:val="00905D6C"/>
    <w:rsid w:val="00905DB8"/>
    <w:rsid w:val="00905E91"/>
    <w:rsid w:val="009060C8"/>
    <w:rsid w:val="00906183"/>
    <w:rsid w:val="00906466"/>
    <w:rsid w:val="009066D9"/>
    <w:rsid w:val="0090683D"/>
    <w:rsid w:val="00906948"/>
    <w:rsid w:val="009070BF"/>
    <w:rsid w:val="009071B8"/>
    <w:rsid w:val="00907330"/>
    <w:rsid w:val="0090780B"/>
    <w:rsid w:val="00907842"/>
    <w:rsid w:val="00907BB7"/>
    <w:rsid w:val="00907BEF"/>
    <w:rsid w:val="00907E6A"/>
    <w:rsid w:val="00910387"/>
    <w:rsid w:val="00910E29"/>
    <w:rsid w:val="0091138E"/>
    <w:rsid w:val="00911577"/>
    <w:rsid w:val="00912161"/>
    <w:rsid w:val="009128A4"/>
    <w:rsid w:val="00912C9F"/>
    <w:rsid w:val="00912CC2"/>
    <w:rsid w:val="00912DFA"/>
    <w:rsid w:val="00914899"/>
    <w:rsid w:val="00914A7E"/>
    <w:rsid w:val="00914B89"/>
    <w:rsid w:val="00914B98"/>
    <w:rsid w:val="00914C74"/>
    <w:rsid w:val="00914F7E"/>
    <w:rsid w:val="009151A9"/>
    <w:rsid w:val="009152E2"/>
    <w:rsid w:val="00915310"/>
    <w:rsid w:val="00915ABF"/>
    <w:rsid w:val="00915B47"/>
    <w:rsid w:val="00915DCF"/>
    <w:rsid w:val="00915DFB"/>
    <w:rsid w:val="00916A55"/>
    <w:rsid w:val="00916C38"/>
    <w:rsid w:val="0091715B"/>
    <w:rsid w:val="00917189"/>
    <w:rsid w:val="009178CA"/>
    <w:rsid w:val="009179CF"/>
    <w:rsid w:val="0092005F"/>
    <w:rsid w:val="00920542"/>
    <w:rsid w:val="009205FB"/>
    <w:rsid w:val="009206DF"/>
    <w:rsid w:val="00920CBE"/>
    <w:rsid w:val="00920D78"/>
    <w:rsid w:val="00921D5C"/>
    <w:rsid w:val="00921D61"/>
    <w:rsid w:val="00922456"/>
    <w:rsid w:val="00922764"/>
    <w:rsid w:val="00922775"/>
    <w:rsid w:val="009234F1"/>
    <w:rsid w:val="00923ADA"/>
    <w:rsid w:val="009243CF"/>
    <w:rsid w:val="00924814"/>
    <w:rsid w:val="00924AD3"/>
    <w:rsid w:val="00924B1B"/>
    <w:rsid w:val="00924B2B"/>
    <w:rsid w:val="009256FE"/>
    <w:rsid w:val="0092587B"/>
    <w:rsid w:val="00925B16"/>
    <w:rsid w:val="00925DA3"/>
    <w:rsid w:val="00925E56"/>
    <w:rsid w:val="0092671D"/>
    <w:rsid w:val="00926AE5"/>
    <w:rsid w:val="00926CDC"/>
    <w:rsid w:val="00926F79"/>
    <w:rsid w:val="00927005"/>
    <w:rsid w:val="00927046"/>
    <w:rsid w:val="00927196"/>
    <w:rsid w:val="009276E3"/>
    <w:rsid w:val="00927860"/>
    <w:rsid w:val="00927E55"/>
    <w:rsid w:val="00930546"/>
    <w:rsid w:val="00930C35"/>
    <w:rsid w:val="00932090"/>
    <w:rsid w:val="00932286"/>
    <w:rsid w:val="00932D1A"/>
    <w:rsid w:val="00932FA3"/>
    <w:rsid w:val="009330D6"/>
    <w:rsid w:val="0093333F"/>
    <w:rsid w:val="00933344"/>
    <w:rsid w:val="0093378B"/>
    <w:rsid w:val="00933B22"/>
    <w:rsid w:val="009342E9"/>
    <w:rsid w:val="0093433A"/>
    <w:rsid w:val="00934576"/>
    <w:rsid w:val="00934624"/>
    <w:rsid w:val="00934950"/>
    <w:rsid w:val="00934D25"/>
    <w:rsid w:val="00935277"/>
    <w:rsid w:val="009356BF"/>
    <w:rsid w:val="00935A87"/>
    <w:rsid w:val="00935B06"/>
    <w:rsid w:val="00935B9C"/>
    <w:rsid w:val="00935FD7"/>
    <w:rsid w:val="0093626A"/>
    <w:rsid w:val="009365D6"/>
    <w:rsid w:val="00936F28"/>
    <w:rsid w:val="00937099"/>
    <w:rsid w:val="009371D3"/>
    <w:rsid w:val="009371ED"/>
    <w:rsid w:val="009374AF"/>
    <w:rsid w:val="009375E0"/>
    <w:rsid w:val="00937BEF"/>
    <w:rsid w:val="00937EDF"/>
    <w:rsid w:val="00937FBA"/>
    <w:rsid w:val="00940160"/>
    <w:rsid w:val="00940241"/>
    <w:rsid w:val="009402CA"/>
    <w:rsid w:val="0094089A"/>
    <w:rsid w:val="009408A1"/>
    <w:rsid w:val="00940BE0"/>
    <w:rsid w:val="00940EBE"/>
    <w:rsid w:val="00940F61"/>
    <w:rsid w:val="00941019"/>
    <w:rsid w:val="0094101E"/>
    <w:rsid w:val="00941171"/>
    <w:rsid w:val="00941249"/>
    <w:rsid w:val="009417E4"/>
    <w:rsid w:val="0094193C"/>
    <w:rsid w:val="0094213F"/>
    <w:rsid w:val="009421E3"/>
    <w:rsid w:val="009426DD"/>
    <w:rsid w:val="00942AB0"/>
    <w:rsid w:val="00942ACA"/>
    <w:rsid w:val="00942B1E"/>
    <w:rsid w:val="00942D21"/>
    <w:rsid w:val="00942E32"/>
    <w:rsid w:val="00942E7D"/>
    <w:rsid w:val="009433BF"/>
    <w:rsid w:val="00943A52"/>
    <w:rsid w:val="00943C98"/>
    <w:rsid w:val="00943E0F"/>
    <w:rsid w:val="00943E99"/>
    <w:rsid w:val="00943F18"/>
    <w:rsid w:val="00944040"/>
    <w:rsid w:val="009441A3"/>
    <w:rsid w:val="009441CC"/>
    <w:rsid w:val="009441FA"/>
    <w:rsid w:val="00944268"/>
    <w:rsid w:val="0094446E"/>
    <w:rsid w:val="009446EC"/>
    <w:rsid w:val="009451EC"/>
    <w:rsid w:val="0094562F"/>
    <w:rsid w:val="00945750"/>
    <w:rsid w:val="00945997"/>
    <w:rsid w:val="00945D7F"/>
    <w:rsid w:val="00945DE2"/>
    <w:rsid w:val="00946BC0"/>
    <w:rsid w:val="00946BD9"/>
    <w:rsid w:val="00946E9A"/>
    <w:rsid w:val="00947375"/>
    <w:rsid w:val="009473C3"/>
    <w:rsid w:val="00947689"/>
    <w:rsid w:val="00947ECE"/>
    <w:rsid w:val="009501A6"/>
    <w:rsid w:val="00950777"/>
    <w:rsid w:val="009508F6"/>
    <w:rsid w:val="00950B7F"/>
    <w:rsid w:val="00951091"/>
    <w:rsid w:val="0095131C"/>
    <w:rsid w:val="009517E5"/>
    <w:rsid w:val="00951D3C"/>
    <w:rsid w:val="009522BB"/>
    <w:rsid w:val="009522CB"/>
    <w:rsid w:val="00952BF6"/>
    <w:rsid w:val="00952E59"/>
    <w:rsid w:val="009531C6"/>
    <w:rsid w:val="00953590"/>
    <w:rsid w:val="00953778"/>
    <w:rsid w:val="00953953"/>
    <w:rsid w:val="00953957"/>
    <w:rsid w:val="00953CEE"/>
    <w:rsid w:val="00953E29"/>
    <w:rsid w:val="0095455C"/>
    <w:rsid w:val="00954753"/>
    <w:rsid w:val="00954B8F"/>
    <w:rsid w:val="00954D18"/>
    <w:rsid w:val="0095533E"/>
    <w:rsid w:val="00955671"/>
    <w:rsid w:val="0095581B"/>
    <w:rsid w:val="00956152"/>
    <w:rsid w:val="0095631D"/>
    <w:rsid w:val="00956B7B"/>
    <w:rsid w:val="00957608"/>
    <w:rsid w:val="00957A11"/>
    <w:rsid w:val="00957AA0"/>
    <w:rsid w:val="00957AA7"/>
    <w:rsid w:val="009605CB"/>
    <w:rsid w:val="0096092F"/>
    <w:rsid w:val="00960C8A"/>
    <w:rsid w:val="00960CC8"/>
    <w:rsid w:val="00960D29"/>
    <w:rsid w:val="00960FA3"/>
    <w:rsid w:val="00961204"/>
    <w:rsid w:val="00961923"/>
    <w:rsid w:val="00961B56"/>
    <w:rsid w:val="009621C0"/>
    <w:rsid w:val="00962372"/>
    <w:rsid w:val="009629ED"/>
    <w:rsid w:val="00962DE8"/>
    <w:rsid w:val="00962E24"/>
    <w:rsid w:val="00962F2C"/>
    <w:rsid w:val="00963A57"/>
    <w:rsid w:val="00963B88"/>
    <w:rsid w:val="009641EA"/>
    <w:rsid w:val="00964229"/>
    <w:rsid w:val="009645BF"/>
    <w:rsid w:val="0096479D"/>
    <w:rsid w:val="0096486E"/>
    <w:rsid w:val="00964B41"/>
    <w:rsid w:val="00964C9E"/>
    <w:rsid w:val="00964D48"/>
    <w:rsid w:val="00965265"/>
    <w:rsid w:val="009652E2"/>
    <w:rsid w:val="009658B8"/>
    <w:rsid w:val="00965A50"/>
    <w:rsid w:val="00965AA3"/>
    <w:rsid w:val="00965B68"/>
    <w:rsid w:val="00965FB6"/>
    <w:rsid w:val="00966088"/>
    <w:rsid w:val="0096646D"/>
    <w:rsid w:val="00966739"/>
    <w:rsid w:val="00966AC1"/>
    <w:rsid w:val="00966B08"/>
    <w:rsid w:val="00966BF2"/>
    <w:rsid w:val="00966DC3"/>
    <w:rsid w:val="009673DF"/>
    <w:rsid w:val="009674C6"/>
    <w:rsid w:val="0096769B"/>
    <w:rsid w:val="00967730"/>
    <w:rsid w:val="0096776C"/>
    <w:rsid w:val="0096795B"/>
    <w:rsid w:val="00967C92"/>
    <w:rsid w:val="00967CA8"/>
    <w:rsid w:val="00970370"/>
    <w:rsid w:val="009703F5"/>
    <w:rsid w:val="009704B7"/>
    <w:rsid w:val="00970857"/>
    <w:rsid w:val="009708B8"/>
    <w:rsid w:val="009708EA"/>
    <w:rsid w:val="00970971"/>
    <w:rsid w:val="00970AC4"/>
    <w:rsid w:val="00970D2E"/>
    <w:rsid w:val="00970DD9"/>
    <w:rsid w:val="00970E43"/>
    <w:rsid w:val="00970EAB"/>
    <w:rsid w:val="00971253"/>
    <w:rsid w:val="00971425"/>
    <w:rsid w:val="0097167A"/>
    <w:rsid w:val="00971B39"/>
    <w:rsid w:val="00971BC6"/>
    <w:rsid w:val="00971EA2"/>
    <w:rsid w:val="00972462"/>
    <w:rsid w:val="009724AC"/>
    <w:rsid w:val="0097285A"/>
    <w:rsid w:val="00972A06"/>
    <w:rsid w:val="00972AD3"/>
    <w:rsid w:val="00972E41"/>
    <w:rsid w:val="00972EDE"/>
    <w:rsid w:val="00973049"/>
    <w:rsid w:val="0097310B"/>
    <w:rsid w:val="00973164"/>
    <w:rsid w:val="00973C6E"/>
    <w:rsid w:val="00973E7F"/>
    <w:rsid w:val="00973EC0"/>
    <w:rsid w:val="00974119"/>
    <w:rsid w:val="00974543"/>
    <w:rsid w:val="009745F2"/>
    <w:rsid w:val="00974B1E"/>
    <w:rsid w:val="0097509D"/>
    <w:rsid w:val="009750D7"/>
    <w:rsid w:val="00975660"/>
    <w:rsid w:val="00975918"/>
    <w:rsid w:val="009760D0"/>
    <w:rsid w:val="0097618A"/>
    <w:rsid w:val="009762BA"/>
    <w:rsid w:val="00976B88"/>
    <w:rsid w:val="00976DFD"/>
    <w:rsid w:val="00977374"/>
    <w:rsid w:val="00977745"/>
    <w:rsid w:val="00977EBE"/>
    <w:rsid w:val="00977EF3"/>
    <w:rsid w:val="00977EF5"/>
    <w:rsid w:val="00980069"/>
    <w:rsid w:val="0098028A"/>
    <w:rsid w:val="0098037F"/>
    <w:rsid w:val="009808D7"/>
    <w:rsid w:val="00980D82"/>
    <w:rsid w:val="0098107C"/>
    <w:rsid w:val="0098113E"/>
    <w:rsid w:val="009812A9"/>
    <w:rsid w:val="009814D7"/>
    <w:rsid w:val="00981A15"/>
    <w:rsid w:val="00981CCB"/>
    <w:rsid w:val="00981EE1"/>
    <w:rsid w:val="009822A5"/>
    <w:rsid w:val="009826F3"/>
    <w:rsid w:val="009828CD"/>
    <w:rsid w:val="00982FB8"/>
    <w:rsid w:val="00983331"/>
    <w:rsid w:val="009833C2"/>
    <w:rsid w:val="009836E3"/>
    <w:rsid w:val="00983765"/>
    <w:rsid w:val="009837A4"/>
    <w:rsid w:val="00983BC4"/>
    <w:rsid w:val="009841DE"/>
    <w:rsid w:val="00984248"/>
    <w:rsid w:val="0098453A"/>
    <w:rsid w:val="00984D9A"/>
    <w:rsid w:val="00985539"/>
    <w:rsid w:val="00985584"/>
    <w:rsid w:val="00985763"/>
    <w:rsid w:val="009859B1"/>
    <w:rsid w:val="00985EF6"/>
    <w:rsid w:val="00986021"/>
    <w:rsid w:val="00986327"/>
    <w:rsid w:val="009864B4"/>
    <w:rsid w:val="0098694E"/>
    <w:rsid w:val="00987193"/>
    <w:rsid w:val="00987396"/>
    <w:rsid w:val="00987734"/>
    <w:rsid w:val="00987C5C"/>
    <w:rsid w:val="00987EBE"/>
    <w:rsid w:val="0099088C"/>
    <w:rsid w:val="00990E9A"/>
    <w:rsid w:val="00990EA3"/>
    <w:rsid w:val="00990F49"/>
    <w:rsid w:val="00990FAC"/>
    <w:rsid w:val="00990FB7"/>
    <w:rsid w:val="00991447"/>
    <w:rsid w:val="009917D3"/>
    <w:rsid w:val="0099182E"/>
    <w:rsid w:val="00991D3D"/>
    <w:rsid w:val="00992199"/>
    <w:rsid w:val="00992368"/>
    <w:rsid w:val="0099279E"/>
    <w:rsid w:val="00992807"/>
    <w:rsid w:val="00992A6D"/>
    <w:rsid w:val="00992EEB"/>
    <w:rsid w:val="009937DC"/>
    <w:rsid w:val="0099380D"/>
    <w:rsid w:val="009939DC"/>
    <w:rsid w:val="00993BD9"/>
    <w:rsid w:val="00993C22"/>
    <w:rsid w:val="009940DB"/>
    <w:rsid w:val="009946BB"/>
    <w:rsid w:val="009946E8"/>
    <w:rsid w:val="00994DEC"/>
    <w:rsid w:val="009951ED"/>
    <w:rsid w:val="00995228"/>
    <w:rsid w:val="00995263"/>
    <w:rsid w:val="009956A8"/>
    <w:rsid w:val="00995710"/>
    <w:rsid w:val="00995EA8"/>
    <w:rsid w:val="00995F6F"/>
    <w:rsid w:val="0099648A"/>
    <w:rsid w:val="009964BF"/>
    <w:rsid w:val="009967EF"/>
    <w:rsid w:val="009971C6"/>
    <w:rsid w:val="0099745A"/>
    <w:rsid w:val="0099753E"/>
    <w:rsid w:val="0099760A"/>
    <w:rsid w:val="00997C94"/>
    <w:rsid w:val="009A06EB"/>
    <w:rsid w:val="009A07D9"/>
    <w:rsid w:val="009A0EE9"/>
    <w:rsid w:val="009A0F2A"/>
    <w:rsid w:val="009A112D"/>
    <w:rsid w:val="009A1731"/>
    <w:rsid w:val="009A182B"/>
    <w:rsid w:val="009A1ADE"/>
    <w:rsid w:val="009A1BED"/>
    <w:rsid w:val="009A1DDA"/>
    <w:rsid w:val="009A2370"/>
    <w:rsid w:val="009A2B80"/>
    <w:rsid w:val="009A2DE4"/>
    <w:rsid w:val="009A2DEF"/>
    <w:rsid w:val="009A2E5F"/>
    <w:rsid w:val="009A3275"/>
    <w:rsid w:val="009A3377"/>
    <w:rsid w:val="009A33F1"/>
    <w:rsid w:val="009A349D"/>
    <w:rsid w:val="009A38F1"/>
    <w:rsid w:val="009A39CA"/>
    <w:rsid w:val="009A3A28"/>
    <w:rsid w:val="009A3EF7"/>
    <w:rsid w:val="009A485A"/>
    <w:rsid w:val="009A4DDD"/>
    <w:rsid w:val="009A4F2F"/>
    <w:rsid w:val="009A5386"/>
    <w:rsid w:val="009A5713"/>
    <w:rsid w:val="009A5C2C"/>
    <w:rsid w:val="009A5E24"/>
    <w:rsid w:val="009A6123"/>
    <w:rsid w:val="009A61F3"/>
    <w:rsid w:val="009A623F"/>
    <w:rsid w:val="009A62C5"/>
    <w:rsid w:val="009A6308"/>
    <w:rsid w:val="009A6B19"/>
    <w:rsid w:val="009A6B41"/>
    <w:rsid w:val="009A6C29"/>
    <w:rsid w:val="009A6CE5"/>
    <w:rsid w:val="009A6EA0"/>
    <w:rsid w:val="009A7052"/>
    <w:rsid w:val="009A7088"/>
    <w:rsid w:val="009A7467"/>
    <w:rsid w:val="009A77A1"/>
    <w:rsid w:val="009A7984"/>
    <w:rsid w:val="009A7A92"/>
    <w:rsid w:val="009B00E1"/>
    <w:rsid w:val="009B034A"/>
    <w:rsid w:val="009B064B"/>
    <w:rsid w:val="009B0F1A"/>
    <w:rsid w:val="009B147F"/>
    <w:rsid w:val="009B1623"/>
    <w:rsid w:val="009B1B22"/>
    <w:rsid w:val="009B1BEE"/>
    <w:rsid w:val="009B1C51"/>
    <w:rsid w:val="009B1FD1"/>
    <w:rsid w:val="009B2339"/>
    <w:rsid w:val="009B25E2"/>
    <w:rsid w:val="009B26E0"/>
    <w:rsid w:val="009B2A2E"/>
    <w:rsid w:val="009B2C10"/>
    <w:rsid w:val="009B2E08"/>
    <w:rsid w:val="009B34ED"/>
    <w:rsid w:val="009B3605"/>
    <w:rsid w:val="009B3679"/>
    <w:rsid w:val="009B3E23"/>
    <w:rsid w:val="009B4296"/>
    <w:rsid w:val="009B464D"/>
    <w:rsid w:val="009B4BBC"/>
    <w:rsid w:val="009B5902"/>
    <w:rsid w:val="009B5A3A"/>
    <w:rsid w:val="009B5E37"/>
    <w:rsid w:val="009B61BB"/>
    <w:rsid w:val="009B62AD"/>
    <w:rsid w:val="009B63F3"/>
    <w:rsid w:val="009B6986"/>
    <w:rsid w:val="009B6EFB"/>
    <w:rsid w:val="009B6F82"/>
    <w:rsid w:val="009B7068"/>
    <w:rsid w:val="009B7795"/>
    <w:rsid w:val="009B7965"/>
    <w:rsid w:val="009B796F"/>
    <w:rsid w:val="009C0232"/>
    <w:rsid w:val="009C026D"/>
    <w:rsid w:val="009C04CF"/>
    <w:rsid w:val="009C0B76"/>
    <w:rsid w:val="009C0BD2"/>
    <w:rsid w:val="009C0BD9"/>
    <w:rsid w:val="009C0ED8"/>
    <w:rsid w:val="009C0EFE"/>
    <w:rsid w:val="009C0F69"/>
    <w:rsid w:val="009C0FE9"/>
    <w:rsid w:val="009C1892"/>
    <w:rsid w:val="009C19DC"/>
    <w:rsid w:val="009C1A61"/>
    <w:rsid w:val="009C1F08"/>
    <w:rsid w:val="009C2459"/>
    <w:rsid w:val="009C24E2"/>
    <w:rsid w:val="009C25A1"/>
    <w:rsid w:val="009C2723"/>
    <w:rsid w:val="009C2928"/>
    <w:rsid w:val="009C3323"/>
    <w:rsid w:val="009C3415"/>
    <w:rsid w:val="009C368F"/>
    <w:rsid w:val="009C3BCF"/>
    <w:rsid w:val="009C3C6A"/>
    <w:rsid w:val="009C3D00"/>
    <w:rsid w:val="009C3EC4"/>
    <w:rsid w:val="009C3ED7"/>
    <w:rsid w:val="009C4187"/>
    <w:rsid w:val="009C461F"/>
    <w:rsid w:val="009C4B71"/>
    <w:rsid w:val="009C5096"/>
    <w:rsid w:val="009C592C"/>
    <w:rsid w:val="009C5C64"/>
    <w:rsid w:val="009C5EE2"/>
    <w:rsid w:val="009C5EE9"/>
    <w:rsid w:val="009C603B"/>
    <w:rsid w:val="009C61C7"/>
    <w:rsid w:val="009C62FF"/>
    <w:rsid w:val="009C6515"/>
    <w:rsid w:val="009C6714"/>
    <w:rsid w:val="009C69B7"/>
    <w:rsid w:val="009C6F79"/>
    <w:rsid w:val="009C754C"/>
    <w:rsid w:val="009C7566"/>
    <w:rsid w:val="009C78DE"/>
    <w:rsid w:val="009C7926"/>
    <w:rsid w:val="009C7E40"/>
    <w:rsid w:val="009D009D"/>
    <w:rsid w:val="009D0554"/>
    <w:rsid w:val="009D05DF"/>
    <w:rsid w:val="009D0606"/>
    <w:rsid w:val="009D0CD8"/>
    <w:rsid w:val="009D117A"/>
    <w:rsid w:val="009D180F"/>
    <w:rsid w:val="009D1DD6"/>
    <w:rsid w:val="009D3037"/>
    <w:rsid w:val="009D315E"/>
    <w:rsid w:val="009D32F4"/>
    <w:rsid w:val="009D396D"/>
    <w:rsid w:val="009D3976"/>
    <w:rsid w:val="009D3DF1"/>
    <w:rsid w:val="009D40C0"/>
    <w:rsid w:val="009D429C"/>
    <w:rsid w:val="009D42B1"/>
    <w:rsid w:val="009D45D9"/>
    <w:rsid w:val="009D4869"/>
    <w:rsid w:val="009D490A"/>
    <w:rsid w:val="009D5525"/>
    <w:rsid w:val="009D570F"/>
    <w:rsid w:val="009D5E10"/>
    <w:rsid w:val="009D5EE8"/>
    <w:rsid w:val="009D6574"/>
    <w:rsid w:val="009D665D"/>
    <w:rsid w:val="009D695E"/>
    <w:rsid w:val="009D6E80"/>
    <w:rsid w:val="009D723E"/>
    <w:rsid w:val="009D733C"/>
    <w:rsid w:val="009D7468"/>
    <w:rsid w:val="009D788F"/>
    <w:rsid w:val="009D7CB9"/>
    <w:rsid w:val="009E0BC7"/>
    <w:rsid w:val="009E0CFA"/>
    <w:rsid w:val="009E0FE4"/>
    <w:rsid w:val="009E16BF"/>
    <w:rsid w:val="009E19DF"/>
    <w:rsid w:val="009E1C98"/>
    <w:rsid w:val="009E1FDC"/>
    <w:rsid w:val="009E2119"/>
    <w:rsid w:val="009E24A1"/>
    <w:rsid w:val="009E2C5D"/>
    <w:rsid w:val="009E2E08"/>
    <w:rsid w:val="009E2E33"/>
    <w:rsid w:val="009E3048"/>
    <w:rsid w:val="009E3243"/>
    <w:rsid w:val="009E347C"/>
    <w:rsid w:val="009E38D8"/>
    <w:rsid w:val="009E3F7C"/>
    <w:rsid w:val="009E4574"/>
    <w:rsid w:val="009E5144"/>
    <w:rsid w:val="009E530D"/>
    <w:rsid w:val="009E57DA"/>
    <w:rsid w:val="009E591F"/>
    <w:rsid w:val="009E5ABA"/>
    <w:rsid w:val="009E5E5D"/>
    <w:rsid w:val="009E5FD2"/>
    <w:rsid w:val="009E61B9"/>
    <w:rsid w:val="009E62AE"/>
    <w:rsid w:val="009E641D"/>
    <w:rsid w:val="009E643D"/>
    <w:rsid w:val="009E6534"/>
    <w:rsid w:val="009E7026"/>
    <w:rsid w:val="009E7A1D"/>
    <w:rsid w:val="009E7BCE"/>
    <w:rsid w:val="009E7DEA"/>
    <w:rsid w:val="009E7E3F"/>
    <w:rsid w:val="009F0241"/>
    <w:rsid w:val="009F075B"/>
    <w:rsid w:val="009F0C6E"/>
    <w:rsid w:val="009F0E05"/>
    <w:rsid w:val="009F128E"/>
    <w:rsid w:val="009F1761"/>
    <w:rsid w:val="009F1B40"/>
    <w:rsid w:val="009F1D4A"/>
    <w:rsid w:val="009F2181"/>
    <w:rsid w:val="009F24C3"/>
    <w:rsid w:val="009F25B6"/>
    <w:rsid w:val="009F264B"/>
    <w:rsid w:val="009F41CA"/>
    <w:rsid w:val="009F4933"/>
    <w:rsid w:val="009F52D1"/>
    <w:rsid w:val="009F573A"/>
    <w:rsid w:val="009F5A2F"/>
    <w:rsid w:val="009F6257"/>
    <w:rsid w:val="009F6316"/>
    <w:rsid w:val="009F688A"/>
    <w:rsid w:val="009F71C8"/>
    <w:rsid w:val="009F7636"/>
    <w:rsid w:val="009F77FE"/>
    <w:rsid w:val="009F7975"/>
    <w:rsid w:val="009F79CB"/>
    <w:rsid w:val="009F7D58"/>
    <w:rsid w:val="00A0015F"/>
    <w:rsid w:val="00A0033B"/>
    <w:rsid w:val="00A004E5"/>
    <w:rsid w:val="00A00C8E"/>
    <w:rsid w:val="00A00EF4"/>
    <w:rsid w:val="00A01B45"/>
    <w:rsid w:val="00A01BD9"/>
    <w:rsid w:val="00A01D7A"/>
    <w:rsid w:val="00A0275A"/>
    <w:rsid w:val="00A029A4"/>
    <w:rsid w:val="00A02E25"/>
    <w:rsid w:val="00A03199"/>
    <w:rsid w:val="00A03C9C"/>
    <w:rsid w:val="00A03EAC"/>
    <w:rsid w:val="00A04269"/>
    <w:rsid w:val="00A04A0A"/>
    <w:rsid w:val="00A05453"/>
    <w:rsid w:val="00A057A9"/>
    <w:rsid w:val="00A0669A"/>
    <w:rsid w:val="00A067B3"/>
    <w:rsid w:val="00A06A7D"/>
    <w:rsid w:val="00A06C4B"/>
    <w:rsid w:val="00A0702B"/>
    <w:rsid w:val="00A071D7"/>
    <w:rsid w:val="00A07DF1"/>
    <w:rsid w:val="00A07EA7"/>
    <w:rsid w:val="00A07FB0"/>
    <w:rsid w:val="00A1019E"/>
    <w:rsid w:val="00A1071C"/>
    <w:rsid w:val="00A10AE6"/>
    <w:rsid w:val="00A10E17"/>
    <w:rsid w:val="00A10E39"/>
    <w:rsid w:val="00A10E56"/>
    <w:rsid w:val="00A116E0"/>
    <w:rsid w:val="00A119EA"/>
    <w:rsid w:val="00A11D6B"/>
    <w:rsid w:val="00A11E9B"/>
    <w:rsid w:val="00A11EDF"/>
    <w:rsid w:val="00A12045"/>
    <w:rsid w:val="00A1211A"/>
    <w:rsid w:val="00A12185"/>
    <w:rsid w:val="00A122A9"/>
    <w:rsid w:val="00A12747"/>
    <w:rsid w:val="00A1288B"/>
    <w:rsid w:val="00A12A1B"/>
    <w:rsid w:val="00A12D4A"/>
    <w:rsid w:val="00A12E94"/>
    <w:rsid w:val="00A135A6"/>
    <w:rsid w:val="00A13994"/>
    <w:rsid w:val="00A13BE3"/>
    <w:rsid w:val="00A14267"/>
    <w:rsid w:val="00A142BA"/>
    <w:rsid w:val="00A146E5"/>
    <w:rsid w:val="00A1511B"/>
    <w:rsid w:val="00A15876"/>
    <w:rsid w:val="00A1587D"/>
    <w:rsid w:val="00A16A72"/>
    <w:rsid w:val="00A171B0"/>
    <w:rsid w:val="00A17BF0"/>
    <w:rsid w:val="00A2017D"/>
    <w:rsid w:val="00A20492"/>
    <w:rsid w:val="00A2051B"/>
    <w:rsid w:val="00A20631"/>
    <w:rsid w:val="00A20937"/>
    <w:rsid w:val="00A20D31"/>
    <w:rsid w:val="00A20F88"/>
    <w:rsid w:val="00A21B3F"/>
    <w:rsid w:val="00A21F07"/>
    <w:rsid w:val="00A2212E"/>
    <w:rsid w:val="00A22324"/>
    <w:rsid w:val="00A22543"/>
    <w:rsid w:val="00A22841"/>
    <w:rsid w:val="00A22A8D"/>
    <w:rsid w:val="00A22C9B"/>
    <w:rsid w:val="00A22E2D"/>
    <w:rsid w:val="00A23144"/>
    <w:rsid w:val="00A238A0"/>
    <w:rsid w:val="00A242D2"/>
    <w:rsid w:val="00A24318"/>
    <w:rsid w:val="00A24D1E"/>
    <w:rsid w:val="00A24E0F"/>
    <w:rsid w:val="00A24E80"/>
    <w:rsid w:val="00A2524D"/>
    <w:rsid w:val="00A2551A"/>
    <w:rsid w:val="00A2553B"/>
    <w:rsid w:val="00A25620"/>
    <w:rsid w:val="00A25793"/>
    <w:rsid w:val="00A25A0C"/>
    <w:rsid w:val="00A25A6E"/>
    <w:rsid w:val="00A25CD7"/>
    <w:rsid w:val="00A25F51"/>
    <w:rsid w:val="00A26434"/>
    <w:rsid w:val="00A265CA"/>
    <w:rsid w:val="00A26C1A"/>
    <w:rsid w:val="00A26E2C"/>
    <w:rsid w:val="00A26E2F"/>
    <w:rsid w:val="00A26FD3"/>
    <w:rsid w:val="00A27292"/>
    <w:rsid w:val="00A2753D"/>
    <w:rsid w:val="00A27D09"/>
    <w:rsid w:val="00A27FEA"/>
    <w:rsid w:val="00A3033F"/>
    <w:rsid w:val="00A3038F"/>
    <w:rsid w:val="00A305F6"/>
    <w:rsid w:val="00A3061E"/>
    <w:rsid w:val="00A308A7"/>
    <w:rsid w:val="00A30BBA"/>
    <w:rsid w:val="00A30E95"/>
    <w:rsid w:val="00A314D1"/>
    <w:rsid w:val="00A3188B"/>
    <w:rsid w:val="00A31AF0"/>
    <w:rsid w:val="00A31B77"/>
    <w:rsid w:val="00A31D5E"/>
    <w:rsid w:val="00A3228A"/>
    <w:rsid w:val="00A323C3"/>
    <w:rsid w:val="00A32647"/>
    <w:rsid w:val="00A32F81"/>
    <w:rsid w:val="00A33157"/>
    <w:rsid w:val="00A3322A"/>
    <w:rsid w:val="00A33504"/>
    <w:rsid w:val="00A33888"/>
    <w:rsid w:val="00A33A7B"/>
    <w:rsid w:val="00A34162"/>
    <w:rsid w:val="00A341FF"/>
    <w:rsid w:val="00A34270"/>
    <w:rsid w:val="00A348A5"/>
    <w:rsid w:val="00A3526B"/>
    <w:rsid w:val="00A3622E"/>
    <w:rsid w:val="00A3623F"/>
    <w:rsid w:val="00A36266"/>
    <w:rsid w:val="00A369E4"/>
    <w:rsid w:val="00A36CAD"/>
    <w:rsid w:val="00A36CD7"/>
    <w:rsid w:val="00A36F38"/>
    <w:rsid w:val="00A3739A"/>
    <w:rsid w:val="00A37E9A"/>
    <w:rsid w:val="00A4022D"/>
    <w:rsid w:val="00A4040B"/>
    <w:rsid w:val="00A408FA"/>
    <w:rsid w:val="00A40932"/>
    <w:rsid w:val="00A40D89"/>
    <w:rsid w:val="00A40ED5"/>
    <w:rsid w:val="00A4137E"/>
    <w:rsid w:val="00A4160E"/>
    <w:rsid w:val="00A41787"/>
    <w:rsid w:val="00A42114"/>
    <w:rsid w:val="00A421FE"/>
    <w:rsid w:val="00A42276"/>
    <w:rsid w:val="00A4229B"/>
    <w:rsid w:val="00A426B5"/>
    <w:rsid w:val="00A4277F"/>
    <w:rsid w:val="00A429A5"/>
    <w:rsid w:val="00A42CF7"/>
    <w:rsid w:val="00A42DA0"/>
    <w:rsid w:val="00A43102"/>
    <w:rsid w:val="00A43294"/>
    <w:rsid w:val="00A432B7"/>
    <w:rsid w:val="00A433E7"/>
    <w:rsid w:val="00A4361B"/>
    <w:rsid w:val="00A4367B"/>
    <w:rsid w:val="00A43A25"/>
    <w:rsid w:val="00A43B83"/>
    <w:rsid w:val="00A4450C"/>
    <w:rsid w:val="00A44B5D"/>
    <w:rsid w:val="00A44D33"/>
    <w:rsid w:val="00A453A3"/>
    <w:rsid w:val="00A45862"/>
    <w:rsid w:val="00A46055"/>
    <w:rsid w:val="00A4607F"/>
    <w:rsid w:val="00A460D4"/>
    <w:rsid w:val="00A46550"/>
    <w:rsid w:val="00A46AF2"/>
    <w:rsid w:val="00A46BDF"/>
    <w:rsid w:val="00A46C56"/>
    <w:rsid w:val="00A471E3"/>
    <w:rsid w:val="00A47C0E"/>
    <w:rsid w:val="00A47C5B"/>
    <w:rsid w:val="00A47DF0"/>
    <w:rsid w:val="00A47E29"/>
    <w:rsid w:val="00A47FB1"/>
    <w:rsid w:val="00A50179"/>
    <w:rsid w:val="00A50300"/>
    <w:rsid w:val="00A5047D"/>
    <w:rsid w:val="00A5052F"/>
    <w:rsid w:val="00A509B8"/>
    <w:rsid w:val="00A5149F"/>
    <w:rsid w:val="00A51AE0"/>
    <w:rsid w:val="00A51B8A"/>
    <w:rsid w:val="00A52988"/>
    <w:rsid w:val="00A529A5"/>
    <w:rsid w:val="00A529EC"/>
    <w:rsid w:val="00A530D8"/>
    <w:rsid w:val="00A5390B"/>
    <w:rsid w:val="00A53E14"/>
    <w:rsid w:val="00A53FCA"/>
    <w:rsid w:val="00A53FF2"/>
    <w:rsid w:val="00A544B3"/>
    <w:rsid w:val="00A54596"/>
    <w:rsid w:val="00A54724"/>
    <w:rsid w:val="00A54A5F"/>
    <w:rsid w:val="00A54B26"/>
    <w:rsid w:val="00A54CD3"/>
    <w:rsid w:val="00A55052"/>
    <w:rsid w:val="00A552C8"/>
    <w:rsid w:val="00A55475"/>
    <w:rsid w:val="00A55561"/>
    <w:rsid w:val="00A556C9"/>
    <w:rsid w:val="00A55840"/>
    <w:rsid w:val="00A55BC6"/>
    <w:rsid w:val="00A55F4C"/>
    <w:rsid w:val="00A561CD"/>
    <w:rsid w:val="00A5630C"/>
    <w:rsid w:val="00A5668F"/>
    <w:rsid w:val="00A56792"/>
    <w:rsid w:val="00A56943"/>
    <w:rsid w:val="00A56AF0"/>
    <w:rsid w:val="00A56CE0"/>
    <w:rsid w:val="00A56ED5"/>
    <w:rsid w:val="00A57202"/>
    <w:rsid w:val="00A57625"/>
    <w:rsid w:val="00A57BD6"/>
    <w:rsid w:val="00A604F1"/>
    <w:rsid w:val="00A607B7"/>
    <w:rsid w:val="00A60E05"/>
    <w:rsid w:val="00A610D5"/>
    <w:rsid w:val="00A611DF"/>
    <w:rsid w:val="00A61494"/>
    <w:rsid w:val="00A6169D"/>
    <w:rsid w:val="00A61892"/>
    <w:rsid w:val="00A618D3"/>
    <w:rsid w:val="00A61A9A"/>
    <w:rsid w:val="00A62491"/>
    <w:rsid w:val="00A62501"/>
    <w:rsid w:val="00A62639"/>
    <w:rsid w:val="00A62708"/>
    <w:rsid w:val="00A62A22"/>
    <w:rsid w:val="00A62C7C"/>
    <w:rsid w:val="00A63318"/>
    <w:rsid w:val="00A633D9"/>
    <w:rsid w:val="00A63496"/>
    <w:rsid w:val="00A63521"/>
    <w:rsid w:val="00A63653"/>
    <w:rsid w:val="00A636D1"/>
    <w:rsid w:val="00A63EF3"/>
    <w:rsid w:val="00A64540"/>
    <w:rsid w:val="00A64731"/>
    <w:rsid w:val="00A647B5"/>
    <w:rsid w:val="00A64849"/>
    <w:rsid w:val="00A648BB"/>
    <w:rsid w:val="00A64978"/>
    <w:rsid w:val="00A6502A"/>
    <w:rsid w:val="00A6537B"/>
    <w:rsid w:val="00A655E7"/>
    <w:rsid w:val="00A6568A"/>
    <w:rsid w:val="00A669C6"/>
    <w:rsid w:val="00A66C8E"/>
    <w:rsid w:val="00A66D78"/>
    <w:rsid w:val="00A66E30"/>
    <w:rsid w:val="00A67099"/>
    <w:rsid w:val="00A6724D"/>
    <w:rsid w:val="00A67AF9"/>
    <w:rsid w:val="00A67BFE"/>
    <w:rsid w:val="00A67DDD"/>
    <w:rsid w:val="00A70537"/>
    <w:rsid w:val="00A7057D"/>
    <w:rsid w:val="00A70DD9"/>
    <w:rsid w:val="00A716FC"/>
    <w:rsid w:val="00A71A37"/>
    <w:rsid w:val="00A71CC5"/>
    <w:rsid w:val="00A71FB0"/>
    <w:rsid w:val="00A720DD"/>
    <w:rsid w:val="00A720F2"/>
    <w:rsid w:val="00A72112"/>
    <w:rsid w:val="00A72272"/>
    <w:rsid w:val="00A7267F"/>
    <w:rsid w:val="00A72752"/>
    <w:rsid w:val="00A729D9"/>
    <w:rsid w:val="00A72ACD"/>
    <w:rsid w:val="00A73040"/>
    <w:rsid w:val="00A730D3"/>
    <w:rsid w:val="00A7311B"/>
    <w:rsid w:val="00A7349A"/>
    <w:rsid w:val="00A7370F"/>
    <w:rsid w:val="00A73B71"/>
    <w:rsid w:val="00A73C61"/>
    <w:rsid w:val="00A73C66"/>
    <w:rsid w:val="00A73D25"/>
    <w:rsid w:val="00A73D44"/>
    <w:rsid w:val="00A745D3"/>
    <w:rsid w:val="00A7488D"/>
    <w:rsid w:val="00A74C0B"/>
    <w:rsid w:val="00A74CA0"/>
    <w:rsid w:val="00A74D73"/>
    <w:rsid w:val="00A7552B"/>
    <w:rsid w:val="00A7587F"/>
    <w:rsid w:val="00A75B80"/>
    <w:rsid w:val="00A75C35"/>
    <w:rsid w:val="00A75E0E"/>
    <w:rsid w:val="00A75ED7"/>
    <w:rsid w:val="00A76384"/>
    <w:rsid w:val="00A76572"/>
    <w:rsid w:val="00A76803"/>
    <w:rsid w:val="00A76C80"/>
    <w:rsid w:val="00A76F4A"/>
    <w:rsid w:val="00A77A2B"/>
    <w:rsid w:val="00A77ADA"/>
    <w:rsid w:val="00A77CAD"/>
    <w:rsid w:val="00A77ED1"/>
    <w:rsid w:val="00A804BA"/>
    <w:rsid w:val="00A80583"/>
    <w:rsid w:val="00A80692"/>
    <w:rsid w:val="00A80A58"/>
    <w:rsid w:val="00A81197"/>
    <w:rsid w:val="00A81369"/>
    <w:rsid w:val="00A817F2"/>
    <w:rsid w:val="00A81FAA"/>
    <w:rsid w:val="00A82022"/>
    <w:rsid w:val="00A8202C"/>
    <w:rsid w:val="00A82EE9"/>
    <w:rsid w:val="00A82F80"/>
    <w:rsid w:val="00A831B1"/>
    <w:rsid w:val="00A8323A"/>
    <w:rsid w:val="00A83626"/>
    <w:rsid w:val="00A83E22"/>
    <w:rsid w:val="00A83F7B"/>
    <w:rsid w:val="00A84231"/>
    <w:rsid w:val="00A84474"/>
    <w:rsid w:val="00A848AF"/>
    <w:rsid w:val="00A8503C"/>
    <w:rsid w:val="00A85814"/>
    <w:rsid w:val="00A858CD"/>
    <w:rsid w:val="00A86267"/>
    <w:rsid w:val="00A862D9"/>
    <w:rsid w:val="00A864BF"/>
    <w:rsid w:val="00A8698F"/>
    <w:rsid w:val="00A86BBE"/>
    <w:rsid w:val="00A87041"/>
    <w:rsid w:val="00A875C4"/>
    <w:rsid w:val="00A8783B"/>
    <w:rsid w:val="00A87B06"/>
    <w:rsid w:val="00A907D3"/>
    <w:rsid w:val="00A90C62"/>
    <w:rsid w:val="00A911C9"/>
    <w:rsid w:val="00A91243"/>
    <w:rsid w:val="00A91383"/>
    <w:rsid w:val="00A913C3"/>
    <w:rsid w:val="00A91515"/>
    <w:rsid w:val="00A91632"/>
    <w:rsid w:val="00A91909"/>
    <w:rsid w:val="00A91B2B"/>
    <w:rsid w:val="00A91DCC"/>
    <w:rsid w:val="00A91F34"/>
    <w:rsid w:val="00A920C9"/>
    <w:rsid w:val="00A922AC"/>
    <w:rsid w:val="00A923A4"/>
    <w:rsid w:val="00A929D5"/>
    <w:rsid w:val="00A92D82"/>
    <w:rsid w:val="00A93A51"/>
    <w:rsid w:val="00A93F6D"/>
    <w:rsid w:val="00A9435E"/>
    <w:rsid w:val="00A94957"/>
    <w:rsid w:val="00A94FEC"/>
    <w:rsid w:val="00A9587D"/>
    <w:rsid w:val="00A96611"/>
    <w:rsid w:val="00A966CB"/>
    <w:rsid w:val="00A96791"/>
    <w:rsid w:val="00A97057"/>
    <w:rsid w:val="00A977A1"/>
    <w:rsid w:val="00A97802"/>
    <w:rsid w:val="00A9781C"/>
    <w:rsid w:val="00A97E0C"/>
    <w:rsid w:val="00A97EB6"/>
    <w:rsid w:val="00AA00E9"/>
    <w:rsid w:val="00AA011C"/>
    <w:rsid w:val="00AA0671"/>
    <w:rsid w:val="00AA067C"/>
    <w:rsid w:val="00AA06A9"/>
    <w:rsid w:val="00AA0A6D"/>
    <w:rsid w:val="00AA0D64"/>
    <w:rsid w:val="00AA0F97"/>
    <w:rsid w:val="00AA1418"/>
    <w:rsid w:val="00AA1699"/>
    <w:rsid w:val="00AA19B2"/>
    <w:rsid w:val="00AA1AA4"/>
    <w:rsid w:val="00AA23D7"/>
    <w:rsid w:val="00AA2794"/>
    <w:rsid w:val="00AA2F87"/>
    <w:rsid w:val="00AA301F"/>
    <w:rsid w:val="00AA37F2"/>
    <w:rsid w:val="00AA3ADA"/>
    <w:rsid w:val="00AA3F1B"/>
    <w:rsid w:val="00AA4A89"/>
    <w:rsid w:val="00AA4F0F"/>
    <w:rsid w:val="00AA4FBD"/>
    <w:rsid w:val="00AA520D"/>
    <w:rsid w:val="00AA56F9"/>
    <w:rsid w:val="00AA5BC4"/>
    <w:rsid w:val="00AA5F0E"/>
    <w:rsid w:val="00AA60FB"/>
    <w:rsid w:val="00AA61C4"/>
    <w:rsid w:val="00AA7817"/>
    <w:rsid w:val="00AA7CCD"/>
    <w:rsid w:val="00AB05E8"/>
    <w:rsid w:val="00AB0E28"/>
    <w:rsid w:val="00AB0F54"/>
    <w:rsid w:val="00AB2314"/>
    <w:rsid w:val="00AB23E1"/>
    <w:rsid w:val="00AB2C33"/>
    <w:rsid w:val="00AB3204"/>
    <w:rsid w:val="00AB324C"/>
    <w:rsid w:val="00AB33BF"/>
    <w:rsid w:val="00AB3D11"/>
    <w:rsid w:val="00AB457D"/>
    <w:rsid w:val="00AB5790"/>
    <w:rsid w:val="00AB59D9"/>
    <w:rsid w:val="00AB5A72"/>
    <w:rsid w:val="00AB5F87"/>
    <w:rsid w:val="00AB64AC"/>
    <w:rsid w:val="00AB6A51"/>
    <w:rsid w:val="00AB6D4D"/>
    <w:rsid w:val="00AB6DCF"/>
    <w:rsid w:val="00AB6F90"/>
    <w:rsid w:val="00AB7156"/>
    <w:rsid w:val="00AB7347"/>
    <w:rsid w:val="00AB7ACF"/>
    <w:rsid w:val="00AC0111"/>
    <w:rsid w:val="00AC032E"/>
    <w:rsid w:val="00AC04B1"/>
    <w:rsid w:val="00AC06BB"/>
    <w:rsid w:val="00AC0A87"/>
    <w:rsid w:val="00AC1053"/>
    <w:rsid w:val="00AC1139"/>
    <w:rsid w:val="00AC1892"/>
    <w:rsid w:val="00AC1C42"/>
    <w:rsid w:val="00AC23B4"/>
    <w:rsid w:val="00AC2670"/>
    <w:rsid w:val="00AC29E9"/>
    <w:rsid w:val="00AC2AD1"/>
    <w:rsid w:val="00AC2C83"/>
    <w:rsid w:val="00AC2E92"/>
    <w:rsid w:val="00AC3028"/>
    <w:rsid w:val="00AC314C"/>
    <w:rsid w:val="00AC33B5"/>
    <w:rsid w:val="00AC411D"/>
    <w:rsid w:val="00AC47D6"/>
    <w:rsid w:val="00AC4857"/>
    <w:rsid w:val="00AC4883"/>
    <w:rsid w:val="00AC49A0"/>
    <w:rsid w:val="00AC49EA"/>
    <w:rsid w:val="00AC49EB"/>
    <w:rsid w:val="00AC4A85"/>
    <w:rsid w:val="00AC4AB6"/>
    <w:rsid w:val="00AC4ADB"/>
    <w:rsid w:val="00AC4E09"/>
    <w:rsid w:val="00AC4E41"/>
    <w:rsid w:val="00AC523A"/>
    <w:rsid w:val="00AC52F7"/>
    <w:rsid w:val="00AC545E"/>
    <w:rsid w:val="00AC5B85"/>
    <w:rsid w:val="00AC5BE0"/>
    <w:rsid w:val="00AC60B7"/>
    <w:rsid w:val="00AC63C1"/>
    <w:rsid w:val="00AC63DF"/>
    <w:rsid w:val="00AC6BD8"/>
    <w:rsid w:val="00AC6E26"/>
    <w:rsid w:val="00AC7069"/>
    <w:rsid w:val="00AC728D"/>
    <w:rsid w:val="00AC730F"/>
    <w:rsid w:val="00AC79C7"/>
    <w:rsid w:val="00AC7AD1"/>
    <w:rsid w:val="00AD08A1"/>
    <w:rsid w:val="00AD0F2F"/>
    <w:rsid w:val="00AD1063"/>
    <w:rsid w:val="00AD11CA"/>
    <w:rsid w:val="00AD126A"/>
    <w:rsid w:val="00AD1477"/>
    <w:rsid w:val="00AD17DB"/>
    <w:rsid w:val="00AD187A"/>
    <w:rsid w:val="00AD2094"/>
    <w:rsid w:val="00AD2D18"/>
    <w:rsid w:val="00AD2DFA"/>
    <w:rsid w:val="00AD36CE"/>
    <w:rsid w:val="00AD3CD6"/>
    <w:rsid w:val="00AD40D0"/>
    <w:rsid w:val="00AD48F3"/>
    <w:rsid w:val="00AD4A2E"/>
    <w:rsid w:val="00AD4BEC"/>
    <w:rsid w:val="00AD52FD"/>
    <w:rsid w:val="00AD5687"/>
    <w:rsid w:val="00AD5709"/>
    <w:rsid w:val="00AD5B94"/>
    <w:rsid w:val="00AD5C68"/>
    <w:rsid w:val="00AD5FA7"/>
    <w:rsid w:val="00AD6136"/>
    <w:rsid w:val="00AD6555"/>
    <w:rsid w:val="00AD6944"/>
    <w:rsid w:val="00AD6B0E"/>
    <w:rsid w:val="00AD752F"/>
    <w:rsid w:val="00AD7532"/>
    <w:rsid w:val="00AD75E5"/>
    <w:rsid w:val="00AD7618"/>
    <w:rsid w:val="00AD7726"/>
    <w:rsid w:val="00AD7781"/>
    <w:rsid w:val="00AE0230"/>
    <w:rsid w:val="00AE0CAB"/>
    <w:rsid w:val="00AE0CFB"/>
    <w:rsid w:val="00AE15D3"/>
    <w:rsid w:val="00AE184D"/>
    <w:rsid w:val="00AE226F"/>
    <w:rsid w:val="00AE24F4"/>
    <w:rsid w:val="00AE29FB"/>
    <w:rsid w:val="00AE3CCE"/>
    <w:rsid w:val="00AE3D6C"/>
    <w:rsid w:val="00AE3E15"/>
    <w:rsid w:val="00AE4116"/>
    <w:rsid w:val="00AE41A0"/>
    <w:rsid w:val="00AE48C9"/>
    <w:rsid w:val="00AE4E89"/>
    <w:rsid w:val="00AE4F13"/>
    <w:rsid w:val="00AE531B"/>
    <w:rsid w:val="00AE53AC"/>
    <w:rsid w:val="00AE53C7"/>
    <w:rsid w:val="00AE5811"/>
    <w:rsid w:val="00AE583F"/>
    <w:rsid w:val="00AE6476"/>
    <w:rsid w:val="00AE65BA"/>
    <w:rsid w:val="00AE6C8A"/>
    <w:rsid w:val="00AE739F"/>
    <w:rsid w:val="00AE7605"/>
    <w:rsid w:val="00AE766F"/>
    <w:rsid w:val="00AE7AA6"/>
    <w:rsid w:val="00AE7C46"/>
    <w:rsid w:val="00AE7D1E"/>
    <w:rsid w:val="00AF0383"/>
    <w:rsid w:val="00AF04FF"/>
    <w:rsid w:val="00AF0574"/>
    <w:rsid w:val="00AF0A30"/>
    <w:rsid w:val="00AF10A3"/>
    <w:rsid w:val="00AF10CB"/>
    <w:rsid w:val="00AF10D8"/>
    <w:rsid w:val="00AF1749"/>
    <w:rsid w:val="00AF1D6F"/>
    <w:rsid w:val="00AF1E24"/>
    <w:rsid w:val="00AF1F14"/>
    <w:rsid w:val="00AF2346"/>
    <w:rsid w:val="00AF245C"/>
    <w:rsid w:val="00AF282C"/>
    <w:rsid w:val="00AF2EE2"/>
    <w:rsid w:val="00AF2EEC"/>
    <w:rsid w:val="00AF30EA"/>
    <w:rsid w:val="00AF3420"/>
    <w:rsid w:val="00AF3509"/>
    <w:rsid w:val="00AF37E4"/>
    <w:rsid w:val="00AF3ABF"/>
    <w:rsid w:val="00AF4501"/>
    <w:rsid w:val="00AF45CB"/>
    <w:rsid w:val="00AF4E9A"/>
    <w:rsid w:val="00AF5DAB"/>
    <w:rsid w:val="00AF5FCC"/>
    <w:rsid w:val="00AF6058"/>
    <w:rsid w:val="00AF636A"/>
    <w:rsid w:val="00AF65E4"/>
    <w:rsid w:val="00AF68B6"/>
    <w:rsid w:val="00AF6A00"/>
    <w:rsid w:val="00AF6B18"/>
    <w:rsid w:val="00AF6B60"/>
    <w:rsid w:val="00AF6F45"/>
    <w:rsid w:val="00AF7134"/>
    <w:rsid w:val="00AF74D5"/>
    <w:rsid w:val="00AF7F9E"/>
    <w:rsid w:val="00B002A7"/>
    <w:rsid w:val="00B0033F"/>
    <w:rsid w:val="00B006DB"/>
    <w:rsid w:val="00B00D19"/>
    <w:rsid w:val="00B01216"/>
    <w:rsid w:val="00B01241"/>
    <w:rsid w:val="00B0165D"/>
    <w:rsid w:val="00B01874"/>
    <w:rsid w:val="00B019DE"/>
    <w:rsid w:val="00B01CE9"/>
    <w:rsid w:val="00B02398"/>
    <w:rsid w:val="00B023FC"/>
    <w:rsid w:val="00B025FC"/>
    <w:rsid w:val="00B02ACC"/>
    <w:rsid w:val="00B034C7"/>
    <w:rsid w:val="00B035AF"/>
    <w:rsid w:val="00B036CF"/>
    <w:rsid w:val="00B037F3"/>
    <w:rsid w:val="00B03DC9"/>
    <w:rsid w:val="00B03E6B"/>
    <w:rsid w:val="00B04548"/>
    <w:rsid w:val="00B04D47"/>
    <w:rsid w:val="00B0501F"/>
    <w:rsid w:val="00B050BC"/>
    <w:rsid w:val="00B0512E"/>
    <w:rsid w:val="00B05190"/>
    <w:rsid w:val="00B053D1"/>
    <w:rsid w:val="00B058DE"/>
    <w:rsid w:val="00B05945"/>
    <w:rsid w:val="00B059CE"/>
    <w:rsid w:val="00B05DAC"/>
    <w:rsid w:val="00B06038"/>
    <w:rsid w:val="00B062AB"/>
    <w:rsid w:val="00B06333"/>
    <w:rsid w:val="00B06744"/>
    <w:rsid w:val="00B06D38"/>
    <w:rsid w:val="00B06F1D"/>
    <w:rsid w:val="00B0702E"/>
    <w:rsid w:val="00B071BF"/>
    <w:rsid w:val="00B07602"/>
    <w:rsid w:val="00B07820"/>
    <w:rsid w:val="00B078E8"/>
    <w:rsid w:val="00B07E10"/>
    <w:rsid w:val="00B07F3A"/>
    <w:rsid w:val="00B1062C"/>
    <w:rsid w:val="00B1095E"/>
    <w:rsid w:val="00B10A79"/>
    <w:rsid w:val="00B10F6C"/>
    <w:rsid w:val="00B11018"/>
    <w:rsid w:val="00B11435"/>
    <w:rsid w:val="00B11E0A"/>
    <w:rsid w:val="00B11F90"/>
    <w:rsid w:val="00B11FBD"/>
    <w:rsid w:val="00B1204B"/>
    <w:rsid w:val="00B12217"/>
    <w:rsid w:val="00B12255"/>
    <w:rsid w:val="00B1232B"/>
    <w:rsid w:val="00B12550"/>
    <w:rsid w:val="00B12663"/>
    <w:rsid w:val="00B1281D"/>
    <w:rsid w:val="00B12887"/>
    <w:rsid w:val="00B12BD2"/>
    <w:rsid w:val="00B130F1"/>
    <w:rsid w:val="00B139C7"/>
    <w:rsid w:val="00B13A07"/>
    <w:rsid w:val="00B142FB"/>
    <w:rsid w:val="00B1443D"/>
    <w:rsid w:val="00B148B1"/>
    <w:rsid w:val="00B1496F"/>
    <w:rsid w:val="00B152A4"/>
    <w:rsid w:val="00B15B6E"/>
    <w:rsid w:val="00B15B97"/>
    <w:rsid w:val="00B17486"/>
    <w:rsid w:val="00B17523"/>
    <w:rsid w:val="00B17CAA"/>
    <w:rsid w:val="00B17DB5"/>
    <w:rsid w:val="00B17EE8"/>
    <w:rsid w:val="00B17F1F"/>
    <w:rsid w:val="00B20164"/>
    <w:rsid w:val="00B2027A"/>
    <w:rsid w:val="00B202F4"/>
    <w:rsid w:val="00B203A9"/>
    <w:rsid w:val="00B2043F"/>
    <w:rsid w:val="00B20BA3"/>
    <w:rsid w:val="00B20E09"/>
    <w:rsid w:val="00B210CB"/>
    <w:rsid w:val="00B2128C"/>
    <w:rsid w:val="00B2135F"/>
    <w:rsid w:val="00B21566"/>
    <w:rsid w:val="00B219FF"/>
    <w:rsid w:val="00B21C89"/>
    <w:rsid w:val="00B21E51"/>
    <w:rsid w:val="00B2207C"/>
    <w:rsid w:val="00B22175"/>
    <w:rsid w:val="00B22362"/>
    <w:rsid w:val="00B22726"/>
    <w:rsid w:val="00B2296E"/>
    <w:rsid w:val="00B23949"/>
    <w:rsid w:val="00B23B2B"/>
    <w:rsid w:val="00B23E83"/>
    <w:rsid w:val="00B23EE0"/>
    <w:rsid w:val="00B2413B"/>
    <w:rsid w:val="00B24257"/>
    <w:rsid w:val="00B244E1"/>
    <w:rsid w:val="00B25585"/>
    <w:rsid w:val="00B2575C"/>
    <w:rsid w:val="00B26495"/>
    <w:rsid w:val="00B264ED"/>
    <w:rsid w:val="00B26539"/>
    <w:rsid w:val="00B26CC6"/>
    <w:rsid w:val="00B26CD8"/>
    <w:rsid w:val="00B26E11"/>
    <w:rsid w:val="00B2726F"/>
    <w:rsid w:val="00B275AF"/>
    <w:rsid w:val="00B277E2"/>
    <w:rsid w:val="00B279DA"/>
    <w:rsid w:val="00B27BB9"/>
    <w:rsid w:val="00B30044"/>
    <w:rsid w:val="00B30251"/>
    <w:rsid w:val="00B30C1C"/>
    <w:rsid w:val="00B3131B"/>
    <w:rsid w:val="00B3213B"/>
    <w:rsid w:val="00B32D53"/>
    <w:rsid w:val="00B32E00"/>
    <w:rsid w:val="00B32F54"/>
    <w:rsid w:val="00B339F4"/>
    <w:rsid w:val="00B3462D"/>
    <w:rsid w:val="00B34737"/>
    <w:rsid w:val="00B348D3"/>
    <w:rsid w:val="00B34CAA"/>
    <w:rsid w:val="00B34E19"/>
    <w:rsid w:val="00B35091"/>
    <w:rsid w:val="00B35914"/>
    <w:rsid w:val="00B35FE6"/>
    <w:rsid w:val="00B36486"/>
    <w:rsid w:val="00B3683A"/>
    <w:rsid w:val="00B36A69"/>
    <w:rsid w:val="00B36AFD"/>
    <w:rsid w:val="00B36C0B"/>
    <w:rsid w:val="00B36CC7"/>
    <w:rsid w:val="00B3782B"/>
    <w:rsid w:val="00B37FFE"/>
    <w:rsid w:val="00B4078F"/>
    <w:rsid w:val="00B40FBA"/>
    <w:rsid w:val="00B41679"/>
    <w:rsid w:val="00B42319"/>
    <w:rsid w:val="00B424AF"/>
    <w:rsid w:val="00B424DF"/>
    <w:rsid w:val="00B4262B"/>
    <w:rsid w:val="00B42970"/>
    <w:rsid w:val="00B42D4B"/>
    <w:rsid w:val="00B431F8"/>
    <w:rsid w:val="00B438B1"/>
    <w:rsid w:val="00B440ED"/>
    <w:rsid w:val="00B4434E"/>
    <w:rsid w:val="00B444A1"/>
    <w:rsid w:val="00B44916"/>
    <w:rsid w:val="00B45145"/>
    <w:rsid w:val="00B452C4"/>
    <w:rsid w:val="00B454CC"/>
    <w:rsid w:val="00B459B0"/>
    <w:rsid w:val="00B45AA8"/>
    <w:rsid w:val="00B45C59"/>
    <w:rsid w:val="00B45F1D"/>
    <w:rsid w:val="00B45F78"/>
    <w:rsid w:val="00B46A1F"/>
    <w:rsid w:val="00B46E66"/>
    <w:rsid w:val="00B46F6C"/>
    <w:rsid w:val="00B479B9"/>
    <w:rsid w:val="00B47E24"/>
    <w:rsid w:val="00B50007"/>
    <w:rsid w:val="00B506CA"/>
    <w:rsid w:val="00B506F1"/>
    <w:rsid w:val="00B50A01"/>
    <w:rsid w:val="00B5158E"/>
    <w:rsid w:val="00B516C4"/>
    <w:rsid w:val="00B51922"/>
    <w:rsid w:val="00B51BBD"/>
    <w:rsid w:val="00B51FF8"/>
    <w:rsid w:val="00B52147"/>
    <w:rsid w:val="00B521AA"/>
    <w:rsid w:val="00B521D3"/>
    <w:rsid w:val="00B52753"/>
    <w:rsid w:val="00B528DD"/>
    <w:rsid w:val="00B52911"/>
    <w:rsid w:val="00B52972"/>
    <w:rsid w:val="00B52B3D"/>
    <w:rsid w:val="00B52F04"/>
    <w:rsid w:val="00B53614"/>
    <w:rsid w:val="00B536DA"/>
    <w:rsid w:val="00B536DC"/>
    <w:rsid w:val="00B537F6"/>
    <w:rsid w:val="00B539AD"/>
    <w:rsid w:val="00B53AA0"/>
    <w:rsid w:val="00B5414C"/>
    <w:rsid w:val="00B54387"/>
    <w:rsid w:val="00B5462E"/>
    <w:rsid w:val="00B54A46"/>
    <w:rsid w:val="00B54AEE"/>
    <w:rsid w:val="00B54EB8"/>
    <w:rsid w:val="00B555FF"/>
    <w:rsid w:val="00B55A62"/>
    <w:rsid w:val="00B55B9E"/>
    <w:rsid w:val="00B55D10"/>
    <w:rsid w:val="00B55D2E"/>
    <w:rsid w:val="00B562B1"/>
    <w:rsid w:val="00B56484"/>
    <w:rsid w:val="00B56859"/>
    <w:rsid w:val="00B56A67"/>
    <w:rsid w:val="00B56B33"/>
    <w:rsid w:val="00B56F3F"/>
    <w:rsid w:val="00B57031"/>
    <w:rsid w:val="00B572A3"/>
    <w:rsid w:val="00B573B7"/>
    <w:rsid w:val="00B573B9"/>
    <w:rsid w:val="00B57F34"/>
    <w:rsid w:val="00B6009D"/>
    <w:rsid w:val="00B601F5"/>
    <w:rsid w:val="00B60503"/>
    <w:rsid w:val="00B6057B"/>
    <w:rsid w:val="00B609BE"/>
    <w:rsid w:val="00B60C00"/>
    <w:rsid w:val="00B613FA"/>
    <w:rsid w:val="00B623C0"/>
    <w:rsid w:val="00B62531"/>
    <w:rsid w:val="00B62999"/>
    <w:rsid w:val="00B62A06"/>
    <w:rsid w:val="00B62B39"/>
    <w:rsid w:val="00B62DA8"/>
    <w:rsid w:val="00B62ED9"/>
    <w:rsid w:val="00B63209"/>
    <w:rsid w:val="00B633F1"/>
    <w:rsid w:val="00B63646"/>
    <w:rsid w:val="00B63679"/>
    <w:rsid w:val="00B63A52"/>
    <w:rsid w:val="00B64A23"/>
    <w:rsid w:val="00B6540F"/>
    <w:rsid w:val="00B655E4"/>
    <w:rsid w:val="00B65AD9"/>
    <w:rsid w:val="00B65AF1"/>
    <w:rsid w:val="00B65B78"/>
    <w:rsid w:val="00B65C9D"/>
    <w:rsid w:val="00B65F79"/>
    <w:rsid w:val="00B66147"/>
    <w:rsid w:val="00B66839"/>
    <w:rsid w:val="00B668AF"/>
    <w:rsid w:val="00B66933"/>
    <w:rsid w:val="00B669AA"/>
    <w:rsid w:val="00B66A4C"/>
    <w:rsid w:val="00B66C6E"/>
    <w:rsid w:val="00B67051"/>
    <w:rsid w:val="00B673A7"/>
    <w:rsid w:val="00B674E1"/>
    <w:rsid w:val="00B6796A"/>
    <w:rsid w:val="00B7062B"/>
    <w:rsid w:val="00B70975"/>
    <w:rsid w:val="00B70BCD"/>
    <w:rsid w:val="00B70D20"/>
    <w:rsid w:val="00B70D98"/>
    <w:rsid w:val="00B715E5"/>
    <w:rsid w:val="00B71893"/>
    <w:rsid w:val="00B71EEC"/>
    <w:rsid w:val="00B71FBA"/>
    <w:rsid w:val="00B72028"/>
    <w:rsid w:val="00B724E8"/>
    <w:rsid w:val="00B73211"/>
    <w:rsid w:val="00B7360B"/>
    <w:rsid w:val="00B739A4"/>
    <w:rsid w:val="00B73A09"/>
    <w:rsid w:val="00B744B9"/>
    <w:rsid w:val="00B746D3"/>
    <w:rsid w:val="00B74B75"/>
    <w:rsid w:val="00B75199"/>
    <w:rsid w:val="00B755C1"/>
    <w:rsid w:val="00B7591A"/>
    <w:rsid w:val="00B75E3E"/>
    <w:rsid w:val="00B75F8A"/>
    <w:rsid w:val="00B76299"/>
    <w:rsid w:val="00B766C0"/>
    <w:rsid w:val="00B76964"/>
    <w:rsid w:val="00B773FF"/>
    <w:rsid w:val="00B7746D"/>
    <w:rsid w:val="00B77800"/>
    <w:rsid w:val="00B77B11"/>
    <w:rsid w:val="00B77BCB"/>
    <w:rsid w:val="00B77E7F"/>
    <w:rsid w:val="00B8027D"/>
    <w:rsid w:val="00B802FA"/>
    <w:rsid w:val="00B80EC3"/>
    <w:rsid w:val="00B80ECB"/>
    <w:rsid w:val="00B81057"/>
    <w:rsid w:val="00B816B2"/>
    <w:rsid w:val="00B816DC"/>
    <w:rsid w:val="00B81B6C"/>
    <w:rsid w:val="00B81F35"/>
    <w:rsid w:val="00B82388"/>
    <w:rsid w:val="00B82ABB"/>
    <w:rsid w:val="00B836D0"/>
    <w:rsid w:val="00B83B01"/>
    <w:rsid w:val="00B83C9F"/>
    <w:rsid w:val="00B83CBD"/>
    <w:rsid w:val="00B83F53"/>
    <w:rsid w:val="00B8402A"/>
    <w:rsid w:val="00B8435B"/>
    <w:rsid w:val="00B848DE"/>
    <w:rsid w:val="00B85B70"/>
    <w:rsid w:val="00B85EC9"/>
    <w:rsid w:val="00B86C28"/>
    <w:rsid w:val="00B86DAF"/>
    <w:rsid w:val="00B871C9"/>
    <w:rsid w:val="00B873DB"/>
    <w:rsid w:val="00B87581"/>
    <w:rsid w:val="00B87832"/>
    <w:rsid w:val="00B87B2F"/>
    <w:rsid w:val="00B90418"/>
    <w:rsid w:val="00B904F9"/>
    <w:rsid w:val="00B90BD4"/>
    <w:rsid w:val="00B90D6F"/>
    <w:rsid w:val="00B90FDF"/>
    <w:rsid w:val="00B917EF"/>
    <w:rsid w:val="00B91967"/>
    <w:rsid w:val="00B91E38"/>
    <w:rsid w:val="00B927D9"/>
    <w:rsid w:val="00B92B32"/>
    <w:rsid w:val="00B93252"/>
    <w:rsid w:val="00B9356C"/>
    <w:rsid w:val="00B93586"/>
    <w:rsid w:val="00B9359E"/>
    <w:rsid w:val="00B939F5"/>
    <w:rsid w:val="00B94045"/>
    <w:rsid w:val="00B94099"/>
    <w:rsid w:val="00B9409D"/>
    <w:rsid w:val="00B942A8"/>
    <w:rsid w:val="00B94311"/>
    <w:rsid w:val="00B948F5"/>
    <w:rsid w:val="00B9519A"/>
    <w:rsid w:val="00B95682"/>
    <w:rsid w:val="00B95852"/>
    <w:rsid w:val="00B95A44"/>
    <w:rsid w:val="00B95A95"/>
    <w:rsid w:val="00B95C9C"/>
    <w:rsid w:val="00B96094"/>
    <w:rsid w:val="00B960E1"/>
    <w:rsid w:val="00B96D39"/>
    <w:rsid w:val="00B979C1"/>
    <w:rsid w:val="00B97F68"/>
    <w:rsid w:val="00BA0228"/>
    <w:rsid w:val="00BA049B"/>
    <w:rsid w:val="00BA0515"/>
    <w:rsid w:val="00BA0A78"/>
    <w:rsid w:val="00BA0B9D"/>
    <w:rsid w:val="00BA0D1B"/>
    <w:rsid w:val="00BA0D7D"/>
    <w:rsid w:val="00BA1037"/>
    <w:rsid w:val="00BA10B8"/>
    <w:rsid w:val="00BA120E"/>
    <w:rsid w:val="00BA15EF"/>
    <w:rsid w:val="00BA202B"/>
    <w:rsid w:val="00BA2955"/>
    <w:rsid w:val="00BA2BC9"/>
    <w:rsid w:val="00BA2CD0"/>
    <w:rsid w:val="00BA2D5E"/>
    <w:rsid w:val="00BA35A3"/>
    <w:rsid w:val="00BA3FC2"/>
    <w:rsid w:val="00BA40FD"/>
    <w:rsid w:val="00BA4358"/>
    <w:rsid w:val="00BA4B6A"/>
    <w:rsid w:val="00BA4BBA"/>
    <w:rsid w:val="00BA4BD8"/>
    <w:rsid w:val="00BA4D05"/>
    <w:rsid w:val="00BA4DA5"/>
    <w:rsid w:val="00BA553E"/>
    <w:rsid w:val="00BA5850"/>
    <w:rsid w:val="00BA5B53"/>
    <w:rsid w:val="00BA5C73"/>
    <w:rsid w:val="00BA5FD1"/>
    <w:rsid w:val="00BA6194"/>
    <w:rsid w:val="00BA65C1"/>
    <w:rsid w:val="00BA67E3"/>
    <w:rsid w:val="00BA6849"/>
    <w:rsid w:val="00BA6A4C"/>
    <w:rsid w:val="00BA6B4A"/>
    <w:rsid w:val="00BA6D47"/>
    <w:rsid w:val="00BA6F41"/>
    <w:rsid w:val="00BA77E1"/>
    <w:rsid w:val="00BA7A3D"/>
    <w:rsid w:val="00BA7BAB"/>
    <w:rsid w:val="00BA7E11"/>
    <w:rsid w:val="00BA7EA7"/>
    <w:rsid w:val="00BA7F70"/>
    <w:rsid w:val="00BA7FDD"/>
    <w:rsid w:val="00BB0000"/>
    <w:rsid w:val="00BB091D"/>
    <w:rsid w:val="00BB09CA"/>
    <w:rsid w:val="00BB0DB1"/>
    <w:rsid w:val="00BB0F1A"/>
    <w:rsid w:val="00BB15E5"/>
    <w:rsid w:val="00BB1AA3"/>
    <w:rsid w:val="00BB2319"/>
    <w:rsid w:val="00BB235E"/>
    <w:rsid w:val="00BB2555"/>
    <w:rsid w:val="00BB2AB6"/>
    <w:rsid w:val="00BB2E14"/>
    <w:rsid w:val="00BB33C1"/>
    <w:rsid w:val="00BB366A"/>
    <w:rsid w:val="00BB383B"/>
    <w:rsid w:val="00BB3CDD"/>
    <w:rsid w:val="00BB43A0"/>
    <w:rsid w:val="00BB457A"/>
    <w:rsid w:val="00BB483B"/>
    <w:rsid w:val="00BB485A"/>
    <w:rsid w:val="00BB4B20"/>
    <w:rsid w:val="00BB4C4A"/>
    <w:rsid w:val="00BB4CF2"/>
    <w:rsid w:val="00BB4E69"/>
    <w:rsid w:val="00BB5030"/>
    <w:rsid w:val="00BB509C"/>
    <w:rsid w:val="00BB555C"/>
    <w:rsid w:val="00BB648A"/>
    <w:rsid w:val="00BB667D"/>
    <w:rsid w:val="00BB7BA8"/>
    <w:rsid w:val="00BB7BF9"/>
    <w:rsid w:val="00BB7C36"/>
    <w:rsid w:val="00BB7C46"/>
    <w:rsid w:val="00BB7E9C"/>
    <w:rsid w:val="00BC0206"/>
    <w:rsid w:val="00BC03F6"/>
    <w:rsid w:val="00BC05C8"/>
    <w:rsid w:val="00BC0E2F"/>
    <w:rsid w:val="00BC0F97"/>
    <w:rsid w:val="00BC11F4"/>
    <w:rsid w:val="00BC16D7"/>
    <w:rsid w:val="00BC1C24"/>
    <w:rsid w:val="00BC1C7F"/>
    <w:rsid w:val="00BC2699"/>
    <w:rsid w:val="00BC2735"/>
    <w:rsid w:val="00BC28C2"/>
    <w:rsid w:val="00BC29B1"/>
    <w:rsid w:val="00BC2C8D"/>
    <w:rsid w:val="00BC2D7A"/>
    <w:rsid w:val="00BC2E77"/>
    <w:rsid w:val="00BC303E"/>
    <w:rsid w:val="00BC331F"/>
    <w:rsid w:val="00BC3679"/>
    <w:rsid w:val="00BC39FE"/>
    <w:rsid w:val="00BC3B9E"/>
    <w:rsid w:val="00BC3E2D"/>
    <w:rsid w:val="00BC4254"/>
    <w:rsid w:val="00BC4698"/>
    <w:rsid w:val="00BC46B6"/>
    <w:rsid w:val="00BC470C"/>
    <w:rsid w:val="00BC49A4"/>
    <w:rsid w:val="00BC4DAC"/>
    <w:rsid w:val="00BC50B8"/>
    <w:rsid w:val="00BC55E5"/>
    <w:rsid w:val="00BC560D"/>
    <w:rsid w:val="00BC57DE"/>
    <w:rsid w:val="00BC5B24"/>
    <w:rsid w:val="00BC5D44"/>
    <w:rsid w:val="00BC6378"/>
    <w:rsid w:val="00BC64A7"/>
    <w:rsid w:val="00BC64F9"/>
    <w:rsid w:val="00BC6743"/>
    <w:rsid w:val="00BC682E"/>
    <w:rsid w:val="00BC6880"/>
    <w:rsid w:val="00BC6A1C"/>
    <w:rsid w:val="00BC7024"/>
    <w:rsid w:val="00BC70B4"/>
    <w:rsid w:val="00BC77F4"/>
    <w:rsid w:val="00BC7ABB"/>
    <w:rsid w:val="00BC7BF1"/>
    <w:rsid w:val="00BC7E94"/>
    <w:rsid w:val="00BD0199"/>
    <w:rsid w:val="00BD01EA"/>
    <w:rsid w:val="00BD023B"/>
    <w:rsid w:val="00BD036B"/>
    <w:rsid w:val="00BD0789"/>
    <w:rsid w:val="00BD0E2C"/>
    <w:rsid w:val="00BD1246"/>
    <w:rsid w:val="00BD16F8"/>
    <w:rsid w:val="00BD2205"/>
    <w:rsid w:val="00BD226A"/>
    <w:rsid w:val="00BD2582"/>
    <w:rsid w:val="00BD26F3"/>
    <w:rsid w:val="00BD2DF5"/>
    <w:rsid w:val="00BD325F"/>
    <w:rsid w:val="00BD33FC"/>
    <w:rsid w:val="00BD373F"/>
    <w:rsid w:val="00BD38E1"/>
    <w:rsid w:val="00BD3CC6"/>
    <w:rsid w:val="00BD408B"/>
    <w:rsid w:val="00BD4603"/>
    <w:rsid w:val="00BD4655"/>
    <w:rsid w:val="00BD47DB"/>
    <w:rsid w:val="00BD4BF6"/>
    <w:rsid w:val="00BD516C"/>
    <w:rsid w:val="00BD563C"/>
    <w:rsid w:val="00BD5911"/>
    <w:rsid w:val="00BD59D8"/>
    <w:rsid w:val="00BD59ED"/>
    <w:rsid w:val="00BD5C23"/>
    <w:rsid w:val="00BD6667"/>
    <w:rsid w:val="00BD684B"/>
    <w:rsid w:val="00BD751D"/>
    <w:rsid w:val="00BD760B"/>
    <w:rsid w:val="00BD77C1"/>
    <w:rsid w:val="00BD77FC"/>
    <w:rsid w:val="00BD7806"/>
    <w:rsid w:val="00BD7C56"/>
    <w:rsid w:val="00BD7F5A"/>
    <w:rsid w:val="00BE00C7"/>
    <w:rsid w:val="00BE02E6"/>
    <w:rsid w:val="00BE033E"/>
    <w:rsid w:val="00BE061E"/>
    <w:rsid w:val="00BE06A2"/>
    <w:rsid w:val="00BE0CA7"/>
    <w:rsid w:val="00BE0CC7"/>
    <w:rsid w:val="00BE10A8"/>
    <w:rsid w:val="00BE10F1"/>
    <w:rsid w:val="00BE14BE"/>
    <w:rsid w:val="00BE1861"/>
    <w:rsid w:val="00BE1EC1"/>
    <w:rsid w:val="00BE1F85"/>
    <w:rsid w:val="00BE216A"/>
    <w:rsid w:val="00BE22FA"/>
    <w:rsid w:val="00BE2318"/>
    <w:rsid w:val="00BE27FC"/>
    <w:rsid w:val="00BE2927"/>
    <w:rsid w:val="00BE2A20"/>
    <w:rsid w:val="00BE36C4"/>
    <w:rsid w:val="00BE39B0"/>
    <w:rsid w:val="00BE3C19"/>
    <w:rsid w:val="00BE3E7F"/>
    <w:rsid w:val="00BE4294"/>
    <w:rsid w:val="00BE438F"/>
    <w:rsid w:val="00BE47C5"/>
    <w:rsid w:val="00BE47CE"/>
    <w:rsid w:val="00BE4D3B"/>
    <w:rsid w:val="00BE4D4B"/>
    <w:rsid w:val="00BE5528"/>
    <w:rsid w:val="00BE5A4C"/>
    <w:rsid w:val="00BE5B86"/>
    <w:rsid w:val="00BE5F38"/>
    <w:rsid w:val="00BE60FB"/>
    <w:rsid w:val="00BE63C8"/>
    <w:rsid w:val="00BE65B9"/>
    <w:rsid w:val="00BE6751"/>
    <w:rsid w:val="00BE691D"/>
    <w:rsid w:val="00BE6968"/>
    <w:rsid w:val="00BE6B74"/>
    <w:rsid w:val="00BE6E9E"/>
    <w:rsid w:val="00BE6F26"/>
    <w:rsid w:val="00BE6F9B"/>
    <w:rsid w:val="00BE71D1"/>
    <w:rsid w:val="00BE7471"/>
    <w:rsid w:val="00BE750F"/>
    <w:rsid w:val="00BE76A6"/>
    <w:rsid w:val="00BE7778"/>
    <w:rsid w:val="00BE7866"/>
    <w:rsid w:val="00BE7871"/>
    <w:rsid w:val="00BE7A73"/>
    <w:rsid w:val="00BE7D38"/>
    <w:rsid w:val="00BE7E1F"/>
    <w:rsid w:val="00BF004D"/>
    <w:rsid w:val="00BF01B3"/>
    <w:rsid w:val="00BF0769"/>
    <w:rsid w:val="00BF0FEB"/>
    <w:rsid w:val="00BF1054"/>
    <w:rsid w:val="00BF11B8"/>
    <w:rsid w:val="00BF129E"/>
    <w:rsid w:val="00BF1629"/>
    <w:rsid w:val="00BF176A"/>
    <w:rsid w:val="00BF19F0"/>
    <w:rsid w:val="00BF24CF"/>
    <w:rsid w:val="00BF259F"/>
    <w:rsid w:val="00BF2A11"/>
    <w:rsid w:val="00BF2CC5"/>
    <w:rsid w:val="00BF2E4A"/>
    <w:rsid w:val="00BF3DA0"/>
    <w:rsid w:val="00BF4DFD"/>
    <w:rsid w:val="00BF4FD7"/>
    <w:rsid w:val="00BF55A9"/>
    <w:rsid w:val="00BF5ADC"/>
    <w:rsid w:val="00BF5B5D"/>
    <w:rsid w:val="00BF60C9"/>
    <w:rsid w:val="00BF6682"/>
    <w:rsid w:val="00BF6683"/>
    <w:rsid w:val="00BF674C"/>
    <w:rsid w:val="00BF6C99"/>
    <w:rsid w:val="00BF722B"/>
    <w:rsid w:val="00BF7423"/>
    <w:rsid w:val="00BF749C"/>
    <w:rsid w:val="00BF7671"/>
    <w:rsid w:val="00BF7B53"/>
    <w:rsid w:val="00BF7D0B"/>
    <w:rsid w:val="00C000B5"/>
    <w:rsid w:val="00C00850"/>
    <w:rsid w:val="00C00B2B"/>
    <w:rsid w:val="00C01443"/>
    <w:rsid w:val="00C01823"/>
    <w:rsid w:val="00C0195E"/>
    <w:rsid w:val="00C019A0"/>
    <w:rsid w:val="00C01B51"/>
    <w:rsid w:val="00C01C97"/>
    <w:rsid w:val="00C01CC4"/>
    <w:rsid w:val="00C01D32"/>
    <w:rsid w:val="00C02243"/>
    <w:rsid w:val="00C02BEB"/>
    <w:rsid w:val="00C03503"/>
    <w:rsid w:val="00C0374F"/>
    <w:rsid w:val="00C039A1"/>
    <w:rsid w:val="00C03BEC"/>
    <w:rsid w:val="00C04182"/>
    <w:rsid w:val="00C052B8"/>
    <w:rsid w:val="00C05883"/>
    <w:rsid w:val="00C05CCC"/>
    <w:rsid w:val="00C05EE6"/>
    <w:rsid w:val="00C0601E"/>
    <w:rsid w:val="00C06427"/>
    <w:rsid w:val="00C065DC"/>
    <w:rsid w:val="00C06A13"/>
    <w:rsid w:val="00C0724B"/>
    <w:rsid w:val="00C07441"/>
    <w:rsid w:val="00C0746E"/>
    <w:rsid w:val="00C07CD7"/>
    <w:rsid w:val="00C07E3C"/>
    <w:rsid w:val="00C10420"/>
    <w:rsid w:val="00C105F9"/>
    <w:rsid w:val="00C10E8B"/>
    <w:rsid w:val="00C1178B"/>
    <w:rsid w:val="00C1181D"/>
    <w:rsid w:val="00C11BA1"/>
    <w:rsid w:val="00C126C4"/>
    <w:rsid w:val="00C12848"/>
    <w:rsid w:val="00C12CAC"/>
    <w:rsid w:val="00C12E44"/>
    <w:rsid w:val="00C12E45"/>
    <w:rsid w:val="00C13320"/>
    <w:rsid w:val="00C1375F"/>
    <w:rsid w:val="00C1378B"/>
    <w:rsid w:val="00C13906"/>
    <w:rsid w:val="00C13B14"/>
    <w:rsid w:val="00C1405D"/>
    <w:rsid w:val="00C14242"/>
    <w:rsid w:val="00C142C8"/>
    <w:rsid w:val="00C14468"/>
    <w:rsid w:val="00C1448C"/>
    <w:rsid w:val="00C14740"/>
    <w:rsid w:val="00C147AC"/>
    <w:rsid w:val="00C14E28"/>
    <w:rsid w:val="00C14EBE"/>
    <w:rsid w:val="00C14F40"/>
    <w:rsid w:val="00C15428"/>
    <w:rsid w:val="00C155DA"/>
    <w:rsid w:val="00C15D77"/>
    <w:rsid w:val="00C15E12"/>
    <w:rsid w:val="00C16027"/>
    <w:rsid w:val="00C1632C"/>
    <w:rsid w:val="00C164D9"/>
    <w:rsid w:val="00C16666"/>
    <w:rsid w:val="00C16754"/>
    <w:rsid w:val="00C16A5C"/>
    <w:rsid w:val="00C172A0"/>
    <w:rsid w:val="00C1765D"/>
    <w:rsid w:val="00C177CC"/>
    <w:rsid w:val="00C178DE"/>
    <w:rsid w:val="00C17FF0"/>
    <w:rsid w:val="00C204EF"/>
    <w:rsid w:val="00C20843"/>
    <w:rsid w:val="00C20B4A"/>
    <w:rsid w:val="00C20E1F"/>
    <w:rsid w:val="00C2106B"/>
    <w:rsid w:val="00C21288"/>
    <w:rsid w:val="00C21369"/>
    <w:rsid w:val="00C21887"/>
    <w:rsid w:val="00C218C7"/>
    <w:rsid w:val="00C21ACB"/>
    <w:rsid w:val="00C21ECC"/>
    <w:rsid w:val="00C22061"/>
    <w:rsid w:val="00C2225A"/>
    <w:rsid w:val="00C2225D"/>
    <w:rsid w:val="00C22824"/>
    <w:rsid w:val="00C22BA8"/>
    <w:rsid w:val="00C22D58"/>
    <w:rsid w:val="00C230F3"/>
    <w:rsid w:val="00C236F5"/>
    <w:rsid w:val="00C238B8"/>
    <w:rsid w:val="00C23F41"/>
    <w:rsid w:val="00C245C0"/>
    <w:rsid w:val="00C24842"/>
    <w:rsid w:val="00C24BA8"/>
    <w:rsid w:val="00C254F7"/>
    <w:rsid w:val="00C258BD"/>
    <w:rsid w:val="00C25A65"/>
    <w:rsid w:val="00C25C79"/>
    <w:rsid w:val="00C25D21"/>
    <w:rsid w:val="00C25EA3"/>
    <w:rsid w:val="00C25F21"/>
    <w:rsid w:val="00C26168"/>
    <w:rsid w:val="00C2634B"/>
    <w:rsid w:val="00C268EB"/>
    <w:rsid w:val="00C26D52"/>
    <w:rsid w:val="00C26E34"/>
    <w:rsid w:val="00C26FC7"/>
    <w:rsid w:val="00C271F3"/>
    <w:rsid w:val="00C275E5"/>
    <w:rsid w:val="00C27F0D"/>
    <w:rsid w:val="00C300E9"/>
    <w:rsid w:val="00C3052A"/>
    <w:rsid w:val="00C306CD"/>
    <w:rsid w:val="00C30750"/>
    <w:rsid w:val="00C309A0"/>
    <w:rsid w:val="00C309E1"/>
    <w:rsid w:val="00C30DAC"/>
    <w:rsid w:val="00C31C2A"/>
    <w:rsid w:val="00C31D6C"/>
    <w:rsid w:val="00C31F42"/>
    <w:rsid w:val="00C325FB"/>
    <w:rsid w:val="00C32B01"/>
    <w:rsid w:val="00C32D4D"/>
    <w:rsid w:val="00C32D83"/>
    <w:rsid w:val="00C32F70"/>
    <w:rsid w:val="00C332E5"/>
    <w:rsid w:val="00C33482"/>
    <w:rsid w:val="00C335EE"/>
    <w:rsid w:val="00C337FA"/>
    <w:rsid w:val="00C338C5"/>
    <w:rsid w:val="00C33B56"/>
    <w:rsid w:val="00C33C84"/>
    <w:rsid w:val="00C341DA"/>
    <w:rsid w:val="00C34B35"/>
    <w:rsid w:val="00C34D5A"/>
    <w:rsid w:val="00C34DBF"/>
    <w:rsid w:val="00C352AB"/>
    <w:rsid w:val="00C35564"/>
    <w:rsid w:val="00C35674"/>
    <w:rsid w:val="00C359D4"/>
    <w:rsid w:val="00C35A4A"/>
    <w:rsid w:val="00C360D8"/>
    <w:rsid w:val="00C36102"/>
    <w:rsid w:val="00C36BF3"/>
    <w:rsid w:val="00C36CF0"/>
    <w:rsid w:val="00C36ECC"/>
    <w:rsid w:val="00C3732E"/>
    <w:rsid w:val="00C37765"/>
    <w:rsid w:val="00C37C68"/>
    <w:rsid w:val="00C37E96"/>
    <w:rsid w:val="00C40136"/>
    <w:rsid w:val="00C40278"/>
    <w:rsid w:val="00C407D0"/>
    <w:rsid w:val="00C40993"/>
    <w:rsid w:val="00C40C7B"/>
    <w:rsid w:val="00C40F34"/>
    <w:rsid w:val="00C40F9F"/>
    <w:rsid w:val="00C41486"/>
    <w:rsid w:val="00C415FC"/>
    <w:rsid w:val="00C4183D"/>
    <w:rsid w:val="00C418E6"/>
    <w:rsid w:val="00C41E97"/>
    <w:rsid w:val="00C41F7D"/>
    <w:rsid w:val="00C42221"/>
    <w:rsid w:val="00C42738"/>
    <w:rsid w:val="00C42957"/>
    <w:rsid w:val="00C42C71"/>
    <w:rsid w:val="00C43006"/>
    <w:rsid w:val="00C43098"/>
    <w:rsid w:val="00C43470"/>
    <w:rsid w:val="00C43BC1"/>
    <w:rsid w:val="00C43BCC"/>
    <w:rsid w:val="00C43EBF"/>
    <w:rsid w:val="00C43FE3"/>
    <w:rsid w:val="00C44096"/>
    <w:rsid w:val="00C4409F"/>
    <w:rsid w:val="00C445D0"/>
    <w:rsid w:val="00C44A5E"/>
    <w:rsid w:val="00C44B1E"/>
    <w:rsid w:val="00C44CD6"/>
    <w:rsid w:val="00C44CF8"/>
    <w:rsid w:val="00C450BE"/>
    <w:rsid w:val="00C45122"/>
    <w:rsid w:val="00C454A9"/>
    <w:rsid w:val="00C45576"/>
    <w:rsid w:val="00C45609"/>
    <w:rsid w:val="00C456C7"/>
    <w:rsid w:val="00C456E6"/>
    <w:rsid w:val="00C45D8E"/>
    <w:rsid w:val="00C461B8"/>
    <w:rsid w:val="00C46BA1"/>
    <w:rsid w:val="00C46FB6"/>
    <w:rsid w:val="00C470C3"/>
    <w:rsid w:val="00C47730"/>
    <w:rsid w:val="00C47923"/>
    <w:rsid w:val="00C502B6"/>
    <w:rsid w:val="00C50D20"/>
    <w:rsid w:val="00C514A2"/>
    <w:rsid w:val="00C51678"/>
    <w:rsid w:val="00C51897"/>
    <w:rsid w:val="00C51C31"/>
    <w:rsid w:val="00C51D75"/>
    <w:rsid w:val="00C5250D"/>
    <w:rsid w:val="00C52674"/>
    <w:rsid w:val="00C52868"/>
    <w:rsid w:val="00C530A7"/>
    <w:rsid w:val="00C530DF"/>
    <w:rsid w:val="00C5347D"/>
    <w:rsid w:val="00C53710"/>
    <w:rsid w:val="00C5392A"/>
    <w:rsid w:val="00C53941"/>
    <w:rsid w:val="00C5413A"/>
    <w:rsid w:val="00C545BB"/>
    <w:rsid w:val="00C545DB"/>
    <w:rsid w:val="00C55018"/>
    <w:rsid w:val="00C55C79"/>
    <w:rsid w:val="00C5607B"/>
    <w:rsid w:val="00C561CE"/>
    <w:rsid w:val="00C567F9"/>
    <w:rsid w:val="00C568A2"/>
    <w:rsid w:val="00C56910"/>
    <w:rsid w:val="00C56923"/>
    <w:rsid w:val="00C5698F"/>
    <w:rsid w:val="00C57093"/>
    <w:rsid w:val="00C570C1"/>
    <w:rsid w:val="00C575FA"/>
    <w:rsid w:val="00C57A38"/>
    <w:rsid w:val="00C57CAB"/>
    <w:rsid w:val="00C57CAD"/>
    <w:rsid w:val="00C60049"/>
    <w:rsid w:val="00C60220"/>
    <w:rsid w:val="00C603D2"/>
    <w:rsid w:val="00C605FB"/>
    <w:rsid w:val="00C60625"/>
    <w:rsid w:val="00C6088D"/>
    <w:rsid w:val="00C60FE5"/>
    <w:rsid w:val="00C61123"/>
    <w:rsid w:val="00C6177D"/>
    <w:rsid w:val="00C61D36"/>
    <w:rsid w:val="00C620A2"/>
    <w:rsid w:val="00C62189"/>
    <w:rsid w:val="00C6231E"/>
    <w:rsid w:val="00C628EF"/>
    <w:rsid w:val="00C635BA"/>
    <w:rsid w:val="00C63C51"/>
    <w:rsid w:val="00C6484D"/>
    <w:rsid w:val="00C64943"/>
    <w:rsid w:val="00C64E5D"/>
    <w:rsid w:val="00C652CA"/>
    <w:rsid w:val="00C65681"/>
    <w:rsid w:val="00C6646C"/>
    <w:rsid w:val="00C664F1"/>
    <w:rsid w:val="00C66788"/>
    <w:rsid w:val="00C66EA4"/>
    <w:rsid w:val="00C674DC"/>
    <w:rsid w:val="00C67979"/>
    <w:rsid w:val="00C67AAC"/>
    <w:rsid w:val="00C67B93"/>
    <w:rsid w:val="00C7000E"/>
    <w:rsid w:val="00C70519"/>
    <w:rsid w:val="00C706D0"/>
    <w:rsid w:val="00C70735"/>
    <w:rsid w:val="00C70922"/>
    <w:rsid w:val="00C709B1"/>
    <w:rsid w:val="00C7101D"/>
    <w:rsid w:val="00C71283"/>
    <w:rsid w:val="00C71413"/>
    <w:rsid w:val="00C718CC"/>
    <w:rsid w:val="00C71F2C"/>
    <w:rsid w:val="00C7245D"/>
    <w:rsid w:val="00C724DA"/>
    <w:rsid w:val="00C724EA"/>
    <w:rsid w:val="00C725C5"/>
    <w:rsid w:val="00C72814"/>
    <w:rsid w:val="00C72DAC"/>
    <w:rsid w:val="00C73150"/>
    <w:rsid w:val="00C73389"/>
    <w:rsid w:val="00C739CC"/>
    <w:rsid w:val="00C73AEC"/>
    <w:rsid w:val="00C73B50"/>
    <w:rsid w:val="00C744FA"/>
    <w:rsid w:val="00C74690"/>
    <w:rsid w:val="00C74D4C"/>
    <w:rsid w:val="00C74D51"/>
    <w:rsid w:val="00C74D56"/>
    <w:rsid w:val="00C751EE"/>
    <w:rsid w:val="00C755B3"/>
    <w:rsid w:val="00C7587F"/>
    <w:rsid w:val="00C75E6A"/>
    <w:rsid w:val="00C75E83"/>
    <w:rsid w:val="00C766CC"/>
    <w:rsid w:val="00C76BEA"/>
    <w:rsid w:val="00C76C3D"/>
    <w:rsid w:val="00C77904"/>
    <w:rsid w:val="00C77A2E"/>
    <w:rsid w:val="00C77BEA"/>
    <w:rsid w:val="00C80233"/>
    <w:rsid w:val="00C8035C"/>
    <w:rsid w:val="00C80920"/>
    <w:rsid w:val="00C80FCB"/>
    <w:rsid w:val="00C813D2"/>
    <w:rsid w:val="00C815D0"/>
    <w:rsid w:val="00C81649"/>
    <w:rsid w:val="00C817F6"/>
    <w:rsid w:val="00C819F6"/>
    <w:rsid w:val="00C81AF2"/>
    <w:rsid w:val="00C81EE1"/>
    <w:rsid w:val="00C82141"/>
    <w:rsid w:val="00C82744"/>
    <w:rsid w:val="00C83006"/>
    <w:rsid w:val="00C8304A"/>
    <w:rsid w:val="00C83E38"/>
    <w:rsid w:val="00C83E62"/>
    <w:rsid w:val="00C840BB"/>
    <w:rsid w:val="00C84900"/>
    <w:rsid w:val="00C84AC9"/>
    <w:rsid w:val="00C84C4C"/>
    <w:rsid w:val="00C84D32"/>
    <w:rsid w:val="00C84DFE"/>
    <w:rsid w:val="00C85179"/>
    <w:rsid w:val="00C85204"/>
    <w:rsid w:val="00C852AA"/>
    <w:rsid w:val="00C85570"/>
    <w:rsid w:val="00C85684"/>
    <w:rsid w:val="00C858D8"/>
    <w:rsid w:val="00C85A6F"/>
    <w:rsid w:val="00C8616C"/>
    <w:rsid w:val="00C86191"/>
    <w:rsid w:val="00C86EAE"/>
    <w:rsid w:val="00C86ED1"/>
    <w:rsid w:val="00C86F10"/>
    <w:rsid w:val="00C870BF"/>
    <w:rsid w:val="00C87103"/>
    <w:rsid w:val="00C8764D"/>
    <w:rsid w:val="00C87D4C"/>
    <w:rsid w:val="00C900EF"/>
    <w:rsid w:val="00C90B33"/>
    <w:rsid w:val="00C90F0B"/>
    <w:rsid w:val="00C91165"/>
    <w:rsid w:val="00C911E3"/>
    <w:rsid w:val="00C91289"/>
    <w:rsid w:val="00C915E9"/>
    <w:rsid w:val="00C917C1"/>
    <w:rsid w:val="00C91D11"/>
    <w:rsid w:val="00C91DCD"/>
    <w:rsid w:val="00C920DB"/>
    <w:rsid w:val="00C92625"/>
    <w:rsid w:val="00C92775"/>
    <w:rsid w:val="00C929B5"/>
    <w:rsid w:val="00C92D2B"/>
    <w:rsid w:val="00C92EB7"/>
    <w:rsid w:val="00C92EBF"/>
    <w:rsid w:val="00C92F2D"/>
    <w:rsid w:val="00C933B9"/>
    <w:rsid w:val="00C933CA"/>
    <w:rsid w:val="00C937F3"/>
    <w:rsid w:val="00C93B6D"/>
    <w:rsid w:val="00C93BAF"/>
    <w:rsid w:val="00C94163"/>
    <w:rsid w:val="00C941A5"/>
    <w:rsid w:val="00C941F0"/>
    <w:rsid w:val="00C9472E"/>
    <w:rsid w:val="00C94785"/>
    <w:rsid w:val="00C949C0"/>
    <w:rsid w:val="00C94B1A"/>
    <w:rsid w:val="00C94BF7"/>
    <w:rsid w:val="00C94CFC"/>
    <w:rsid w:val="00C951D8"/>
    <w:rsid w:val="00C95222"/>
    <w:rsid w:val="00C955ED"/>
    <w:rsid w:val="00C95986"/>
    <w:rsid w:val="00C9605F"/>
    <w:rsid w:val="00C9644F"/>
    <w:rsid w:val="00C969AF"/>
    <w:rsid w:val="00C970CF"/>
    <w:rsid w:val="00C974D6"/>
    <w:rsid w:val="00C97583"/>
    <w:rsid w:val="00C97685"/>
    <w:rsid w:val="00C977CA"/>
    <w:rsid w:val="00C97C68"/>
    <w:rsid w:val="00C97EBE"/>
    <w:rsid w:val="00CA0091"/>
    <w:rsid w:val="00CA05C4"/>
    <w:rsid w:val="00CA0B1D"/>
    <w:rsid w:val="00CA0B97"/>
    <w:rsid w:val="00CA0D25"/>
    <w:rsid w:val="00CA13C6"/>
    <w:rsid w:val="00CA1891"/>
    <w:rsid w:val="00CA20DA"/>
    <w:rsid w:val="00CA21F4"/>
    <w:rsid w:val="00CA2821"/>
    <w:rsid w:val="00CA2AF6"/>
    <w:rsid w:val="00CA2F28"/>
    <w:rsid w:val="00CA311B"/>
    <w:rsid w:val="00CA336C"/>
    <w:rsid w:val="00CA35F4"/>
    <w:rsid w:val="00CA4158"/>
    <w:rsid w:val="00CA462F"/>
    <w:rsid w:val="00CA4793"/>
    <w:rsid w:val="00CA4C5E"/>
    <w:rsid w:val="00CA4C94"/>
    <w:rsid w:val="00CA4C9B"/>
    <w:rsid w:val="00CA5008"/>
    <w:rsid w:val="00CA54D7"/>
    <w:rsid w:val="00CA55E5"/>
    <w:rsid w:val="00CA56CA"/>
    <w:rsid w:val="00CA59A7"/>
    <w:rsid w:val="00CA5F9D"/>
    <w:rsid w:val="00CA5FD8"/>
    <w:rsid w:val="00CA6394"/>
    <w:rsid w:val="00CA65C8"/>
    <w:rsid w:val="00CA6CA8"/>
    <w:rsid w:val="00CA706A"/>
    <w:rsid w:val="00CA7213"/>
    <w:rsid w:val="00CA7758"/>
    <w:rsid w:val="00CA77B2"/>
    <w:rsid w:val="00CB0810"/>
    <w:rsid w:val="00CB0AA6"/>
    <w:rsid w:val="00CB0D49"/>
    <w:rsid w:val="00CB1362"/>
    <w:rsid w:val="00CB14A5"/>
    <w:rsid w:val="00CB1519"/>
    <w:rsid w:val="00CB1919"/>
    <w:rsid w:val="00CB1C01"/>
    <w:rsid w:val="00CB23FE"/>
    <w:rsid w:val="00CB2405"/>
    <w:rsid w:val="00CB34C2"/>
    <w:rsid w:val="00CB37ED"/>
    <w:rsid w:val="00CB3861"/>
    <w:rsid w:val="00CB3CD1"/>
    <w:rsid w:val="00CB3D3B"/>
    <w:rsid w:val="00CB3E2C"/>
    <w:rsid w:val="00CB4229"/>
    <w:rsid w:val="00CB42CF"/>
    <w:rsid w:val="00CB44C0"/>
    <w:rsid w:val="00CB4930"/>
    <w:rsid w:val="00CB4A86"/>
    <w:rsid w:val="00CB4C1D"/>
    <w:rsid w:val="00CB4D58"/>
    <w:rsid w:val="00CB5637"/>
    <w:rsid w:val="00CB569B"/>
    <w:rsid w:val="00CB595E"/>
    <w:rsid w:val="00CB5FB2"/>
    <w:rsid w:val="00CB600B"/>
    <w:rsid w:val="00CB6C54"/>
    <w:rsid w:val="00CB6FE3"/>
    <w:rsid w:val="00CB70D2"/>
    <w:rsid w:val="00CB73A0"/>
    <w:rsid w:val="00CB73B6"/>
    <w:rsid w:val="00CB7414"/>
    <w:rsid w:val="00CB7610"/>
    <w:rsid w:val="00CB7DC8"/>
    <w:rsid w:val="00CC0071"/>
    <w:rsid w:val="00CC07BD"/>
    <w:rsid w:val="00CC0A04"/>
    <w:rsid w:val="00CC0A70"/>
    <w:rsid w:val="00CC0B15"/>
    <w:rsid w:val="00CC10B7"/>
    <w:rsid w:val="00CC127D"/>
    <w:rsid w:val="00CC1460"/>
    <w:rsid w:val="00CC181F"/>
    <w:rsid w:val="00CC1BE2"/>
    <w:rsid w:val="00CC2034"/>
    <w:rsid w:val="00CC2D04"/>
    <w:rsid w:val="00CC2D79"/>
    <w:rsid w:val="00CC2EA3"/>
    <w:rsid w:val="00CC347A"/>
    <w:rsid w:val="00CC3783"/>
    <w:rsid w:val="00CC3808"/>
    <w:rsid w:val="00CC3C93"/>
    <w:rsid w:val="00CC3DC4"/>
    <w:rsid w:val="00CC3F5A"/>
    <w:rsid w:val="00CC413B"/>
    <w:rsid w:val="00CC4906"/>
    <w:rsid w:val="00CC5051"/>
    <w:rsid w:val="00CC56F5"/>
    <w:rsid w:val="00CC5DAF"/>
    <w:rsid w:val="00CC6256"/>
    <w:rsid w:val="00CC629F"/>
    <w:rsid w:val="00CC62D3"/>
    <w:rsid w:val="00CC63AC"/>
    <w:rsid w:val="00CC665C"/>
    <w:rsid w:val="00CC6738"/>
    <w:rsid w:val="00CC6752"/>
    <w:rsid w:val="00CC67B8"/>
    <w:rsid w:val="00CC68C2"/>
    <w:rsid w:val="00CC6901"/>
    <w:rsid w:val="00CC6B8D"/>
    <w:rsid w:val="00CC6D68"/>
    <w:rsid w:val="00CC7B8F"/>
    <w:rsid w:val="00CC7E04"/>
    <w:rsid w:val="00CD00F2"/>
    <w:rsid w:val="00CD0197"/>
    <w:rsid w:val="00CD0C64"/>
    <w:rsid w:val="00CD0D01"/>
    <w:rsid w:val="00CD1539"/>
    <w:rsid w:val="00CD1B3E"/>
    <w:rsid w:val="00CD1CE4"/>
    <w:rsid w:val="00CD2149"/>
    <w:rsid w:val="00CD2215"/>
    <w:rsid w:val="00CD23A1"/>
    <w:rsid w:val="00CD2499"/>
    <w:rsid w:val="00CD2580"/>
    <w:rsid w:val="00CD26BD"/>
    <w:rsid w:val="00CD2DD8"/>
    <w:rsid w:val="00CD2EC1"/>
    <w:rsid w:val="00CD3022"/>
    <w:rsid w:val="00CD33D6"/>
    <w:rsid w:val="00CD37F9"/>
    <w:rsid w:val="00CD3AA6"/>
    <w:rsid w:val="00CD3BB6"/>
    <w:rsid w:val="00CD47A7"/>
    <w:rsid w:val="00CD4C78"/>
    <w:rsid w:val="00CD56B3"/>
    <w:rsid w:val="00CD59EE"/>
    <w:rsid w:val="00CD6242"/>
    <w:rsid w:val="00CD6B0F"/>
    <w:rsid w:val="00CD6B4C"/>
    <w:rsid w:val="00CD6D30"/>
    <w:rsid w:val="00CD721C"/>
    <w:rsid w:val="00CD75DC"/>
    <w:rsid w:val="00CD7750"/>
    <w:rsid w:val="00CD7756"/>
    <w:rsid w:val="00CD785B"/>
    <w:rsid w:val="00CD78C7"/>
    <w:rsid w:val="00CD7A42"/>
    <w:rsid w:val="00CE0641"/>
    <w:rsid w:val="00CE0859"/>
    <w:rsid w:val="00CE17F2"/>
    <w:rsid w:val="00CE1D12"/>
    <w:rsid w:val="00CE1E85"/>
    <w:rsid w:val="00CE1F71"/>
    <w:rsid w:val="00CE24B6"/>
    <w:rsid w:val="00CE2F3E"/>
    <w:rsid w:val="00CE30EE"/>
    <w:rsid w:val="00CE326E"/>
    <w:rsid w:val="00CE3381"/>
    <w:rsid w:val="00CE367F"/>
    <w:rsid w:val="00CE3864"/>
    <w:rsid w:val="00CE3A3D"/>
    <w:rsid w:val="00CE3B23"/>
    <w:rsid w:val="00CE3FEF"/>
    <w:rsid w:val="00CE4030"/>
    <w:rsid w:val="00CE4535"/>
    <w:rsid w:val="00CE48EC"/>
    <w:rsid w:val="00CE4C14"/>
    <w:rsid w:val="00CE4CA7"/>
    <w:rsid w:val="00CE5000"/>
    <w:rsid w:val="00CE50E0"/>
    <w:rsid w:val="00CE586C"/>
    <w:rsid w:val="00CE588B"/>
    <w:rsid w:val="00CE5C82"/>
    <w:rsid w:val="00CE659C"/>
    <w:rsid w:val="00CE6650"/>
    <w:rsid w:val="00CE673A"/>
    <w:rsid w:val="00CE685B"/>
    <w:rsid w:val="00CE6908"/>
    <w:rsid w:val="00CE6E19"/>
    <w:rsid w:val="00CE702D"/>
    <w:rsid w:val="00CE7092"/>
    <w:rsid w:val="00CE7145"/>
    <w:rsid w:val="00CE71FF"/>
    <w:rsid w:val="00CE72FD"/>
    <w:rsid w:val="00CE743F"/>
    <w:rsid w:val="00CE749E"/>
    <w:rsid w:val="00CE74B7"/>
    <w:rsid w:val="00CE76F2"/>
    <w:rsid w:val="00CE7BD5"/>
    <w:rsid w:val="00CE7E51"/>
    <w:rsid w:val="00CF0176"/>
    <w:rsid w:val="00CF01E0"/>
    <w:rsid w:val="00CF0201"/>
    <w:rsid w:val="00CF034B"/>
    <w:rsid w:val="00CF056E"/>
    <w:rsid w:val="00CF0F41"/>
    <w:rsid w:val="00CF0F79"/>
    <w:rsid w:val="00CF1E9E"/>
    <w:rsid w:val="00CF20B8"/>
    <w:rsid w:val="00CF2699"/>
    <w:rsid w:val="00CF2F0D"/>
    <w:rsid w:val="00CF3542"/>
    <w:rsid w:val="00CF3704"/>
    <w:rsid w:val="00CF3DB6"/>
    <w:rsid w:val="00CF416D"/>
    <w:rsid w:val="00CF476B"/>
    <w:rsid w:val="00CF4D44"/>
    <w:rsid w:val="00CF4D70"/>
    <w:rsid w:val="00CF5160"/>
    <w:rsid w:val="00CF5634"/>
    <w:rsid w:val="00CF5C7B"/>
    <w:rsid w:val="00CF5DAB"/>
    <w:rsid w:val="00CF5E33"/>
    <w:rsid w:val="00CF610B"/>
    <w:rsid w:val="00CF62B2"/>
    <w:rsid w:val="00CF64F9"/>
    <w:rsid w:val="00CF65F3"/>
    <w:rsid w:val="00CF67D4"/>
    <w:rsid w:val="00CF6BAB"/>
    <w:rsid w:val="00CF6DA7"/>
    <w:rsid w:val="00CF6DFC"/>
    <w:rsid w:val="00CF7157"/>
    <w:rsid w:val="00CF72D3"/>
    <w:rsid w:val="00CF738F"/>
    <w:rsid w:val="00CF7986"/>
    <w:rsid w:val="00CF7C15"/>
    <w:rsid w:val="00CF7D64"/>
    <w:rsid w:val="00CF7E91"/>
    <w:rsid w:val="00D00302"/>
    <w:rsid w:val="00D00C9D"/>
    <w:rsid w:val="00D00FF7"/>
    <w:rsid w:val="00D0146F"/>
    <w:rsid w:val="00D0150F"/>
    <w:rsid w:val="00D01C14"/>
    <w:rsid w:val="00D027F3"/>
    <w:rsid w:val="00D03009"/>
    <w:rsid w:val="00D037D4"/>
    <w:rsid w:val="00D03944"/>
    <w:rsid w:val="00D0451C"/>
    <w:rsid w:val="00D0456A"/>
    <w:rsid w:val="00D04A5D"/>
    <w:rsid w:val="00D04E63"/>
    <w:rsid w:val="00D04F49"/>
    <w:rsid w:val="00D0522B"/>
    <w:rsid w:val="00D052DE"/>
    <w:rsid w:val="00D0541D"/>
    <w:rsid w:val="00D05436"/>
    <w:rsid w:val="00D0593B"/>
    <w:rsid w:val="00D05987"/>
    <w:rsid w:val="00D05C9D"/>
    <w:rsid w:val="00D05EF9"/>
    <w:rsid w:val="00D062A3"/>
    <w:rsid w:val="00D064E4"/>
    <w:rsid w:val="00D06762"/>
    <w:rsid w:val="00D0677C"/>
    <w:rsid w:val="00D0684F"/>
    <w:rsid w:val="00D06B4C"/>
    <w:rsid w:val="00D06BFF"/>
    <w:rsid w:val="00D07027"/>
    <w:rsid w:val="00D0706F"/>
    <w:rsid w:val="00D07426"/>
    <w:rsid w:val="00D07488"/>
    <w:rsid w:val="00D07554"/>
    <w:rsid w:val="00D07BE1"/>
    <w:rsid w:val="00D10352"/>
    <w:rsid w:val="00D1083B"/>
    <w:rsid w:val="00D10961"/>
    <w:rsid w:val="00D10B06"/>
    <w:rsid w:val="00D10CDC"/>
    <w:rsid w:val="00D1128D"/>
    <w:rsid w:val="00D114CF"/>
    <w:rsid w:val="00D11511"/>
    <w:rsid w:val="00D1178D"/>
    <w:rsid w:val="00D11B1E"/>
    <w:rsid w:val="00D11BA5"/>
    <w:rsid w:val="00D12168"/>
    <w:rsid w:val="00D123BC"/>
    <w:rsid w:val="00D1268B"/>
    <w:rsid w:val="00D12855"/>
    <w:rsid w:val="00D12B1D"/>
    <w:rsid w:val="00D12F04"/>
    <w:rsid w:val="00D13088"/>
    <w:rsid w:val="00D130CF"/>
    <w:rsid w:val="00D13720"/>
    <w:rsid w:val="00D13D7D"/>
    <w:rsid w:val="00D13D85"/>
    <w:rsid w:val="00D14213"/>
    <w:rsid w:val="00D1431C"/>
    <w:rsid w:val="00D149D0"/>
    <w:rsid w:val="00D14E36"/>
    <w:rsid w:val="00D14E8D"/>
    <w:rsid w:val="00D15375"/>
    <w:rsid w:val="00D1542C"/>
    <w:rsid w:val="00D15492"/>
    <w:rsid w:val="00D15668"/>
    <w:rsid w:val="00D15678"/>
    <w:rsid w:val="00D159FC"/>
    <w:rsid w:val="00D15B80"/>
    <w:rsid w:val="00D15D7A"/>
    <w:rsid w:val="00D1613F"/>
    <w:rsid w:val="00D170A1"/>
    <w:rsid w:val="00D17233"/>
    <w:rsid w:val="00D17472"/>
    <w:rsid w:val="00D17C06"/>
    <w:rsid w:val="00D17D36"/>
    <w:rsid w:val="00D20673"/>
    <w:rsid w:val="00D206EC"/>
    <w:rsid w:val="00D206FB"/>
    <w:rsid w:val="00D20895"/>
    <w:rsid w:val="00D20FBE"/>
    <w:rsid w:val="00D21677"/>
    <w:rsid w:val="00D21CB5"/>
    <w:rsid w:val="00D22015"/>
    <w:rsid w:val="00D22185"/>
    <w:rsid w:val="00D22658"/>
    <w:rsid w:val="00D22746"/>
    <w:rsid w:val="00D22B63"/>
    <w:rsid w:val="00D22BDE"/>
    <w:rsid w:val="00D22C5E"/>
    <w:rsid w:val="00D22C7C"/>
    <w:rsid w:val="00D22E1A"/>
    <w:rsid w:val="00D22F63"/>
    <w:rsid w:val="00D231B6"/>
    <w:rsid w:val="00D234AA"/>
    <w:rsid w:val="00D2355E"/>
    <w:rsid w:val="00D23591"/>
    <w:rsid w:val="00D238A0"/>
    <w:rsid w:val="00D239F7"/>
    <w:rsid w:val="00D239FE"/>
    <w:rsid w:val="00D23A5D"/>
    <w:rsid w:val="00D23EE3"/>
    <w:rsid w:val="00D240F6"/>
    <w:rsid w:val="00D24405"/>
    <w:rsid w:val="00D247A9"/>
    <w:rsid w:val="00D24B0B"/>
    <w:rsid w:val="00D24B8F"/>
    <w:rsid w:val="00D24CB1"/>
    <w:rsid w:val="00D24FAB"/>
    <w:rsid w:val="00D254F6"/>
    <w:rsid w:val="00D25565"/>
    <w:rsid w:val="00D25575"/>
    <w:rsid w:val="00D25582"/>
    <w:rsid w:val="00D255D0"/>
    <w:rsid w:val="00D2623B"/>
    <w:rsid w:val="00D267E9"/>
    <w:rsid w:val="00D26A1B"/>
    <w:rsid w:val="00D26A51"/>
    <w:rsid w:val="00D26D88"/>
    <w:rsid w:val="00D274E5"/>
    <w:rsid w:val="00D275DC"/>
    <w:rsid w:val="00D27665"/>
    <w:rsid w:val="00D27685"/>
    <w:rsid w:val="00D3015D"/>
    <w:rsid w:val="00D30517"/>
    <w:rsid w:val="00D315ED"/>
    <w:rsid w:val="00D316B4"/>
    <w:rsid w:val="00D316FF"/>
    <w:rsid w:val="00D31CF0"/>
    <w:rsid w:val="00D32111"/>
    <w:rsid w:val="00D32369"/>
    <w:rsid w:val="00D325CE"/>
    <w:rsid w:val="00D32C0A"/>
    <w:rsid w:val="00D3316C"/>
    <w:rsid w:val="00D33BE5"/>
    <w:rsid w:val="00D33BED"/>
    <w:rsid w:val="00D33E05"/>
    <w:rsid w:val="00D3406E"/>
    <w:rsid w:val="00D34126"/>
    <w:rsid w:val="00D341C2"/>
    <w:rsid w:val="00D3433D"/>
    <w:rsid w:val="00D3499C"/>
    <w:rsid w:val="00D349BE"/>
    <w:rsid w:val="00D34A18"/>
    <w:rsid w:val="00D34ADA"/>
    <w:rsid w:val="00D34F00"/>
    <w:rsid w:val="00D35042"/>
    <w:rsid w:val="00D3549F"/>
    <w:rsid w:val="00D354B9"/>
    <w:rsid w:val="00D3586E"/>
    <w:rsid w:val="00D35A94"/>
    <w:rsid w:val="00D35CAC"/>
    <w:rsid w:val="00D35EFE"/>
    <w:rsid w:val="00D36211"/>
    <w:rsid w:val="00D36239"/>
    <w:rsid w:val="00D368AE"/>
    <w:rsid w:val="00D3700B"/>
    <w:rsid w:val="00D37098"/>
    <w:rsid w:val="00D37222"/>
    <w:rsid w:val="00D37600"/>
    <w:rsid w:val="00D3767C"/>
    <w:rsid w:val="00D40230"/>
    <w:rsid w:val="00D404E0"/>
    <w:rsid w:val="00D40836"/>
    <w:rsid w:val="00D40BC9"/>
    <w:rsid w:val="00D4102D"/>
    <w:rsid w:val="00D41274"/>
    <w:rsid w:val="00D412E5"/>
    <w:rsid w:val="00D41307"/>
    <w:rsid w:val="00D41777"/>
    <w:rsid w:val="00D41A0B"/>
    <w:rsid w:val="00D41A1E"/>
    <w:rsid w:val="00D41B67"/>
    <w:rsid w:val="00D421F5"/>
    <w:rsid w:val="00D424CA"/>
    <w:rsid w:val="00D426A3"/>
    <w:rsid w:val="00D42A1C"/>
    <w:rsid w:val="00D42CCE"/>
    <w:rsid w:val="00D42D46"/>
    <w:rsid w:val="00D42EF8"/>
    <w:rsid w:val="00D434A3"/>
    <w:rsid w:val="00D4363F"/>
    <w:rsid w:val="00D44040"/>
    <w:rsid w:val="00D4434E"/>
    <w:rsid w:val="00D44514"/>
    <w:rsid w:val="00D4463D"/>
    <w:rsid w:val="00D4500E"/>
    <w:rsid w:val="00D4569C"/>
    <w:rsid w:val="00D4575E"/>
    <w:rsid w:val="00D4597B"/>
    <w:rsid w:val="00D459B0"/>
    <w:rsid w:val="00D45B00"/>
    <w:rsid w:val="00D45CB3"/>
    <w:rsid w:val="00D45D7A"/>
    <w:rsid w:val="00D45FFF"/>
    <w:rsid w:val="00D4610A"/>
    <w:rsid w:val="00D46459"/>
    <w:rsid w:val="00D4780D"/>
    <w:rsid w:val="00D47A91"/>
    <w:rsid w:val="00D47C2B"/>
    <w:rsid w:val="00D47E4C"/>
    <w:rsid w:val="00D47FB4"/>
    <w:rsid w:val="00D51861"/>
    <w:rsid w:val="00D51EBD"/>
    <w:rsid w:val="00D51EC9"/>
    <w:rsid w:val="00D520B1"/>
    <w:rsid w:val="00D529CF"/>
    <w:rsid w:val="00D52A0E"/>
    <w:rsid w:val="00D52B57"/>
    <w:rsid w:val="00D52C8D"/>
    <w:rsid w:val="00D53CDE"/>
    <w:rsid w:val="00D53D9E"/>
    <w:rsid w:val="00D542AB"/>
    <w:rsid w:val="00D54682"/>
    <w:rsid w:val="00D54865"/>
    <w:rsid w:val="00D54898"/>
    <w:rsid w:val="00D54A1C"/>
    <w:rsid w:val="00D54C4A"/>
    <w:rsid w:val="00D54E95"/>
    <w:rsid w:val="00D54EA0"/>
    <w:rsid w:val="00D5509A"/>
    <w:rsid w:val="00D550B6"/>
    <w:rsid w:val="00D5527C"/>
    <w:rsid w:val="00D55B03"/>
    <w:rsid w:val="00D55CAC"/>
    <w:rsid w:val="00D55D40"/>
    <w:rsid w:val="00D55F2E"/>
    <w:rsid w:val="00D560A6"/>
    <w:rsid w:val="00D56273"/>
    <w:rsid w:val="00D56577"/>
    <w:rsid w:val="00D56A5A"/>
    <w:rsid w:val="00D56C07"/>
    <w:rsid w:val="00D56DB2"/>
    <w:rsid w:val="00D57291"/>
    <w:rsid w:val="00D57303"/>
    <w:rsid w:val="00D5740F"/>
    <w:rsid w:val="00D57410"/>
    <w:rsid w:val="00D57C46"/>
    <w:rsid w:val="00D6013F"/>
    <w:rsid w:val="00D60B64"/>
    <w:rsid w:val="00D60D00"/>
    <w:rsid w:val="00D60D60"/>
    <w:rsid w:val="00D60EA9"/>
    <w:rsid w:val="00D6140B"/>
    <w:rsid w:val="00D61595"/>
    <w:rsid w:val="00D61698"/>
    <w:rsid w:val="00D61711"/>
    <w:rsid w:val="00D61D25"/>
    <w:rsid w:val="00D61EB8"/>
    <w:rsid w:val="00D62368"/>
    <w:rsid w:val="00D625E6"/>
    <w:rsid w:val="00D6292E"/>
    <w:rsid w:val="00D62A59"/>
    <w:rsid w:val="00D62D9A"/>
    <w:rsid w:val="00D6331C"/>
    <w:rsid w:val="00D63A27"/>
    <w:rsid w:val="00D63C3B"/>
    <w:rsid w:val="00D64526"/>
    <w:rsid w:val="00D6488C"/>
    <w:rsid w:val="00D64955"/>
    <w:rsid w:val="00D64F3D"/>
    <w:rsid w:val="00D64FF0"/>
    <w:rsid w:val="00D65104"/>
    <w:rsid w:val="00D65215"/>
    <w:rsid w:val="00D652DC"/>
    <w:rsid w:val="00D6547F"/>
    <w:rsid w:val="00D65D31"/>
    <w:rsid w:val="00D65D83"/>
    <w:rsid w:val="00D65E88"/>
    <w:rsid w:val="00D6656C"/>
    <w:rsid w:val="00D665F5"/>
    <w:rsid w:val="00D666C1"/>
    <w:rsid w:val="00D66CC7"/>
    <w:rsid w:val="00D67087"/>
    <w:rsid w:val="00D670AD"/>
    <w:rsid w:val="00D67412"/>
    <w:rsid w:val="00D67458"/>
    <w:rsid w:val="00D67F40"/>
    <w:rsid w:val="00D702AD"/>
    <w:rsid w:val="00D70344"/>
    <w:rsid w:val="00D706EC"/>
    <w:rsid w:val="00D70979"/>
    <w:rsid w:val="00D70BEC"/>
    <w:rsid w:val="00D70C29"/>
    <w:rsid w:val="00D70ED9"/>
    <w:rsid w:val="00D71388"/>
    <w:rsid w:val="00D71956"/>
    <w:rsid w:val="00D71D9A"/>
    <w:rsid w:val="00D71E07"/>
    <w:rsid w:val="00D71FEC"/>
    <w:rsid w:val="00D720DA"/>
    <w:rsid w:val="00D72314"/>
    <w:rsid w:val="00D725CA"/>
    <w:rsid w:val="00D72674"/>
    <w:rsid w:val="00D7277C"/>
    <w:rsid w:val="00D7281B"/>
    <w:rsid w:val="00D72CBD"/>
    <w:rsid w:val="00D730EF"/>
    <w:rsid w:val="00D732DD"/>
    <w:rsid w:val="00D73363"/>
    <w:rsid w:val="00D73497"/>
    <w:rsid w:val="00D73749"/>
    <w:rsid w:val="00D73C38"/>
    <w:rsid w:val="00D7456D"/>
    <w:rsid w:val="00D74698"/>
    <w:rsid w:val="00D74F56"/>
    <w:rsid w:val="00D74FE6"/>
    <w:rsid w:val="00D756B7"/>
    <w:rsid w:val="00D75C03"/>
    <w:rsid w:val="00D75DB7"/>
    <w:rsid w:val="00D75E37"/>
    <w:rsid w:val="00D765BD"/>
    <w:rsid w:val="00D769DA"/>
    <w:rsid w:val="00D77039"/>
    <w:rsid w:val="00D7716F"/>
    <w:rsid w:val="00D771DF"/>
    <w:rsid w:val="00D77378"/>
    <w:rsid w:val="00D77437"/>
    <w:rsid w:val="00D777F6"/>
    <w:rsid w:val="00D77C28"/>
    <w:rsid w:val="00D80184"/>
    <w:rsid w:val="00D804C4"/>
    <w:rsid w:val="00D8050C"/>
    <w:rsid w:val="00D806F0"/>
    <w:rsid w:val="00D80DC4"/>
    <w:rsid w:val="00D80F06"/>
    <w:rsid w:val="00D811A1"/>
    <w:rsid w:val="00D81376"/>
    <w:rsid w:val="00D81397"/>
    <w:rsid w:val="00D81ECC"/>
    <w:rsid w:val="00D81F1E"/>
    <w:rsid w:val="00D8226D"/>
    <w:rsid w:val="00D8231E"/>
    <w:rsid w:val="00D82592"/>
    <w:rsid w:val="00D82614"/>
    <w:rsid w:val="00D82617"/>
    <w:rsid w:val="00D831CB"/>
    <w:rsid w:val="00D83313"/>
    <w:rsid w:val="00D83591"/>
    <w:rsid w:val="00D83B5C"/>
    <w:rsid w:val="00D83F09"/>
    <w:rsid w:val="00D847FB"/>
    <w:rsid w:val="00D84AB8"/>
    <w:rsid w:val="00D84D63"/>
    <w:rsid w:val="00D84E13"/>
    <w:rsid w:val="00D856FE"/>
    <w:rsid w:val="00D857DA"/>
    <w:rsid w:val="00D86067"/>
    <w:rsid w:val="00D86396"/>
    <w:rsid w:val="00D8657D"/>
    <w:rsid w:val="00D86735"/>
    <w:rsid w:val="00D86B74"/>
    <w:rsid w:val="00D86C08"/>
    <w:rsid w:val="00D86E62"/>
    <w:rsid w:val="00D8714C"/>
    <w:rsid w:val="00D874CE"/>
    <w:rsid w:val="00D875F4"/>
    <w:rsid w:val="00D878A7"/>
    <w:rsid w:val="00D878AA"/>
    <w:rsid w:val="00D878E8"/>
    <w:rsid w:val="00D87B98"/>
    <w:rsid w:val="00D9037B"/>
    <w:rsid w:val="00D903E4"/>
    <w:rsid w:val="00D9082C"/>
    <w:rsid w:val="00D90A91"/>
    <w:rsid w:val="00D90B66"/>
    <w:rsid w:val="00D90CAF"/>
    <w:rsid w:val="00D90EE3"/>
    <w:rsid w:val="00D90FE6"/>
    <w:rsid w:val="00D91045"/>
    <w:rsid w:val="00D91658"/>
    <w:rsid w:val="00D920A8"/>
    <w:rsid w:val="00D9221E"/>
    <w:rsid w:val="00D923E8"/>
    <w:rsid w:val="00D92804"/>
    <w:rsid w:val="00D92CCE"/>
    <w:rsid w:val="00D92CE6"/>
    <w:rsid w:val="00D930CA"/>
    <w:rsid w:val="00D93256"/>
    <w:rsid w:val="00D93277"/>
    <w:rsid w:val="00D9350E"/>
    <w:rsid w:val="00D9364E"/>
    <w:rsid w:val="00D936CC"/>
    <w:rsid w:val="00D936CD"/>
    <w:rsid w:val="00D937EE"/>
    <w:rsid w:val="00D93977"/>
    <w:rsid w:val="00D93A6D"/>
    <w:rsid w:val="00D93ACE"/>
    <w:rsid w:val="00D93AD0"/>
    <w:rsid w:val="00D93D36"/>
    <w:rsid w:val="00D93F0F"/>
    <w:rsid w:val="00D9413A"/>
    <w:rsid w:val="00D948EC"/>
    <w:rsid w:val="00D95EDD"/>
    <w:rsid w:val="00D95F02"/>
    <w:rsid w:val="00D96144"/>
    <w:rsid w:val="00D9694C"/>
    <w:rsid w:val="00D96B9A"/>
    <w:rsid w:val="00D96D49"/>
    <w:rsid w:val="00D97C7E"/>
    <w:rsid w:val="00D97E2D"/>
    <w:rsid w:val="00DA0426"/>
    <w:rsid w:val="00DA0595"/>
    <w:rsid w:val="00DA0803"/>
    <w:rsid w:val="00DA1D1A"/>
    <w:rsid w:val="00DA209A"/>
    <w:rsid w:val="00DA22C6"/>
    <w:rsid w:val="00DA282B"/>
    <w:rsid w:val="00DA2EB4"/>
    <w:rsid w:val="00DA32E7"/>
    <w:rsid w:val="00DA3A06"/>
    <w:rsid w:val="00DA3C8C"/>
    <w:rsid w:val="00DA3E01"/>
    <w:rsid w:val="00DA431A"/>
    <w:rsid w:val="00DA43D9"/>
    <w:rsid w:val="00DA4608"/>
    <w:rsid w:val="00DA4BB3"/>
    <w:rsid w:val="00DA4C11"/>
    <w:rsid w:val="00DA4D76"/>
    <w:rsid w:val="00DA4E4C"/>
    <w:rsid w:val="00DA4E67"/>
    <w:rsid w:val="00DA561D"/>
    <w:rsid w:val="00DA5B86"/>
    <w:rsid w:val="00DA5BA9"/>
    <w:rsid w:val="00DA5FDE"/>
    <w:rsid w:val="00DA6570"/>
    <w:rsid w:val="00DA668C"/>
    <w:rsid w:val="00DA69AA"/>
    <w:rsid w:val="00DA69B6"/>
    <w:rsid w:val="00DA6C80"/>
    <w:rsid w:val="00DA6C86"/>
    <w:rsid w:val="00DA6F5B"/>
    <w:rsid w:val="00DA7249"/>
    <w:rsid w:val="00DA752B"/>
    <w:rsid w:val="00DA758A"/>
    <w:rsid w:val="00DA7F63"/>
    <w:rsid w:val="00DA7FD4"/>
    <w:rsid w:val="00DB01C1"/>
    <w:rsid w:val="00DB027C"/>
    <w:rsid w:val="00DB07A3"/>
    <w:rsid w:val="00DB08D9"/>
    <w:rsid w:val="00DB0E26"/>
    <w:rsid w:val="00DB0E4C"/>
    <w:rsid w:val="00DB0EAB"/>
    <w:rsid w:val="00DB0F9C"/>
    <w:rsid w:val="00DB1434"/>
    <w:rsid w:val="00DB18C1"/>
    <w:rsid w:val="00DB1A3A"/>
    <w:rsid w:val="00DB1B11"/>
    <w:rsid w:val="00DB1B67"/>
    <w:rsid w:val="00DB1F54"/>
    <w:rsid w:val="00DB1FA1"/>
    <w:rsid w:val="00DB21B9"/>
    <w:rsid w:val="00DB2535"/>
    <w:rsid w:val="00DB2646"/>
    <w:rsid w:val="00DB2797"/>
    <w:rsid w:val="00DB285D"/>
    <w:rsid w:val="00DB3037"/>
    <w:rsid w:val="00DB31DA"/>
    <w:rsid w:val="00DB348E"/>
    <w:rsid w:val="00DB3C05"/>
    <w:rsid w:val="00DB3CE8"/>
    <w:rsid w:val="00DB40C7"/>
    <w:rsid w:val="00DB4A4B"/>
    <w:rsid w:val="00DB4F63"/>
    <w:rsid w:val="00DB54B4"/>
    <w:rsid w:val="00DB5987"/>
    <w:rsid w:val="00DB598E"/>
    <w:rsid w:val="00DB5C40"/>
    <w:rsid w:val="00DB608A"/>
    <w:rsid w:val="00DB60FC"/>
    <w:rsid w:val="00DB6533"/>
    <w:rsid w:val="00DB68D5"/>
    <w:rsid w:val="00DB6A9A"/>
    <w:rsid w:val="00DB6FD6"/>
    <w:rsid w:val="00DB7101"/>
    <w:rsid w:val="00DB7361"/>
    <w:rsid w:val="00DB7559"/>
    <w:rsid w:val="00DB77AF"/>
    <w:rsid w:val="00DB77E0"/>
    <w:rsid w:val="00DB790E"/>
    <w:rsid w:val="00DB7EE9"/>
    <w:rsid w:val="00DC04D3"/>
    <w:rsid w:val="00DC058C"/>
    <w:rsid w:val="00DC0744"/>
    <w:rsid w:val="00DC088F"/>
    <w:rsid w:val="00DC0AD4"/>
    <w:rsid w:val="00DC0AD5"/>
    <w:rsid w:val="00DC0AF3"/>
    <w:rsid w:val="00DC0B34"/>
    <w:rsid w:val="00DC0CF2"/>
    <w:rsid w:val="00DC0DE6"/>
    <w:rsid w:val="00DC0FFD"/>
    <w:rsid w:val="00DC1258"/>
    <w:rsid w:val="00DC1B19"/>
    <w:rsid w:val="00DC2011"/>
    <w:rsid w:val="00DC20BB"/>
    <w:rsid w:val="00DC2B3D"/>
    <w:rsid w:val="00DC2EF3"/>
    <w:rsid w:val="00DC3172"/>
    <w:rsid w:val="00DC38CF"/>
    <w:rsid w:val="00DC3B66"/>
    <w:rsid w:val="00DC3B8A"/>
    <w:rsid w:val="00DC3F76"/>
    <w:rsid w:val="00DC44DE"/>
    <w:rsid w:val="00DC44F2"/>
    <w:rsid w:val="00DC45F6"/>
    <w:rsid w:val="00DC51C9"/>
    <w:rsid w:val="00DC57BB"/>
    <w:rsid w:val="00DC5A31"/>
    <w:rsid w:val="00DC5A43"/>
    <w:rsid w:val="00DC6099"/>
    <w:rsid w:val="00DC6356"/>
    <w:rsid w:val="00DC65D8"/>
    <w:rsid w:val="00DC6789"/>
    <w:rsid w:val="00DC71A0"/>
    <w:rsid w:val="00DC71A7"/>
    <w:rsid w:val="00DC7347"/>
    <w:rsid w:val="00DC7721"/>
    <w:rsid w:val="00DC782E"/>
    <w:rsid w:val="00DC7914"/>
    <w:rsid w:val="00DC7B63"/>
    <w:rsid w:val="00DC7CE5"/>
    <w:rsid w:val="00DD0352"/>
    <w:rsid w:val="00DD05BD"/>
    <w:rsid w:val="00DD07C6"/>
    <w:rsid w:val="00DD097C"/>
    <w:rsid w:val="00DD0BFB"/>
    <w:rsid w:val="00DD14A4"/>
    <w:rsid w:val="00DD14E0"/>
    <w:rsid w:val="00DD19A6"/>
    <w:rsid w:val="00DD1BCC"/>
    <w:rsid w:val="00DD1F42"/>
    <w:rsid w:val="00DD1F6F"/>
    <w:rsid w:val="00DD20F1"/>
    <w:rsid w:val="00DD2B38"/>
    <w:rsid w:val="00DD3183"/>
    <w:rsid w:val="00DD3185"/>
    <w:rsid w:val="00DD383C"/>
    <w:rsid w:val="00DD39C2"/>
    <w:rsid w:val="00DD3B23"/>
    <w:rsid w:val="00DD3C5A"/>
    <w:rsid w:val="00DD4033"/>
    <w:rsid w:val="00DD4483"/>
    <w:rsid w:val="00DD47FC"/>
    <w:rsid w:val="00DD49CD"/>
    <w:rsid w:val="00DD51F6"/>
    <w:rsid w:val="00DD582B"/>
    <w:rsid w:val="00DD5946"/>
    <w:rsid w:val="00DD5D07"/>
    <w:rsid w:val="00DD5D79"/>
    <w:rsid w:val="00DD624B"/>
    <w:rsid w:val="00DD6460"/>
    <w:rsid w:val="00DD6F64"/>
    <w:rsid w:val="00DD7332"/>
    <w:rsid w:val="00DD757E"/>
    <w:rsid w:val="00DD765D"/>
    <w:rsid w:val="00DD76B0"/>
    <w:rsid w:val="00DD771C"/>
    <w:rsid w:val="00DD7B51"/>
    <w:rsid w:val="00DD7C0C"/>
    <w:rsid w:val="00DD7D51"/>
    <w:rsid w:val="00DE0032"/>
    <w:rsid w:val="00DE0185"/>
    <w:rsid w:val="00DE02E4"/>
    <w:rsid w:val="00DE0367"/>
    <w:rsid w:val="00DE03F8"/>
    <w:rsid w:val="00DE0523"/>
    <w:rsid w:val="00DE07C6"/>
    <w:rsid w:val="00DE11F2"/>
    <w:rsid w:val="00DE1C2D"/>
    <w:rsid w:val="00DE2320"/>
    <w:rsid w:val="00DE23CC"/>
    <w:rsid w:val="00DE2A1C"/>
    <w:rsid w:val="00DE2A6E"/>
    <w:rsid w:val="00DE2CE7"/>
    <w:rsid w:val="00DE354D"/>
    <w:rsid w:val="00DE39B7"/>
    <w:rsid w:val="00DE3AC1"/>
    <w:rsid w:val="00DE4444"/>
    <w:rsid w:val="00DE447B"/>
    <w:rsid w:val="00DE45B7"/>
    <w:rsid w:val="00DE4601"/>
    <w:rsid w:val="00DE4703"/>
    <w:rsid w:val="00DE4E7F"/>
    <w:rsid w:val="00DE52AD"/>
    <w:rsid w:val="00DE5730"/>
    <w:rsid w:val="00DE59AD"/>
    <w:rsid w:val="00DE64B9"/>
    <w:rsid w:val="00DE6AD7"/>
    <w:rsid w:val="00DE6AFB"/>
    <w:rsid w:val="00DE71BD"/>
    <w:rsid w:val="00DE7311"/>
    <w:rsid w:val="00DE74F9"/>
    <w:rsid w:val="00DE7555"/>
    <w:rsid w:val="00DE7629"/>
    <w:rsid w:val="00DE770F"/>
    <w:rsid w:val="00DE79ED"/>
    <w:rsid w:val="00DE7A27"/>
    <w:rsid w:val="00DE7C1E"/>
    <w:rsid w:val="00DE7E27"/>
    <w:rsid w:val="00DF010D"/>
    <w:rsid w:val="00DF0312"/>
    <w:rsid w:val="00DF0C7D"/>
    <w:rsid w:val="00DF14F8"/>
    <w:rsid w:val="00DF1559"/>
    <w:rsid w:val="00DF192A"/>
    <w:rsid w:val="00DF22EA"/>
    <w:rsid w:val="00DF23F2"/>
    <w:rsid w:val="00DF24BF"/>
    <w:rsid w:val="00DF29FB"/>
    <w:rsid w:val="00DF2A11"/>
    <w:rsid w:val="00DF2C02"/>
    <w:rsid w:val="00DF2E0C"/>
    <w:rsid w:val="00DF301D"/>
    <w:rsid w:val="00DF30A3"/>
    <w:rsid w:val="00DF32E9"/>
    <w:rsid w:val="00DF366E"/>
    <w:rsid w:val="00DF4068"/>
    <w:rsid w:val="00DF4D19"/>
    <w:rsid w:val="00DF4EDB"/>
    <w:rsid w:val="00DF5185"/>
    <w:rsid w:val="00DF5278"/>
    <w:rsid w:val="00DF55C7"/>
    <w:rsid w:val="00DF568A"/>
    <w:rsid w:val="00DF598B"/>
    <w:rsid w:val="00DF5C57"/>
    <w:rsid w:val="00DF5EEE"/>
    <w:rsid w:val="00DF5F4B"/>
    <w:rsid w:val="00DF66A1"/>
    <w:rsid w:val="00DF7276"/>
    <w:rsid w:val="00DF7845"/>
    <w:rsid w:val="00DF7867"/>
    <w:rsid w:val="00DF7AC7"/>
    <w:rsid w:val="00E0010F"/>
    <w:rsid w:val="00E00861"/>
    <w:rsid w:val="00E0086A"/>
    <w:rsid w:val="00E00A55"/>
    <w:rsid w:val="00E00C6D"/>
    <w:rsid w:val="00E00D33"/>
    <w:rsid w:val="00E010BC"/>
    <w:rsid w:val="00E01D7C"/>
    <w:rsid w:val="00E01E00"/>
    <w:rsid w:val="00E02739"/>
    <w:rsid w:val="00E02AAB"/>
    <w:rsid w:val="00E02AC8"/>
    <w:rsid w:val="00E02C4E"/>
    <w:rsid w:val="00E03382"/>
    <w:rsid w:val="00E034DA"/>
    <w:rsid w:val="00E036BC"/>
    <w:rsid w:val="00E039D0"/>
    <w:rsid w:val="00E03BF5"/>
    <w:rsid w:val="00E03DF5"/>
    <w:rsid w:val="00E0459B"/>
    <w:rsid w:val="00E0464E"/>
    <w:rsid w:val="00E05755"/>
    <w:rsid w:val="00E0580C"/>
    <w:rsid w:val="00E059F1"/>
    <w:rsid w:val="00E05EBC"/>
    <w:rsid w:val="00E05ECD"/>
    <w:rsid w:val="00E05F3E"/>
    <w:rsid w:val="00E05F88"/>
    <w:rsid w:val="00E06064"/>
    <w:rsid w:val="00E066F3"/>
    <w:rsid w:val="00E0682C"/>
    <w:rsid w:val="00E06FD8"/>
    <w:rsid w:val="00E073E9"/>
    <w:rsid w:val="00E07C18"/>
    <w:rsid w:val="00E07DA5"/>
    <w:rsid w:val="00E101F0"/>
    <w:rsid w:val="00E10320"/>
    <w:rsid w:val="00E10856"/>
    <w:rsid w:val="00E109EF"/>
    <w:rsid w:val="00E10CF8"/>
    <w:rsid w:val="00E10DA1"/>
    <w:rsid w:val="00E10E9E"/>
    <w:rsid w:val="00E1183E"/>
    <w:rsid w:val="00E11C5F"/>
    <w:rsid w:val="00E11CBF"/>
    <w:rsid w:val="00E1263F"/>
    <w:rsid w:val="00E129D9"/>
    <w:rsid w:val="00E130C5"/>
    <w:rsid w:val="00E13342"/>
    <w:rsid w:val="00E13A8D"/>
    <w:rsid w:val="00E13D27"/>
    <w:rsid w:val="00E148C8"/>
    <w:rsid w:val="00E148C9"/>
    <w:rsid w:val="00E14DED"/>
    <w:rsid w:val="00E14F40"/>
    <w:rsid w:val="00E152B5"/>
    <w:rsid w:val="00E152C7"/>
    <w:rsid w:val="00E15826"/>
    <w:rsid w:val="00E1588E"/>
    <w:rsid w:val="00E164C3"/>
    <w:rsid w:val="00E16D7C"/>
    <w:rsid w:val="00E171AD"/>
    <w:rsid w:val="00E1793C"/>
    <w:rsid w:val="00E17A0C"/>
    <w:rsid w:val="00E17A5E"/>
    <w:rsid w:val="00E17AA8"/>
    <w:rsid w:val="00E20143"/>
    <w:rsid w:val="00E205C1"/>
    <w:rsid w:val="00E20D22"/>
    <w:rsid w:val="00E2148A"/>
    <w:rsid w:val="00E21964"/>
    <w:rsid w:val="00E21CB8"/>
    <w:rsid w:val="00E21DD5"/>
    <w:rsid w:val="00E220A0"/>
    <w:rsid w:val="00E2283D"/>
    <w:rsid w:val="00E2294F"/>
    <w:rsid w:val="00E22B76"/>
    <w:rsid w:val="00E22F80"/>
    <w:rsid w:val="00E23166"/>
    <w:rsid w:val="00E23C28"/>
    <w:rsid w:val="00E246CF"/>
    <w:rsid w:val="00E24797"/>
    <w:rsid w:val="00E24928"/>
    <w:rsid w:val="00E249BE"/>
    <w:rsid w:val="00E24A3A"/>
    <w:rsid w:val="00E24BD0"/>
    <w:rsid w:val="00E24F03"/>
    <w:rsid w:val="00E24FF8"/>
    <w:rsid w:val="00E2543E"/>
    <w:rsid w:val="00E25457"/>
    <w:rsid w:val="00E25D46"/>
    <w:rsid w:val="00E25E20"/>
    <w:rsid w:val="00E25F2F"/>
    <w:rsid w:val="00E25F38"/>
    <w:rsid w:val="00E260BE"/>
    <w:rsid w:val="00E26454"/>
    <w:rsid w:val="00E2688E"/>
    <w:rsid w:val="00E27760"/>
    <w:rsid w:val="00E2778C"/>
    <w:rsid w:val="00E30159"/>
    <w:rsid w:val="00E30B6D"/>
    <w:rsid w:val="00E30CE1"/>
    <w:rsid w:val="00E310D0"/>
    <w:rsid w:val="00E31298"/>
    <w:rsid w:val="00E31E2E"/>
    <w:rsid w:val="00E32165"/>
    <w:rsid w:val="00E32451"/>
    <w:rsid w:val="00E3257E"/>
    <w:rsid w:val="00E33937"/>
    <w:rsid w:val="00E33A82"/>
    <w:rsid w:val="00E33AD3"/>
    <w:rsid w:val="00E33BA7"/>
    <w:rsid w:val="00E34053"/>
    <w:rsid w:val="00E34294"/>
    <w:rsid w:val="00E34429"/>
    <w:rsid w:val="00E34553"/>
    <w:rsid w:val="00E34BE1"/>
    <w:rsid w:val="00E35013"/>
    <w:rsid w:val="00E352C0"/>
    <w:rsid w:val="00E35407"/>
    <w:rsid w:val="00E35636"/>
    <w:rsid w:val="00E356DE"/>
    <w:rsid w:val="00E35971"/>
    <w:rsid w:val="00E360B0"/>
    <w:rsid w:val="00E363EF"/>
    <w:rsid w:val="00E3696B"/>
    <w:rsid w:val="00E36A77"/>
    <w:rsid w:val="00E36EAB"/>
    <w:rsid w:val="00E3712B"/>
    <w:rsid w:val="00E3757C"/>
    <w:rsid w:val="00E377A3"/>
    <w:rsid w:val="00E37A94"/>
    <w:rsid w:val="00E37BE3"/>
    <w:rsid w:val="00E37D4F"/>
    <w:rsid w:val="00E37E20"/>
    <w:rsid w:val="00E40BA9"/>
    <w:rsid w:val="00E40CBA"/>
    <w:rsid w:val="00E40F51"/>
    <w:rsid w:val="00E412FD"/>
    <w:rsid w:val="00E4145E"/>
    <w:rsid w:val="00E41581"/>
    <w:rsid w:val="00E415F7"/>
    <w:rsid w:val="00E4189F"/>
    <w:rsid w:val="00E41A7F"/>
    <w:rsid w:val="00E42495"/>
    <w:rsid w:val="00E4290A"/>
    <w:rsid w:val="00E42F5D"/>
    <w:rsid w:val="00E43219"/>
    <w:rsid w:val="00E43265"/>
    <w:rsid w:val="00E432C6"/>
    <w:rsid w:val="00E432F1"/>
    <w:rsid w:val="00E43489"/>
    <w:rsid w:val="00E43556"/>
    <w:rsid w:val="00E435AA"/>
    <w:rsid w:val="00E4382D"/>
    <w:rsid w:val="00E43AE4"/>
    <w:rsid w:val="00E44065"/>
    <w:rsid w:val="00E44132"/>
    <w:rsid w:val="00E442BC"/>
    <w:rsid w:val="00E44374"/>
    <w:rsid w:val="00E443A4"/>
    <w:rsid w:val="00E44823"/>
    <w:rsid w:val="00E44896"/>
    <w:rsid w:val="00E44BAE"/>
    <w:rsid w:val="00E44BC2"/>
    <w:rsid w:val="00E44BEE"/>
    <w:rsid w:val="00E4518E"/>
    <w:rsid w:val="00E451C4"/>
    <w:rsid w:val="00E456E0"/>
    <w:rsid w:val="00E45918"/>
    <w:rsid w:val="00E45997"/>
    <w:rsid w:val="00E45A97"/>
    <w:rsid w:val="00E45D4E"/>
    <w:rsid w:val="00E46281"/>
    <w:rsid w:val="00E46734"/>
    <w:rsid w:val="00E4699E"/>
    <w:rsid w:val="00E46E87"/>
    <w:rsid w:val="00E472EF"/>
    <w:rsid w:val="00E47467"/>
    <w:rsid w:val="00E4777B"/>
    <w:rsid w:val="00E47AAC"/>
    <w:rsid w:val="00E47AD0"/>
    <w:rsid w:val="00E47BCC"/>
    <w:rsid w:val="00E47E07"/>
    <w:rsid w:val="00E47EAE"/>
    <w:rsid w:val="00E5013B"/>
    <w:rsid w:val="00E502C7"/>
    <w:rsid w:val="00E50633"/>
    <w:rsid w:val="00E506B9"/>
    <w:rsid w:val="00E50769"/>
    <w:rsid w:val="00E508DF"/>
    <w:rsid w:val="00E50C70"/>
    <w:rsid w:val="00E512E3"/>
    <w:rsid w:val="00E51615"/>
    <w:rsid w:val="00E51BAB"/>
    <w:rsid w:val="00E51C4D"/>
    <w:rsid w:val="00E51D98"/>
    <w:rsid w:val="00E51E83"/>
    <w:rsid w:val="00E527BF"/>
    <w:rsid w:val="00E5282C"/>
    <w:rsid w:val="00E52AD6"/>
    <w:rsid w:val="00E53268"/>
    <w:rsid w:val="00E53376"/>
    <w:rsid w:val="00E53385"/>
    <w:rsid w:val="00E5340C"/>
    <w:rsid w:val="00E538D6"/>
    <w:rsid w:val="00E53995"/>
    <w:rsid w:val="00E53BD9"/>
    <w:rsid w:val="00E53D04"/>
    <w:rsid w:val="00E53DD1"/>
    <w:rsid w:val="00E53E25"/>
    <w:rsid w:val="00E54175"/>
    <w:rsid w:val="00E54323"/>
    <w:rsid w:val="00E5436B"/>
    <w:rsid w:val="00E5475D"/>
    <w:rsid w:val="00E5489E"/>
    <w:rsid w:val="00E54C2F"/>
    <w:rsid w:val="00E54E42"/>
    <w:rsid w:val="00E54EC8"/>
    <w:rsid w:val="00E550B0"/>
    <w:rsid w:val="00E55112"/>
    <w:rsid w:val="00E556F2"/>
    <w:rsid w:val="00E562FF"/>
    <w:rsid w:val="00E56E43"/>
    <w:rsid w:val="00E56EAD"/>
    <w:rsid w:val="00E573FE"/>
    <w:rsid w:val="00E576A8"/>
    <w:rsid w:val="00E57985"/>
    <w:rsid w:val="00E57BC8"/>
    <w:rsid w:val="00E57D78"/>
    <w:rsid w:val="00E603FD"/>
    <w:rsid w:val="00E60490"/>
    <w:rsid w:val="00E61272"/>
    <w:rsid w:val="00E614B8"/>
    <w:rsid w:val="00E617E6"/>
    <w:rsid w:val="00E618C2"/>
    <w:rsid w:val="00E63807"/>
    <w:rsid w:val="00E6380F"/>
    <w:rsid w:val="00E642AA"/>
    <w:rsid w:val="00E64955"/>
    <w:rsid w:val="00E64960"/>
    <w:rsid w:val="00E64C00"/>
    <w:rsid w:val="00E64DCB"/>
    <w:rsid w:val="00E64E6A"/>
    <w:rsid w:val="00E654B4"/>
    <w:rsid w:val="00E6569C"/>
    <w:rsid w:val="00E65833"/>
    <w:rsid w:val="00E65896"/>
    <w:rsid w:val="00E65928"/>
    <w:rsid w:val="00E65B1D"/>
    <w:rsid w:val="00E65BC5"/>
    <w:rsid w:val="00E65ED1"/>
    <w:rsid w:val="00E661FF"/>
    <w:rsid w:val="00E66A15"/>
    <w:rsid w:val="00E66FF1"/>
    <w:rsid w:val="00E672F4"/>
    <w:rsid w:val="00E67D96"/>
    <w:rsid w:val="00E67E4D"/>
    <w:rsid w:val="00E70142"/>
    <w:rsid w:val="00E70392"/>
    <w:rsid w:val="00E70C19"/>
    <w:rsid w:val="00E70C9F"/>
    <w:rsid w:val="00E70F3B"/>
    <w:rsid w:val="00E7107B"/>
    <w:rsid w:val="00E71162"/>
    <w:rsid w:val="00E711B9"/>
    <w:rsid w:val="00E71351"/>
    <w:rsid w:val="00E71860"/>
    <w:rsid w:val="00E71876"/>
    <w:rsid w:val="00E71938"/>
    <w:rsid w:val="00E71D2B"/>
    <w:rsid w:val="00E72303"/>
    <w:rsid w:val="00E7239E"/>
    <w:rsid w:val="00E72971"/>
    <w:rsid w:val="00E7299D"/>
    <w:rsid w:val="00E72EDC"/>
    <w:rsid w:val="00E73232"/>
    <w:rsid w:val="00E733C5"/>
    <w:rsid w:val="00E73446"/>
    <w:rsid w:val="00E73B91"/>
    <w:rsid w:val="00E73D03"/>
    <w:rsid w:val="00E73ED0"/>
    <w:rsid w:val="00E74445"/>
    <w:rsid w:val="00E7449B"/>
    <w:rsid w:val="00E7494E"/>
    <w:rsid w:val="00E74A2D"/>
    <w:rsid w:val="00E75400"/>
    <w:rsid w:val="00E757C3"/>
    <w:rsid w:val="00E759F4"/>
    <w:rsid w:val="00E75BBC"/>
    <w:rsid w:val="00E75BDC"/>
    <w:rsid w:val="00E760B8"/>
    <w:rsid w:val="00E76538"/>
    <w:rsid w:val="00E765C8"/>
    <w:rsid w:val="00E76A58"/>
    <w:rsid w:val="00E76CF5"/>
    <w:rsid w:val="00E76E0B"/>
    <w:rsid w:val="00E7721E"/>
    <w:rsid w:val="00E77883"/>
    <w:rsid w:val="00E77DA3"/>
    <w:rsid w:val="00E800FB"/>
    <w:rsid w:val="00E803B1"/>
    <w:rsid w:val="00E80A1C"/>
    <w:rsid w:val="00E80C79"/>
    <w:rsid w:val="00E80DEF"/>
    <w:rsid w:val="00E80F06"/>
    <w:rsid w:val="00E813C3"/>
    <w:rsid w:val="00E813F0"/>
    <w:rsid w:val="00E81979"/>
    <w:rsid w:val="00E81CEE"/>
    <w:rsid w:val="00E820A0"/>
    <w:rsid w:val="00E820F3"/>
    <w:rsid w:val="00E82156"/>
    <w:rsid w:val="00E8227A"/>
    <w:rsid w:val="00E82459"/>
    <w:rsid w:val="00E82922"/>
    <w:rsid w:val="00E8399A"/>
    <w:rsid w:val="00E83CC9"/>
    <w:rsid w:val="00E83DEE"/>
    <w:rsid w:val="00E83E1F"/>
    <w:rsid w:val="00E84237"/>
    <w:rsid w:val="00E84513"/>
    <w:rsid w:val="00E84766"/>
    <w:rsid w:val="00E8506E"/>
    <w:rsid w:val="00E85091"/>
    <w:rsid w:val="00E851DF"/>
    <w:rsid w:val="00E85CC1"/>
    <w:rsid w:val="00E85EBC"/>
    <w:rsid w:val="00E85EF5"/>
    <w:rsid w:val="00E85FD0"/>
    <w:rsid w:val="00E865A6"/>
    <w:rsid w:val="00E869E4"/>
    <w:rsid w:val="00E86DC2"/>
    <w:rsid w:val="00E86FE1"/>
    <w:rsid w:val="00E871EA"/>
    <w:rsid w:val="00E8746C"/>
    <w:rsid w:val="00E874B0"/>
    <w:rsid w:val="00E876E5"/>
    <w:rsid w:val="00E900FB"/>
    <w:rsid w:val="00E9020E"/>
    <w:rsid w:val="00E90719"/>
    <w:rsid w:val="00E90F4D"/>
    <w:rsid w:val="00E90F79"/>
    <w:rsid w:val="00E90FDB"/>
    <w:rsid w:val="00E9118D"/>
    <w:rsid w:val="00E91228"/>
    <w:rsid w:val="00E912A3"/>
    <w:rsid w:val="00E9146B"/>
    <w:rsid w:val="00E916D2"/>
    <w:rsid w:val="00E91A3D"/>
    <w:rsid w:val="00E91B43"/>
    <w:rsid w:val="00E91EEA"/>
    <w:rsid w:val="00E92403"/>
    <w:rsid w:val="00E924C1"/>
    <w:rsid w:val="00E92654"/>
    <w:rsid w:val="00E92C8E"/>
    <w:rsid w:val="00E92C94"/>
    <w:rsid w:val="00E92CC6"/>
    <w:rsid w:val="00E92CCB"/>
    <w:rsid w:val="00E9301F"/>
    <w:rsid w:val="00E936DF"/>
    <w:rsid w:val="00E93948"/>
    <w:rsid w:val="00E93A4B"/>
    <w:rsid w:val="00E93DE4"/>
    <w:rsid w:val="00E942AA"/>
    <w:rsid w:val="00E942DC"/>
    <w:rsid w:val="00E94441"/>
    <w:rsid w:val="00E94602"/>
    <w:rsid w:val="00E94700"/>
    <w:rsid w:val="00E949F4"/>
    <w:rsid w:val="00E94D0D"/>
    <w:rsid w:val="00E94E21"/>
    <w:rsid w:val="00E955AC"/>
    <w:rsid w:val="00E958D4"/>
    <w:rsid w:val="00E958D5"/>
    <w:rsid w:val="00E95A6F"/>
    <w:rsid w:val="00E95A84"/>
    <w:rsid w:val="00E95CF0"/>
    <w:rsid w:val="00E962C7"/>
    <w:rsid w:val="00E96408"/>
    <w:rsid w:val="00E965CA"/>
    <w:rsid w:val="00E9665D"/>
    <w:rsid w:val="00E97076"/>
    <w:rsid w:val="00E97205"/>
    <w:rsid w:val="00E9730B"/>
    <w:rsid w:val="00E97401"/>
    <w:rsid w:val="00E974D5"/>
    <w:rsid w:val="00E975F3"/>
    <w:rsid w:val="00E97B39"/>
    <w:rsid w:val="00E97C1D"/>
    <w:rsid w:val="00E97E44"/>
    <w:rsid w:val="00EA028E"/>
    <w:rsid w:val="00EA06FB"/>
    <w:rsid w:val="00EA079D"/>
    <w:rsid w:val="00EA0D72"/>
    <w:rsid w:val="00EA109B"/>
    <w:rsid w:val="00EA197C"/>
    <w:rsid w:val="00EA1D79"/>
    <w:rsid w:val="00EA1E81"/>
    <w:rsid w:val="00EA243E"/>
    <w:rsid w:val="00EA24C7"/>
    <w:rsid w:val="00EA2B10"/>
    <w:rsid w:val="00EA3339"/>
    <w:rsid w:val="00EA3FC3"/>
    <w:rsid w:val="00EA401C"/>
    <w:rsid w:val="00EA410F"/>
    <w:rsid w:val="00EA4231"/>
    <w:rsid w:val="00EA4554"/>
    <w:rsid w:val="00EA4B30"/>
    <w:rsid w:val="00EA4C12"/>
    <w:rsid w:val="00EA4F16"/>
    <w:rsid w:val="00EA51FF"/>
    <w:rsid w:val="00EA53AA"/>
    <w:rsid w:val="00EA55DA"/>
    <w:rsid w:val="00EA5807"/>
    <w:rsid w:val="00EA5DDE"/>
    <w:rsid w:val="00EA60A6"/>
    <w:rsid w:val="00EA62B8"/>
    <w:rsid w:val="00EA63CF"/>
    <w:rsid w:val="00EA6650"/>
    <w:rsid w:val="00EA677F"/>
    <w:rsid w:val="00EA703D"/>
    <w:rsid w:val="00EA7051"/>
    <w:rsid w:val="00EA773A"/>
    <w:rsid w:val="00EA7925"/>
    <w:rsid w:val="00EA7944"/>
    <w:rsid w:val="00EA797D"/>
    <w:rsid w:val="00EA7A40"/>
    <w:rsid w:val="00EB00F1"/>
    <w:rsid w:val="00EB03B6"/>
    <w:rsid w:val="00EB0A08"/>
    <w:rsid w:val="00EB0CF3"/>
    <w:rsid w:val="00EB0EC5"/>
    <w:rsid w:val="00EB0FBE"/>
    <w:rsid w:val="00EB1883"/>
    <w:rsid w:val="00EB189F"/>
    <w:rsid w:val="00EB1970"/>
    <w:rsid w:val="00EB1D48"/>
    <w:rsid w:val="00EB2088"/>
    <w:rsid w:val="00EB2157"/>
    <w:rsid w:val="00EB2216"/>
    <w:rsid w:val="00EB2606"/>
    <w:rsid w:val="00EB2CE5"/>
    <w:rsid w:val="00EB2DDE"/>
    <w:rsid w:val="00EB2E2D"/>
    <w:rsid w:val="00EB3B95"/>
    <w:rsid w:val="00EB3E86"/>
    <w:rsid w:val="00EB4227"/>
    <w:rsid w:val="00EB479A"/>
    <w:rsid w:val="00EB4B5E"/>
    <w:rsid w:val="00EB50D3"/>
    <w:rsid w:val="00EB5416"/>
    <w:rsid w:val="00EB5637"/>
    <w:rsid w:val="00EB589D"/>
    <w:rsid w:val="00EB59B8"/>
    <w:rsid w:val="00EB5FB9"/>
    <w:rsid w:val="00EB61E5"/>
    <w:rsid w:val="00EB61EC"/>
    <w:rsid w:val="00EB64CC"/>
    <w:rsid w:val="00EB6683"/>
    <w:rsid w:val="00EB6A89"/>
    <w:rsid w:val="00EB6ACC"/>
    <w:rsid w:val="00EB6C23"/>
    <w:rsid w:val="00EC0416"/>
    <w:rsid w:val="00EC04A6"/>
    <w:rsid w:val="00EC067B"/>
    <w:rsid w:val="00EC06F1"/>
    <w:rsid w:val="00EC0A5E"/>
    <w:rsid w:val="00EC0B8D"/>
    <w:rsid w:val="00EC112E"/>
    <w:rsid w:val="00EC1477"/>
    <w:rsid w:val="00EC14B2"/>
    <w:rsid w:val="00EC193B"/>
    <w:rsid w:val="00EC2105"/>
    <w:rsid w:val="00EC284E"/>
    <w:rsid w:val="00EC2F16"/>
    <w:rsid w:val="00EC2F86"/>
    <w:rsid w:val="00EC35AC"/>
    <w:rsid w:val="00EC3616"/>
    <w:rsid w:val="00EC37AE"/>
    <w:rsid w:val="00EC40C7"/>
    <w:rsid w:val="00EC45FC"/>
    <w:rsid w:val="00EC49F9"/>
    <w:rsid w:val="00EC4A49"/>
    <w:rsid w:val="00EC5270"/>
    <w:rsid w:val="00EC5604"/>
    <w:rsid w:val="00EC57D4"/>
    <w:rsid w:val="00EC6380"/>
    <w:rsid w:val="00EC6AFF"/>
    <w:rsid w:val="00EC73BA"/>
    <w:rsid w:val="00EC75B7"/>
    <w:rsid w:val="00ED02F8"/>
    <w:rsid w:val="00ED0686"/>
    <w:rsid w:val="00ED088B"/>
    <w:rsid w:val="00ED0A08"/>
    <w:rsid w:val="00ED0DF9"/>
    <w:rsid w:val="00ED0E64"/>
    <w:rsid w:val="00ED11FC"/>
    <w:rsid w:val="00ED1362"/>
    <w:rsid w:val="00ED153E"/>
    <w:rsid w:val="00ED1992"/>
    <w:rsid w:val="00ED1D69"/>
    <w:rsid w:val="00ED1FCB"/>
    <w:rsid w:val="00ED25E6"/>
    <w:rsid w:val="00ED2865"/>
    <w:rsid w:val="00ED2B79"/>
    <w:rsid w:val="00ED2E4A"/>
    <w:rsid w:val="00ED2EB9"/>
    <w:rsid w:val="00ED2F77"/>
    <w:rsid w:val="00ED337C"/>
    <w:rsid w:val="00ED3638"/>
    <w:rsid w:val="00ED3C18"/>
    <w:rsid w:val="00ED3E90"/>
    <w:rsid w:val="00ED4464"/>
    <w:rsid w:val="00ED48F9"/>
    <w:rsid w:val="00ED510F"/>
    <w:rsid w:val="00ED514B"/>
    <w:rsid w:val="00ED516F"/>
    <w:rsid w:val="00ED571F"/>
    <w:rsid w:val="00ED6312"/>
    <w:rsid w:val="00ED65BF"/>
    <w:rsid w:val="00ED6761"/>
    <w:rsid w:val="00ED6DA3"/>
    <w:rsid w:val="00ED6E14"/>
    <w:rsid w:val="00ED70ED"/>
    <w:rsid w:val="00ED7425"/>
    <w:rsid w:val="00ED760B"/>
    <w:rsid w:val="00EE019E"/>
    <w:rsid w:val="00EE068B"/>
    <w:rsid w:val="00EE06C6"/>
    <w:rsid w:val="00EE08AF"/>
    <w:rsid w:val="00EE0EED"/>
    <w:rsid w:val="00EE1340"/>
    <w:rsid w:val="00EE1750"/>
    <w:rsid w:val="00EE1758"/>
    <w:rsid w:val="00EE1D70"/>
    <w:rsid w:val="00EE1F3E"/>
    <w:rsid w:val="00EE1F85"/>
    <w:rsid w:val="00EE2202"/>
    <w:rsid w:val="00EE229E"/>
    <w:rsid w:val="00EE22E0"/>
    <w:rsid w:val="00EE2666"/>
    <w:rsid w:val="00EE2794"/>
    <w:rsid w:val="00EE27DD"/>
    <w:rsid w:val="00EE285F"/>
    <w:rsid w:val="00EE3444"/>
    <w:rsid w:val="00EE346D"/>
    <w:rsid w:val="00EE353F"/>
    <w:rsid w:val="00EE39ED"/>
    <w:rsid w:val="00EE3D3F"/>
    <w:rsid w:val="00EE3F36"/>
    <w:rsid w:val="00EE4287"/>
    <w:rsid w:val="00EE434D"/>
    <w:rsid w:val="00EE4E01"/>
    <w:rsid w:val="00EE5051"/>
    <w:rsid w:val="00EE5057"/>
    <w:rsid w:val="00EE50FD"/>
    <w:rsid w:val="00EE53A3"/>
    <w:rsid w:val="00EE56E6"/>
    <w:rsid w:val="00EE60F9"/>
    <w:rsid w:val="00EE612D"/>
    <w:rsid w:val="00EE61B0"/>
    <w:rsid w:val="00EE61EA"/>
    <w:rsid w:val="00EE6354"/>
    <w:rsid w:val="00EE6726"/>
    <w:rsid w:val="00EE6A3F"/>
    <w:rsid w:val="00EE71FC"/>
    <w:rsid w:val="00EE72A1"/>
    <w:rsid w:val="00EE72BD"/>
    <w:rsid w:val="00EE73C1"/>
    <w:rsid w:val="00EE757C"/>
    <w:rsid w:val="00EE7BAA"/>
    <w:rsid w:val="00EF01A7"/>
    <w:rsid w:val="00EF0AEB"/>
    <w:rsid w:val="00EF10D2"/>
    <w:rsid w:val="00EF19E5"/>
    <w:rsid w:val="00EF1EA0"/>
    <w:rsid w:val="00EF203B"/>
    <w:rsid w:val="00EF2167"/>
    <w:rsid w:val="00EF23D4"/>
    <w:rsid w:val="00EF2CCF"/>
    <w:rsid w:val="00EF2CDA"/>
    <w:rsid w:val="00EF2E13"/>
    <w:rsid w:val="00EF32AE"/>
    <w:rsid w:val="00EF3753"/>
    <w:rsid w:val="00EF3A9F"/>
    <w:rsid w:val="00EF3AF0"/>
    <w:rsid w:val="00EF3E89"/>
    <w:rsid w:val="00EF3F60"/>
    <w:rsid w:val="00EF43DE"/>
    <w:rsid w:val="00EF4809"/>
    <w:rsid w:val="00EF5AC6"/>
    <w:rsid w:val="00EF5D8D"/>
    <w:rsid w:val="00EF60A9"/>
    <w:rsid w:val="00EF61FC"/>
    <w:rsid w:val="00EF626D"/>
    <w:rsid w:val="00EF628B"/>
    <w:rsid w:val="00EF63A1"/>
    <w:rsid w:val="00EF6721"/>
    <w:rsid w:val="00EF6A89"/>
    <w:rsid w:val="00EF6ABE"/>
    <w:rsid w:val="00EF6DB6"/>
    <w:rsid w:val="00EF6E44"/>
    <w:rsid w:val="00EF7346"/>
    <w:rsid w:val="00EF782D"/>
    <w:rsid w:val="00EF789B"/>
    <w:rsid w:val="00EF78D2"/>
    <w:rsid w:val="00EF7B6E"/>
    <w:rsid w:val="00EF7C13"/>
    <w:rsid w:val="00EF7CBB"/>
    <w:rsid w:val="00EF7D82"/>
    <w:rsid w:val="00EF7DAA"/>
    <w:rsid w:val="00EF7E11"/>
    <w:rsid w:val="00EF7F11"/>
    <w:rsid w:val="00F001B8"/>
    <w:rsid w:val="00F00F6D"/>
    <w:rsid w:val="00F00FBD"/>
    <w:rsid w:val="00F01466"/>
    <w:rsid w:val="00F0167E"/>
    <w:rsid w:val="00F01C17"/>
    <w:rsid w:val="00F01D2F"/>
    <w:rsid w:val="00F01E1D"/>
    <w:rsid w:val="00F02121"/>
    <w:rsid w:val="00F02E80"/>
    <w:rsid w:val="00F03ED5"/>
    <w:rsid w:val="00F040E8"/>
    <w:rsid w:val="00F0441C"/>
    <w:rsid w:val="00F04710"/>
    <w:rsid w:val="00F0472B"/>
    <w:rsid w:val="00F049DC"/>
    <w:rsid w:val="00F04A63"/>
    <w:rsid w:val="00F04B0D"/>
    <w:rsid w:val="00F04D8D"/>
    <w:rsid w:val="00F051B6"/>
    <w:rsid w:val="00F05356"/>
    <w:rsid w:val="00F056D2"/>
    <w:rsid w:val="00F05A71"/>
    <w:rsid w:val="00F063A8"/>
    <w:rsid w:val="00F06852"/>
    <w:rsid w:val="00F06C07"/>
    <w:rsid w:val="00F06CD4"/>
    <w:rsid w:val="00F07208"/>
    <w:rsid w:val="00F0728F"/>
    <w:rsid w:val="00F07472"/>
    <w:rsid w:val="00F075F9"/>
    <w:rsid w:val="00F077F7"/>
    <w:rsid w:val="00F07D58"/>
    <w:rsid w:val="00F07EFB"/>
    <w:rsid w:val="00F10259"/>
    <w:rsid w:val="00F10602"/>
    <w:rsid w:val="00F1068F"/>
    <w:rsid w:val="00F107E2"/>
    <w:rsid w:val="00F10933"/>
    <w:rsid w:val="00F10AA7"/>
    <w:rsid w:val="00F10DAC"/>
    <w:rsid w:val="00F10E39"/>
    <w:rsid w:val="00F110B8"/>
    <w:rsid w:val="00F11156"/>
    <w:rsid w:val="00F114DD"/>
    <w:rsid w:val="00F116A7"/>
    <w:rsid w:val="00F11A4B"/>
    <w:rsid w:val="00F11C65"/>
    <w:rsid w:val="00F11D9C"/>
    <w:rsid w:val="00F12077"/>
    <w:rsid w:val="00F12215"/>
    <w:rsid w:val="00F12383"/>
    <w:rsid w:val="00F12A72"/>
    <w:rsid w:val="00F13390"/>
    <w:rsid w:val="00F137EB"/>
    <w:rsid w:val="00F13B8D"/>
    <w:rsid w:val="00F141A5"/>
    <w:rsid w:val="00F14720"/>
    <w:rsid w:val="00F14C82"/>
    <w:rsid w:val="00F14E33"/>
    <w:rsid w:val="00F1551F"/>
    <w:rsid w:val="00F157B5"/>
    <w:rsid w:val="00F15C29"/>
    <w:rsid w:val="00F16AB7"/>
    <w:rsid w:val="00F16DBE"/>
    <w:rsid w:val="00F16F8A"/>
    <w:rsid w:val="00F17036"/>
    <w:rsid w:val="00F17648"/>
    <w:rsid w:val="00F1780D"/>
    <w:rsid w:val="00F179F8"/>
    <w:rsid w:val="00F17B40"/>
    <w:rsid w:val="00F17BE0"/>
    <w:rsid w:val="00F17C06"/>
    <w:rsid w:val="00F17C7C"/>
    <w:rsid w:val="00F17EF9"/>
    <w:rsid w:val="00F20027"/>
    <w:rsid w:val="00F207B3"/>
    <w:rsid w:val="00F20C09"/>
    <w:rsid w:val="00F214E9"/>
    <w:rsid w:val="00F21923"/>
    <w:rsid w:val="00F21AB0"/>
    <w:rsid w:val="00F21B55"/>
    <w:rsid w:val="00F21DC4"/>
    <w:rsid w:val="00F21DC8"/>
    <w:rsid w:val="00F21E94"/>
    <w:rsid w:val="00F21FF7"/>
    <w:rsid w:val="00F221AB"/>
    <w:rsid w:val="00F222AC"/>
    <w:rsid w:val="00F2293D"/>
    <w:rsid w:val="00F22A44"/>
    <w:rsid w:val="00F2341D"/>
    <w:rsid w:val="00F23811"/>
    <w:rsid w:val="00F239ED"/>
    <w:rsid w:val="00F23E5B"/>
    <w:rsid w:val="00F23ED0"/>
    <w:rsid w:val="00F2428E"/>
    <w:rsid w:val="00F2439C"/>
    <w:rsid w:val="00F24D2C"/>
    <w:rsid w:val="00F24E11"/>
    <w:rsid w:val="00F25231"/>
    <w:rsid w:val="00F252CA"/>
    <w:rsid w:val="00F25C27"/>
    <w:rsid w:val="00F25CF9"/>
    <w:rsid w:val="00F25DBB"/>
    <w:rsid w:val="00F2602E"/>
    <w:rsid w:val="00F26410"/>
    <w:rsid w:val="00F265A4"/>
    <w:rsid w:val="00F266DC"/>
    <w:rsid w:val="00F269C8"/>
    <w:rsid w:val="00F269F3"/>
    <w:rsid w:val="00F26B3B"/>
    <w:rsid w:val="00F26D32"/>
    <w:rsid w:val="00F26EA5"/>
    <w:rsid w:val="00F2712C"/>
    <w:rsid w:val="00F2741F"/>
    <w:rsid w:val="00F2754B"/>
    <w:rsid w:val="00F276CC"/>
    <w:rsid w:val="00F27863"/>
    <w:rsid w:val="00F27F62"/>
    <w:rsid w:val="00F2C5FC"/>
    <w:rsid w:val="00F30274"/>
    <w:rsid w:val="00F30752"/>
    <w:rsid w:val="00F30B12"/>
    <w:rsid w:val="00F30D77"/>
    <w:rsid w:val="00F30E27"/>
    <w:rsid w:val="00F30EAF"/>
    <w:rsid w:val="00F31027"/>
    <w:rsid w:val="00F3166E"/>
    <w:rsid w:val="00F316E1"/>
    <w:rsid w:val="00F31CD9"/>
    <w:rsid w:val="00F3231D"/>
    <w:rsid w:val="00F3285F"/>
    <w:rsid w:val="00F32D22"/>
    <w:rsid w:val="00F33050"/>
    <w:rsid w:val="00F334BB"/>
    <w:rsid w:val="00F33697"/>
    <w:rsid w:val="00F33758"/>
    <w:rsid w:val="00F339CD"/>
    <w:rsid w:val="00F33F8E"/>
    <w:rsid w:val="00F3415C"/>
    <w:rsid w:val="00F34295"/>
    <w:rsid w:val="00F342D5"/>
    <w:rsid w:val="00F345B5"/>
    <w:rsid w:val="00F3466F"/>
    <w:rsid w:val="00F3477E"/>
    <w:rsid w:val="00F349A5"/>
    <w:rsid w:val="00F349B9"/>
    <w:rsid w:val="00F34A7B"/>
    <w:rsid w:val="00F34E2D"/>
    <w:rsid w:val="00F35048"/>
    <w:rsid w:val="00F3533C"/>
    <w:rsid w:val="00F35D38"/>
    <w:rsid w:val="00F36522"/>
    <w:rsid w:val="00F36955"/>
    <w:rsid w:val="00F37100"/>
    <w:rsid w:val="00F3743B"/>
    <w:rsid w:val="00F37E3F"/>
    <w:rsid w:val="00F37F82"/>
    <w:rsid w:val="00F4075D"/>
    <w:rsid w:val="00F40A35"/>
    <w:rsid w:val="00F40B9C"/>
    <w:rsid w:val="00F40BA7"/>
    <w:rsid w:val="00F412E0"/>
    <w:rsid w:val="00F413E4"/>
    <w:rsid w:val="00F41404"/>
    <w:rsid w:val="00F4141D"/>
    <w:rsid w:val="00F41745"/>
    <w:rsid w:val="00F41754"/>
    <w:rsid w:val="00F418EB"/>
    <w:rsid w:val="00F41C5A"/>
    <w:rsid w:val="00F41C63"/>
    <w:rsid w:val="00F41D02"/>
    <w:rsid w:val="00F42810"/>
    <w:rsid w:val="00F42E4C"/>
    <w:rsid w:val="00F43406"/>
    <w:rsid w:val="00F4357B"/>
    <w:rsid w:val="00F437B6"/>
    <w:rsid w:val="00F43D22"/>
    <w:rsid w:val="00F441D1"/>
    <w:rsid w:val="00F44549"/>
    <w:rsid w:val="00F4454D"/>
    <w:rsid w:val="00F44690"/>
    <w:rsid w:val="00F447CC"/>
    <w:rsid w:val="00F4484A"/>
    <w:rsid w:val="00F4493A"/>
    <w:rsid w:val="00F44960"/>
    <w:rsid w:val="00F44C28"/>
    <w:rsid w:val="00F44F5F"/>
    <w:rsid w:val="00F455FC"/>
    <w:rsid w:val="00F45B65"/>
    <w:rsid w:val="00F45C1E"/>
    <w:rsid w:val="00F45E31"/>
    <w:rsid w:val="00F4609D"/>
    <w:rsid w:val="00F4614B"/>
    <w:rsid w:val="00F46226"/>
    <w:rsid w:val="00F46255"/>
    <w:rsid w:val="00F46D57"/>
    <w:rsid w:val="00F46E7E"/>
    <w:rsid w:val="00F46ED0"/>
    <w:rsid w:val="00F46F90"/>
    <w:rsid w:val="00F471D4"/>
    <w:rsid w:val="00F471FF"/>
    <w:rsid w:val="00F4779A"/>
    <w:rsid w:val="00F4787A"/>
    <w:rsid w:val="00F50007"/>
    <w:rsid w:val="00F50212"/>
    <w:rsid w:val="00F50292"/>
    <w:rsid w:val="00F50796"/>
    <w:rsid w:val="00F50A71"/>
    <w:rsid w:val="00F50E02"/>
    <w:rsid w:val="00F510EC"/>
    <w:rsid w:val="00F51203"/>
    <w:rsid w:val="00F51583"/>
    <w:rsid w:val="00F51593"/>
    <w:rsid w:val="00F51987"/>
    <w:rsid w:val="00F51AC3"/>
    <w:rsid w:val="00F51BB4"/>
    <w:rsid w:val="00F5210D"/>
    <w:rsid w:val="00F5219A"/>
    <w:rsid w:val="00F52414"/>
    <w:rsid w:val="00F52712"/>
    <w:rsid w:val="00F52736"/>
    <w:rsid w:val="00F52C6C"/>
    <w:rsid w:val="00F52E41"/>
    <w:rsid w:val="00F53182"/>
    <w:rsid w:val="00F535F0"/>
    <w:rsid w:val="00F536FB"/>
    <w:rsid w:val="00F53DB9"/>
    <w:rsid w:val="00F541C4"/>
    <w:rsid w:val="00F54A30"/>
    <w:rsid w:val="00F54A85"/>
    <w:rsid w:val="00F54E61"/>
    <w:rsid w:val="00F55595"/>
    <w:rsid w:val="00F55718"/>
    <w:rsid w:val="00F55896"/>
    <w:rsid w:val="00F56392"/>
    <w:rsid w:val="00F563BD"/>
    <w:rsid w:val="00F569FC"/>
    <w:rsid w:val="00F56A14"/>
    <w:rsid w:val="00F57011"/>
    <w:rsid w:val="00F570C5"/>
    <w:rsid w:val="00F572B7"/>
    <w:rsid w:val="00F572FB"/>
    <w:rsid w:val="00F5798E"/>
    <w:rsid w:val="00F57FAA"/>
    <w:rsid w:val="00F60F6C"/>
    <w:rsid w:val="00F6105E"/>
    <w:rsid w:val="00F61148"/>
    <w:rsid w:val="00F612C4"/>
    <w:rsid w:val="00F616B1"/>
    <w:rsid w:val="00F616B7"/>
    <w:rsid w:val="00F61793"/>
    <w:rsid w:val="00F61A93"/>
    <w:rsid w:val="00F61C8D"/>
    <w:rsid w:val="00F61D93"/>
    <w:rsid w:val="00F61F31"/>
    <w:rsid w:val="00F62167"/>
    <w:rsid w:val="00F62DD0"/>
    <w:rsid w:val="00F631F2"/>
    <w:rsid w:val="00F63E9E"/>
    <w:rsid w:val="00F63EDD"/>
    <w:rsid w:val="00F642C3"/>
    <w:rsid w:val="00F643D3"/>
    <w:rsid w:val="00F6465D"/>
    <w:rsid w:val="00F647C6"/>
    <w:rsid w:val="00F64DC7"/>
    <w:rsid w:val="00F65187"/>
    <w:rsid w:val="00F653BD"/>
    <w:rsid w:val="00F659B6"/>
    <w:rsid w:val="00F65E2D"/>
    <w:rsid w:val="00F65FB2"/>
    <w:rsid w:val="00F66656"/>
    <w:rsid w:val="00F66D8C"/>
    <w:rsid w:val="00F66EB5"/>
    <w:rsid w:val="00F67139"/>
    <w:rsid w:val="00F672C6"/>
    <w:rsid w:val="00F67755"/>
    <w:rsid w:val="00F67BA8"/>
    <w:rsid w:val="00F67C76"/>
    <w:rsid w:val="00F67CDF"/>
    <w:rsid w:val="00F67DF4"/>
    <w:rsid w:val="00F706BF"/>
    <w:rsid w:val="00F7085C"/>
    <w:rsid w:val="00F711AD"/>
    <w:rsid w:val="00F71382"/>
    <w:rsid w:val="00F71E01"/>
    <w:rsid w:val="00F71F81"/>
    <w:rsid w:val="00F72155"/>
    <w:rsid w:val="00F72AA1"/>
    <w:rsid w:val="00F72BE9"/>
    <w:rsid w:val="00F72EE7"/>
    <w:rsid w:val="00F7344A"/>
    <w:rsid w:val="00F73BB6"/>
    <w:rsid w:val="00F73D4D"/>
    <w:rsid w:val="00F73DA3"/>
    <w:rsid w:val="00F73DE8"/>
    <w:rsid w:val="00F73FC2"/>
    <w:rsid w:val="00F740A8"/>
    <w:rsid w:val="00F742AB"/>
    <w:rsid w:val="00F74C1B"/>
    <w:rsid w:val="00F74D3C"/>
    <w:rsid w:val="00F74DE6"/>
    <w:rsid w:val="00F753BC"/>
    <w:rsid w:val="00F75D72"/>
    <w:rsid w:val="00F75DC5"/>
    <w:rsid w:val="00F75F9C"/>
    <w:rsid w:val="00F761AC"/>
    <w:rsid w:val="00F76266"/>
    <w:rsid w:val="00F76304"/>
    <w:rsid w:val="00F7648B"/>
    <w:rsid w:val="00F76AD2"/>
    <w:rsid w:val="00F76C9D"/>
    <w:rsid w:val="00F774AE"/>
    <w:rsid w:val="00F7759C"/>
    <w:rsid w:val="00F77BAF"/>
    <w:rsid w:val="00F77C5B"/>
    <w:rsid w:val="00F80201"/>
    <w:rsid w:val="00F80802"/>
    <w:rsid w:val="00F80A91"/>
    <w:rsid w:val="00F80F46"/>
    <w:rsid w:val="00F810FB"/>
    <w:rsid w:val="00F81165"/>
    <w:rsid w:val="00F813F5"/>
    <w:rsid w:val="00F814FF"/>
    <w:rsid w:val="00F81671"/>
    <w:rsid w:val="00F81EC2"/>
    <w:rsid w:val="00F81ED9"/>
    <w:rsid w:val="00F821FD"/>
    <w:rsid w:val="00F836EB"/>
    <w:rsid w:val="00F8378A"/>
    <w:rsid w:val="00F83BBD"/>
    <w:rsid w:val="00F83E2A"/>
    <w:rsid w:val="00F83F8B"/>
    <w:rsid w:val="00F84000"/>
    <w:rsid w:val="00F84991"/>
    <w:rsid w:val="00F84D2E"/>
    <w:rsid w:val="00F8579E"/>
    <w:rsid w:val="00F85930"/>
    <w:rsid w:val="00F85E27"/>
    <w:rsid w:val="00F85FAC"/>
    <w:rsid w:val="00F86222"/>
    <w:rsid w:val="00F868A5"/>
    <w:rsid w:val="00F86C72"/>
    <w:rsid w:val="00F86DFC"/>
    <w:rsid w:val="00F86F9A"/>
    <w:rsid w:val="00F87419"/>
    <w:rsid w:val="00F87D17"/>
    <w:rsid w:val="00F87F34"/>
    <w:rsid w:val="00F90418"/>
    <w:rsid w:val="00F911A7"/>
    <w:rsid w:val="00F91411"/>
    <w:rsid w:val="00F9163E"/>
    <w:rsid w:val="00F91BCD"/>
    <w:rsid w:val="00F91D31"/>
    <w:rsid w:val="00F92085"/>
    <w:rsid w:val="00F92380"/>
    <w:rsid w:val="00F923BA"/>
    <w:rsid w:val="00F92BB9"/>
    <w:rsid w:val="00F92D11"/>
    <w:rsid w:val="00F92EA7"/>
    <w:rsid w:val="00F93543"/>
    <w:rsid w:val="00F93C53"/>
    <w:rsid w:val="00F93D12"/>
    <w:rsid w:val="00F93E95"/>
    <w:rsid w:val="00F941FD"/>
    <w:rsid w:val="00F94540"/>
    <w:rsid w:val="00F94617"/>
    <w:rsid w:val="00F94644"/>
    <w:rsid w:val="00F94AAF"/>
    <w:rsid w:val="00F94E4F"/>
    <w:rsid w:val="00F94F80"/>
    <w:rsid w:val="00F956EC"/>
    <w:rsid w:val="00F959F6"/>
    <w:rsid w:val="00F95BC3"/>
    <w:rsid w:val="00F95C5E"/>
    <w:rsid w:val="00F95D8F"/>
    <w:rsid w:val="00F95E91"/>
    <w:rsid w:val="00F96361"/>
    <w:rsid w:val="00F966CB"/>
    <w:rsid w:val="00F96777"/>
    <w:rsid w:val="00F96903"/>
    <w:rsid w:val="00F96BB6"/>
    <w:rsid w:val="00F975D9"/>
    <w:rsid w:val="00F97674"/>
    <w:rsid w:val="00F97B49"/>
    <w:rsid w:val="00F97BE8"/>
    <w:rsid w:val="00FA0012"/>
    <w:rsid w:val="00FA0442"/>
    <w:rsid w:val="00FA0B66"/>
    <w:rsid w:val="00FA0EF8"/>
    <w:rsid w:val="00FA1041"/>
    <w:rsid w:val="00FA12AC"/>
    <w:rsid w:val="00FA13B1"/>
    <w:rsid w:val="00FA19D3"/>
    <w:rsid w:val="00FA1E4A"/>
    <w:rsid w:val="00FA1F0E"/>
    <w:rsid w:val="00FA20EB"/>
    <w:rsid w:val="00FA22AB"/>
    <w:rsid w:val="00FA242B"/>
    <w:rsid w:val="00FA24E7"/>
    <w:rsid w:val="00FA257C"/>
    <w:rsid w:val="00FA2715"/>
    <w:rsid w:val="00FA29CD"/>
    <w:rsid w:val="00FA29FD"/>
    <w:rsid w:val="00FA2AAF"/>
    <w:rsid w:val="00FA34D0"/>
    <w:rsid w:val="00FA34D4"/>
    <w:rsid w:val="00FA38B5"/>
    <w:rsid w:val="00FA394A"/>
    <w:rsid w:val="00FA394C"/>
    <w:rsid w:val="00FA3B18"/>
    <w:rsid w:val="00FA3CAE"/>
    <w:rsid w:val="00FA4303"/>
    <w:rsid w:val="00FA4708"/>
    <w:rsid w:val="00FA487C"/>
    <w:rsid w:val="00FA4A1B"/>
    <w:rsid w:val="00FA4C51"/>
    <w:rsid w:val="00FA53F7"/>
    <w:rsid w:val="00FA56E3"/>
    <w:rsid w:val="00FA5B78"/>
    <w:rsid w:val="00FA5E76"/>
    <w:rsid w:val="00FA5FE8"/>
    <w:rsid w:val="00FA66F5"/>
    <w:rsid w:val="00FA6939"/>
    <w:rsid w:val="00FA6F1F"/>
    <w:rsid w:val="00FA710D"/>
    <w:rsid w:val="00FA740F"/>
    <w:rsid w:val="00FA7531"/>
    <w:rsid w:val="00FA7537"/>
    <w:rsid w:val="00FA7746"/>
    <w:rsid w:val="00FB0082"/>
    <w:rsid w:val="00FB0C4A"/>
    <w:rsid w:val="00FB0D51"/>
    <w:rsid w:val="00FB0E18"/>
    <w:rsid w:val="00FB107C"/>
    <w:rsid w:val="00FB1657"/>
    <w:rsid w:val="00FB17E0"/>
    <w:rsid w:val="00FB1DB6"/>
    <w:rsid w:val="00FB1ECD"/>
    <w:rsid w:val="00FB2595"/>
    <w:rsid w:val="00FB2B8E"/>
    <w:rsid w:val="00FB2DF1"/>
    <w:rsid w:val="00FB34EC"/>
    <w:rsid w:val="00FB35FF"/>
    <w:rsid w:val="00FB3638"/>
    <w:rsid w:val="00FB3970"/>
    <w:rsid w:val="00FB3B97"/>
    <w:rsid w:val="00FB404B"/>
    <w:rsid w:val="00FB4122"/>
    <w:rsid w:val="00FB426B"/>
    <w:rsid w:val="00FB42FF"/>
    <w:rsid w:val="00FB457A"/>
    <w:rsid w:val="00FB4772"/>
    <w:rsid w:val="00FB48EA"/>
    <w:rsid w:val="00FB5080"/>
    <w:rsid w:val="00FB571D"/>
    <w:rsid w:val="00FB57B6"/>
    <w:rsid w:val="00FB58CE"/>
    <w:rsid w:val="00FB5B59"/>
    <w:rsid w:val="00FB5B7D"/>
    <w:rsid w:val="00FB6138"/>
    <w:rsid w:val="00FB63C7"/>
    <w:rsid w:val="00FB64C9"/>
    <w:rsid w:val="00FB6638"/>
    <w:rsid w:val="00FB67CD"/>
    <w:rsid w:val="00FB696A"/>
    <w:rsid w:val="00FB6EAE"/>
    <w:rsid w:val="00FB6F0B"/>
    <w:rsid w:val="00FB71D7"/>
    <w:rsid w:val="00FB74C0"/>
    <w:rsid w:val="00FB75E5"/>
    <w:rsid w:val="00FB795E"/>
    <w:rsid w:val="00FB7AE0"/>
    <w:rsid w:val="00FB7C7C"/>
    <w:rsid w:val="00FB7F65"/>
    <w:rsid w:val="00FC0227"/>
    <w:rsid w:val="00FC0328"/>
    <w:rsid w:val="00FC03FB"/>
    <w:rsid w:val="00FC058F"/>
    <w:rsid w:val="00FC09B7"/>
    <w:rsid w:val="00FC0D82"/>
    <w:rsid w:val="00FC119C"/>
    <w:rsid w:val="00FC134B"/>
    <w:rsid w:val="00FC1996"/>
    <w:rsid w:val="00FC1AD5"/>
    <w:rsid w:val="00FC232A"/>
    <w:rsid w:val="00FC245F"/>
    <w:rsid w:val="00FC26E2"/>
    <w:rsid w:val="00FC28C7"/>
    <w:rsid w:val="00FC2C59"/>
    <w:rsid w:val="00FC2D84"/>
    <w:rsid w:val="00FC3237"/>
    <w:rsid w:val="00FC33DB"/>
    <w:rsid w:val="00FC33DC"/>
    <w:rsid w:val="00FC3585"/>
    <w:rsid w:val="00FC3EB7"/>
    <w:rsid w:val="00FC4046"/>
    <w:rsid w:val="00FC4268"/>
    <w:rsid w:val="00FC48D4"/>
    <w:rsid w:val="00FC4A58"/>
    <w:rsid w:val="00FC4A99"/>
    <w:rsid w:val="00FC4D4C"/>
    <w:rsid w:val="00FC51C4"/>
    <w:rsid w:val="00FC5361"/>
    <w:rsid w:val="00FC5366"/>
    <w:rsid w:val="00FC571F"/>
    <w:rsid w:val="00FC57A6"/>
    <w:rsid w:val="00FC5820"/>
    <w:rsid w:val="00FC5C14"/>
    <w:rsid w:val="00FC6CBF"/>
    <w:rsid w:val="00FC75FA"/>
    <w:rsid w:val="00FC767D"/>
    <w:rsid w:val="00FC7E90"/>
    <w:rsid w:val="00FC7EB0"/>
    <w:rsid w:val="00FD004B"/>
    <w:rsid w:val="00FD019A"/>
    <w:rsid w:val="00FD0228"/>
    <w:rsid w:val="00FD02F8"/>
    <w:rsid w:val="00FD08BD"/>
    <w:rsid w:val="00FD08EC"/>
    <w:rsid w:val="00FD0A50"/>
    <w:rsid w:val="00FD100C"/>
    <w:rsid w:val="00FD12F9"/>
    <w:rsid w:val="00FD1A09"/>
    <w:rsid w:val="00FD2226"/>
    <w:rsid w:val="00FD26A5"/>
    <w:rsid w:val="00FD2E11"/>
    <w:rsid w:val="00FD2FBD"/>
    <w:rsid w:val="00FD3623"/>
    <w:rsid w:val="00FD36A3"/>
    <w:rsid w:val="00FD3D2D"/>
    <w:rsid w:val="00FD3D6F"/>
    <w:rsid w:val="00FD3FFF"/>
    <w:rsid w:val="00FD41AD"/>
    <w:rsid w:val="00FD4221"/>
    <w:rsid w:val="00FD43FE"/>
    <w:rsid w:val="00FD492E"/>
    <w:rsid w:val="00FD50DF"/>
    <w:rsid w:val="00FD5259"/>
    <w:rsid w:val="00FD548E"/>
    <w:rsid w:val="00FD54C9"/>
    <w:rsid w:val="00FD5540"/>
    <w:rsid w:val="00FD56B3"/>
    <w:rsid w:val="00FD58BA"/>
    <w:rsid w:val="00FD59D2"/>
    <w:rsid w:val="00FD5CD4"/>
    <w:rsid w:val="00FD5E24"/>
    <w:rsid w:val="00FD5FB0"/>
    <w:rsid w:val="00FD631F"/>
    <w:rsid w:val="00FD6420"/>
    <w:rsid w:val="00FD6462"/>
    <w:rsid w:val="00FD6463"/>
    <w:rsid w:val="00FD6563"/>
    <w:rsid w:val="00FD6769"/>
    <w:rsid w:val="00FD6C55"/>
    <w:rsid w:val="00FD717B"/>
    <w:rsid w:val="00FD7826"/>
    <w:rsid w:val="00FD79A7"/>
    <w:rsid w:val="00FD79D8"/>
    <w:rsid w:val="00FD79DE"/>
    <w:rsid w:val="00FD7C30"/>
    <w:rsid w:val="00FE0090"/>
    <w:rsid w:val="00FE00B9"/>
    <w:rsid w:val="00FE0133"/>
    <w:rsid w:val="00FE0218"/>
    <w:rsid w:val="00FE02A2"/>
    <w:rsid w:val="00FE06E3"/>
    <w:rsid w:val="00FE0758"/>
    <w:rsid w:val="00FE07C7"/>
    <w:rsid w:val="00FE0987"/>
    <w:rsid w:val="00FE0C23"/>
    <w:rsid w:val="00FE0D15"/>
    <w:rsid w:val="00FE12B3"/>
    <w:rsid w:val="00FE140B"/>
    <w:rsid w:val="00FE1505"/>
    <w:rsid w:val="00FE18B2"/>
    <w:rsid w:val="00FE2505"/>
    <w:rsid w:val="00FE28B7"/>
    <w:rsid w:val="00FE373B"/>
    <w:rsid w:val="00FE3909"/>
    <w:rsid w:val="00FE39B3"/>
    <w:rsid w:val="00FE3B79"/>
    <w:rsid w:val="00FE3CF7"/>
    <w:rsid w:val="00FE3FC5"/>
    <w:rsid w:val="00FE411B"/>
    <w:rsid w:val="00FE4559"/>
    <w:rsid w:val="00FE4683"/>
    <w:rsid w:val="00FE4899"/>
    <w:rsid w:val="00FE4962"/>
    <w:rsid w:val="00FE4B25"/>
    <w:rsid w:val="00FE5189"/>
    <w:rsid w:val="00FE55C0"/>
    <w:rsid w:val="00FE5716"/>
    <w:rsid w:val="00FE5985"/>
    <w:rsid w:val="00FE5C0A"/>
    <w:rsid w:val="00FE5E7D"/>
    <w:rsid w:val="00FE6731"/>
    <w:rsid w:val="00FE6768"/>
    <w:rsid w:val="00FE6B48"/>
    <w:rsid w:val="00FE701B"/>
    <w:rsid w:val="00FE7357"/>
    <w:rsid w:val="00FE754B"/>
    <w:rsid w:val="00FE7722"/>
    <w:rsid w:val="00FE7F19"/>
    <w:rsid w:val="00FE7FD9"/>
    <w:rsid w:val="00FF011F"/>
    <w:rsid w:val="00FF0173"/>
    <w:rsid w:val="00FF0A09"/>
    <w:rsid w:val="00FF0AA6"/>
    <w:rsid w:val="00FF0CDD"/>
    <w:rsid w:val="00FF0E6C"/>
    <w:rsid w:val="00FF122D"/>
    <w:rsid w:val="00FF13C9"/>
    <w:rsid w:val="00FF1F45"/>
    <w:rsid w:val="00FF1F93"/>
    <w:rsid w:val="00FF2636"/>
    <w:rsid w:val="00FF2EEE"/>
    <w:rsid w:val="00FF3058"/>
    <w:rsid w:val="00FF375B"/>
    <w:rsid w:val="00FF3C32"/>
    <w:rsid w:val="00FF3D64"/>
    <w:rsid w:val="00FF4145"/>
    <w:rsid w:val="00FF433F"/>
    <w:rsid w:val="00FF4463"/>
    <w:rsid w:val="00FF49DE"/>
    <w:rsid w:val="00FF4C3D"/>
    <w:rsid w:val="00FF4F1F"/>
    <w:rsid w:val="00FF4F5D"/>
    <w:rsid w:val="00FF5193"/>
    <w:rsid w:val="00FF5227"/>
    <w:rsid w:val="00FF6536"/>
    <w:rsid w:val="00FF6648"/>
    <w:rsid w:val="00FF68DF"/>
    <w:rsid w:val="00FF6F3F"/>
    <w:rsid w:val="00FF6F86"/>
    <w:rsid w:val="00FF7002"/>
    <w:rsid w:val="00FF779F"/>
    <w:rsid w:val="00FF7F42"/>
    <w:rsid w:val="010326E0"/>
    <w:rsid w:val="011FCCE2"/>
    <w:rsid w:val="012DD51D"/>
    <w:rsid w:val="0133D886"/>
    <w:rsid w:val="01738CCB"/>
    <w:rsid w:val="01C9C7AB"/>
    <w:rsid w:val="038A3B38"/>
    <w:rsid w:val="039D4CA1"/>
    <w:rsid w:val="03FE6877"/>
    <w:rsid w:val="0432A977"/>
    <w:rsid w:val="044FFB67"/>
    <w:rsid w:val="0456A29F"/>
    <w:rsid w:val="047837E1"/>
    <w:rsid w:val="049E2F38"/>
    <w:rsid w:val="05472F2B"/>
    <w:rsid w:val="057CF50B"/>
    <w:rsid w:val="058D86B5"/>
    <w:rsid w:val="05B7E5C6"/>
    <w:rsid w:val="05CC929A"/>
    <w:rsid w:val="06138440"/>
    <w:rsid w:val="06449711"/>
    <w:rsid w:val="065F053D"/>
    <w:rsid w:val="0735820A"/>
    <w:rsid w:val="0843CB12"/>
    <w:rsid w:val="0868E16B"/>
    <w:rsid w:val="08D6A80E"/>
    <w:rsid w:val="09130362"/>
    <w:rsid w:val="09AEF1F7"/>
    <w:rsid w:val="09B68497"/>
    <w:rsid w:val="0A3B610D"/>
    <w:rsid w:val="0A82A99F"/>
    <w:rsid w:val="0AAFD9CE"/>
    <w:rsid w:val="0B4591D4"/>
    <w:rsid w:val="0B57496B"/>
    <w:rsid w:val="0B6D7603"/>
    <w:rsid w:val="0B76E44F"/>
    <w:rsid w:val="0B9DDCD3"/>
    <w:rsid w:val="0C803278"/>
    <w:rsid w:val="0CA3E148"/>
    <w:rsid w:val="0DEE0BC7"/>
    <w:rsid w:val="0E288BFB"/>
    <w:rsid w:val="0F9C5AEF"/>
    <w:rsid w:val="0FFE3F12"/>
    <w:rsid w:val="1075B7A9"/>
    <w:rsid w:val="107B69B3"/>
    <w:rsid w:val="108E1CE1"/>
    <w:rsid w:val="10D0E631"/>
    <w:rsid w:val="10F42280"/>
    <w:rsid w:val="1104B670"/>
    <w:rsid w:val="1199FC9C"/>
    <w:rsid w:val="11B33877"/>
    <w:rsid w:val="120744A9"/>
    <w:rsid w:val="1221DEFF"/>
    <w:rsid w:val="1304570E"/>
    <w:rsid w:val="13ACD3A4"/>
    <w:rsid w:val="1432F94B"/>
    <w:rsid w:val="14891EB4"/>
    <w:rsid w:val="14B3A44B"/>
    <w:rsid w:val="14B6BCEB"/>
    <w:rsid w:val="15036C89"/>
    <w:rsid w:val="164ACFC0"/>
    <w:rsid w:val="1682BF48"/>
    <w:rsid w:val="16922291"/>
    <w:rsid w:val="16B8E6F1"/>
    <w:rsid w:val="16D3867C"/>
    <w:rsid w:val="16D741E8"/>
    <w:rsid w:val="16D92D2D"/>
    <w:rsid w:val="16F2C59F"/>
    <w:rsid w:val="16FC2C50"/>
    <w:rsid w:val="18483454"/>
    <w:rsid w:val="186484F3"/>
    <w:rsid w:val="187FA1D2"/>
    <w:rsid w:val="18A43EB8"/>
    <w:rsid w:val="19E271F9"/>
    <w:rsid w:val="19EE34F9"/>
    <w:rsid w:val="1A6BCEB2"/>
    <w:rsid w:val="1ACB194A"/>
    <w:rsid w:val="1ADF9B64"/>
    <w:rsid w:val="1B3767A6"/>
    <w:rsid w:val="1B415F29"/>
    <w:rsid w:val="1B6166F0"/>
    <w:rsid w:val="1B75E7EF"/>
    <w:rsid w:val="1BD54F5F"/>
    <w:rsid w:val="1C39E272"/>
    <w:rsid w:val="1C55B93C"/>
    <w:rsid w:val="1D91155D"/>
    <w:rsid w:val="1EECBA30"/>
    <w:rsid w:val="1F09ADFB"/>
    <w:rsid w:val="1F4C3DF7"/>
    <w:rsid w:val="202846AB"/>
    <w:rsid w:val="203447AE"/>
    <w:rsid w:val="20694C1D"/>
    <w:rsid w:val="20BADE94"/>
    <w:rsid w:val="20F88978"/>
    <w:rsid w:val="21123DFF"/>
    <w:rsid w:val="225A02E9"/>
    <w:rsid w:val="22D6D1A3"/>
    <w:rsid w:val="231DF89E"/>
    <w:rsid w:val="2320278E"/>
    <w:rsid w:val="239A6D2E"/>
    <w:rsid w:val="23BE79E6"/>
    <w:rsid w:val="23D368F7"/>
    <w:rsid w:val="240D66F5"/>
    <w:rsid w:val="242D6584"/>
    <w:rsid w:val="24A18207"/>
    <w:rsid w:val="259DF5BF"/>
    <w:rsid w:val="25BD414B"/>
    <w:rsid w:val="260C9BA2"/>
    <w:rsid w:val="262E6EE2"/>
    <w:rsid w:val="263D8406"/>
    <w:rsid w:val="26C9D9F7"/>
    <w:rsid w:val="27F331B6"/>
    <w:rsid w:val="2807FF51"/>
    <w:rsid w:val="294A158A"/>
    <w:rsid w:val="29797DE3"/>
    <w:rsid w:val="298FE5B4"/>
    <w:rsid w:val="29A7BC6F"/>
    <w:rsid w:val="29E5A04F"/>
    <w:rsid w:val="29F665E5"/>
    <w:rsid w:val="2A3B9039"/>
    <w:rsid w:val="2A430DD9"/>
    <w:rsid w:val="2A72E625"/>
    <w:rsid w:val="2B5727F3"/>
    <w:rsid w:val="2B77F3D1"/>
    <w:rsid w:val="2C39443C"/>
    <w:rsid w:val="2CA98D46"/>
    <w:rsid w:val="2CBA0318"/>
    <w:rsid w:val="2D182685"/>
    <w:rsid w:val="2D510CA2"/>
    <w:rsid w:val="2E03A372"/>
    <w:rsid w:val="2E4C0298"/>
    <w:rsid w:val="2E8DBD52"/>
    <w:rsid w:val="2EDE7A47"/>
    <w:rsid w:val="2F4B6894"/>
    <w:rsid w:val="2F5A9ABD"/>
    <w:rsid w:val="30052971"/>
    <w:rsid w:val="302E5E12"/>
    <w:rsid w:val="30D2A98F"/>
    <w:rsid w:val="30E1E017"/>
    <w:rsid w:val="313DC81E"/>
    <w:rsid w:val="3152F1D4"/>
    <w:rsid w:val="318F5A0F"/>
    <w:rsid w:val="32712FBC"/>
    <w:rsid w:val="32AACEC3"/>
    <w:rsid w:val="331EE441"/>
    <w:rsid w:val="333908BB"/>
    <w:rsid w:val="3390F951"/>
    <w:rsid w:val="34406661"/>
    <w:rsid w:val="3451B4D6"/>
    <w:rsid w:val="346D77B8"/>
    <w:rsid w:val="3474B611"/>
    <w:rsid w:val="34A14A0B"/>
    <w:rsid w:val="34F63589"/>
    <w:rsid w:val="351FA76C"/>
    <w:rsid w:val="354FE487"/>
    <w:rsid w:val="35F2EE98"/>
    <w:rsid w:val="3683125F"/>
    <w:rsid w:val="36BBBE65"/>
    <w:rsid w:val="36C26BDA"/>
    <w:rsid w:val="36E52FAA"/>
    <w:rsid w:val="3726CCA7"/>
    <w:rsid w:val="39036060"/>
    <w:rsid w:val="390FDC94"/>
    <w:rsid w:val="39F1D567"/>
    <w:rsid w:val="3A265A0C"/>
    <w:rsid w:val="3BAF1C1A"/>
    <w:rsid w:val="3BF995F2"/>
    <w:rsid w:val="3C54D338"/>
    <w:rsid w:val="3C5FDCA5"/>
    <w:rsid w:val="3C6159ED"/>
    <w:rsid w:val="3C9B1C05"/>
    <w:rsid w:val="3CFEAF84"/>
    <w:rsid w:val="3D6D8F58"/>
    <w:rsid w:val="3E8B5207"/>
    <w:rsid w:val="3E8C39F7"/>
    <w:rsid w:val="3EC5C3E9"/>
    <w:rsid w:val="3F2919D8"/>
    <w:rsid w:val="3F5CCC61"/>
    <w:rsid w:val="3F8DE55E"/>
    <w:rsid w:val="3FFAB575"/>
    <w:rsid w:val="40C0C7C4"/>
    <w:rsid w:val="40EC61EC"/>
    <w:rsid w:val="40EE525E"/>
    <w:rsid w:val="418208D3"/>
    <w:rsid w:val="42AE4F1E"/>
    <w:rsid w:val="4316A190"/>
    <w:rsid w:val="431F33D6"/>
    <w:rsid w:val="432D5CB0"/>
    <w:rsid w:val="434E0AA0"/>
    <w:rsid w:val="441D26E0"/>
    <w:rsid w:val="44A9A134"/>
    <w:rsid w:val="44AC99BE"/>
    <w:rsid w:val="44E50F28"/>
    <w:rsid w:val="4527E099"/>
    <w:rsid w:val="452AF84E"/>
    <w:rsid w:val="45516DE9"/>
    <w:rsid w:val="456CD5F4"/>
    <w:rsid w:val="4596ECDD"/>
    <w:rsid w:val="45C938C4"/>
    <w:rsid w:val="45E6BEE9"/>
    <w:rsid w:val="461CF488"/>
    <w:rsid w:val="461DC38C"/>
    <w:rsid w:val="463FAC2E"/>
    <w:rsid w:val="467E5E6E"/>
    <w:rsid w:val="47480BAD"/>
    <w:rsid w:val="486B0788"/>
    <w:rsid w:val="48E22960"/>
    <w:rsid w:val="495A0B5F"/>
    <w:rsid w:val="49BED8DC"/>
    <w:rsid w:val="4A919158"/>
    <w:rsid w:val="4AC31249"/>
    <w:rsid w:val="4B2D88B0"/>
    <w:rsid w:val="4B59DB31"/>
    <w:rsid w:val="4B7D04F0"/>
    <w:rsid w:val="4C0FDD85"/>
    <w:rsid w:val="4C390263"/>
    <w:rsid w:val="4C8883FC"/>
    <w:rsid w:val="4C9301EE"/>
    <w:rsid w:val="4D1E809A"/>
    <w:rsid w:val="4D4F4044"/>
    <w:rsid w:val="4D81FF19"/>
    <w:rsid w:val="4D9033F6"/>
    <w:rsid w:val="4DB00A2A"/>
    <w:rsid w:val="4DEAE65A"/>
    <w:rsid w:val="4E42E160"/>
    <w:rsid w:val="4E42F7B2"/>
    <w:rsid w:val="4E5DF5C2"/>
    <w:rsid w:val="4E63702D"/>
    <w:rsid w:val="4F6F7EF9"/>
    <w:rsid w:val="4F8FD356"/>
    <w:rsid w:val="4FDD653B"/>
    <w:rsid w:val="502FBD20"/>
    <w:rsid w:val="505EBFA9"/>
    <w:rsid w:val="509FBD4B"/>
    <w:rsid w:val="50C4821F"/>
    <w:rsid w:val="51AF9704"/>
    <w:rsid w:val="5248F298"/>
    <w:rsid w:val="525BDE7B"/>
    <w:rsid w:val="52881623"/>
    <w:rsid w:val="5292AA96"/>
    <w:rsid w:val="52C7B1B1"/>
    <w:rsid w:val="530ADD4D"/>
    <w:rsid w:val="530C41CF"/>
    <w:rsid w:val="532E917F"/>
    <w:rsid w:val="536B290F"/>
    <w:rsid w:val="53C35572"/>
    <w:rsid w:val="53DC06B0"/>
    <w:rsid w:val="543EFAC7"/>
    <w:rsid w:val="54898387"/>
    <w:rsid w:val="54C2AA8F"/>
    <w:rsid w:val="551E3DEB"/>
    <w:rsid w:val="56CC564E"/>
    <w:rsid w:val="57717E95"/>
    <w:rsid w:val="57A47584"/>
    <w:rsid w:val="57F46921"/>
    <w:rsid w:val="5803D358"/>
    <w:rsid w:val="5827C50B"/>
    <w:rsid w:val="588C1159"/>
    <w:rsid w:val="59451512"/>
    <w:rsid w:val="595F2FD4"/>
    <w:rsid w:val="59BD9BBF"/>
    <w:rsid w:val="59C744EE"/>
    <w:rsid w:val="59D0098B"/>
    <w:rsid w:val="59D17352"/>
    <w:rsid w:val="59FD517D"/>
    <w:rsid w:val="5A58DA07"/>
    <w:rsid w:val="5A8839B9"/>
    <w:rsid w:val="5AE87FFB"/>
    <w:rsid w:val="5B46B5D9"/>
    <w:rsid w:val="5B966C0A"/>
    <w:rsid w:val="5BD68D4C"/>
    <w:rsid w:val="5BDDA367"/>
    <w:rsid w:val="5C2CC1A6"/>
    <w:rsid w:val="5C2E8651"/>
    <w:rsid w:val="5C36CED1"/>
    <w:rsid w:val="5C3DB3AB"/>
    <w:rsid w:val="5C8E6095"/>
    <w:rsid w:val="5D0317A6"/>
    <w:rsid w:val="5DB49BB4"/>
    <w:rsid w:val="5DFE9EC2"/>
    <w:rsid w:val="5EA7AD14"/>
    <w:rsid w:val="5EC9CD5E"/>
    <w:rsid w:val="5F6745B2"/>
    <w:rsid w:val="5F78AB01"/>
    <w:rsid w:val="5FB8B496"/>
    <w:rsid w:val="5FE0485A"/>
    <w:rsid w:val="60A3FA5E"/>
    <w:rsid w:val="60B407E1"/>
    <w:rsid w:val="6122816D"/>
    <w:rsid w:val="616F752E"/>
    <w:rsid w:val="61772D74"/>
    <w:rsid w:val="61E4F972"/>
    <w:rsid w:val="6259006C"/>
    <w:rsid w:val="6313E1EF"/>
    <w:rsid w:val="63944C06"/>
    <w:rsid w:val="645C1F9F"/>
    <w:rsid w:val="646F730C"/>
    <w:rsid w:val="648D246F"/>
    <w:rsid w:val="64D338A6"/>
    <w:rsid w:val="65085799"/>
    <w:rsid w:val="653DEB65"/>
    <w:rsid w:val="6571B491"/>
    <w:rsid w:val="6652D45B"/>
    <w:rsid w:val="665DC142"/>
    <w:rsid w:val="6796B316"/>
    <w:rsid w:val="67F8C059"/>
    <w:rsid w:val="6821492A"/>
    <w:rsid w:val="6881195B"/>
    <w:rsid w:val="69205A1C"/>
    <w:rsid w:val="6948DA08"/>
    <w:rsid w:val="69A1ACF5"/>
    <w:rsid w:val="69A75001"/>
    <w:rsid w:val="69A7BEF8"/>
    <w:rsid w:val="69EE9D85"/>
    <w:rsid w:val="6A0924EE"/>
    <w:rsid w:val="6A818A58"/>
    <w:rsid w:val="6A8C2350"/>
    <w:rsid w:val="6AC0C327"/>
    <w:rsid w:val="6AD957D0"/>
    <w:rsid w:val="6AE477A9"/>
    <w:rsid w:val="6B0DD8AA"/>
    <w:rsid w:val="6B5F8637"/>
    <w:rsid w:val="6B8E70D5"/>
    <w:rsid w:val="6B94FD77"/>
    <w:rsid w:val="6BF9543F"/>
    <w:rsid w:val="6C4E38B1"/>
    <w:rsid w:val="6C7B185D"/>
    <w:rsid w:val="6CBE71E5"/>
    <w:rsid w:val="6D8DD46A"/>
    <w:rsid w:val="6DA319B8"/>
    <w:rsid w:val="6E1B95A6"/>
    <w:rsid w:val="6E67F716"/>
    <w:rsid w:val="6EB8FBD6"/>
    <w:rsid w:val="6EE2E24D"/>
    <w:rsid w:val="6F6E1642"/>
    <w:rsid w:val="6FB0A5F6"/>
    <w:rsid w:val="7070F48E"/>
    <w:rsid w:val="7085C9DB"/>
    <w:rsid w:val="70E31D3B"/>
    <w:rsid w:val="71122515"/>
    <w:rsid w:val="711BA5AD"/>
    <w:rsid w:val="716AEDD5"/>
    <w:rsid w:val="7185A036"/>
    <w:rsid w:val="71BC14E3"/>
    <w:rsid w:val="71E1FEAA"/>
    <w:rsid w:val="71E24A08"/>
    <w:rsid w:val="723D3B90"/>
    <w:rsid w:val="72651742"/>
    <w:rsid w:val="72708E45"/>
    <w:rsid w:val="7273A76F"/>
    <w:rsid w:val="7329E281"/>
    <w:rsid w:val="744AF2DC"/>
    <w:rsid w:val="751D503E"/>
    <w:rsid w:val="75780C71"/>
    <w:rsid w:val="75E52F52"/>
    <w:rsid w:val="7704AC9D"/>
    <w:rsid w:val="7754593A"/>
    <w:rsid w:val="77885581"/>
    <w:rsid w:val="77F10E82"/>
    <w:rsid w:val="7805107B"/>
    <w:rsid w:val="78289157"/>
    <w:rsid w:val="7830AF03"/>
    <w:rsid w:val="7833DBB0"/>
    <w:rsid w:val="7847695A"/>
    <w:rsid w:val="78509D5D"/>
    <w:rsid w:val="7869F6FD"/>
    <w:rsid w:val="78A65B55"/>
    <w:rsid w:val="790B8006"/>
    <w:rsid w:val="7913535E"/>
    <w:rsid w:val="797C4E4E"/>
    <w:rsid w:val="79BBC85B"/>
    <w:rsid w:val="7A3CB894"/>
    <w:rsid w:val="7A773374"/>
    <w:rsid w:val="7ABE00C2"/>
    <w:rsid w:val="7AEE9297"/>
    <w:rsid w:val="7D44B8A1"/>
    <w:rsid w:val="7D4D975A"/>
    <w:rsid w:val="7DC047F4"/>
    <w:rsid w:val="7DC1C8E5"/>
    <w:rsid w:val="7DD17B42"/>
    <w:rsid w:val="7DE0FD7B"/>
    <w:rsid w:val="7E184F76"/>
    <w:rsid w:val="7EC2E42D"/>
    <w:rsid w:val="7EE3D116"/>
    <w:rsid w:val="7F74DF47"/>
    <w:rsid w:val="7F7824EB"/>
    <w:rsid w:val="7F8F929E"/>
    <w:rsid w:val="7FA3F2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3"/>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E64955"/>
    <w:rPr>
      <w:color w:val="605E5C"/>
      <w:shd w:val="clear" w:color="auto" w:fill="E1DFDD"/>
    </w:rPr>
  </w:style>
  <w:style w:type="paragraph" w:customStyle="1" w:styleId="paragraph">
    <w:name w:val="paragraph"/>
    <w:basedOn w:val="Normal"/>
    <w:rsid w:val="001644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64439"/>
  </w:style>
  <w:style w:type="character" w:customStyle="1" w:styleId="eop">
    <w:name w:val="eop"/>
    <w:basedOn w:val="DefaultParagraphFont"/>
    <w:rsid w:val="00164439"/>
  </w:style>
  <w:style w:type="character" w:styleId="FollowedHyperlink">
    <w:name w:val="FollowedHyperlink"/>
    <w:basedOn w:val="DefaultParagraphFont"/>
    <w:uiPriority w:val="99"/>
    <w:semiHidden/>
    <w:unhideWhenUsed/>
    <w:rsid w:val="002B1A2F"/>
    <w:rPr>
      <w:color w:val="96607D" w:themeColor="followedHyperlink"/>
      <w:u w:val="single"/>
    </w:rPr>
  </w:style>
  <w:style w:type="paragraph" w:styleId="FootnoteText">
    <w:name w:val="footnote text"/>
    <w:basedOn w:val="Normal"/>
    <w:link w:val="FootnoteTextChar"/>
    <w:uiPriority w:val="99"/>
    <w:unhideWhenUsed/>
    <w:qFormat/>
    <w:rsid w:val="002B1A2F"/>
    <w:pPr>
      <w:spacing w:after="0" w:line="240" w:lineRule="auto"/>
    </w:pPr>
    <w:rPr>
      <w:sz w:val="20"/>
      <w:szCs w:val="20"/>
    </w:rPr>
  </w:style>
  <w:style w:type="character" w:customStyle="1" w:styleId="FootnoteTextChar">
    <w:name w:val="Footnote Text Char"/>
    <w:basedOn w:val="DefaultParagraphFont"/>
    <w:link w:val="FootnoteText"/>
    <w:uiPriority w:val="99"/>
    <w:rsid w:val="002B1A2F"/>
    <w:rPr>
      <w:sz w:val="20"/>
      <w:szCs w:val="20"/>
    </w:rPr>
  </w:style>
  <w:style w:type="character" w:styleId="FootnoteReference">
    <w:name w:val="footnote reference"/>
    <w:basedOn w:val="DefaultParagraphFont"/>
    <w:uiPriority w:val="99"/>
    <w:semiHidden/>
    <w:unhideWhenUsed/>
    <w:rsid w:val="002B1A2F"/>
    <w:rPr>
      <w:vertAlign w:val="superscript"/>
    </w:rPr>
  </w:style>
  <w:style w:type="paragraph" w:customStyle="1" w:styleId="pf0">
    <w:name w:val="pf0"/>
    <w:basedOn w:val="Normal"/>
    <w:rsid w:val="00874D33"/>
    <w:pPr>
      <w:spacing w:before="100" w:beforeAutospacing="1" w:after="100" w:afterAutospacing="1" w:line="240" w:lineRule="auto"/>
      <w:ind w:left="300"/>
    </w:pPr>
    <w:rPr>
      <w:rFonts w:ascii="Times New Roman" w:eastAsia="Times New Roman" w:hAnsi="Times New Roman" w:cs="Times New Roman"/>
      <w:kern w:val="0"/>
      <w14:ligatures w14:val="none"/>
    </w:rPr>
  </w:style>
  <w:style w:type="character" w:customStyle="1" w:styleId="cf01">
    <w:name w:val="cf01"/>
    <w:basedOn w:val="DefaultParagraphFont"/>
    <w:rsid w:val="00874D33"/>
    <w:rPr>
      <w:rFonts w:ascii="Segoe UI" w:hAnsi="Segoe UI" w:cs="Segoe UI" w:hint="default"/>
      <w:sz w:val="18"/>
      <w:szCs w:val="18"/>
    </w:rPr>
  </w:style>
  <w:style w:type="paragraph" w:customStyle="1" w:styleId="Default">
    <w:name w:val="Default"/>
    <w:rsid w:val="00F2439C"/>
    <w:pPr>
      <w:autoSpaceDE w:val="0"/>
      <w:autoSpaceDN w:val="0"/>
      <w:adjustRightInd w:val="0"/>
      <w:spacing w:after="0" w:line="240" w:lineRule="auto"/>
    </w:pPr>
    <w:rPr>
      <w:rFonts w:ascii="Palatino Linotype" w:hAnsi="Palatino Linotype" w:cs="Palatino Linotype"/>
      <w:color w:val="000000"/>
      <w:kern w:val="0"/>
    </w:rPr>
  </w:style>
  <w:style w:type="table" w:styleId="TableGrid">
    <w:name w:val="Table Grid"/>
    <w:basedOn w:val="TableNormal"/>
    <w:uiPriority w:val="59"/>
    <w:rsid w:val="005E4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0049"/>
    <w:pPr>
      <w:spacing w:after="0" w:line="240" w:lineRule="auto"/>
    </w:pPr>
  </w:style>
  <w:style w:type="paragraph" w:styleId="EndnoteText">
    <w:name w:val="endnote text"/>
    <w:basedOn w:val="Normal"/>
    <w:uiPriority w:val="99"/>
    <w:semiHidden/>
    <w:unhideWhenUsed/>
    <w:rsid w:val="35F2EE98"/>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39"/>
    <w:rsid w:val="00930C35"/>
    <w:pPr>
      <w:spacing w:after="0" w:line="240" w:lineRule="auto"/>
    </w:pPr>
    <w:rPr>
      <w:rFonts w:ascii="Century Gothic" w:hAnsi="Century Gothic" w:cs="Segoe UI"/>
      <w:bCs/>
      <w:kern w:val="0"/>
      <w14:ligatures w14:val="none"/>
    </w:rPr>
    <w:tblPr/>
  </w:style>
  <w:style w:type="paragraph" w:customStyle="1" w:styleId="default0">
    <w:name w:val="default"/>
    <w:basedOn w:val="Normal"/>
    <w:uiPriority w:val="99"/>
    <w:rsid w:val="00930C35"/>
    <w:pPr>
      <w:spacing w:after="0" w:line="240" w:lineRule="auto"/>
    </w:pPr>
    <w:rPr>
      <w:rFonts w:ascii="Times New Roman" w:eastAsia="Calibri" w:hAnsi="Times New Roman" w:cs="Times New Roman"/>
      <w:kern w:val="0"/>
      <w14:ligatures w14:val="none"/>
    </w:rPr>
  </w:style>
  <w:style w:type="paragraph" w:customStyle="1" w:styleId="Captions">
    <w:name w:val="Captions"/>
    <w:basedOn w:val="Normal"/>
    <w:rsid w:val="002F78F4"/>
    <w:pPr>
      <w:tabs>
        <w:tab w:val="left" w:pos="360"/>
      </w:tabs>
      <w:suppressAutoHyphens/>
      <w:spacing w:before="80" w:line="240" w:lineRule="auto"/>
    </w:pPr>
    <w:rPr>
      <w:rFonts w:ascii="Arial" w:eastAsia="SimSun" w:hAnsi="Arial" w:cs="Times New Roman"/>
      <w:kern w:val="0"/>
      <w:sz w:val="20"/>
      <w14:ligatures w14:val="none"/>
    </w:rPr>
  </w:style>
  <w:style w:type="character" w:styleId="Mention">
    <w:name w:val="Mention"/>
    <w:basedOn w:val="DefaultParagraphFont"/>
    <w:uiPriority w:val="99"/>
    <w:unhideWhenUsed/>
    <w:rsid w:val="002F78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01654025">
      <w:bodyDiv w:val="1"/>
      <w:marLeft w:val="0"/>
      <w:marRight w:val="0"/>
      <w:marTop w:val="0"/>
      <w:marBottom w:val="0"/>
      <w:divBdr>
        <w:top w:val="none" w:sz="0" w:space="0" w:color="auto"/>
        <w:left w:val="none" w:sz="0" w:space="0" w:color="auto"/>
        <w:bottom w:val="none" w:sz="0" w:space="0" w:color="auto"/>
        <w:right w:val="none" w:sz="0" w:space="0" w:color="auto"/>
      </w:divBdr>
    </w:div>
    <w:div w:id="167794919">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430125365">
      <w:bodyDiv w:val="1"/>
      <w:marLeft w:val="0"/>
      <w:marRight w:val="0"/>
      <w:marTop w:val="0"/>
      <w:marBottom w:val="0"/>
      <w:divBdr>
        <w:top w:val="none" w:sz="0" w:space="0" w:color="auto"/>
        <w:left w:val="none" w:sz="0" w:space="0" w:color="auto"/>
        <w:bottom w:val="none" w:sz="0" w:space="0" w:color="auto"/>
        <w:right w:val="none" w:sz="0" w:space="0" w:color="auto"/>
      </w:divBdr>
    </w:div>
    <w:div w:id="457115298">
      <w:bodyDiv w:val="1"/>
      <w:marLeft w:val="0"/>
      <w:marRight w:val="0"/>
      <w:marTop w:val="0"/>
      <w:marBottom w:val="0"/>
      <w:divBdr>
        <w:top w:val="none" w:sz="0" w:space="0" w:color="auto"/>
        <w:left w:val="none" w:sz="0" w:space="0" w:color="auto"/>
        <w:bottom w:val="none" w:sz="0" w:space="0" w:color="auto"/>
        <w:right w:val="none" w:sz="0" w:space="0" w:color="auto"/>
      </w:divBdr>
      <w:divsChild>
        <w:div w:id="421417730">
          <w:marLeft w:val="0"/>
          <w:marRight w:val="0"/>
          <w:marTop w:val="0"/>
          <w:marBottom w:val="0"/>
          <w:divBdr>
            <w:top w:val="none" w:sz="0" w:space="0" w:color="auto"/>
            <w:left w:val="none" w:sz="0" w:space="0" w:color="auto"/>
            <w:bottom w:val="none" w:sz="0" w:space="0" w:color="auto"/>
            <w:right w:val="none" w:sz="0" w:space="0" w:color="auto"/>
          </w:divBdr>
        </w:div>
        <w:div w:id="1397899990">
          <w:marLeft w:val="0"/>
          <w:marRight w:val="0"/>
          <w:marTop w:val="0"/>
          <w:marBottom w:val="0"/>
          <w:divBdr>
            <w:top w:val="none" w:sz="0" w:space="0" w:color="auto"/>
            <w:left w:val="none" w:sz="0" w:space="0" w:color="auto"/>
            <w:bottom w:val="none" w:sz="0" w:space="0" w:color="auto"/>
            <w:right w:val="none" w:sz="0" w:space="0" w:color="auto"/>
          </w:divBdr>
          <w:divsChild>
            <w:div w:id="1656763825">
              <w:marLeft w:val="-75"/>
              <w:marRight w:val="0"/>
              <w:marTop w:val="30"/>
              <w:marBottom w:val="30"/>
              <w:divBdr>
                <w:top w:val="none" w:sz="0" w:space="0" w:color="auto"/>
                <w:left w:val="none" w:sz="0" w:space="0" w:color="auto"/>
                <w:bottom w:val="none" w:sz="0" w:space="0" w:color="auto"/>
                <w:right w:val="none" w:sz="0" w:space="0" w:color="auto"/>
              </w:divBdr>
              <w:divsChild>
                <w:div w:id="47384392">
                  <w:marLeft w:val="0"/>
                  <w:marRight w:val="0"/>
                  <w:marTop w:val="0"/>
                  <w:marBottom w:val="0"/>
                  <w:divBdr>
                    <w:top w:val="none" w:sz="0" w:space="0" w:color="auto"/>
                    <w:left w:val="none" w:sz="0" w:space="0" w:color="auto"/>
                    <w:bottom w:val="none" w:sz="0" w:space="0" w:color="auto"/>
                    <w:right w:val="none" w:sz="0" w:space="0" w:color="auto"/>
                  </w:divBdr>
                  <w:divsChild>
                    <w:div w:id="997002051">
                      <w:marLeft w:val="0"/>
                      <w:marRight w:val="0"/>
                      <w:marTop w:val="0"/>
                      <w:marBottom w:val="0"/>
                      <w:divBdr>
                        <w:top w:val="none" w:sz="0" w:space="0" w:color="auto"/>
                        <w:left w:val="none" w:sz="0" w:space="0" w:color="auto"/>
                        <w:bottom w:val="none" w:sz="0" w:space="0" w:color="auto"/>
                        <w:right w:val="none" w:sz="0" w:space="0" w:color="auto"/>
                      </w:divBdr>
                    </w:div>
                  </w:divsChild>
                </w:div>
                <w:div w:id="83110959">
                  <w:marLeft w:val="0"/>
                  <w:marRight w:val="0"/>
                  <w:marTop w:val="0"/>
                  <w:marBottom w:val="0"/>
                  <w:divBdr>
                    <w:top w:val="none" w:sz="0" w:space="0" w:color="auto"/>
                    <w:left w:val="none" w:sz="0" w:space="0" w:color="auto"/>
                    <w:bottom w:val="none" w:sz="0" w:space="0" w:color="auto"/>
                    <w:right w:val="none" w:sz="0" w:space="0" w:color="auto"/>
                  </w:divBdr>
                  <w:divsChild>
                    <w:div w:id="1879319458">
                      <w:marLeft w:val="0"/>
                      <w:marRight w:val="0"/>
                      <w:marTop w:val="0"/>
                      <w:marBottom w:val="0"/>
                      <w:divBdr>
                        <w:top w:val="none" w:sz="0" w:space="0" w:color="auto"/>
                        <w:left w:val="none" w:sz="0" w:space="0" w:color="auto"/>
                        <w:bottom w:val="none" w:sz="0" w:space="0" w:color="auto"/>
                        <w:right w:val="none" w:sz="0" w:space="0" w:color="auto"/>
                      </w:divBdr>
                    </w:div>
                  </w:divsChild>
                </w:div>
                <w:div w:id="166216924">
                  <w:marLeft w:val="0"/>
                  <w:marRight w:val="0"/>
                  <w:marTop w:val="0"/>
                  <w:marBottom w:val="0"/>
                  <w:divBdr>
                    <w:top w:val="none" w:sz="0" w:space="0" w:color="auto"/>
                    <w:left w:val="none" w:sz="0" w:space="0" w:color="auto"/>
                    <w:bottom w:val="none" w:sz="0" w:space="0" w:color="auto"/>
                    <w:right w:val="none" w:sz="0" w:space="0" w:color="auto"/>
                  </w:divBdr>
                  <w:divsChild>
                    <w:div w:id="706950268">
                      <w:marLeft w:val="0"/>
                      <w:marRight w:val="0"/>
                      <w:marTop w:val="0"/>
                      <w:marBottom w:val="0"/>
                      <w:divBdr>
                        <w:top w:val="none" w:sz="0" w:space="0" w:color="auto"/>
                        <w:left w:val="none" w:sz="0" w:space="0" w:color="auto"/>
                        <w:bottom w:val="none" w:sz="0" w:space="0" w:color="auto"/>
                        <w:right w:val="none" w:sz="0" w:space="0" w:color="auto"/>
                      </w:divBdr>
                    </w:div>
                  </w:divsChild>
                </w:div>
                <w:div w:id="174808083">
                  <w:marLeft w:val="0"/>
                  <w:marRight w:val="0"/>
                  <w:marTop w:val="0"/>
                  <w:marBottom w:val="0"/>
                  <w:divBdr>
                    <w:top w:val="none" w:sz="0" w:space="0" w:color="auto"/>
                    <w:left w:val="none" w:sz="0" w:space="0" w:color="auto"/>
                    <w:bottom w:val="none" w:sz="0" w:space="0" w:color="auto"/>
                    <w:right w:val="none" w:sz="0" w:space="0" w:color="auto"/>
                  </w:divBdr>
                  <w:divsChild>
                    <w:div w:id="553659419">
                      <w:marLeft w:val="0"/>
                      <w:marRight w:val="0"/>
                      <w:marTop w:val="0"/>
                      <w:marBottom w:val="0"/>
                      <w:divBdr>
                        <w:top w:val="none" w:sz="0" w:space="0" w:color="auto"/>
                        <w:left w:val="none" w:sz="0" w:space="0" w:color="auto"/>
                        <w:bottom w:val="none" w:sz="0" w:space="0" w:color="auto"/>
                        <w:right w:val="none" w:sz="0" w:space="0" w:color="auto"/>
                      </w:divBdr>
                    </w:div>
                  </w:divsChild>
                </w:div>
                <w:div w:id="251742234">
                  <w:marLeft w:val="0"/>
                  <w:marRight w:val="0"/>
                  <w:marTop w:val="0"/>
                  <w:marBottom w:val="0"/>
                  <w:divBdr>
                    <w:top w:val="none" w:sz="0" w:space="0" w:color="auto"/>
                    <w:left w:val="none" w:sz="0" w:space="0" w:color="auto"/>
                    <w:bottom w:val="none" w:sz="0" w:space="0" w:color="auto"/>
                    <w:right w:val="none" w:sz="0" w:space="0" w:color="auto"/>
                  </w:divBdr>
                  <w:divsChild>
                    <w:div w:id="1712026706">
                      <w:marLeft w:val="0"/>
                      <w:marRight w:val="0"/>
                      <w:marTop w:val="0"/>
                      <w:marBottom w:val="0"/>
                      <w:divBdr>
                        <w:top w:val="none" w:sz="0" w:space="0" w:color="auto"/>
                        <w:left w:val="none" w:sz="0" w:space="0" w:color="auto"/>
                        <w:bottom w:val="none" w:sz="0" w:space="0" w:color="auto"/>
                        <w:right w:val="none" w:sz="0" w:space="0" w:color="auto"/>
                      </w:divBdr>
                    </w:div>
                  </w:divsChild>
                </w:div>
                <w:div w:id="323628361">
                  <w:marLeft w:val="0"/>
                  <w:marRight w:val="0"/>
                  <w:marTop w:val="0"/>
                  <w:marBottom w:val="0"/>
                  <w:divBdr>
                    <w:top w:val="none" w:sz="0" w:space="0" w:color="auto"/>
                    <w:left w:val="none" w:sz="0" w:space="0" w:color="auto"/>
                    <w:bottom w:val="none" w:sz="0" w:space="0" w:color="auto"/>
                    <w:right w:val="none" w:sz="0" w:space="0" w:color="auto"/>
                  </w:divBdr>
                  <w:divsChild>
                    <w:div w:id="816149663">
                      <w:marLeft w:val="0"/>
                      <w:marRight w:val="0"/>
                      <w:marTop w:val="0"/>
                      <w:marBottom w:val="0"/>
                      <w:divBdr>
                        <w:top w:val="none" w:sz="0" w:space="0" w:color="auto"/>
                        <w:left w:val="none" w:sz="0" w:space="0" w:color="auto"/>
                        <w:bottom w:val="none" w:sz="0" w:space="0" w:color="auto"/>
                        <w:right w:val="none" w:sz="0" w:space="0" w:color="auto"/>
                      </w:divBdr>
                    </w:div>
                  </w:divsChild>
                </w:div>
                <w:div w:id="346256625">
                  <w:marLeft w:val="0"/>
                  <w:marRight w:val="0"/>
                  <w:marTop w:val="0"/>
                  <w:marBottom w:val="0"/>
                  <w:divBdr>
                    <w:top w:val="none" w:sz="0" w:space="0" w:color="auto"/>
                    <w:left w:val="none" w:sz="0" w:space="0" w:color="auto"/>
                    <w:bottom w:val="none" w:sz="0" w:space="0" w:color="auto"/>
                    <w:right w:val="none" w:sz="0" w:space="0" w:color="auto"/>
                  </w:divBdr>
                  <w:divsChild>
                    <w:div w:id="1712342238">
                      <w:marLeft w:val="0"/>
                      <w:marRight w:val="0"/>
                      <w:marTop w:val="0"/>
                      <w:marBottom w:val="0"/>
                      <w:divBdr>
                        <w:top w:val="none" w:sz="0" w:space="0" w:color="auto"/>
                        <w:left w:val="none" w:sz="0" w:space="0" w:color="auto"/>
                        <w:bottom w:val="none" w:sz="0" w:space="0" w:color="auto"/>
                        <w:right w:val="none" w:sz="0" w:space="0" w:color="auto"/>
                      </w:divBdr>
                    </w:div>
                  </w:divsChild>
                </w:div>
                <w:div w:id="361562291">
                  <w:marLeft w:val="0"/>
                  <w:marRight w:val="0"/>
                  <w:marTop w:val="0"/>
                  <w:marBottom w:val="0"/>
                  <w:divBdr>
                    <w:top w:val="none" w:sz="0" w:space="0" w:color="auto"/>
                    <w:left w:val="none" w:sz="0" w:space="0" w:color="auto"/>
                    <w:bottom w:val="none" w:sz="0" w:space="0" w:color="auto"/>
                    <w:right w:val="none" w:sz="0" w:space="0" w:color="auto"/>
                  </w:divBdr>
                  <w:divsChild>
                    <w:div w:id="977882164">
                      <w:marLeft w:val="0"/>
                      <w:marRight w:val="0"/>
                      <w:marTop w:val="0"/>
                      <w:marBottom w:val="0"/>
                      <w:divBdr>
                        <w:top w:val="none" w:sz="0" w:space="0" w:color="auto"/>
                        <w:left w:val="none" w:sz="0" w:space="0" w:color="auto"/>
                        <w:bottom w:val="none" w:sz="0" w:space="0" w:color="auto"/>
                        <w:right w:val="none" w:sz="0" w:space="0" w:color="auto"/>
                      </w:divBdr>
                    </w:div>
                  </w:divsChild>
                </w:div>
                <w:div w:id="599337945">
                  <w:marLeft w:val="0"/>
                  <w:marRight w:val="0"/>
                  <w:marTop w:val="0"/>
                  <w:marBottom w:val="0"/>
                  <w:divBdr>
                    <w:top w:val="none" w:sz="0" w:space="0" w:color="auto"/>
                    <w:left w:val="none" w:sz="0" w:space="0" w:color="auto"/>
                    <w:bottom w:val="none" w:sz="0" w:space="0" w:color="auto"/>
                    <w:right w:val="none" w:sz="0" w:space="0" w:color="auto"/>
                  </w:divBdr>
                  <w:divsChild>
                    <w:div w:id="1019162034">
                      <w:marLeft w:val="0"/>
                      <w:marRight w:val="0"/>
                      <w:marTop w:val="0"/>
                      <w:marBottom w:val="0"/>
                      <w:divBdr>
                        <w:top w:val="none" w:sz="0" w:space="0" w:color="auto"/>
                        <w:left w:val="none" w:sz="0" w:space="0" w:color="auto"/>
                        <w:bottom w:val="none" w:sz="0" w:space="0" w:color="auto"/>
                        <w:right w:val="none" w:sz="0" w:space="0" w:color="auto"/>
                      </w:divBdr>
                    </w:div>
                  </w:divsChild>
                </w:div>
                <w:div w:id="605037702">
                  <w:marLeft w:val="0"/>
                  <w:marRight w:val="0"/>
                  <w:marTop w:val="0"/>
                  <w:marBottom w:val="0"/>
                  <w:divBdr>
                    <w:top w:val="none" w:sz="0" w:space="0" w:color="auto"/>
                    <w:left w:val="none" w:sz="0" w:space="0" w:color="auto"/>
                    <w:bottom w:val="none" w:sz="0" w:space="0" w:color="auto"/>
                    <w:right w:val="none" w:sz="0" w:space="0" w:color="auto"/>
                  </w:divBdr>
                  <w:divsChild>
                    <w:div w:id="799883660">
                      <w:marLeft w:val="0"/>
                      <w:marRight w:val="0"/>
                      <w:marTop w:val="0"/>
                      <w:marBottom w:val="0"/>
                      <w:divBdr>
                        <w:top w:val="none" w:sz="0" w:space="0" w:color="auto"/>
                        <w:left w:val="none" w:sz="0" w:space="0" w:color="auto"/>
                        <w:bottom w:val="none" w:sz="0" w:space="0" w:color="auto"/>
                        <w:right w:val="none" w:sz="0" w:space="0" w:color="auto"/>
                      </w:divBdr>
                    </w:div>
                  </w:divsChild>
                </w:div>
                <w:div w:id="657928162">
                  <w:marLeft w:val="0"/>
                  <w:marRight w:val="0"/>
                  <w:marTop w:val="0"/>
                  <w:marBottom w:val="0"/>
                  <w:divBdr>
                    <w:top w:val="none" w:sz="0" w:space="0" w:color="auto"/>
                    <w:left w:val="none" w:sz="0" w:space="0" w:color="auto"/>
                    <w:bottom w:val="none" w:sz="0" w:space="0" w:color="auto"/>
                    <w:right w:val="none" w:sz="0" w:space="0" w:color="auto"/>
                  </w:divBdr>
                  <w:divsChild>
                    <w:div w:id="1193500716">
                      <w:marLeft w:val="0"/>
                      <w:marRight w:val="0"/>
                      <w:marTop w:val="0"/>
                      <w:marBottom w:val="0"/>
                      <w:divBdr>
                        <w:top w:val="none" w:sz="0" w:space="0" w:color="auto"/>
                        <w:left w:val="none" w:sz="0" w:space="0" w:color="auto"/>
                        <w:bottom w:val="none" w:sz="0" w:space="0" w:color="auto"/>
                        <w:right w:val="none" w:sz="0" w:space="0" w:color="auto"/>
                      </w:divBdr>
                    </w:div>
                  </w:divsChild>
                </w:div>
                <w:div w:id="706222102">
                  <w:marLeft w:val="0"/>
                  <w:marRight w:val="0"/>
                  <w:marTop w:val="0"/>
                  <w:marBottom w:val="0"/>
                  <w:divBdr>
                    <w:top w:val="none" w:sz="0" w:space="0" w:color="auto"/>
                    <w:left w:val="none" w:sz="0" w:space="0" w:color="auto"/>
                    <w:bottom w:val="none" w:sz="0" w:space="0" w:color="auto"/>
                    <w:right w:val="none" w:sz="0" w:space="0" w:color="auto"/>
                  </w:divBdr>
                  <w:divsChild>
                    <w:div w:id="879629371">
                      <w:marLeft w:val="0"/>
                      <w:marRight w:val="0"/>
                      <w:marTop w:val="0"/>
                      <w:marBottom w:val="0"/>
                      <w:divBdr>
                        <w:top w:val="none" w:sz="0" w:space="0" w:color="auto"/>
                        <w:left w:val="none" w:sz="0" w:space="0" w:color="auto"/>
                        <w:bottom w:val="none" w:sz="0" w:space="0" w:color="auto"/>
                        <w:right w:val="none" w:sz="0" w:space="0" w:color="auto"/>
                      </w:divBdr>
                    </w:div>
                  </w:divsChild>
                </w:div>
                <w:div w:id="726145465">
                  <w:marLeft w:val="0"/>
                  <w:marRight w:val="0"/>
                  <w:marTop w:val="0"/>
                  <w:marBottom w:val="0"/>
                  <w:divBdr>
                    <w:top w:val="none" w:sz="0" w:space="0" w:color="auto"/>
                    <w:left w:val="none" w:sz="0" w:space="0" w:color="auto"/>
                    <w:bottom w:val="none" w:sz="0" w:space="0" w:color="auto"/>
                    <w:right w:val="none" w:sz="0" w:space="0" w:color="auto"/>
                  </w:divBdr>
                  <w:divsChild>
                    <w:div w:id="436290119">
                      <w:marLeft w:val="0"/>
                      <w:marRight w:val="0"/>
                      <w:marTop w:val="0"/>
                      <w:marBottom w:val="0"/>
                      <w:divBdr>
                        <w:top w:val="none" w:sz="0" w:space="0" w:color="auto"/>
                        <w:left w:val="none" w:sz="0" w:space="0" w:color="auto"/>
                        <w:bottom w:val="none" w:sz="0" w:space="0" w:color="auto"/>
                        <w:right w:val="none" w:sz="0" w:space="0" w:color="auto"/>
                      </w:divBdr>
                    </w:div>
                  </w:divsChild>
                </w:div>
                <w:div w:id="767848178">
                  <w:marLeft w:val="0"/>
                  <w:marRight w:val="0"/>
                  <w:marTop w:val="0"/>
                  <w:marBottom w:val="0"/>
                  <w:divBdr>
                    <w:top w:val="none" w:sz="0" w:space="0" w:color="auto"/>
                    <w:left w:val="none" w:sz="0" w:space="0" w:color="auto"/>
                    <w:bottom w:val="none" w:sz="0" w:space="0" w:color="auto"/>
                    <w:right w:val="none" w:sz="0" w:space="0" w:color="auto"/>
                  </w:divBdr>
                  <w:divsChild>
                    <w:div w:id="2124880492">
                      <w:marLeft w:val="0"/>
                      <w:marRight w:val="0"/>
                      <w:marTop w:val="0"/>
                      <w:marBottom w:val="0"/>
                      <w:divBdr>
                        <w:top w:val="none" w:sz="0" w:space="0" w:color="auto"/>
                        <w:left w:val="none" w:sz="0" w:space="0" w:color="auto"/>
                        <w:bottom w:val="none" w:sz="0" w:space="0" w:color="auto"/>
                        <w:right w:val="none" w:sz="0" w:space="0" w:color="auto"/>
                      </w:divBdr>
                    </w:div>
                  </w:divsChild>
                </w:div>
                <w:div w:id="781649270">
                  <w:marLeft w:val="0"/>
                  <w:marRight w:val="0"/>
                  <w:marTop w:val="0"/>
                  <w:marBottom w:val="0"/>
                  <w:divBdr>
                    <w:top w:val="none" w:sz="0" w:space="0" w:color="auto"/>
                    <w:left w:val="none" w:sz="0" w:space="0" w:color="auto"/>
                    <w:bottom w:val="none" w:sz="0" w:space="0" w:color="auto"/>
                    <w:right w:val="none" w:sz="0" w:space="0" w:color="auto"/>
                  </w:divBdr>
                  <w:divsChild>
                    <w:div w:id="1876042389">
                      <w:marLeft w:val="0"/>
                      <w:marRight w:val="0"/>
                      <w:marTop w:val="0"/>
                      <w:marBottom w:val="0"/>
                      <w:divBdr>
                        <w:top w:val="none" w:sz="0" w:space="0" w:color="auto"/>
                        <w:left w:val="none" w:sz="0" w:space="0" w:color="auto"/>
                        <w:bottom w:val="none" w:sz="0" w:space="0" w:color="auto"/>
                        <w:right w:val="none" w:sz="0" w:space="0" w:color="auto"/>
                      </w:divBdr>
                    </w:div>
                  </w:divsChild>
                </w:div>
                <w:div w:id="800029774">
                  <w:marLeft w:val="0"/>
                  <w:marRight w:val="0"/>
                  <w:marTop w:val="0"/>
                  <w:marBottom w:val="0"/>
                  <w:divBdr>
                    <w:top w:val="none" w:sz="0" w:space="0" w:color="auto"/>
                    <w:left w:val="none" w:sz="0" w:space="0" w:color="auto"/>
                    <w:bottom w:val="none" w:sz="0" w:space="0" w:color="auto"/>
                    <w:right w:val="none" w:sz="0" w:space="0" w:color="auto"/>
                  </w:divBdr>
                  <w:divsChild>
                    <w:div w:id="1425804130">
                      <w:marLeft w:val="0"/>
                      <w:marRight w:val="0"/>
                      <w:marTop w:val="0"/>
                      <w:marBottom w:val="0"/>
                      <w:divBdr>
                        <w:top w:val="none" w:sz="0" w:space="0" w:color="auto"/>
                        <w:left w:val="none" w:sz="0" w:space="0" w:color="auto"/>
                        <w:bottom w:val="none" w:sz="0" w:space="0" w:color="auto"/>
                        <w:right w:val="none" w:sz="0" w:space="0" w:color="auto"/>
                      </w:divBdr>
                    </w:div>
                  </w:divsChild>
                </w:div>
                <w:div w:id="905914814">
                  <w:marLeft w:val="0"/>
                  <w:marRight w:val="0"/>
                  <w:marTop w:val="0"/>
                  <w:marBottom w:val="0"/>
                  <w:divBdr>
                    <w:top w:val="none" w:sz="0" w:space="0" w:color="auto"/>
                    <w:left w:val="none" w:sz="0" w:space="0" w:color="auto"/>
                    <w:bottom w:val="none" w:sz="0" w:space="0" w:color="auto"/>
                    <w:right w:val="none" w:sz="0" w:space="0" w:color="auto"/>
                  </w:divBdr>
                  <w:divsChild>
                    <w:div w:id="1473209482">
                      <w:marLeft w:val="0"/>
                      <w:marRight w:val="0"/>
                      <w:marTop w:val="0"/>
                      <w:marBottom w:val="0"/>
                      <w:divBdr>
                        <w:top w:val="none" w:sz="0" w:space="0" w:color="auto"/>
                        <w:left w:val="none" w:sz="0" w:space="0" w:color="auto"/>
                        <w:bottom w:val="none" w:sz="0" w:space="0" w:color="auto"/>
                        <w:right w:val="none" w:sz="0" w:space="0" w:color="auto"/>
                      </w:divBdr>
                    </w:div>
                  </w:divsChild>
                </w:div>
                <w:div w:id="933055305">
                  <w:marLeft w:val="0"/>
                  <w:marRight w:val="0"/>
                  <w:marTop w:val="0"/>
                  <w:marBottom w:val="0"/>
                  <w:divBdr>
                    <w:top w:val="none" w:sz="0" w:space="0" w:color="auto"/>
                    <w:left w:val="none" w:sz="0" w:space="0" w:color="auto"/>
                    <w:bottom w:val="none" w:sz="0" w:space="0" w:color="auto"/>
                    <w:right w:val="none" w:sz="0" w:space="0" w:color="auto"/>
                  </w:divBdr>
                  <w:divsChild>
                    <w:div w:id="1355688517">
                      <w:marLeft w:val="0"/>
                      <w:marRight w:val="0"/>
                      <w:marTop w:val="0"/>
                      <w:marBottom w:val="0"/>
                      <w:divBdr>
                        <w:top w:val="none" w:sz="0" w:space="0" w:color="auto"/>
                        <w:left w:val="none" w:sz="0" w:space="0" w:color="auto"/>
                        <w:bottom w:val="none" w:sz="0" w:space="0" w:color="auto"/>
                        <w:right w:val="none" w:sz="0" w:space="0" w:color="auto"/>
                      </w:divBdr>
                    </w:div>
                  </w:divsChild>
                </w:div>
                <w:div w:id="957104148">
                  <w:marLeft w:val="0"/>
                  <w:marRight w:val="0"/>
                  <w:marTop w:val="0"/>
                  <w:marBottom w:val="0"/>
                  <w:divBdr>
                    <w:top w:val="none" w:sz="0" w:space="0" w:color="auto"/>
                    <w:left w:val="none" w:sz="0" w:space="0" w:color="auto"/>
                    <w:bottom w:val="none" w:sz="0" w:space="0" w:color="auto"/>
                    <w:right w:val="none" w:sz="0" w:space="0" w:color="auto"/>
                  </w:divBdr>
                  <w:divsChild>
                    <w:div w:id="1543711592">
                      <w:marLeft w:val="0"/>
                      <w:marRight w:val="0"/>
                      <w:marTop w:val="0"/>
                      <w:marBottom w:val="0"/>
                      <w:divBdr>
                        <w:top w:val="none" w:sz="0" w:space="0" w:color="auto"/>
                        <w:left w:val="none" w:sz="0" w:space="0" w:color="auto"/>
                        <w:bottom w:val="none" w:sz="0" w:space="0" w:color="auto"/>
                        <w:right w:val="none" w:sz="0" w:space="0" w:color="auto"/>
                      </w:divBdr>
                    </w:div>
                  </w:divsChild>
                </w:div>
                <w:div w:id="967853672">
                  <w:marLeft w:val="0"/>
                  <w:marRight w:val="0"/>
                  <w:marTop w:val="0"/>
                  <w:marBottom w:val="0"/>
                  <w:divBdr>
                    <w:top w:val="none" w:sz="0" w:space="0" w:color="auto"/>
                    <w:left w:val="none" w:sz="0" w:space="0" w:color="auto"/>
                    <w:bottom w:val="none" w:sz="0" w:space="0" w:color="auto"/>
                    <w:right w:val="none" w:sz="0" w:space="0" w:color="auto"/>
                  </w:divBdr>
                  <w:divsChild>
                    <w:div w:id="1700423819">
                      <w:marLeft w:val="0"/>
                      <w:marRight w:val="0"/>
                      <w:marTop w:val="0"/>
                      <w:marBottom w:val="0"/>
                      <w:divBdr>
                        <w:top w:val="none" w:sz="0" w:space="0" w:color="auto"/>
                        <w:left w:val="none" w:sz="0" w:space="0" w:color="auto"/>
                        <w:bottom w:val="none" w:sz="0" w:space="0" w:color="auto"/>
                        <w:right w:val="none" w:sz="0" w:space="0" w:color="auto"/>
                      </w:divBdr>
                    </w:div>
                  </w:divsChild>
                </w:div>
                <w:div w:id="1022825737">
                  <w:marLeft w:val="0"/>
                  <w:marRight w:val="0"/>
                  <w:marTop w:val="0"/>
                  <w:marBottom w:val="0"/>
                  <w:divBdr>
                    <w:top w:val="none" w:sz="0" w:space="0" w:color="auto"/>
                    <w:left w:val="none" w:sz="0" w:space="0" w:color="auto"/>
                    <w:bottom w:val="none" w:sz="0" w:space="0" w:color="auto"/>
                    <w:right w:val="none" w:sz="0" w:space="0" w:color="auto"/>
                  </w:divBdr>
                  <w:divsChild>
                    <w:div w:id="447315031">
                      <w:marLeft w:val="0"/>
                      <w:marRight w:val="0"/>
                      <w:marTop w:val="0"/>
                      <w:marBottom w:val="0"/>
                      <w:divBdr>
                        <w:top w:val="none" w:sz="0" w:space="0" w:color="auto"/>
                        <w:left w:val="none" w:sz="0" w:space="0" w:color="auto"/>
                        <w:bottom w:val="none" w:sz="0" w:space="0" w:color="auto"/>
                        <w:right w:val="none" w:sz="0" w:space="0" w:color="auto"/>
                      </w:divBdr>
                    </w:div>
                  </w:divsChild>
                </w:div>
                <w:div w:id="1098329483">
                  <w:marLeft w:val="0"/>
                  <w:marRight w:val="0"/>
                  <w:marTop w:val="0"/>
                  <w:marBottom w:val="0"/>
                  <w:divBdr>
                    <w:top w:val="none" w:sz="0" w:space="0" w:color="auto"/>
                    <w:left w:val="none" w:sz="0" w:space="0" w:color="auto"/>
                    <w:bottom w:val="none" w:sz="0" w:space="0" w:color="auto"/>
                    <w:right w:val="none" w:sz="0" w:space="0" w:color="auto"/>
                  </w:divBdr>
                  <w:divsChild>
                    <w:div w:id="611474016">
                      <w:marLeft w:val="0"/>
                      <w:marRight w:val="0"/>
                      <w:marTop w:val="0"/>
                      <w:marBottom w:val="0"/>
                      <w:divBdr>
                        <w:top w:val="none" w:sz="0" w:space="0" w:color="auto"/>
                        <w:left w:val="none" w:sz="0" w:space="0" w:color="auto"/>
                        <w:bottom w:val="none" w:sz="0" w:space="0" w:color="auto"/>
                        <w:right w:val="none" w:sz="0" w:space="0" w:color="auto"/>
                      </w:divBdr>
                    </w:div>
                  </w:divsChild>
                </w:div>
                <w:div w:id="1111361943">
                  <w:marLeft w:val="0"/>
                  <w:marRight w:val="0"/>
                  <w:marTop w:val="0"/>
                  <w:marBottom w:val="0"/>
                  <w:divBdr>
                    <w:top w:val="none" w:sz="0" w:space="0" w:color="auto"/>
                    <w:left w:val="none" w:sz="0" w:space="0" w:color="auto"/>
                    <w:bottom w:val="none" w:sz="0" w:space="0" w:color="auto"/>
                    <w:right w:val="none" w:sz="0" w:space="0" w:color="auto"/>
                  </w:divBdr>
                  <w:divsChild>
                    <w:div w:id="100877365">
                      <w:marLeft w:val="0"/>
                      <w:marRight w:val="0"/>
                      <w:marTop w:val="0"/>
                      <w:marBottom w:val="0"/>
                      <w:divBdr>
                        <w:top w:val="none" w:sz="0" w:space="0" w:color="auto"/>
                        <w:left w:val="none" w:sz="0" w:space="0" w:color="auto"/>
                        <w:bottom w:val="none" w:sz="0" w:space="0" w:color="auto"/>
                        <w:right w:val="none" w:sz="0" w:space="0" w:color="auto"/>
                      </w:divBdr>
                    </w:div>
                  </w:divsChild>
                </w:div>
                <w:div w:id="1159999668">
                  <w:marLeft w:val="0"/>
                  <w:marRight w:val="0"/>
                  <w:marTop w:val="0"/>
                  <w:marBottom w:val="0"/>
                  <w:divBdr>
                    <w:top w:val="none" w:sz="0" w:space="0" w:color="auto"/>
                    <w:left w:val="none" w:sz="0" w:space="0" w:color="auto"/>
                    <w:bottom w:val="none" w:sz="0" w:space="0" w:color="auto"/>
                    <w:right w:val="none" w:sz="0" w:space="0" w:color="auto"/>
                  </w:divBdr>
                  <w:divsChild>
                    <w:div w:id="454520581">
                      <w:marLeft w:val="0"/>
                      <w:marRight w:val="0"/>
                      <w:marTop w:val="0"/>
                      <w:marBottom w:val="0"/>
                      <w:divBdr>
                        <w:top w:val="none" w:sz="0" w:space="0" w:color="auto"/>
                        <w:left w:val="none" w:sz="0" w:space="0" w:color="auto"/>
                        <w:bottom w:val="none" w:sz="0" w:space="0" w:color="auto"/>
                        <w:right w:val="none" w:sz="0" w:space="0" w:color="auto"/>
                      </w:divBdr>
                    </w:div>
                  </w:divsChild>
                </w:div>
                <w:div w:id="1176770404">
                  <w:marLeft w:val="0"/>
                  <w:marRight w:val="0"/>
                  <w:marTop w:val="0"/>
                  <w:marBottom w:val="0"/>
                  <w:divBdr>
                    <w:top w:val="none" w:sz="0" w:space="0" w:color="auto"/>
                    <w:left w:val="none" w:sz="0" w:space="0" w:color="auto"/>
                    <w:bottom w:val="none" w:sz="0" w:space="0" w:color="auto"/>
                    <w:right w:val="none" w:sz="0" w:space="0" w:color="auto"/>
                  </w:divBdr>
                  <w:divsChild>
                    <w:div w:id="1581863693">
                      <w:marLeft w:val="0"/>
                      <w:marRight w:val="0"/>
                      <w:marTop w:val="0"/>
                      <w:marBottom w:val="0"/>
                      <w:divBdr>
                        <w:top w:val="none" w:sz="0" w:space="0" w:color="auto"/>
                        <w:left w:val="none" w:sz="0" w:space="0" w:color="auto"/>
                        <w:bottom w:val="none" w:sz="0" w:space="0" w:color="auto"/>
                        <w:right w:val="none" w:sz="0" w:space="0" w:color="auto"/>
                      </w:divBdr>
                    </w:div>
                  </w:divsChild>
                </w:div>
                <w:div w:id="1347485711">
                  <w:marLeft w:val="0"/>
                  <w:marRight w:val="0"/>
                  <w:marTop w:val="0"/>
                  <w:marBottom w:val="0"/>
                  <w:divBdr>
                    <w:top w:val="none" w:sz="0" w:space="0" w:color="auto"/>
                    <w:left w:val="none" w:sz="0" w:space="0" w:color="auto"/>
                    <w:bottom w:val="none" w:sz="0" w:space="0" w:color="auto"/>
                    <w:right w:val="none" w:sz="0" w:space="0" w:color="auto"/>
                  </w:divBdr>
                  <w:divsChild>
                    <w:div w:id="587234305">
                      <w:marLeft w:val="0"/>
                      <w:marRight w:val="0"/>
                      <w:marTop w:val="0"/>
                      <w:marBottom w:val="0"/>
                      <w:divBdr>
                        <w:top w:val="none" w:sz="0" w:space="0" w:color="auto"/>
                        <w:left w:val="none" w:sz="0" w:space="0" w:color="auto"/>
                        <w:bottom w:val="none" w:sz="0" w:space="0" w:color="auto"/>
                        <w:right w:val="none" w:sz="0" w:space="0" w:color="auto"/>
                      </w:divBdr>
                    </w:div>
                  </w:divsChild>
                </w:div>
                <w:div w:id="1400791845">
                  <w:marLeft w:val="0"/>
                  <w:marRight w:val="0"/>
                  <w:marTop w:val="0"/>
                  <w:marBottom w:val="0"/>
                  <w:divBdr>
                    <w:top w:val="none" w:sz="0" w:space="0" w:color="auto"/>
                    <w:left w:val="none" w:sz="0" w:space="0" w:color="auto"/>
                    <w:bottom w:val="none" w:sz="0" w:space="0" w:color="auto"/>
                    <w:right w:val="none" w:sz="0" w:space="0" w:color="auto"/>
                  </w:divBdr>
                  <w:divsChild>
                    <w:div w:id="1557157062">
                      <w:marLeft w:val="0"/>
                      <w:marRight w:val="0"/>
                      <w:marTop w:val="0"/>
                      <w:marBottom w:val="0"/>
                      <w:divBdr>
                        <w:top w:val="none" w:sz="0" w:space="0" w:color="auto"/>
                        <w:left w:val="none" w:sz="0" w:space="0" w:color="auto"/>
                        <w:bottom w:val="none" w:sz="0" w:space="0" w:color="auto"/>
                        <w:right w:val="none" w:sz="0" w:space="0" w:color="auto"/>
                      </w:divBdr>
                    </w:div>
                  </w:divsChild>
                </w:div>
                <w:div w:id="1432973254">
                  <w:marLeft w:val="0"/>
                  <w:marRight w:val="0"/>
                  <w:marTop w:val="0"/>
                  <w:marBottom w:val="0"/>
                  <w:divBdr>
                    <w:top w:val="none" w:sz="0" w:space="0" w:color="auto"/>
                    <w:left w:val="none" w:sz="0" w:space="0" w:color="auto"/>
                    <w:bottom w:val="none" w:sz="0" w:space="0" w:color="auto"/>
                    <w:right w:val="none" w:sz="0" w:space="0" w:color="auto"/>
                  </w:divBdr>
                  <w:divsChild>
                    <w:div w:id="1716199879">
                      <w:marLeft w:val="0"/>
                      <w:marRight w:val="0"/>
                      <w:marTop w:val="0"/>
                      <w:marBottom w:val="0"/>
                      <w:divBdr>
                        <w:top w:val="none" w:sz="0" w:space="0" w:color="auto"/>
                        <w:left w:val="none" w:sz="0" w:space="0" w:color="auto"/>
                        <w:bottom w:val="none" w:sz="0" w:space="0" w:color="auto"/>
                        <w:right w:val="none" w:sz="0" w:space="0" w:color="auto"/>
                      </w:divBdr>
                    </w:div>
                  </w:divsChild>
                </w:div>
                <w:div w:id="1438259419">
                  <w:marLeft w:val="0"/>
                  <w:marRight w:val="0"/>
                  <w:marTop w:val="0"/>
                  <w:marBottom w:val="0"/>
                  <w:divBdr>
                    <w:top w:val="none" w:sz="0" w:space="0" w:color="auto"/>
                    <w:left w:val="none" w:sz="0" w:space="0" w:color="auto"/>
                    <w:bottom w:val="none" w:sz="0" w:space="0" w:color="auto"/>
                    <w:right w:val="none" w:sz="0" w:space="0" w:color="auto"/>
                  </w:divBdr>
                  <w:divsChild>
                    <w:div w:id="1256549185">
                      <w:marLeft w:val="0"/>
                      <w:marRight w:val="0"/>
                      <w:marTop w:val="0"/>
                      <w:marBottom w:val="0"/>
                      <w:divBdr>
                        <w:top w:val="none" w:sz="0" w:space="0" w:color="auto"/>
                        <w:left w:val="none" w:sz="0" w:space="0" w:color="auto"/>
                        <w:bottom w:val="none" w:sz="0" w:space="0" w:color="auto"/>
                        <w:right w:val="none" w:sz="0" w:space="0" w:color="auto"/>
                      </w:divBdr>
                    </w:div>
                  </w:divsChild>
                </w:div>
                <w:div w:id="1452164894">
                  <w:marLeft w:val="0"/>
                  <w:marRight w:val="0"/>
                  <w:marTop w:val="0"/>
                  <w:marBottom w:val="0"/>
                  <w:divBdr>
                    <w:top w:val="none" w:sz="0" w:space="0" w:color="auto"/>
                    <w:left w:val="none" w:sz="0" w:space="0" w:color="auto"/>
                    <w:bottom w:val="none" w:sz="0" w:space="0" w:color="auto"/>
                    <w:right w:val="none" w:sz="0" w:space="0" w:color="auto"/>
                  </w:divBdr>
                  <w:divsChild>
                    <w:div w:id="2009088430">
                      <w:marLeft w:val="0"/>
                      <w:marRight w:val="0"/>
                      <w:marTop w:val="0"/>
                      <w:marBottom w:val="0"/>
                      <w:divBdr>
                        <w:top w:val="none" w:sz="0" w:space="0" w:color="auto"/>
                        <w:left w:val="none" w:sz="0" w:space="0" w:color="auto"/>
                        <w:bottom w:val="none" w:sz="0" w:space="0" w:color="auto"/>
                        <w:right w:val="none" w:sz="0" w:space="0" w:color="auto"/>
                      </w:divBdr>
                    </w:div>
                  </w:divsChild>
                </w:div>
                <w:div w:id="1457334816">
                  <w:marLeft w:val="0"/>
                  <w:marRight w:val="0"/>
                  <w:marTop w:val="0"/>
                  <w:marBottom w:val="0"/>
                  <w:divBdr>
                    <w:top w:val="none" w:sz="0" w:space="0" w:color="auto"/>
                    <w:left w:val="none" w:sz="0" w:space="0" w:color="auto"/>
                    <w:bottom w:val="none" w:sz="0" w:space="0" w:color="auto"/>
                    <w:right w:val="none" w:sz="0" w:space="0" w:color="auto"/>
                  </w:divBdr>
                  <w:divsChild>
                    <w:div w:id="1504666757">
                      <w:marLeft w:val="0"/>
                      <w:marRight w:val="0"/>
                      <w:marTop w:val="0"/>
                      <w:marBottom w:val="0"/>
                      <w:divBdr>
                        <w:top w:val="none" w:sz="0" w:space="0" w:color="auto"/>
                        <w:left w:val="none" w:sz="0" w:space="0" w:color="auto"/>
                        <w:bottom w:val="none" w:sz="0" w:space="0" w:color="auto"/>
                        <w:right w:val="none" w:sz="0" w:space="0" w:color="auto"/>
                      </w:divBdr>
                    </w:div>
                  </w:divsChild>
                </w:div>
                <w:div w:id="1493568114">
                  <w:marLeft w:val="0"/>
                  <w:marRight w:val="0"/>
                  <w:marTop w:val="0"/>
                  <w:marBottom w:val="0"/>
                  <w:divBdr>
                    <w:top w:val="none" w:sz="0" w:space="0" w:color="auto"/>
                    <w:left w:val="none" w:sz="0" w:space="0" w:color="auto"/>
                    <w:bottom w:val="none" w:sz="0" w:space="0" w:color="auto"/>
                    <w:right w:val="none" w:sz="0" w:space="0" w:color="auto"/>
                  </w:divBdr>
                  <w:divsChild>
                    <w:div w:id="17702059">
                      <w:marLeft w:val="0"/>
                      <w:marRight w:val="0"/>
                      <w:marTop w:val="0"/>
                      <w:marBottom w:val="0"/>
                      <w:divBdr>
                        <w:top w:val="none" w:sz="0" w:space="0" w:color="auto"/>
                        <w:left w:val="none" w:sz="0" w:space="0" w:color="auto"/>
                        <w:bottom w:val="none" w:sz="0" w:space="0" w:color="auto"/>
                        <w:right w:val="none" w:sz="0" w:space="0" w:color="auto"/>
                      </w:divBdr>
                    </w:div>
                  </w:divsChild>
                </w:div>
                <w:div w:id="1504783628">
                  <w:marLeft w:val="0"/>
                  <w:marRight w:val="0"/>
                  <w:marTop w:val="0"/>
                  <w:marBottom w:val="0"/>
                  <w:divBdr>
                    <w:top w:val="none" w:sz="0" w:space="0" w:color="auto"/>
                    <w:left w:val="none" w:sz="0" w:space="0" w:color="auto"/>
                    <w:bottom w:val="none" w:sz="0" w:space="0" w:color="auto"/>
                    <w:right w:val="none" w:sz="0" w:space="0" w:color="auto"/>
                  </w:divBdr>
                  <w:divsChild>
                    <w:div w:id="1664046986">
                      <w:marLeft w:val="0"/>
                      <w:marRight w:val="0"/>
                      <w:marTop w:val="0"/>
                      <w:marBottom w:val="0"/>
                      <w:divBdr>
                        <w:top w:val="none" w:sz="0" w:space="0" w:color="auto"/>
                        <w:left w:val="none" w:sz="0" w:space="0" w:color="auto"/>
                        <w:bottom w:val="none" w:sz="0" w:space="0" w:color="auto"/>
                        <w:right w:val="none" w:sz="0" w:space="0" w:color="auto"/>
                      </w:divBdr>
                    </w:div>
                  </w:divsChild>
                </w:div>
                <w:div w:id="1527712324">
                  <w:marLeft w:val="0"/>
                  <w:marRight w:val="0"/>
                  <w:marTop w:val="0"/>
                  <w:marBottom w:val="0"/>
                  <w:divBdr>
                    <w:top w:val="none" w:sz="0" w:space="0" w:color="auto"/>
                    <w:left w:val="none" w:sz="0" w:space="0" w:color="auto"/>
                    <w:bottom w:val="none" w:sz="0" w:space="0" w:color="auto"/>
                    <w:right w:val="none" w:sz="0" w:space="0" w:color="auto"/>
                  </w:divBdr>
                  <w:divsChild>
                    <w:div w:id="1347102375">
                      <w:marLeft w:val="0"/>
                      <w:marRight w:val="0"/>
                      <w:marTop w:val="0"/>
                      <w:marBottom w:val="0"/>
                      <w:divBdr>
                        <w:top w:val="none" w:sz="0" w:space="0" w:color="auto"/>
                        <w:left w:val="none" w:sz="0" w:space="0" w:color="auto"/>
                        <w:bottom w:val="none" w:sz="0" w:space="0" w:color="auto"/>
                        <w:right w:val="none" w:sz="0" w:space="0" w:color="auto"/>
                      </w:divBdr>
                    </w:div>
                  </w:divsChild>
                </w:div>
                <w:div w:id="1531989940">
                  <w:marLeft w:val="0"/>
                  <w:marRight w:val="0"/>
                  <w:marTop w:val="0"/>
                  <w:marBottom w:val="0"/>
                  <w:divBdr>
                    <w:top w:val="none" w:sz="0" w:space="0" w:color="auto"/>
                    <w:left w:val="none" w:sz="0" w:space="0" w:color="auto"/>
                    <w:bottom w:val="none" w:sz="0" w:space="0" w:color="auto"/>
                    <w:right w:val="none" w:sz="0" w:space="0" w:color="auto"/>
                  </w:divBdr>
                  <w:divsChild>
                    <w:div w:id="1365211784">
                      <w:marLeft w:val="0"/>
                      <w:marRight w:val="0"/>
                      <w:marTop w:val="0"/>
                      <w:marBottom w:val="0"/>
                      <w:divBdr>
                        <w:top w:val="none" w:sz="0" w:space="0" w:color="auto"/>
                        <w:left w:val="none" w:sz="0" w:space="0" w:color="auto"/>
                        <w:bottom w:val="none" w:sz="0" w:space="0" w:color="auto"/>
                        <w:right w:val="none" w:sz="0" w:space="0" w:color="auto"/>
                      </w:divBdr>
                    </w:div>
                  </w:divsChild>
                </w:div>
                <w:div w:id="1597207284">
                  <w:marLeft w:val="0"/>
                  <w:marRight w:val="0"/>
                  <w:marTop w:val="0"/>
                  <w:marBottom w:val="0"/>
                  <w:divBdr>
                    <w:top w:val="none" w:sz="0" w:space="0" w:color="auto"/>
                    <w:left w:val="none" w:sz="0" w:space="0" w:color="auto"/>
                    <w:bottom w:val="none" w:sz="0" w:space="0" w:color="auto"/>
                    <w:right w:val="none" w:sz="0" w:space="0" w:color="auto"/>
                  </w:divBdr>
                  <w:divsChild>
                    <w:div w:id="1693141250">
                      <w:marLeft w:val="0"/>
                      <w:marRight w:val="0"/>
                      <w:marTop w:val="0"/>
                      <w:marBottom w:val="0"/>
                      <w:divBdr>
                        <w:top w:val="none" w:sz="0" w:space="0" w:color="auto"/>
                        <w:left w:val="none" w:sz="0" w:space="0" w:color="auto"/>
                        <w:bottom w:val="none" w:sz="0" w:space="0" w:color="auto"/>
                        <w:right w:val="none" w:sz="0" w:space="0" w:color="auto"/>
                      </w:divBdr>
                    </w:div>
                  </w:divsChild>
                </w:div>
                <w:div w:id="1613048857">
                  <w:marLeft w:val="0"/>
                  <w:marRight w:val="0"/>
                  <w:marTop w:val="0"/>
                  <w:marBottom w:val="0"/>
                  <w:divBdr>
                    <w:top w:val="none" w:sz="0" w:space="0" w:color="auto"/>
                    <w:left w:val="none" w:sz="0" w:space="0" w:color="auto"/>
                    <w:bottom w:val="none" w:sz="0" w:space="0" w:color="auto"/>
                    <w:right w:val="none" w:sz="0" w:space="0" w:color="auto"/>
                  </w:divBdr>
                  <w:divsChild>
                    <w:div w:id="26956114">
                      <w:marLeft w:val="0"/>
                      <w:marRight w:val="0"/>
                      <w:marTop w:val="0"/>
                      <w:marBottom w:val="0"/>
                      <w:divBdr>
                        <w:top w:val="none" w:sz="0" w:space="0" w:color="auto"/>
                        <w:left w:val="none" w:sz="0" w:space="0" w:color="auto"/>
                        <w:bottom w:val="none" w:sz="0" w:space="0" w:color="auto"/>
                        <w:right w:val="none" w:sz="0" w:space="0" w:color="auto"/>
                      </w:divBdr>
                    </w:div>
                  </w:divsChild>
                </w:div>
                <w:div w:id="1627738061">
                  <w:marLeft w:val="0"/>
                  <w:marRight w:val="0"/>
                  <w:marTop w:val="0"/>
                  <w:marBottom w:val="0"/>
                  <w:divBdr>
                    <w:top w:val="none" w:sz="0" w:space="0" w:color="auto"/>
                    <w:left w:val="none" w:sz="0" w:space="0" w:color="auto"/>
                    <w:bottom w:val="none" w:sz="0" w:space="0" w:color="auto"/>
                    <w:right w:val="none" w:sz="0" w:space="0" w:color="auto"/>
                  </w:divBdr>
                  <w:divsChild>
                    <w:div w:id="1222013158">
                      <w:marLeft w:val="0"/>
                      <w:marRight w:val="0"/>
                      <w:marTop w:val="0"/>
                      <w:marBottom w:val="0"/>
                      <w:divBdr>
                        <w:top w:val="none" w:sz="0" w:space="0" w:color="auto"/>
                        <w:left w:val="none" w:sz="0" w:space="0" w:color="auto"/>
                        <w:bottom w:val="none" w:sz="0" w:space="0" w:color="auto"/>
                        <w:right w:val="none" w:sz="0" w:space="0" w:color="auto"/>
                      </w:divBdr>
                    </w:div>
                  </w:divsChild>
                </w:div>
                <w:div w:id="1661273187">
                  <w:marLeft w:val="0"/>
                  <w:marRight w:val="0"/>
                  <w:marTop w:val="0"/>
                  <w:marBottom w:val="0"/>
                  <w:divBdr>
                    <w:top w:val="none" w:sz="0" w:space="0" w:color="auto"/>
                    <w:left w:val="none" w:sz="0" w:space="0" w:color="auto"/>
                    <w:bottom w:val="none" w:sz="0" w:space="0" w:color="auto"/>
                    <w:right w:val="none" w:sz="0" w:space="0" w:color="auto"/>
                  </w:divBdr>
                  <w:divsChild>
                    <w:div w:id="422185660">
                      <w:marLeft w:val="0"/>
                      <w:marRight w:val="0"/>
                      <w:marTop w:val="0"/>
                      <w:marBottom w:val="0"/>
                      <w:divBdr>
                        <w:top w:val="none" w:sz="0" w:space="0" w:color="auto"/>
                        <w:left w:val="none" w:sz="0" w:space="0" w:color="auto"/>
                        <w:bottom w:val="none" w:sz="0" w:space="0" w:color="auto"/>
                        <w:right w:val="none" w:sz="0" w:space="0" w:color="auto"/>
                      </w:divBdr>
                    </w:div>
                  </w:divsChild>
                </w:div>
                <w:div w:id="1676689394">
                  <w:marLeft w:val="0"/>
                  <w:marRight w:val="0"/>
                  <w:marTop w:val="0"/>
                  <w:marBottom w:val="0"/>
                  <w:divBdr>
                    <w:top w:val="none" w:sz="0" w:space="0" w:color="auto"/>
                    <w:left w:val="none" w:sz="0" w:space="0" w:color="auto"/>
                    <w:bottom w:val="none" w:sz="0" w:space="0" w:color="auto"/>
                    <w:right w:val="none" w:sz="0" w:space="0" w:color="auto"/>
                  </w:divBdr>
                  <w:divsChild>
                    <w:div w:id="1527252838">
                      <w:marLeft w:val="0"/>
                      <w:marRight w:val="0"/>
                      <w:marTop w:val="0"/>
                      <w:marBottom w:val="0"/>
                      <w:divBdr>
                        <w:top w:val="none" w:sz="0" w:space="0" w:color="auto"/>
                        <w:left w:val="none" w:sz="0" w:space="0" w:color="auto"/>
                        <w:bottom w:val="none" w:sz="0" w:space="0" w:color="auto"/>
                        <w:right w:val="none" w:sz="0" w:space="0" w:color="auto"/>
                      </w:divBdr>
                    </w:div>
                  </w:divsChild>
                </w:div>
                <w:div w:id="1753316292">
                  <w:marLeft w:val="0"/>
                  <w:marRight w:val="0"/>
                  <w:marTop w:val="0"/>
                  <w:marBottom w:val="0"/>
                  <w:divBdr>
                    <w:top w:val="none" w:sz="0" w:space="0" w:color="auto"/>
                    <w:left w:val="none" w:sz="0" w:space="0" w:color="auto"/>
                    <w:bottom w:val="none" w:sz="0" w:space="0" w:color="auto"/>
                    <w:right w:val="none" w:sz="0" w:space="0" w:color="auto"/>
                  </w:divBdr>
                  <w:divsChild>
                    <w:div w:id="942151951">
                      <w:marLeft w:val="0"/>
                      <w:marRight w:val="0"/>
                      <w:marTop w:val="0"/>
                      <w:marBottom w:val="0"/>
                      <w:divBdr>
                        <w:top w:val="none" w:sz="0" w:space="0" w:color="auto"/>
                        <w:left w:val="none" w:sz="0" w:space="0" w:color="auto"/>
                        <w:bottom w:val="none" w:sz="0" w:space="0" w:color="auto"/>
                        <w:right w:val="none" w:sz="0" w:space="0" w:color="auto"/>
                      </w:divBdr>
                    </w:div>
                  </w:divsChild>
                </w:div>
                <w:div w:id="1791322030">
                  <w:marLeft w:val="0"/>
                  <w:marRight w:val="0"/>
                  <w:marTop w:val="0"/>
                  <w:marBottom w:val="0"/>
                  <w:divBdr>
                    <w:top w:val="none" w:sz="0" w:space="0" w:color="auto"/>
                    <w:left w:val="none" w:sz="0" w:space="0" w:color="auto"/>
                    <w:bottom w:val="none" w:sz="0" w:space="0" w:color="auto"/>
                    <w:right w:val="none" w:sz="0" w:space="0" w:color="auto"/>
                  </w:divBdr>
                  <w:divsChild>
                    <w:div w:id="1215312382">
                      <w:marLeft w:val="0"/>
                      <w:marRight w:val="0"/>
                      <w:marTop w:val="0"/>
                      <w:marBottom w:val="0"/>
                      <w:divBdr>
                        <w:top w:val="none" w:sz="0" w:space="0" w:color="auto"/>
                        <w:left w:val="none" w:sz="0" w:space="0" w:color="auto"/>
                        <w:bottom w:val="none" w:sz="0" w:space="0" w:color="auto"/>
                        <w:right w:val="none" w:sz="0" w:space="0" w:color="auto"/>
                      </w:divBdr>
                    </w:div>
                  </w:divsChild>
                </w:div>
                <w:div w:id="1803421758">
                  <w:marLeft w:val="0"/>
                  <w:marRight w:val="0"/>
                  <w:marTop w:val="0"/>
                  <w:marBottom w:val="0"/>
                  <w:divBdr>
                    <w:top w:val="none" w:sz="0" w:space="0" w:color="auto"/>
                    <w:left w:val="none" w:sz="0" w:space="0" w:color="auto"/>
                    <w:bottom w:val="none" w:sz="0" w:space="0" w:color="auto"/>
                    <w:right w:val="none" w:sz="0" w:space="0" w:color="auto"/>
                  </w:divBdr>
                  <w:divsChild>
                    <w:div w:id="71048734">
                      <w:marLeft w:val="0"/>
                      <w:marRight w:val="0"/>
                      <w:marTop w:val="0"/>
                      <w:marBottom w:val="0"/>
                      <w:divBdr>
                        <w:top w:val="none" w:sz="0" w:space="0" w:color="auto"/>
                        <w:left w:val="none" w:sz="0" w:space="0" w:color="auto"/>
                        <w:bottom w:val="none" w:sz="0" w:space="0" w:color="auto"/>
                        <w:right w:val="none" w:sz="0" w:space="0" w:color="auto"/>
                      </w:divBdr>
                    </w:div>
                  </w:divsChild>
                </w:div>
                <w:div w:id="1819609335">
                  <w:marLeft w:val="0"/>
                  <w:marRight w:val="0"/>
                  <w:marTop w:val="0"/>
                  <w:marBottom w:val="0"/>
                  <w:divBdr>
                    <w:top w:val="none" w:sz="0" w:space="0" w:color="auto"/>
                    <w:left w:val="none" w:sz="0" w:space="0" w:color="auto"/>
                    <w:bottom w:val="none" w:sz="0" w:space="0" w:color="auto"/>
                    <w:right w:val="none" w:sz="0" w:space="0" w:color="auto"/>
                  </w:divBdr>
                  <w:divsChild>
                    <w:div w:id="2065595300">
                      <w:marLeft w:val="0"/>
                      <w:marRight w:val="0"/>
                      <w:marTop w:val="0"/>
                      <w:marBottom w:val="0"/>
                      <w:divBdr>
                        <w:top w:val="none" w:sz="0" w:space="0" w:color="auto"/>
                        <w:left w:val="none" w:sz="0" w:space="0" w:color="auto"/>
                        <w:bottom w:val="none" w:sz="0" w:space="0" w:color="auto"/>
                        <w:right w:val="none" w:sz="0" w:space="0" w:color="auto"/>
                      </w:divBdr>
                    </w:div>
                  </w:divsChild>
                </w:div>
                <w:div w:id="1824082875">
                  <w:marLeft w:val="0"/>
                  <w:marRight w:val="0"/>
                  <w:marTop w:val="0"/>
                  <w:marBottom w:val="0"/>
                  <w:divBdr>
                    <w:top w:val="none" w:sz="0" w:space="0" w:color="auto"/>
                    <w:left w:val="none" w:sz="0" w:space="0" w:color="auto"/>
                    <w:bottom w:val="none" w:sz="0" w:space="0" w:color="auto"/>
                    <w:right w:val="none" w:sz="0" w:space="0" w:color="auto"/>
                  </w:divBdr>
                  <w:divsChild>
                    <w:div w:id="672731647">
                      <w:marLeft w:val="0"/>
                      <w:marRight w:val="0"/>
                      <w:marTop w:val="0"/>
                      <w:marBottom w:val="0"/>
                      <w:divBdr>
                        <w:top w:val="none" w:sz="0" w:space="0" w:color="auto"/>
                        <w:left w:val="none" w:sz="0" w:space="0" w:color="auto"/>
                        <w:bottom w:val="none" w:sz="0" w:space="0" w:color="auto"/>
                        <w:right w:val="none" w:sz="0" w:space="0" w:color="auto"/>
                      </w:divBdr>
                    </w:div>
                  </w:divsChild>
                </w:div>
                <w:div w:id="1835610917">
                  <w:marLeft w:val="0"/>
                  <w:marRight w:val="0"/>
                  <w:marTop w:val="0"/>
                  <w:marBottom w:val="0"/>
                  <w:divBdr>
                    <w:top w:val="none" w:sz="0" w:space="0" w:color="auto"/>
                    <w:left w:val="none" w:sz="0" w:space="0" w:color="auto"/>
                    <w:bottom w:val="none" w:sz="0" w:space="0" w:color="auto"/>
                    <w:right w:val="none" w:sz="0" w:space="0" w:color="auto"/>
                  </w:divBdr>
                  <w:divsChild>
                    <w:div w:id="1529954571">
                      <w:marLeft w:val="0"/>
                      <w:marRight w:val="0"/>
                      <w:marTop w:val="0"/>
                      <w:marBottom w:val="0"/>
                      <w:divBdr>
                        <w:top w:val="none" w:sz="0" w:space="0" w:color="auto"/>
                        <w:left w:val="none" w:sz="0" w:space="0" w:color="auto"/>
                        <w:bottom w:val="none" w:sz="0" w:space="0" w:color="auto"/>
                        <w:right w:val="none" w:sz="0" w:space="0" w:color="auto"/>
                      </w:divBdr>
                    </w:div>
                  </w:divsChild>
                </w:div>
                <w:div w:id="1868371754">
                  <w:marLeft w:val="0"/>
                  <w:marRight w:val="0"/>
                  <w:marTop w:val="0"/>
                  <w:marBottom w:val="0"/>
                  <w:divBdr>
                    <w:top w:val="none" w:sz="0" w:space="0" w:color="auto"/>
                    <w:left w:val="none" w:sz="0" w:space="0" w:color="auto"/>
                    <w:bottom w:val="none" w:sz="0" w:space="0" w:color="auto"/>
                    <w:right w:val="none" w:sz="0" w:space="0" w:color="auto"/>
                  </w:divBdr>
                  <w:divsChild>
                    <w:div w:id="1534876458">
                      <w:marLeft w:val="0"/>
                      <w:marRight w:val="0"/>
                      <w:marTop w:val="0"/>
                      <w:marBottom w:val="0"/>
                      <w:divBdr>
                        <w:top w:val="none" w:sz="0" w:space="0" w:color="auto"/>
                        <w:left w:val="none" w:sz="0" w:space="0" w:color="auto"/>
                        <w:bottom w:val="none" w:sz="0" w:space="0" w:color="auto"/>
                        <w:right w:val="none" w:sz="0" w:space="0" w:color="auto"/>
                      </w:divBdr>
                    </w:div>
                  </w:divsChild>
                </w:div>
                <w:div w:id="1948350431">
                  <w:marLeft w:val="0"/>
                  <w:marRight w:val="0"/>
                  <w:marTop w:val="0"/>
                  <w:marBottom w:val="0"/>
                  <w:divBdr>
                    <w:top w:val="none" w:sz="0" w:space="0" w:color="auto"/>
                    <w:left w:val="none" w:sz="0" w:space="0" w:color="auto"/>
                    <w:bottom w:val="none" w:sz="0" w:space="0" w:color="auto"/>
                    <w:right w:val="none" w:sz="0" w:space="0" w:color="auto"/>
                  </w:divBdr>
                  <w:divsChild>
                    <w:div w:id="1603294500">
                      <w:marLeft w:val="0"/>
                      <w:marRight w:val="0"/>
                      <w:marTop w:val="0"/>
                      <w:marBottom w:val="0"/>
                      <w:divBdr>
                        <w:top w:val="none" w:sz="0" w:space="0" w:color="auto"/>
                        <w:left w:val="none" w:sz="0" w:space="0" w:color="auto"/>
                        <w:bottom w:val="none" w:sz="0" w:space="0" w:color="auto"/>
                        <w:right w:val="none" w:sz="0" w:space="0" w:color="auto"/>
                      </w:divBdr>
                    </w:div>
                  </w:divsChild>
                </w:div>
                <w:div w:id="1987780070">
                  <w:marLeft w:val="0"/>
                  <w:marRight w:val="0"/>
                  <w:marTop w:val="0"/>
                  <w:marBottom w:val="0"/>
                  <w:divBdr>
                    <w:top w:val="none" w:sz="0" w:space="0" w:color="auto"/>
                    <w:left w:val="none" w:sz="0" w:space="0" w:color="auto"/>
                    <w:bottom w:val="none" w:sz="0" w:space="0" w:color="auto"/>
                    <w:right w:val="none" w:sz="0" w:space="0" w:color="auto"/>
                  </w:divBdr>
                  <w:divsChild>
                    <w:div w:id="1021663758">
                      <w:marLeft w:val="0"/>
                      <w:marRight w:val="0"/>
                      <w:marTop w:val="0"/>
                      <w:marBottom w:val="0"/>
                      <w:divBdr>
                        <w:top w:val="none" w:sz="0" w:space="0" w:color="auto"/>
                        <w:left w:val="none" w:sz="0" w:space="0" w:color="auto"/>
                        <w:bottom w:val="none" w:sz="0" w:space="0" w:color="auto"/>
                        <w:right w:val="none" w:sz="0" w:space="0" w:color="auto"/>
                      </w:divBdr>
                    </w:div>
                  </w:divsChild>
                </w:div>
                <w:div w:id="1988628165">
                  <w:marLeft w:val="0"/>
                  <w:marRight w:val="0"/>
                  <w:marTop w:val="0"/>
                  <w:marBottom w:val="0"/>
                  <w:divBdr>
                    <w:top w:val="none" w:sz="0" w:space="0" w:color="auto"/>
                    <w:left w:val="none" w:sz="0" w:space="0" w:color="auto"/>
                    <w:bottom w:val="none" w:sz="0" w:space="0" w:color="auto"/>
                    <w:right w:val="none" w:sz="0" w:space="0" w:color="auto"/>
                  </w:divBdr>
                  <w:divsChild>
                    <w:div w:id="1856962850">
                      <w:marLeft w:val="0"/>
                      <w:marRight w:val="0"/>
                      <w:marTop w:val="0"/>
                      <w:marBottom w:val="0"/>
                      <w:divBdr>
                        <w:top w:val="none" w:sz="0" w:space="0" w:color="auto"/>
                        <w:left w:val="none" w:sz="0" w:space="0" w:color="auto"/>
                        <w:bottom w:val="none" w:sz="0" w:space="0" w:color="auto"/>
                        <w:right w:val="none" w:sz="0" w:space="0" w:color="auto"/>
                      </w:divBdr>
                    </w:div>
                  </w:divsChild>
                </w:div>
                <w:div w:id="2004969156">
                  <w:marLeft w:val="0"/>
                  <w:marRight w:val="0"/>
                  <w:marTop w:val="0"/>
                  <w:marBottom w:val="0"/>
                  <w:divBdr>
                    <w:top w:val="none" w:sz="0" w:space="0" w:color="auto"/>
                    <w:left w:val="none" w:sz="0" w:space="0" w:color="auto"/>
                    <w:bottom w:val="none" w:sz="0" w:space="0" w:color="auto"/>
                    <w:right w:val="none" w:sz="0" w:space="0" w:color="auto"/>
                  </w:divBdr>
                  <w:divsChild>
                    <w:div w:id="764232658">
                      <w:marLeft w:val="0"/>
                      <w:marRight w:val="0"/>
                      <w:marTop w:val="0"/>
                      <w:marBottom w:val="0"/>
                      <w:divBdr>
                        <w:top w:val="none" w:sz="0" w:space="0" w:color="auto"/>
                        <w:left w:val="none" w:sz="0" w:space="0" w:color="auto"/>
                        <w:bottom w:val="none" w:sz="0" w:space="0" w:color="auto"/>
                        <w:right w:val="none" w:sz="0" w:space="0" w:color="auto"/>
                      </w:divBdr>
                    </w:div>
                  </w:divsChild>
                </w:div>
                <w:div w:id="2009094815">
                  <w:marLeft w:val="0"/>
                  <w:marRight w:val="0"/>
                  <w:marTop w:val="0"/>
                  <w:marBottom w:val="0"/>
                  <w:divBdr>
                    <w:top w:val="none" w:sz="0" w:space="0" w:color="auto"/>
                    <w:left w:val="none" w:sz="0" w:space="0" w:color="auto"/>
                    <w:bottom w:val="none" w:sz="0" w:space="0" w:color="auto"/>
                    <w:right w:val="none" w:sz="0" w:space="0" w:color="auto"/>
                  </w:divBdr>
                  <w:divsChild>
                    <w:div w:id="692532871">
                      <w:marLeft w:val="0"/>
                      <w:marRight w:val="0"/>
                      <w:marTop w:val="0"/>
                      <w:marBottom w:val="0"/>
                      <w:divBdr>
                        <w:top w:val="none" w:sz="0" w:space="0" w:color="auto"/>
                        <w:left w:val="none" w:sz="0" w:space="0" w:color="auto"/>
                        <w:bottom w:val="none" w:sz="0" w:space="0" w:color="auto"/>
                        <w:right w:val="none" w:sz="0" w:space="0" w:color="auto"/>
                      </w:divBdr>
                    </w:div>
                  </w:divsChild>
                </w:div>
                <w:div w:id="2068911083">
                  <w:marLeft w:val="0"/>
                  <w:marRight w:val="0"/>
                  <w:marTop w:val="0"/>
                  <w:marBottom w:val="0"/>
                  <w:divBdr>
                    <w:top w:val="none" w:sz="0" w:space="0" w:color="auto"/>
                    <w:left w:val="none" w:sz="0" w:space="0" w:color="auto"/>
                    <w:bottom w:val="none" w:sz="0" w:space="0" w:color="auto"/>
                    <w:right w:val="none" w:sz="0" w:space="0" w:color="auto"/>
                  </w:divBdr>
                  <w:divsChild>
                    <w:div w:id="763646381">
                      <w:marLeft w:val="0"/>
                      <w:marRight w:val="0"/>
                      <w:marTop w:val="0"/>
                      <w:marBottom w:val="0"/>
                      <w:divBdr>
                        <w:top w:val="none" w:sz="0" w:space="0" w:color="auto"/>
                        <w:left w:val="none" w:sz="0" w:space="0" w:color="auto"/>
                        <w:bottom w:val="none" w:sz="0" w:space="0" w:color="auto"/>
                        <w:right w:val="none" w:sz="0" w:space="0" w:color="auto"/>
                      </w:divBdr>
                    </w:div>
                  </w:divsChild>
                </w:div>
                <w:div w:id="2098940562">
                  <w:marLeft w:val="0"/>
                  <w:marRight w:val="0"/>
                  <w:marTop w:val="0"/>
                  <w:marBottom w:val="0"/>
                  <w:divBdr>
                    <w:top w:val="none" w:sz="0" w:space="0" w:color="auto"/>
                    <w:left w:val="none" w:sz="0" w:space="0" w:color="auto"/>
                    <w:bottom w:val="none" w:sz="0" w:space="0" w:color="auto"/>
                    <w:right w:val="none" w:sz="0" w:space="0" w:color="auto"/>
                  </w:divBdr>
                  <w:divsChild>
                    <w:div w:id="739134336">
                      <w:marLeft w:val="0"/>
                      <w:marRight w:val="0"/>
                      <w:marTop w:val="0"/>
                      <w:marBottom w:val="0"/>
                      <w:divBdr>
                        <w:top w:val="none" w:sz="0" w:space="0" w:color="auto"/>
                        <w:left w:val="none" w:sz="0" w:space="0" w:color="auto"/>
                        <w:bottom w:val="none" w:sz="0" w:space="0" w:color="auto"/>
                        <w:right w:val="none" w:sz="0" w:space="0" w:color="auto"/>
                      </w:divBdr>
                    </w:div>
                  </w:divsChild>
                </w:div>
                <w:div w:id="2137527307">
                  <w:marLeft w:val="0"/>
                  <w:marRight w:val="0"/>
                  <w:marTop w:val="0"/>
                  <w:marBottom w:val="0"/>
                  <w:divBdr>
                    <w:top w:val="none" w:sz="0" w:space="0" w:color="auto"/>
                    <w:left w:val="none" w:sz="0" w:space="0" w:color="auto"/>
                    <w:bottom w:val="none" w:sz="0" w:space="0" w:color="auto"/>
                    <w:right w:val="none" w:sz="0" w:space="0" w:color="auto"/>
                  </w:divBdr>
                  <w:divsChild>
                    <w:div w:id="85087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74660">
          <w:marLeft w:val="0"/>
          <w:marRight w:val="0"/>
          <w:marTop w:val="0"/>
          <w:marBottom w:val="0"/>
          <w:divBdr>
            <w:top w:val="none" w:sz="0" w:space="0" w:color="auto"/>
            <w:left w:val="none" w:sz="0" w:space="0" w:color="auto"/>
            <w:bottom w:val="none" w:sz="0" w:space="0" w:color="auto"/>
            <w:right w:val="none" w:sz="0" w:space="0" w:color="auto"/>
          </w:divBdr>
        </w:div>
      </w:divsChild>
    </w:div>
    <w:div w:id="515071828">
      <w:bodyDiv w:val="1"/>
      <w:marLeft w:val="0"/>
      <w:marRight w:val="0"/>
      <w:marTop w:val="0"/>
      <w:marBottom w:val="0"/>
      <w:divBdr>
        <w:top w:val="none" w:sz="0" w:space="0" w:color="auto"/>
        <w:left w:val="none" w:sz="0" w:space="0" w:color="auto"/>
        <w:bottom w:val="none" w:sz="0" w:space="0" w:color="auto"/>
        <w:right w:val="none" w:sz="0" w:space="0" w:color="auto"/>
      </w:divBdr>
    </w:div>
    <w:div w:id="520315689">
      <w:bodyDiv w:val="1"/>
      <w:marLeft w:val="0"/>
      <w:marRight w:val="0"/>
      <w:marTop w:val="0"/>
      <w:marBottom w:val="0"/>
      <w:divBdr>
        <w:top w:val="none" w:sz="0" w:space="0" w:color="auto"/>
        <w:left w:val="none" w:sz="0" w:space="0" w:color="auto"/>
        <w:bottom w:val="none" w:sz="0" w:space="0" w:color="auto"/>
        <w:right w:val="none" w:sz="0" w:space="0" w:color="auto"/>
      </w:divBdr>
    </w:div>
    <w:div w:id="620190512">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 w:id="741218833">
      <w:bodyDiv w:val="1"/>
      <w:marLeft w:val="0"/>
      <w:marRight w:val="0"/>
      <w:marTop w:val="0"/>
      <w:marBottom w:val="0"/>
      <w:divBdr>
        <w:top w:val="none" w:sz="0" w:space="0" w:color="auto"/>
        <w:left w:val="none" w:sz="0" w:space="0" w:color="auto"/>
        <w:bottom w:val="none" w:sz="0" w:space="0" w:color="auto"/>
        <w:right w:val="none" w:sz="0" w:space="0" w:color="auto"/>
      </w:divBdr>
    </w:div>
    <w:div w:id="775056688">
      <w:bodyDiv w:val="1"/>
      <w:marLeft w:val="0"/>
      <w:marRight w:val="0"/>
      <w:marTop w:val="0"/>
      <w:marBottom w:val="0"/>
      <w:divBdr>
        <w:top w:val="none" w:sz="0" w:space="0" w:color="auto"/>
        <w:left w:val="none" w:sz="0" w:space="0" w:color="auto"/>
        <w:bottom w:val="none" w:sz="0" w:space="0" w:color="auto"/>
        <w:right w:val="none" w:sz="0" w:space="0" w:color="auto"/>
      </w:divBdr>
    </w:div>
    <w:div w:id="899637531">
      <w:bodyDiv w:val="1"/>
      <w:marLeft w:val="0"/>
      <w:marRight w:val="0"/>
      <w:marTop w:val="0"/>
      <w:marBottom w:val="0"/>
      <w:divBdr>
        <w:top w:val="none" w:sz="0" w:space="0" w:color="auto"/>
        <w:left w:val="none" w:sz="0" w:space="0" w:color="auto"/>
        <w:bottom w:val="none" w:sz="0" w:space="0" w:color="auto"/>
        <w:right w:val="none" w:sz="0" w:space="0" w:color="auto"/>
      </w:divBdr>
    </w:div>
    <w:div w:id="912088206">
      <w:bodyDiv w:val="1"/>
      <w:marLeft w:val="0"/>
      <w:marRight w:val="0"/>
      <w:marTop w:val="0"/>
      <w:marBottom w:val="0"/>
      <w:divBdr>
        <w:top w:val="none" w:sz="0" w:space="0" w:color="auto"/>
        <w:left w:val="none" w:sz="0" w:space="0" w:color="auto"/>
        <w:bottom w:val="none" w:sz="0" w:space="0" w:color="auto"/>
        <w:right w:val="none" w:sz="0" w:space="0" w:color="auto"/>
      </w:divBdr>
    </w:div>
    <w:div w:id="919633832">
      <w:bodyDiv w:val="1"/>
      <w:marLeft w:val="0"/>
      <w:marRight w:val="0"/>
      <w:marTop w:val="0"/>
      <w:marBottom w:val="0"/>
      <w:divBdr>
        <w:top w:val="none" w:sz="0" w:space="0" w:color="auto"/>
        <w:left w:val="none" w:sz="0" w:space="0" w:color="auto"/>
        <w:bottom w:val="none" w:sz="0" w:space="0" w:color="auto"/>
        <w:right w:val="none" w:sz="0" w:space="0" w:color="auto"/>
      </w:divBdr>
    </w:div>
    <w:div w:id="975061685">
      <w:bodyDiv w:val="1"/>
      <w:marLeft w:val="0"/>
      <w:marRight w:val="0"/>
      <w:marTop w:val="0"/>
      <w:marBottom w:val="0"/>
      <w:divBdr>
        <w:top w:val="none" w:sz="0" w:space="0" w:color="auto"/>
        <w:left w:val="none" w:sz="0" w:space="0" w:color="auto"/>
        <w:bottom w:val="none" w:sz="0" w:space="0" w:color="auto"/>
        <w:right w:val="none" w:sz="0" w:space="0" w:color="auto"/>
      </w:divBdr>
    </w:div>
    <w:div w:id="1087461079">
      <w:bodyDiv w:val="1"/>
      <w:marLeft w:val="0"/>
      <w:marRight w:val="0"/>
      <w:marTop w:val="0"/>
      <w:marBottom w:val="0"/>
      <w:divBdr>
        <w:top w:val="none" w:sz="0" w:space="0" w:color="auto"/>
        <w:left w:val="none" w:sz="0" w:space="0" w:color="auto"/>
        <w:bottom w:val="none" w:sz="0" w:space="0" w:color="auto"/>
        <w:right w:val="none" w:sz="0" w:space="0" w:color="auto"/>
      </w:divBdr>
    </w:div>
    <w:div w:id="1110709388">
      <w:bodyDiv w:val="1"/>
      <w:marLeft w:val="0"/>
      <w:marRight w:val="0"/>
      <w:marTop w:val="0"/>
      <w:marBottom w:val="0"/>
      <w:divBdr>
        <w:top w:val="none" w:sz="0" w:space="0" w:color="auto"/>
        <w:left w:val="none" w:sz="0" w:space="0" w:color="auto"/>
        <w:bottom w:val="none" w:sz="0" w:space="0" w:color="auto"/>
        <w:right w:val="none" w:sz="0" w:space="0" w:color="auto"/>
      </w:divBdr>
      <w:divsChild>
        <w:div w:id="306515014">
          <w:marLeft w:val="0"/>
          <w:marRight w:val="0"/>
          <w:marTop w:val="0"/>
          <w:marBottom w:val="0"/>
          <w:divBdr>
            <w:top w:val="none" w:sz="0" w:space="0" w:color="auto"/>
            <w:left w:val="none" w:sz="0" w:space="0" w:color="auto"/>
            <w:bottom w:val="none" w:sz="0" w:space="0" w:color="auto"/>
            <w:right w:val="none" w:sz="0" w:space="0" w:color="auto"/>
          </w:divBdr>
        </w:div>
        <w:div w:id="786432982">
          <w:marLeft w:val="0"/>
          <w:marRight w:val="0"/>
          <w:marTop w:val="0"/>
          <w:marBottom w:val="0"/>
          <w:divBdr>
            <w:top w:val="none" w:sz="0" w:space="0" w:color="auto"/>
            <w:left w:val="none" w:sz="0" w:space="0" w:color="auto"/>
            <w:bottom w:val="none" w:sz="0" w:space="0" w:color="auto"/>
            <w:right w:val="none" w:sz="0" w:space="0" w:color="auto"/>
          </w:divBdr>
        </w:div>
        <w:div w:id="814642423">
          <w:marLeft w:val="0"/>
          <w:marRight w:val="0"/>
          <w:marTop w:val="0"/>
          <w:marBottom w:val="0"/>
          <w:divBdr>
            <w:top w:val="none" w:sz="0" w:space="0" w:color="auto"/>
            <w:left w:val="none" w:sz="0" w:space="0" w:color="auto"/>
            <w:bottom w:val="none" w:sz="0" w:space="0" w:color="auto"/>
            <w:right w:val="none" w:sz="0" w:space="0" w:color="auto"/>
          </w:divBdr>
        </w:div>
        <w:div w:id="1272786226">
          <w:marLeft w:val="0"/>
          <w:marRight w:val="0"/>
          <w:marTop w:val="0"/>
          <w:marBottom w:val="0"/>
          <w:divBdr>
            <w:top w:val="none" w:sz="0" w:space="0" w:color="auto"/>
            <w:left w:val="none" w:sz="0" w:space="0" w:color="auto"/>
            <w:bottom w:val="none" w:sz="0" w:space="0" w:color="auto"/>
            <w:right w:val="none" w:sz="0" w:space="0" w:color="auto"/>
          </w:divBdr>
        </w:div>
        <w:div w:id="1301155032">
          <w:marLeft w:val="0"/>
          <w:marRight w:val="0"/>
          <w:marTop w:val="0"/>
          <w:marBottom w:val="0"/>
          <w:divBdr>
            <w:top w:val="none" w:sz="0" w:space="0" w:color="auto"/>
            <w:left w:val="none" w:sz="0" w:space="0" w:color="auto"/>
            <w:bottom w:val="none" w:sz="0" w:space="0" w:color="auto"/>
            <w:right w:val="none" w:sz="0" w:space="0" w:color="auto"/>
          </w:divBdr>
        </w:div>
        <w:div w:id="1534346036">
          <w:marLeft w:val="0"/>
          <w:marRight w:val="0"/>
          <w:marTop w:val="0"/>
          <w:marBottom w:val="0"/>
          <w:divBdr>
            <w:top w:val="none" w:sz="0" w:space="0" w:color="auto"/>
            <w:left w:val="none" w:sz="0" w:space="0" w:color="auto"/>
            <w:bottom w:val="none" w:sz="0" w:space="0" w:color="auto"/>
            <w:right w:val="none" w:sz="0" w:space="0" w:color="auto"/>
          </w:divBdr>
        </w:div>
      </w:divsChild>
    </w:div>
    <w:div w:id="1146093631">
      <w:bodyDiv w:val="1"/>
      <w:marLeft w:val="0"/>
      <w:marRight w:val="0"/>
      <w:marTop w:val="0"/>
      <w:marBottom w:val="0"/>
      <w:divBdr>
        <w:top w:val="none" w:sz="0" w:space="0" w:color="auto"/>
        <w:left w:val="none" w:sz="0" w:space="0" w:color="auto"/>
        <w:bottom w:val="none" w:sz="0" w:space="0" w:color="auto"/>
        <w:right w:val="none" w:sz="0" w:space="0" w:color="auto"/>
      </w:divBdr>
    </w:div>
    <w:div w:id="1482229011">
      <w:bodyDiv w:val="1"/>
      <w:marLeft w:val="0"/>
      <w:marRight w:val="0"/>
      <w:marTop w:val="0"/>
      <w:marBottom w:val="0"/>
      <w:divBdr>
        <w:top w:val="none" w:sz="0" w:space="0" w:color="auto"/>
        <w:left w:val="none" w:sz="0" w:space="0" w:color="auto"/>
        <w:bottom w:val="none" w:sz="0" w:space="0" w:color="auto"/>
        <w:right w:val="none" w:sz="0" w:space="0" w:color="auto"/>
      </w:divBdr>
      <w:divsChild>
        <w:div w:id="697656182">
          <w:marLeft w:val="0"/>
          <w:marRight w:val="0"/>
          <w:marTop w:val="0"/>
          <w:marBottom w:val="0"/>
          <w:divBdr>
            <w:top w:val="none" w:sz="0" w:space="0" w:color="auto"/>
            <w:left w:val="none" w:sz="0" w:space="0" w:color="auto"/>
            <w:bottom w:val="none" w:sz="0" w:space="0" w:color="auto"/>
            <w:right w:val="none" w:sz="0" w:space="0" w:color="auto"/>
          </w:divBdr>
          <w:divsChild>
            <w:div w:id="953903493">
              <w:marLeft w:val="-75"/>
              <w:marRight w:val="0"/>
              <w:marTop w:val="30"/>
              <w:marBottom w:val="30"/>
              <w:divBdr>
                <w:top w:val="none" w:sz="0" w:space="0" w:color="auto"/>
                <w:left w:val="none" w:sz="0" w:space="0" w:color="auto"/>
                <w:bottom w:val="none" w:sz="0" w:space="0" w:color="auto"/>
                <w:right w:val="none" w:sz="0" w:space="0" w:color="auto"/>
              </w:divBdr>
              <w:divsChild>
                <w:div w:id="44262857">
                  <w:marLeft w:val="0"/>
                  <w:marRight w:val="0"/>
                  <w:marTop w:val="0"/>
                  <w:marBottom w:val="0"/>
                  <w:divBdr>
                    <w:top w:val="none" w:sz="0" w:space="0" w:color="auto"/>
                    <w:left w:val="none" w:sz="0" w:space="0" w:color="auto"/>
                    <w:bottom w:val="none" w:sz="0" w:space="0" w:color="auto"/>
                    <w:right w:val="none" w:sz="0" w:space="0" w:color="auto"/>
                  </w:divBdr>
                  <w:divsChild>
                    <w:div w:id="503908463">
                      <w:marLeft w:val="0"/>
                      <w:marRight w:val="0"/>
                      <w:marTop w:val="0"/>
                      <w:marBottom w:val="0"/>
                      <w:divBdr>
                        <w:top w:val="none" w:sz="0" w:space="0" w:color="auto"/>
                        <w:left w:val="none" w:sz="0" w:space="0" w:color="auto"/>
                        <w:bottom w:val="none" w:sz="0" w:space="0" w:color="auto"/>
                        <w:right w:val="none" w:sz="0" w:space="0" w:color="auto"/>
                      </w:divBdr>
                    </w:div>
                  </w:divsChild>
                </w:div>
                <w:div w:id="44374448">
                  <w:marLeft w:val="0"/>
                  <w:marRight w:val="0"/>
                  <w:marTop w:val="0"/>
                  <w:marBottom w:val="0"/>
                  <w:divBdr>
                    <w:top w:val="none" w:sz="0" w:space="0" w:color="auto"/>
                    <w:left w:val="none" w:sz="0" w:space="0" w:color="auto"/>
                    <w:bottom w:val="none" w:sz="0" w:space="0" w:color="auto"/>
                    <w:right w:val="none" w:sz="0" w:space="0" w:color="auto"/>
                  </w:divBdr>
                  <w:divsChild>
                    <w:div w:id="475758337">
                      <w:marLeft w:val="0"/>
                      <w:marRight w:val="0"/>
                      <w:marTop w:val="0"/>
                      <w:marBottom w:val="0"/>
                      <w:divBdr>
                        <w:top w:val="none" w:sz="0" w:space="0" w:color="auto"/>
                        <w:left w:val="none" w:sz="0" w:space="0" w:color="auto"/>
                        <w:bottom w:val="none" w:sz="0" w:space="0" w:color="auto"/>
                        <w:right w:val="none" w:sz="0" w:space="0" w:color="auto"/>
                      </w:divBdr>
                    </w:div>
                  </w:divsChild>
                </w:div>
                <w:div w:id="117916699">
                  <w:marLeft w:val="0"/>
                  <w:marRight w:val="0"/>
                  <w:marTop w:val="0"/>
                  <w:marBottom w:val="0"/>
                  <w:divBdr>
                    <w:top w:val="none" w:sz="0" w:space="0" w:color="auto"/>
                    <w:left w:val="none" w:sz="0" w:space="0" w:color="auto"/>
                    <w:bottom w:val="none" w:sz="0" w:space="0" w:color="auto"/>
                    <w:right w:val="none" w:sz="0" w:space="0" w:color="auto"/>
                  </w:divBdr>
                  <w:divsChild>
                    <w:div w:id="1490561717">
                      <w:marLeft w:val="0"/>
                      <w:marRight w:val="0"/>
                      <w:marTop w:val="0"/>
                      <w:marBottom w:val="0"/>
                      <w:divBdr>
                        <w:top w:val="none" w:sz="0" w:space="0" w:color="auto"/>
                        <w:left w:val="none" w:sz="0" w:space="0" w:color="auto"/>
                        <w:bottom w:val="none" w:sz="0" w:space="0" w:color="auto"/>
                        <w:right w:val="none" w:sz="0" w:space="0" w:color="auto"/>
                      </w:divBdr>
                    </w:div>
                  </w:divsChild>
                </w:div>
                <w:div w:id="166750097">
                  <w:marLeft w:val="0"/>
                  <w:marRight w:val="0"/>
                  <w:marTop w:val="0"/>
                  <w:marBottom w:val="0"/>
                  <w:divBdr>
                    <w:top w:val="none" w:sz="0" w:space="0" w:color="auto"/>
                    <w:left w:val="none" w:sz="0" w:space="0" w:color="auto"/>
                    <w:bottom w:val="none" w:sz="0" w:space="0" w:color="auto"/>
                    <w:right w:val="none" w:sz="0" w:space="0" w:color="auto"/>
                  </w:divBdr>
                  <w:divsChild>
                    <w:div w:id="1371225379">
                      <w:marLeft w:val="0"/>
                      <w:marRight w:val="0"/>
                      <w:marTop w:val="0"/>
                      <w:marBottom w:val="0"/>
                      <w:divBdr>
                        <w:top w:val="none" w:sz="0" w:space="0" w:color="auto"/>
                        <w:left w:val="none" w:sz="0" w:space="0" w:color="auto"/>
                        <w:bottom w:val="none" w:sz="0" w:space="0" w:color="auto"/>
                        <w:right w:val="none" w:sz="0" w:space="0" w:color="auto"/>
                      </w:divBdr>
                    </w:div>
                  </w:divsChild>
                </w:div>
                <w:div w:id="196744211">
                  <w:marLeft w:val="0"/>
                  <w:marRight w:val="0"/>
                  <w:marTop w:val="0"/>
                  <w:marBottom w:val="0"/>
                  <w:divBdr>
                    <w:top w:val="none" w:sz="0" w:space="0" w:color="auto"/>
                    <w:left w:val="none" w:sz="0" w:space="0" w:color="auto"/>
                    <w:bottom w:val="none" w:sz="0" w:space="0" w:color="auto"/>
                    <w:right w:val="none" w:sz="0" w:space="0" w:color="auto"/>
                  </w:divBdr>
                  <w:divsChild>
                    <w:div w:id="965701170">
                      <w:marLeft w:val="0"/>
                      <w:marRight w:val="0"/>
                      <w:marTop w:val="0"/>
                      <w:marBottom w:val="0"/>
                      <w:divBdr>
                        <w:top w:val="none" w:sz="0" w:space="0" w:color="auto"/>
                        <w:left w:val="none" w:sz="0" w:space="0" w:color="auto"/>
                        <w:bottom w:val="none" w:sz="0" w:space="0" w:color="auto"/>
                        <w:right w:val="none" w:sz="0" w:space="0" w:color="auto"/>
                      </w:divBdr>
                    </w:div>
                  </w:divsChild>
                </w:div>
                <w:div w:id="277949615">
                  <w:marLeft w:val="0"/>
                  <w:marRight w:val="0"/>
                  <w:marTop w:val="0"/>
                  <w:marBottom w:val="0"/>
                  <w:divBdr>
                    <w:top w:val="none" w:sz="0" w:space="0" w:color="auto"/>
                    <w:left w:val="none" w:sz="0" w:space="0" w:color="auto"/>
                    <w:bottom w:val="none" w:sz="0" w:space="0" w:color="auto"/>
                    <w:right w:val="none" w:sz="0" w:space="0" w:color="auto"/>
                  </w:divBdr>
                  <w:divsChild>
                    <w:div w:id="1226136686">
                      <w:marLeft w:val="0"/>
                      <w:marRight w:val="0"/>
                      <w:marTop w:val="0"/>
                      <w:marBottom w:val="0"/>
                      <w:divBdr>
                        <w:top w:val="none" w:sz="0" w:space="0" w:color="auto"/>
                        <w:left w:val="none" w:sz="0" w:space="0" w:color="auto"/>
                        <w:bottom w:val="none" w:sz="0" w:space="0" w:color="auto"/>
                        <w:right w:val="none" w:sz="0" w:space="0" w:color="auto"/>
                      </w:divBdr>
                    </w:div>
                  </w:divsChild>
                </w:div>
                <w:div w:id="301271029">
                  <w:marLeft w:val="0"/>
                  <w:marRight w:val="0"/>
                  <w:marTop w:val="0"/>
                  <w:marBottom w:val="0"/>
                  <w:divBdr>
                    <w:top w:val="none" w:sz="0" w:space="0" w:color="auto"/>
                    <w:left w:val="none" w:sz="0" w:space="0" w:color="auto"/>
                    <w:bottom w:val="none" w:sz="0" w:space="0" w:color="auto"/>
                    <w:right w:val="none" w:sz="0" w:space="0" w:color="auto"/>
                  </w:divBdr>
                  <w:divsChild>
                    <w:div w:id="1141771145">
                      <w:marLeft w:val="0"/>
                      <w:marRight w:val="0"/>
                      <w:marTop w:val="0"/>
                      <w:marBottom w:val="0"/>
                      <w:divBdr>
                        <w:top w:val="none" w:sz="0" w:space="0" w:color="auto"/>
                        <w:left w:val="none" w:sz="0" w:space="0" w:color="auto"/>
                        <w:bottom w:val="none" w:sz="0" w:space="0" w:color="auto"/>
                        <w:right w:val="none" w:sz="0" w:space="0" w:color="auto"/>
                      </w:divBdr>
                    </w:div>
                  </w:divsChild>
                </w:div>
                <w:div w:id="330792436">
                  <w:marLeft w:val="0"/>
                  <w:marRight w:val="0"/>
                  <w:marTop w:val="0"/>
                  <w:marBottom w:val="0"/>
                  <w:divBdr>
                    <w:top w:val="none" w:sz="0" w:space="0" w:color="auto"/>
                    <w:left w:val="none" w:sz="0" w:space="0" w:color="auto"/>
                    <w:bottom w:val="none" w:sz="0" w:space="0" w:color="auto"/>
                    <w:right w:val="none" w:sz="0" w:space="0" w:color="auto"/>
                  </w:divBdr>
                  <w:divsChild>
                    <w:div w:id="2044013978">
                      <w:marLeft w:val="0"/>
                      <w:marRight w:val="0"/>
                      <w:marTop w:val="0"/>
                      <w:marBottom w:val="0"/>
                      <w:divBdr>
                        <w:top w:val="none" w:sz="0" w:space="0" w:color="auto"/>
                        <w:left w:val="none" w:sz="0" w:space="0" w:color="auto"/>
                        <w:bottom w:val="none" w:sz="0" w:space="0" w:color="auto"/>
                        <w:right w:val="none" w:sz="0" w:space="0" w:color="auto"/>
                      </w:divBdr>
                    </w:div>
                  </w:divsChild>
                </w:div>
                <w:div w:id="357901625">
                  <w:marLeft w:val="0"/>
                  <w:marRight w:val="0"/>
                  <w:marTop w:val="0"/>
                  <w:marBottom w:val="0"/>
                  <w:divBdr>
                    <w:top w:val="none" w:sz="0" w:space="0" w:color="auto"/>
                    <w:left w:val="none" w:sz="0" w:space="0" w:color="auto"/>
                    <w:bottom w:val="none" w:sz="0" w:space="0" w:color="auto"/>
                    <w:right w:val="none" w:sz="0" w:space="0" w:color="auto"/>
                  </w:divBdr>
                  <w:divsChild>
                    <w:div w:id="1516769375">
                      <w:marLeft w:val="0"/>
                      <w:marRight w:val="0"/>
                      <w:marTop w:val="0"/>
                      <w:marBottom w:val="0"/>
                      <w:divBdr>
                        <w:top w:val="none" w:sz="0" w:space="0" w:color="auto"/>
                        <w:left w:val="none" w:sz="0" w:space="0" w:color="auto"/>
                        <w:bottom w:val="none" w:sz="0" w:space="0" w:color="auto"/>
                        <w:right w:val="none" w:sz="0" w:space="0" w:color="auto"/>
                      </w:divBdr>
                    </w:div>
                  </w:divsChild>
                </w:div>
                <w:div w:id="361446463">
                  <w:marLeft w:val="0"/>
                  <w:marRight w:val="0"/>
                  <w:marTop w:val="0"/>
                  <w:marBottom w:val="0"/>
                  <w:divBdr>
                    <w:top w:val="none" w:sz="0" w:space="0" w:color="auto"/>
                    <w:left w:val="none" w:sz="0" w:space="0" w:color="auto"/>
                    <w:bottom w:val="none" w:sz="0" w:space="0" w:color="auto"/>
                    <w:right w:val="none" w:sz="0" w:space="0" w:color="auto"/>
                  </w:divBdr>
                  <w:divsChild>
                    <w:div w:id="1456942884">
                      <w:marLeft w:val="0"/>
                      <w:marRight w:val="0"/>
                      <w:marTop w:val="0"/>
                      <w:marBottom w:val="0"/>
                      <w:divBdr>
                        <w:top w:val="none" w:sz="0" w:space="0" w:color="auto"/>
                        <w:left w:val="none" w:sz="0" w:space="0" w:color="auto"/>
                        <w:bottom w:val="none" w:sz="0" w:space="0" w:color="auto"/>
                        <w:right w:val="none" w:sz="0" w:space="0" w:color="auto"/>
                      </w:divBdr>
                    </w:div>
                  </w:divsChild>
                </w:div>
                <w:div w:id="369451157">
                  <w:marLeft w:val="0"/>
                  <w:marRight w:val="0"/>
                  <w:marTop w:val="0"/>
                  <w:marBottom w:val="0"/>
                  <w:divBdr>
                    <w:top w:val="none" w:sz="0" w:space="0" w:color="auto"/>
                    <w:left w:val="none" w:sz="0" w:space="0" w:color="auto"/>
                    <w:bottom w:val="none" w:sz="0" w:space="0" w:color="auto"/>
                    <w:right w:val="none" w:sz="0" w:space="0" w:color="auto"/>
                  </w:divBdr>
                  <w:divsChild>
                    <w:div w:id="1169557305">
                      <w:marLeft w:val="0"/>
                      <w:marRight w:val="0"/>
                      <w:marTop w:val="0"/>
                      <w:marBottom w:val="0"/>
                      <w:divBdr>
                        <w:top w:val="none" w:sz="0" w:space="0" w:color="auto"/>
                        <w:left w:val="none" w:sz="0" w:space="0" w:color="auto"/>
                        <w:bottom w:val="none" w:sz="0" w:space="0" w:color="auto"/>
                        <w:right w:val="none" w:sz="0" w:space="0" w:color="auto"/>
                      </w:divBdr>
                    </w:div>
                  </w:divsChild>
                </w:div>
                <w:div w:id="374432307">
                  <w:marLeft w:val="0"/>
                  <w:marRight w:val="0"/>
                  <w:marTop w:val="0"/>
                  <w:marBottom w:val="0"/>
                  <w:divBdr>
                    <w:top w:val="none" w:sz="0" w:space="0" w:color="auto"/>
                    <w:left w:val="none" w:sz="0" w:space="0" w:color="auto"/>
                    <w:bottom w:val="none" w:sz="0" w:space="0" w:color="auto"/>
                    <w:right w:val="none" w:sz="0" w:space="0" w:color="auto"/>
                  </w:divBdr>
                  <w:divsChild>
                    <w:div w:id="1536888640">
                      <w:marLeft w:val="0"/>
                      <w:marRight w:val="0"/>
                      <w:marTop w:val="0"/>
                      <w:marBottom w:val="0"/>
                      <w:divBdr>
                        <w:top w:val="none" w:sz="0" w:space="0" w:color="auto"/>
                        <w:left w:val="none" w:sz="0" w:space="0" w:color="auto"/>
                        <w:bottom w:val="none" w:sz="0" w:space="0" w:color="auto"/>
                        <w:right w:val="none" w:sz="0" w:space="0" w:color="auto"/>
                      </w:divBdr>
                    </w:div>
                  </w:divsChild>
                </w:div>
                <w:div w:id="376196948">
                  <w:marLeft w:val="0"/>
                  <w:marRight w:val="0"/>
                  <w:marTop w:val="0"/>
                  <w:marBottom w:val="0"/>
                  <w:divBdr>
                    <w:top w:val="none" w:sz="0" w:space="0" w:color="auto"/>
                    <w:left w:val="none" w:sz="0" w:space="0" w:color="auto"/>
                    <w:bottom w:val="none" w:sz="0" w:space="0" w:color="auto"/>
                    <w:right w:val="none" w:sz="0" w:space="0" w:color="auto"/>
                  </w:divBdr>
                  <w:divsChild>
                    <w:div w:id="149909315">
                      <w:marLeft w:val="0"/>
                      <w:marRight w:val="0"/>
                      <w:marTop w:val="0"/>
                      <w:marBottom w:val="0"/>
                      <w:divBdr>
                        <w:top w:val="none" w:sz="0" w:space="0" w:color="auto"/>
                        <w:left w:val="none" w:sz="0" w:space="0" w:color="auto"/>
                        <w:bottom w:val="none" w:sz="0" w:space="0" w:color="auto"/>
                        <w:right w:val="none" w:sz="0" w:space="0" w:color="auto"/>
                      </w:divBdr>
                    </w:div>
                  </w:divsChild>
                </w:div>
                <w:div w:id="406999519">
                  <w:marLeft w:val="0"/>
                  <w:marRight w:val="0"/>
                  <w:marTop w:val="0"/>
                  <w:marBottom w:val="0"/>
                  <w:divBdr>
                    <w:top w:val="none" w:sz="0" w:space="0" w:color="auto"/>
                    <w:left w:val="none" w:sz="0" w:space="0" w:color="auto"/>
                    <w:bottom w:val="none" w:sz="0" w:space="0" w:color="auto"/>
                    <w:right w:val="none" w:sz="0" w:space="0" w:color="auto"/>
                  </w:divBdr>
                  <w:divsChild>
                    <w:div w:id="658122995">
                      <w:marLeft w:val="0"/>
                      <w:marRight w:val="0"/>
                      <w:marTop w:val="0"/>
                      <w:marBottom w:val="0"/>
                      <w:divBdr>
                        <w:top w:val="none" w:sz="0" w:space="0" w:color="auto"/>
                        <w:left w:val="none" w:sz="0" w:space="0" w:color="auto"/>
                        <w:bottom w:val="none" w:sz="0" w:space="0" w:color="auto"/>
                        <w:right w:val="none" w:sz="0" w:space="0" w:color="auto"/>
                      </w:divBdr>
                    </w:div>
                  </w:divsChild>
                </w:div>
                <w:div w:id="419102928">
                  <w:marLeft w:val="0"/>
                  <w:marRight w:val="0"/>
                  <w:marTop w:val="0"/>
                  <w:marBottom w:val="0"/>
                  <w:divBdr>
                    <w:top w:val="none" w:sz="0" w:space="0" w:color="auto"/>
                    <w:left w:val="none" w:sz="0" w:space="0" w:color="auto"/>
                    <w:bottom w:val="none" w:sz="0" w:space="0" w:color="auto"/>
                    <w:right w:val="none" w:sz="0" w:space="0" w:color="auto"/>
                  </w:divBdr>
                  <w:divsChild>
                    <w:div w:id="727607964">
                      <w:marLeft w:val="0"/>
                      <w:marRight w:val="0"/>
                      <w:marTop w:val="0"/>
                      <w:marBottom w:val="0"/>
                      <w:divBdr>
                        <w:top w:val="none" w:sz="0" w:space="0" w:color="auto"/>
                        <w:left w:val="none" w:sz="0" w:space="0" w:color="auto"/>
                        <w:bottom w:val="none" w:sz="0" w:space="0" w:color="auto"/>
                        <w:right w:val="none" w:sz="0" w:space="0" w:color="auto"/>
                      </w:divBdr>
                    </w:div>
                  </w:divsChild>
                </w:div>
                <w:div w:id="438791747">
                  <w:marLeft w:val="0"/>
                  <w:marRight w:val="0"/>
                  <w:marTop w:val="0"/>
                  <w:marBottom w:val="0"/>
                  <w:divBdr>
                    <w:top w:val="none" w:sz="0" w:space="0" w:color="auto"/>
                    <w:left w:val="none" w:sz="0" w:space="0" w:color="auto"/>
                    <w:bottom w:val="none" w:sz="0" w:space="0" w:color="auto"/>
                    <w:right w:val="none" w:sz="0" w:space="0" w:color="auto"/>
                  </w:divBdr>
                  <w:divsChild>
                    <w:div w:id="2118403554">
                      <w:marLeft w:val="0"/>
                      <w:marRight w:val="0"/>
                      <w:marTop w:val="0"/>
                      <w:marBottom w:val="0"/>
                      <w:divBdr>
                        <w:top w:val="none" w:sz="0" w:space="0" w:color="auto"/>
                        <w:left w:val="none" w:sz="0" w:space="0" w:color="auto"/>
                        <w:bottom w:val="none" w:sz="0" w:space="0" w:color="auto"/>
                        <w:right w:val="none" w:sz="0" w:space="0" w:color="auto"/>
                      </w:divBdr>
                    </w:div>
                  </w:divsChild>
                </w:div>
                <w:div w:id="455292933">
                  <w:marLeft w:val="0"/>
                  <w:marRight w:val="0"/>
                  <w:marTop w:val="0"/>
                  <w:marBottom w:val="0"/>
                  <w:divBdr>
                    <w:top w:val="none" w:sz="0" w:space="0" w:color="auto"/>
                    <w:left w:val="none" w:sz="0" w:space="0" w:color="auto"/>
                    <w:bottom w:val="none" w:sz="0" w:space="0" w:color="auto"/>
                    <w:right w:val="none" w:sz="0" w:space="0" w:color="auto"/>
                  </w:divBdr>
                  <w:divsChild>
                    <w:div w:id="1218129897">
                      <w:marLeft w:val="0"/>
                      <w:marRight w:val="0"/>
                      <w:marTop w:val="0"/>
                      <w:marBottom w:val="0"/>
                      <w:divBdr>
                        <w:top w:val="none" w:sz="0" w:space="0" w:color="auto"/>
                        <w:left w:val="none" w:sz="0" w:space="0" w:color="auto"/>
                        <w:bottom w:val="none" w:sz="0" w:space="0" w:color="auto"/>
                        <w:right w:val="none" w:sz="0" w:space="0" w:color="auto"/>
                      </w:divBdr>
                    </w:div>
                  </w:divsChild>
                </w:div>
                <w:div w:id="536351559">
                  <w:marLeft w:val="0"/>
                  <w:marRight w:val="0"/>
                  <w:marTop w:val="0"/>
                  <w:marBottom w:val="0"/>
                  <w:divBdr>
                    <w:top w:val="none" w:sz="0" w:space="0" w:color="auto"/>
                    <w:left w:val="none" w:sz="0" w:space="0" w:color="auto"/>
                    <w:bottom w:val="none" w:sz="0" w:space="0" w:color="auto"/>
                    <w:right w:val="none" w:sz="0" w:space="0" w:color="auto"/>
                  </w:divBdr>
                  <w:divsChild>
                    <w:div w:id="2041390851">
                      <w:marLeft w:val="0"/>
                      <w:marRight w:val="0"/>
                      <w:marTop w:val="0"/>
                      <w:marBottom w:val="0"/>
                      <w:divBdr>
                        <w:top w:val="none" w:sz="0" w:space="0" w:color="auto"/>
                        <w:left w:val="none" w:sz="0" w:space="0" w:color="auto"/>
                        <w:bottom w:val="none" w:sz="0" w:space="0" w:color="auto"/>
                        <w:right w:val="none" w:sz="0" w:space="0" w:color="auto"/>
                      </w:divBdr>
                    </w:div>
                  </w:divsChild>
                </w:div>
                <w:div w:id="545416386">
                  <w:marLeft w:val="0"/>
                  <w:marRight w:val="0"/>
                  <w:marTop w:val="0"/>
                  <w:marBottom w:val="0"/>
                  <w:divBdr>
                    <w:top w:val="none" w:sz="0" w:space="0" w:color="auto"/>
                    <w:left w:val="none" w:sz="0" w:space="0" w:color="auto"/>
                    <w:bottom w:val="none" w:sz="0" w:space="0" w:color="auto"/>
                    <w:right w:val="none" w:sz="0" w:space="0" w:color="auto"/>
                  </w:divBdr>
                  <w:divsChild>
                    <w:div w:id="274363468">
                      <w:marLeft w:val="0"/>
                      <w:marRight w:val="0"/>
                      <w:marTop w:val="0"/>
                      <w:marBottom w:val="0"/>
                      <w:divBdr>
                        <w:top w:val="none" w:sz="0" w:space="0" w:color="auto"/>
                        <w:left w:val="none" w:sz="0" w:space="0" w:color="auto"/>
                        <w:bottom w:val="none" w:sz="0" w:space="0" w:color="auto"/>
                        <w:right w:val="none" w:sz="0" w:space="0" w:color="auto"/>
                      </w:divBdr>
                    </w:div>
                  </w:divsChild>
                </w:div>
                <w:div w:id="630407271">
                  <w:marLeft w:val="0"/>
                  <w:marRight w:val="0"/>
                  <w:marTop w:val="0"/>
                  <w:marBottom w:val="0"/>
                  <w:divBdr>
                    <w:top w:val="none" w:sz="0" w:space="0" w:color="auto"/>
                    <w:left w:val="none" w:sz="0" w:space="0" w:color="auto"/>
                    <w:bottom w:val="none" w:sz="0" w:space="0" w:color="auto"/>
                    <w:right w:val="none" w:sz="0" w:space="0" w:color="auto"/>
                  </w:divBdr>
                  <w:divsChild>
                    <w:div w:id="1789158561">
                      <w:marLeft w:val="0"/>
                      <w:marRight w:val="0"/>
                      <w:marTop w:val="0"/>
                      <w:marBottom w:val="0"/>
                      <w:divBdr>
                        <w:top w:val="none" w:sz="0" w:space="0" w:color="auto"/>
                        <w:left w:val="none" w:sz="0" w:space="0" w:color="auto"/>
                        <w:bottom w:val="none" w:sz="0" w:space="0" w:color="auto"/>
                        <w:right w:val="none" w:sz="0" w:space="0" w:color="auto"/>
                      </w:divBdr>
                    </w:div>
                  </w:divsChild>
                </w:div>
                <w:div w:id="710617805">
                  <w:marLeft w:val="0"/>
                  <w:marRight w:val="0"/>
                  <w:marTop w:val="0"/>
                  <w:marBottom w:val="0"/>
                  <w:divBdr>
                    <w:top w:val="none" w:sz="0" w:space="0" w:color="auto"/>
                    <w:left w:val="none" w:sz="0" w:space="0" w:color="auto"/>
                    <w:bottom w:val="none" w:sz="0" w:space="0" w:color="auto"/>
                    <w:right w:val="none" w:sz="0" w:space="0" w:color="auto"/>
                  </w:divBdr>
                  <w:divsChild>
                    <w:div w:id="1340615394">
                      <w:marLeft w:val="0"/>
                      <w:marRight w:val="0"/>
                      <w:marTop w:val="0"/>
                      <w:marBottom w:val="0"/>
                      <w:divBdr>
                        <w:top w:val="none" w:sz="0" w:space="0" w:color="auto"/>
                        <w:left w:val="none" w:sz="0" w:space="0" w:color="auto"/>
                        <w:bottom w:val="none" w:sz="0" w:space="0" w:color="auto"/>
                        <w:right w:val="none" w:sz="0" w:space="0" w:color="auto"/>
                      </w:divBdr>
                    </w:div>
                  </w:divsChild>
                </w:div>
                <w:div w:id="784740635">
                  <w:marLeft w:val="0"/>
                  <w:marRight w:val="0"/>
                  <w:marTop w:val="0"/>
                  <w:marBottom w:val="0"/>
                  <w:divBdr>
                    <w:top w:val="none" w:sz="0" w:space="0" w:color="auto"/>
                    <w:left w:val="none" w:sz="0" w:space="0" w:color="auto"/>
                    <w:bottom w:val="none" w:sz="0" w:space="0" w:color="auto"/>
                    <w:right w:val="none" w:sz="0" w:space="0" w:color="auto"/>
                  </w:divBdr>
                  <w:divsChild>
                    <w:div w:id="1586960403">
                      <w:marLeft w:val="0"/>
                      <w:marRight w:val="0"/>
                      <w:marTop w:val="0"/>
                      <w:marBottom w:val="0"/>
                      <w:divBdr>
                        <w:top w:val="none" w:sz="0" w:space="0" w:color="auto"/>
                        <w:left w:val="none" w:sz="0" w:space="0" w:color="auto"/>
                        <w:bottom w:val="none" w:sz="0" w:space="0" w:color="auto"/>
                        <w:right w:val="none" w:sz="0" w:space="0" w:color="auto"/>
                      </w:divBdr>
                    </w:div>
                  </w:divsChild>
                </w:div>
                <w:div w:id="797064514">
                  <w:marLeft w:val="0"/>
                  <w:marRight w:val="0"/>
                  <w:marTop w:val="0"/>
                  <w:marBottom w:val="0"/>
                  <w:divBdr>
                    <w:top w:val="none" w:sz="0" w:space="0" w:color="auto"/>
                    <w:left w:val="none" w:sz="0" w:space="0" w:color="auto"/>
                    <w:bottom w:val="none" w:sz="0" w:space="0" w:color="auto"/>
                    <w:right w:val="none" w:sz="0" w:space="0" w:color="auto"/>
                  </w:divBdr>
                  <w:divsChild>
                    <w:div w:id="1927104712">
                      <w:marLeft w:val="0"/>
                      <w:marRight w:val="0"/>
                      <w:marTop w:val="0"/>
                      <w:marBottom w:val="0"/>
                      <w:divBdr>
                        <w:top w:val="none" w:sz="0" w:space="0" w:color="auto"/>
                        <w:left w:val="none" w:sz="0" w:space="0" w:color="auto"/>
                        <w:bottom w:val="none" w:sz="0" w:space="0" w:color="auto"/>
                        <w:right w:val="none" w:sz="0" w:space="0" w:color="auto"/>
                      </w:divBdr>
                    </w:div>
                  </w:divsChild>
                </w:div>
                <w:div w:id="818231462">
                  <w:marLeft w:val="0"/>
                  <w:marRight w:val="0"/>
                  <w:marTop w:val="0"/>
                  <w:marBottom w:val="0"/>
                  <w:divBdr>
                    <w:top w:val="none" w:sz="0" w:space="0" w:color="auto"/>
                    <w:left w:val="none" w:sz="0" w:space="0" w:color="auto"/>
                    <w:bottom w:val="none" w:sz="0" w:space="0" w:color="auto"/>
                    <w:right w:val="none" w:sz="0" w:space="0" w:color="auto"/>
                  </w:divBdr>
                  <w:divsChild>
                    <w:div w:id="1957372958">
                      <w:marLeft w:val="0"/>
                      <w:marRight w:val="0"/>
                      <w:marTop w:val="0"/>
                      <w:marBottom w:val="0"/>
                      <w:divBdr>
                        <w:top w:val="none" w:sz="0" w:space="0" w:color="auto"/>
                        <w:left w:val="none" w:sz="0" w:space="0" w:color="auto"/>
                        <w:bottom w:val="none" w:sz="0" w:space="0" w:color="auto"/>
                        <w:right w:val="none" w:sz="0" w:space="0" w:color="auto"/>
                      </w:divBdr>
                    </w:div>
                  </w:divsChild>
                </w:div>
                <w:div w:id="832601812">
                  <w:marLeft w:val="0"/>
                  <w:marRight w:val="0"/>
                  <w:marTop w:val="0"/>
                  <w:marBottom w:val="0"/>
                  <w:divBdr>
                    <w:top w:val="none" w:sz="0" w:space="0" w:color="auto"/>
                    <w:left w:val="none" w:sz="0" w:space="0" w:color="auto"/>
                    <w:bottom w:val="none" w:sz="0" w:space="0" w:color="auto"/>
                    <w:right w:val="none" w:sz="0" w:space="0" w:color="auto"/>
                  </w:divBdr>
                  <w:divsChild>
                    <w:div w:id="830677112">
                      <w:marLeft w:val="0"/>
                      <w:marRight w:val="0"/>
                      <w:marTop w:val="0"/>
                      <w:marBottom w:val="0"/>
                      <w:divBdr>
                        <w:top w:val="none" w:sz="0" w:space="0" w:color="auto"/>
                        <w:left w:val="none" w:sz="0" w:space="0" w:color="auto"/>
                        <w:bottom w:val="none" w:sz="0" w:space="0" w:color="auto"/>
                        <w:right w:val="none" w:sz="0" w:space="0" w:color="auto"/>
                      </w:divBdr>
                    </w:div>
                  </w:divsChild>
                </w:div>
                <w:div w:id="926227088">
                  <w:marLeft w:val="0"/>
                  <w:marRight w:val="0"/>
                  <w:marTop w:val="0"/>
                  <w:marBottom w:val="0"/>
                  <w:divBdr>
                    <w:top w:val="none" w:sz="0" w:space="0" w:color="auto"/>
                    <w:left w:val="none" w:sz="0" w:space="0" w:color="auto"/>
                    <w:bottom w:val="none" w:sz="0" w:space="0" w:color="auto"/>
                    <w:right w:val="none" w:sz="0" w:space="0" w:color="auto"/>
                  </w:divBdr>
                  <w:divsChild>
                    <w:div w:id="150876055">
                      <w:marLeft w:val="0"/>
                      <w:marRight w:val="0"/>
                      <w:marTop w:val="0"/>
                      <w:marBottom w:val="0"/>
                      <w:divBdr>
                        <w:top w:val="none" w:sz="0" w:space="0" w:color="auto"/>
                        <w:left w:val="none" w:sz="0" w:space="0" w:color="auto"/>
                        <w:bottom w:val="none" w:sz="0" w:space="0" w:color="auto"/>
                        <w:right w:val="none" w:sz="0" w:space="0" w:color="auto"/>
                      </w:divBdr>
                    </w:div>
                  </w:divsChild>
                </w:div>
                <w:div w:id="946354628">
                  <w:marLeft w:val="0"/>
                  <w:marRight w:val="0"/>
                  <w:marTop w:val="0"/>
                  <w:marBottom w:val="0"/>
                  <w:divBdr>
                    <w:top w:val="none" w:sz="0" w:space="0" w:color="auto"/>
                    <w:left w:val="none" w:sz="0" w:space="0" w:color="auto"/>
                    <w:bottom w:val="none" w:sz="0" w:space="0" w:color="auto"/>
                    <w:right w:val="none" w:sz="0" w:space="0" w:color="auto"/>
                  </w:divBdr>
                  <w:divsChild>
                    <w:div w:id="1721706930">
                      <w:marLeft w:val="0"/>
                      <w:marRight w:val="0"/>
                      <w:marTop w:val="0"/>
                      <w:marBottom w:val="0"/>
                      <w:divBdr>
                        <w:top w:val="none" w:sz="0" w:space="0" w:color="auto"/>
                        <w:left w:val="none" w:sz="0" w:space="0" w:color="auto"/>
                        <w:bottom w:val="none" w:sz="0" w:space="0" w:color="auto"/>
                        <w:right w:val="none" w:sz="0" w:space="0" w:color="auto"/>
                      </w:divBdr>
                    </w:div>
                  </w:divsChild>
                </w:div>
                <w:div w:id="1022508625">
                  <w:marLeft w:val="0"/>
                  <w:marRight w:val="0"/>
                  <w:marTop w:val="0"/>
                  <w:marBottom w:val="0"/>
                  <w:divBdr>
                    <w:top w:val="none" w:sz="0" w:space="0" w:color="auto"/>
                    <w:left w:val="none" w:sz="0" w:space="0" w:color="auto"/>
                    <w:bottom w:val="none" w:sz="0" w:space="0" w:color="auto"/>
                    <w:right w:val="none" w:sz="0" w:space="0" w:color="auto"/>
                  </w:divBdr>
                  <w:divsChild>
                    <w:div w:id="986668457">
                      <w:marLeft w:val="0"/>
                      <w:marRight w:val="0"/>
                      <w:marTop w:val="0"/>
                      <w:marBottom w:val="0"/>
                      <w:divBdr>
                        <w:top w:val="none" w:sz="0" w:space="0" w:color="auto"/>
                        <w:left w:val="none" w:sz="0" w:space="0" w:color="auto"/>
                        <w:bottom w:val="none" w:sz="0" w:space="0" w:color="auto"/>
                        <w:right w:val="none" w:sz="0" w:space="0" w:color="auto"/>
                      </w:divBdr>
                    </w:div>
                  </w:divsChild>
                </w:div>
                <w:div w:id="1064333472">
                  <w:marLeft w:val="0"/>
                  <w:marRight w:val="0"/>
                  <w:marTop w:val="0"/>
                  <w:marBottom w:val="0"/>
                  <w:divBdr>
                    <w:top w:val="none" w:sz="0" w:space="0" w:color="auto"/>
                    <w:left w:val="none" w:sz="0" w:space="0" w:color="auto"/>
                    <w:bottom w:val="none" w:sz="0" w:space="0" w:color="auto"/>
                    <w:right w:val="none" w:sz="0" w:space="0" w:color="auto"/>
                  </w:divBdr>
                  <w:divsChild>
                    <w:div w:id="1556700168">
                      <w:marLeft w:val="0"/>
                      <w:marRight w:val="0"/>
                      <w:marTop w:val="0"/>
                      <w:marBottom w:val="0"/>
                      <w:divBdr>
                        <w:top w:val="none" w:sz="0" w:space="0" w:color="auto"/>
                        <w:left w:val="none" w:sz="0" w:space="0" w:color="auto"/>
                        <w:bottom w:val="none" w:sz="0" w:space="0" w:color="auto"/>
                        <w:right w:val="none" w:sz="0" w:space="0" w:color="auto"/>
                      </w:divBdr>
                    </w:div>
                  </w:divsChild>
                </w:div>
                <w:div w:id="1169055103">
                  <w:marLeft w:val="0"/>
                  <w:marRight w:val="0"/>
                  <w:marTop w:val="0"/>
                  <w:marBottom w:val="0"/>
                  <w:divBdr>
                    <w:top w:val="none" w:sz="0" w:space="0" w:color="auto"/>
                    <w:left w:val="none" w:sz="0" w:space="0" w:color="auto"/>
                    <w:bottom w:val="none" w:sz="0" w:space="0" w:color="auto"/>
                    <w:right w:val="none" w:sz="0" w:space="0" w:color="auto"/>
                  </w:divBdr>
                  <w:divsChild>
                    <w:div w:id="688722717">
                      <w:marLeft w:val="0"/>
                      <w:marRight w:val="0"/>
                      <w:marTop w:val="0"/>
                      <w:marBottom w:val="0"/>
                      <w:divBdr>
                        <w:top w:val="none" w:sz="0" w:space="0" w:color="auto"/>
                        <w:left w:val="none" w:sz="0" w:space="0" w:color="auto"/>
                        <w:bottom w:val="none" w:sz="0" w:space="0" w:color="auto"/>
                        <w:right w:val="none" w:sz="0" w:space="0" w:color="auto"/>
                      </w:divBdr>
                    </w:div>
                  </w:divsChild>
                </w:div>
                <w:div w:id="1179656027">
                  <w:marLeft w:val="0"/>
                  <w:marRight w:val="0"/>
                  <w:marTop w:val="0"/>
                  <w:marBottom w:val="0"/>
                  <w:divBdr>
                    <w:top w:val="none" w:sz="0" w:space="0" w:color="auto"/>
                    <w:left w:val="none" w:sz="0" w:space="0" w:color="auto"/>
                    <w:bottom w:val="none" w:sz="0" w:space="0" w:color="auto"/>
                    <w:right w:val="none" w:sz="0" w:space="0" w:color="auto"/>
                  </w:divBdr>
                  <w:divsChild>
                    <w:div w:id="367488997">
                      <w:marLeft w:val="0"/>
                      <w:marRight w:val="0"/>
                      <w:marTop w:val="0"/>
                      <w:marBottom w:val="0"/>
                      <w:divBdr>
                        <w:top w:val="none" w:sz="0" w:space="0" w:color="auto"/>
                        <w:left w:val="none" w:sz="0" w:space="0" w:color="auto"/>
                        <w:bottom w:val="none" w:sz="0" w:space="0" w:color="auto"/>
                        <w:right w:val="none" w:sz="0" w:space="0" w:color="auto"/>
                      </w:divBdr>
                    </w:div>
                  </w:divsChild>
                </w:div>
                <w:div w:id="1185823557">
                  <w:marLeft w:val="0"/>
                  <w:marRight w:val="0"/>
                  <w:marTop w:val="0"/>
                  <w:marBottom w:val="0"/>
                  <w:divBdr>
                    <w:top w:val="none" w:sz="0" w:space="0" w:color="auto"/>
                    <w:left w:val="none" w:sz="0" w:space="0" w:color="auto"/>
                    <w:bottom w:val="none" w:sz="0" w:space="0" w:color="auto"/>
                    <w:right w:val="none" w:sz="0" w:space="0" w:color="auto"/>
                  </w:divBdr>
                  <w:divsChild>
                    <w:div w:id="375666377">
                      <w:marLeft w:val="0"/>
                      <w:marRight w:val="0"/>
                      <w:marTop w:val="0"/>
                      <w:marBottom w:val="0"/>
                      <w:divBdr>
                        <w:top w:val="none" w:sz="0" w:space="0" w:color="auto"/>
                        <w:left w:val="none" w:sz="0" w:space="0" w:color="auto"/>
                        <w:bottom w:val="none" w:sz="0" w:space="0" w:color="auto"/>
                        <w:right w:val="none" w:sz="0" w:space="0" w:color="auto"/>
                      </w:divBdr>
                    </w:div>
                  </w:divsChild>
                </w:div>
                <w:div w:id="1280838651">
                  <w:marLeft w:val="0"/>
                  <w:marRight w:val="0"/>
                  <w:marTop w:val="0"/>
                  <w:marBottom w:val="0"/>
                  <w:divBdr>
                    <w:top w:val="none" w:sz="0" w:space="0" w:color="auto"/>
                    <w:left w:val="none" w:sz="0" w:space="0" w:color="auto"/>
                    <w:bottom w:val="none" w:sz="0" w:space="0" w:color="auto"/>
                    <w:right w:val="none" w:sz="0" w:space="0" w:color="auto"/>
                  </w:divBdr>
                  <w:divsChild>
                    <w:div w:id="834804446">
                      <w:marLeft w:val="0"/>
                      <w:marRight w:val="0"/>
                      <w:marTop w:val="0"/>
                      <w:marBottom w:val="0"/>
                      <w:divBdr>
                        <w:top w:val="none" w:sz="0" w:space="0" w:color="auto"/>
                        <w:left w:val="none" w:sz="0" w:space="0" w:color="auto"/>
                        <w:bottom w:val="none" w:sz="0" w:space="0" w:color="auto"/>
                        <w:right w:val="none" w:sz="0" w:space="0" w:color="auto"/>
                      </w:divBdr>
                    </w:div>
                  </w:divsChild>
                </w:div>
                <w:div w:id="1299191157">
                  <w:marLeft w:val="0"/>
                  <w:marRight w:val="0"/>
                  <w:marTop w:val="0"/>
                  <w:marBottom w:val="0"/>
                  <w:divBdr>
                    <w:top w:val="none" w:sz="0" w:space="0" w:color="auto"/>
                    <w:left w:val="none" w:sz="0" w:space="0" w:color="auto"/>
                    <w:bottom w:val="none" w:sz="0" w:space="0" w:color="auto"/>
                    <w:right w:val="none" w:sz="0" w:space="0" w:color="auto"/>
                  </w:divBdr>
                  <w:divsChild>
                    <w:div w:id="1267810274">
                      <w:marLeft w:val="0"/>
                      <w:marRight w:val="0"/>
                      <w:marTop w:val="0"/>
                      <w:marBottom w:val="0"/>
                      <w:divBdr>
                        <w:top w:val="none" w:sz="0" w:space="0" w:color="auto"/>
                        <w:left w:val="none" w:sz="0" w:space="0" w:color="auto"/>
                        <w:bottom w:val="none" w:sz="0" w:space="0" w:color="auto"/>
                        <w:right w:val="none" w:sz="0" w:space="0" w:color="auto"/>
                      </w:divBdr>
                    </w:div>
                  </w:divsChild>
                </w:div>
                <w:div w:id="1333800812">
                  <w:marLeft w:val="0"/>
                  <w:marRight w:val="0"/>
                  <w:marTop w:val="0"/>
                  <w:marBottom w:val="0"/>
                  <w:divBdr>
                    <w:top w:val="none" w:sz="0" w:space="0" w:color="auto"/>
                    <w:left w:val="none" w:sz="0" w:space="0" w:color="auto"/>
                    <w:bottom w:val="none" w:sz="0" w:space="0" w:color="auto"/>
                    <w:right w:val="none" w:sz="0" w:space="0" w:color="auto"/>
                  </w:divBdr>
                  <w:divsChild>
                    <w:div w:id="1322857291">
                      <w:marLeft w:val="0"/>
                      <w:marRight w:val="0"/>
                      <w:marTop w:val="0"/>
                      <w:marBottom w:val="0"/>
                      <w:divBdr>
                        <w:top w:val="none" w:sz="0" w:space="0" w:color="auto"/>
                        <w:left w:val="none" w:sz="0" w:space="0" w:color="auto"/>
                        <w:bottom w:val="none" w:sz="0" w:space="0" w:color="auto"/>
                        <w:right w:val="none" w:sz="0" w:space="0" w:color="auto"/>
                      </w:divBdr>
                    </w:div>
                  </w:divsChild>
                </w:div>
                <w:div w:id="1529104390">
                  <w:marLeft w:val="0"/>
                  <w:marRight w:val="0"/>
                  <w:marTop w:val="0"/>
                  <w:marBottom w:val="0"/>
                  <w:divBdr>
                    <w:top w:val="none" w:sz="0" w:space="0" w:color="auto"/>
                    <w:left w:val="none" w:sz="0" w:space="0" w:color="auto"/>
                    <w:bottom w:val="none" w:sz="0" w:space="0" w:color="auto"/>
                    <w:right w:val="none" w:sz="0" w:space="0" w:color="auto"/>
                  </w:divBdr>
                  <w:divsChild>
                    <w:div w:id="1100643813">
                      <w:marLeft w:val="0"/>
                      <w:marRight w:val="0"/>
                      <w:marTop w:val="0"/>
                      <w:marBottom w:val="0"/>
                      <w:divBdr>
                        <w:top w:val="none" w:sz="0" w:space="0" w:color="auto"/>
                        <w:left w:val="none" w:sz="0" w:space="0" w:color="auto"/>
                        <w:bottom w:val="none" w:sz="0" w:space="0" w:color="auto"/>
                        <w:right w:val="none" w:sz="0" w:space="0" w:color="auto"/>
                      </w:divBdr>
                    </w:div>
                  </w:divsChild>
                </w:div>
                <w:div w:id="1530022460">
                  <w:marLeft w:val="0"/>
                  <w:marRight w:val="0"/>
                  <w:marTop w:val="0"/>
                  <w:marBottom w:val="0"/>
                  <w:divBdr>
                    <w:top w:val="none" w:sz="0" w:space="0" w:color="auto"/>
                    <w:left w:val="none" w:sz="0" w:space="0" w:color="auto"/>
                    <w:bottom w:val="none" w:sz="0" w:space="0" w:color="auto"/>
                    <w:right w:val="none" w:sz="0" w:space="0" w:color="auto"/>
                  </w:divBdr>
                  <w:divsChild>
                    <w:div w:id="308755195">
                      <w:marLeft w:val="0"/>
                      <w:marRight w:val="0"/>
                      <w:marTop w:val="0"/>
                      <w:marBottom w:val="0"/>
                      <w:divBdr>
                        <w:top w:val="none" w:sz="0" w:space="0" w:color="auto"/>
                        <w:left w:val="none" w:sz="0" w:space="0" w:color="auto"/>
                        <w:bottom w:val="none" w:sz="0" w:space="0" w:color="auto"/>
                        <w:right w:val="none" w:sz="0" w:space="0" w:color="auto"/>
                      </w:divBdr>
                    </w:div>
                  </w:divsChild>
                </w:div>
                <w:div w:id="1539584403">
                  <w:marLeft w:val="0"/>
                  <w:marRight w:val="0"/>
                  <w:marTop w:val="0"/>
                  <w:marBottom w:val="0"/>
                  <w:divBdr>
                    <w:top w:val="none" w:sz="0" w:space="0" w:color="auto"/>
                    <w:left w:val="none" w:sz="0" w:space="0" w:color="auto"/>
                    <w:bottom w:val="none" w:sz="0" w:space="0" w:color="auto"/>
                    <w:right w:val="none" w:sz="0" w:space="0" w:color="auto"/>
                  </w:divBdr>
                  <w:divsChild>
                    <w:div w:id="1914467899">
                      <w:marLeft w:val="0"/>
                      <w:marRight w:val="0"/>
                      <w:marTop w:val="0"/>
                      <w:marBottom w:val="0"/>
                      <w:divBdr>
                        <w:top w:val="none" w:sz="0" w:space="0" w:color="auto"/>
                        <w:left w:val="none" w:sz="0" w:space="0" w:color="auto"/>
                        <w:bottom w:val="none" w:sz="0" w:space="0" w:color="auto"/>
                        <w:right w:val="none" w:sz="0" w:space="0" w:color="auto"/>
                      </w:divBdr>
                    </w:div>
                  </w:divsChild>
                </w:div>
                <w:div w:id="1550453173">
                  <w:marLeft w:val="0"/>
                  <w:marRight w:val="0"/>
                  <w:marTop w:val="0"/>
                  <w:marBottom w:val="0"/>
                  <w:divBdr>
                    <w:top w:val="none" w:sz="0" w:space="0" w:color="auto"/>
                    <w:left w:val="none" w:sz="0" w:space="0" w:color="auto"/>
                    <w:bottom w:val="none" w:sz="0" w:space="0" w:color="auto"/>
                    <w:right w:val="none" w:sz="0" w:space="0" w:color="auto"/>
                  </w:divBdr>
                  <w:divsChild>
                    <w:div w:id="702898919">
                      <w:marLeft w:val="0"/>
                      <w:marRight w:val="0"/>
                      <w:marTop w:val="0"/>
                      <w:marBottom w:val="0"/>
                      <w:divBdr>
                        <w:top w:val="none" w:sz="0" w:space="0" w:color="auto"/>
                        <w:left w:val="none" w:sz="0" w:space="0" w:color="auto"/>
                        <w:bottom w:val="none" w:sz="0" w:space="0" w:color="auto"/>
                        <w:right w:val="none" w:sz="0" w:space="0" w:color="auto"/>
                      </w:divBdr>
                    </w:div>
                  </w:divsChild>
                </w:div>
                <w:div w:id="1596404769">
                  <w:marLeft w:val="0"/>
                  <w:marRight w:val="0"/>
                  <w:marTop w:val="0"/>
                  <w:marBottom w:val="0"/>
                  <w:divBdr>
                    <w:top w:val="none" w:sz="0" w:space="0" w:color="auto"/>
                    <w:left w:val="none" w:sz="0" w:space="0" w:color="auto"/>
                    <w:bottom w:val="none" w:sz="0" w:space="0" w:color="auto"/>
                    <w:right w:val="none" w:sz="0" w:space="0" w:color="auto"/>
                  </w:divBdr>
                  <w:divsChild>
                    <w:div w:id="1500926057">
                      <w:marLeft w:val="0"/>
                      <w:marRight w:val="0"/>
                      <w:marTop w:val="0"/>
                      <w:marBottom w:val="0"/>
                      <w:divBdr>
                        <w:top w:val="none" w:sz="0" w:space="0" w:color="auto"/>
                        <w:left w:val="none" w:sz="0" w:space="0" w:color="auto"/>
                        <w:bottom w:val="none" w:sz="0" w:space="0" w:color="auto"/>
                        <w:right w:val="none" w:sz="0" w:space="0" w:color="auto"/>
                      </w:divBdr>
                    </w:div>
                  </w:divsChild>
                </w:div>
                <w:div w:id="1614752360">
                  <w:marLeft w:val="0"/>
                  <w:marRight w:val="0"/>
                  <w:marTop w:val="0"/>
                  <w:marBottom w:val="0"/>
                  <w:divBdr>
                    <w:top w:val="none" w:sz="0" w:space="0" w:color="auto"/>
                    <w:left w:val="none" w:sz="0" w:space="0" w:color="auto"/>
                    <w:bottom w:val="none" w:sz="0" w:space="0" w:color="auto"/>
                    <w:right w:val="none" w:sz="0" w:space="0" w:color="auto"/>
                  </w:divBdr>
                  <w:divsChild>
                    <w:div w:id="1182546600">
                      <w:marLeft w:val="0"/>
                      <w:marRight w:val="0"/>
                      <w:marTop w:val="0"/>
                      <w:marBottom w:val="0"/>
                      <w:divBdr>
                        <w:top w:val="none" w:sz="0" w:space="0" w:color="auto"/>
                        <w:left w:val="none" w:sz="0" w:space="0" w:color="auto"/>
                        <w:bottom w:val="none" w:sz="0" w:space="0" w:color="auto"/>
                        <w:right w:val="none" w:sz="0" w:space="0" w:color="auto"/>
                      </w:divBdr>
                    </w:div>
                  </w:divsChild>
                </w:div>
                <w:div w:id="1617442971">
                  <w:marLeft w:val="0"/>
                  <w:marRight w:val="0"/>
                  <w:marTop w:val="0"/>
                  <w:marBottom w:val="0"/>
                  <w:divBdr>
                    <w:top w:val="none" w:sz="0" w:space="0" w:color="auto"/>
                    <w:left w:val="none" w:sz="0" w:space="0" w:color="auto"/>
                    <w:bottom w:val="none" w:sz="0" w:space="0" w:color="auto"/>
                    <w:right w:val="none" w:sz="0" w:space="0" w:color="auto"/>
                  </w:divBdr>
                  <w:divsChild>
                    <w:div w:id="2144536085">
                      <w:marLeft w:val="0"/>
                      <w:marRight w:val="0"/>
                      <w:marTop w:val="0"/>
                      <w:marBottom w:val="0"/>
                      <w:divBdr>
                        <w:top w:val="none" w:sz="0" w:space="0" w:color="auto"/>
                        <w:left w:val="none" w:sz="0" w:space="0" w:color="auto"/>
                        <w:bottom w:val="none" w:sz="0" w:space="0" w:color="auto"/>
                        <w:right w:val="none" w:sz="0" w:space="0" w:color="auto"/>
                      </w:divBdr>
                    </w:div>
                  </w:divsChild>
                </w:div>
                <w:div w:id="1697535044">
                  <w:marLeft w:val="0"/>
                  <w:marRight w:val="0"/>
                  <w:marTop w:val="0"/>
                  <w:marBottom w:val="0"/>
                  <w:divBdr>
                    <w:top w:val="none" w:sz="0" w:space="0" w:color="auto"/>
                    <w:left w:val="none" w:sz="0" w:space="0" w:color="auto"/>
                    <w:bottom w:val="none" w:sz="0" w:space="0" w:color="auto"/>
                    <w:right w:val="none" w:sz="0" w:space="0" w:color="auto"/>
                  </w:divBdr>
                  <w:divsChild>
                    <w:div w:id="626594323">
                      <w:marLeft w:val="0"/>
                      <w:marRight w:val="0"/>
                      <w:marTop w:val="0"/>
                      <w:marBottom w:val="0"/>
                      <w:divBdr>
                        <w:top w:val="none" w:sz="0" w:space="0" w:color="auto"/>
                        <w:left w:val="none" w:sz="0" w:space="0" w:color="auto"/>
                        <w:bottom w:val="none" w:sz="0" w:space="0" w:color="auto"/>
                        <w:right w:val="none" w:sz="0" w:space="0" w:color="auto"/>
                      </w:divBdr>
                    </w:div>
                  </w:divsChild>
                </w:div>
                <w:div w:id="1708291750">
                  <w:marLeft w:val="0"/>
                  <w:marRight w:val="0"/>
                  <w:marTop w:val="0"/>
                  <w:marBottom w:val="0"/>
                  <w:divBdr>
                    <w:top w:val="none" w:sz="0" w:space="0" w:color="auto"/>
                    <w:left w:val="none" w:sz="0" w:space="0" w:color="auto"/>
                    <w:bottom w:val="none" w:sz="0" w:space="0" w:color="auto"/>
                    <w:right w:val="none" w:sz="0" w:space="0" w:color="auto"/>
                  </w:divBdr>
                  <w:divsChild>
                    <w:div w:id="835072249">
                      <w:marLeft w:val="0"/>
                      <w:marRight w:val="0"/>
                      <w:marTop w:val="0"/>
                      <w:marBottom w:val="0"/>
                      <w:divBdr>
                        <w:top w:val="none" w:sz="0" w:space="0" w:color="auto"/>
                        <w:left w:val="none" w:sz="0" w:space="0" w:color="auto"/>
                        <w:bottom w:val="none" w:sz="0" w:space="0" w:color="auto"/>
                        <w:right w:val="none" w:sz="0" w:space="0" w:color="auto"/>
                      </w:divBdr>
                    </w:div>
                  </w:divsChild>
                </w:div>
                <w:div w:id="1780761849">
                  <w:marLeft w:val="0"/>
                  <w:marRight w:val="0"/>
                  <w:marTop w:val="0"/>
                  <w:marBottom w:val="0"/>
                  <w:divBdr>
                    <w:top w:val="none" w:sz="0" w:space="0" w:color="auto"/>
                    <w:left w:val="none" w:sz="0" w:space="0" w:color="auto"/>
                    <w:bottom w:val="none" w:sz="0" w:space="0" w:color="auto"/>
                    <w:right w:val="none" w:sz="0" w:space="0" w:color="auto"/>
                  </w:divBdr>
                  <w:divsChild>
                    <w:div w:id="265423819">
                      <w:marLeft w:val="0"/>
                      <w:marRight w:val="0"/>
                      <w:marTop w:val="0"/>
                      <w:marBottom w:val="0"/>
                      <w:divBdr>
                        <w:top w:val="none" w:sz="0" w:space="0" w:color="auto"/>
                        <w:left w:val="none" w:sz="0" w:space="0" w:color="auto"/>
                        <w:bottom w:val="none" w:sz="0" w:space="0" w:color="auto"/>
                        <w:right w:val="none" w:sz="0" w:space="0" w:color="auto"/>
                      </w:divBdr>
                    </w:div>
                  </w:divsChild>
                </w:div>
                <w:div w:id="1899591861">
                  <w:marLeft w:val="0"/>
                  <w:marRight w:val="0"/>
                  <w:marTop w:val="0"/>
                  <w:marBottom w:val="0"/>
                  <w:divBdr>
                    <w:top w:val="none" w:sz="0" w:space="0" w:color="auto"/>
                    <w:left w:val="none" w:sz="0" w:space="0" w:color="auto"/>
                    <w:bottom w:val="none" w:sz="0" w:space="0" w:color="auto"/>
                    <w:right w:val="none" w:sz="0" w:space="0" w:color="auto"/>
                  </w:divBdr>
                  <w:divsChild>
                    <w:div w:id="1014190969">
                      <w:marLeft w:val="0"/>
                      <w:marRight w:val="0"/>
                      <w:marTop w:val="0"/>
                      <w:marBottom w:val="0"/>
                      <w:divBdr>
                        <w:top w:val="none" w:sz="0" w:space="0" w:color="auto"/>
                        <w:left w:val="none" w:sz="0" w:space="0" w:color="auto"/>
                        <w:bottom w:val="none" w:sz="0" w:space="0" w:color="auto"/>
                        <w:right w:val="none" w:sz="0" w:space="0" w:color="auto"/>
                      </w:divBdr>
                    </w:div>
                  </w:divsChild>
                </w:div>
                <w:div w:id="1932741672">
                  <w:marLeft w:val="0"/>
                  <w:marRight w:val="0"/>
                  <w:marTop w:val="0"/>
                  <w:marBottom w:val="0"/>
                  <w:divBdr>
                    <w:top w:val="none" w:sz="0" w:space="0" w:color="auto"/>
                    <w:left w:val="none" w:sz="0" w:space="0" w:color="auto"/>
                    <w:bottom w:val="none" w:sz="0" w:space="0" w:color="auto"/>
                    <w:right w:val="none" w:sz="0" w:space="0" w:color="auto"/>
                  </w:divBdr>
                  <w:divsChild>
                    <w:div w:id="992835986">
                      <w:marLeft w:val="0"/>
                      <w:marRight w:val="0"/>
                      <w:marTop w:val="0"/>
                      <w:marBottom w:val="0"/>
                      <w:divBdr>
                        <w:top w:val="none" w:sz="0" w:space="0" w:color="auto"/>
                        <w:left w:val="none" w:sz="0" w:space="0" w:color="auto"/>
                        <w:bottom w:val="none" w:sz="0" w:space="0" w:color="auto"/>
                        <w:right w:val="none" w:sz="0" w:space="0" w:color="auto"/>
                      </w:divBdr>
                    </w:div>
                  </w:divsChild>
                </w:div>
                <w:div w:id="1991321261">
                  <w:marLeft w:val="0"/>
                  <w:marRight w:val="0"/>
                  <w:marTop w:val="0"/>
                  <w:marBottom w:val="0"/>
                  <w:divBdr>
                    <w:top w:val="none" w:sz="0" w:space="0" w:color="auto"/>
                    <w:left w:val="none" w:sz="0" w:space="0" w:color="auto"/>
                    <w:bottom w:val="none" w:sz="0" w:space="0" w:color="auto"/>
                    <w:right w:val="none" w:sz="0" w:space="0" w:color="auto"/>
                  </w:divBdr>
                  <w:divsChild>
                    <w:div w:id="952126969">
                      <w:marLeft w:val="0"/>
                      <w:marRight w:val="0"/>
                      <w:marTop w:val="0"/>
                      <w:marBottom w:val="0"/>
                      <w:divBdr>
                        <w:top w:val="none" w:sz="0" w:space="0" w:color="auto"/>
                        <w:left w:val="none" w:sz="0" w:space="0" w:color="auto"/>
                        <w:bottom w:val="none" w:sz="0" w:space="0" w:color="auto"/>
                        <w:right w:val="none" w:sz="0" w:space="0" w:color="auto"/>
                      </w:divBdr>
                    </w:div>
                  </w:divsChild>
                </w:div>
                <w:div w:id="2005283207">
                  <w:marLeft w:val="0"/>
                  <w:marRight w:val="0"/>
                  <w:marTop w:val="0"/>
                  <w:marBottom w:val="0"/>
                  <w:divBdr>
                    <w:top w:val="none" w:sz="0" w:space="0" w:color="auto"/>
                    <w:left w:val="none" w:sz="0" w:space="0" w:color="auto"/>
                    <w:bottom w:val="none" w:sz="0" w:space="0" w:color="auto"/>
                    <w:right w:val="none" w:sz="0" w:space="0" w:color="auto"/>
                  </w:divBdr>
                  <w:divsChild>
                    <w:div w:id="2074545546">
                      <w:marLeft w:val="0"/>
                      <w:marRight w:val="0"/>
                      <w:marTop w:val="0"/>
                      <w:marBottom w:val="0"/>
                      <w:divBdr>
                        <w:top w:val="none" w:sz="0" w:space="0" w:color="auto"/>
                        <w:left w:val="none" w:sz="0" w:space="0" w:color="auto"/>
                        <w:bottom w:val="none" w:sz="0" w:space="0" w:color="auto"/>
                        <w:right w:val="none" w:sz="0" w:space="0" w:color="auto"/>
                      </w:divBdr>
                    </w:div>
                  </w:divsChild>
                </w:div>
                <w:div w:id="2008560405">
                  <w:marLeft w:val="0"/>
                  <w:marRight w:val="0"/>
                  <w:marTop w:val="0"/>
                  <w:marBottom w:val="0"/>
                  <w:divBdr>
                    <w:top w:val="none" w:sz="0" w:space="0" w:color="auto"/>
                    <w:left w:val="none" w:sz="0" w:space="0" w:color="auto"/>
                    <w:bottom w:val="none" w:sz="0" w:space="0" w:color="auto"/>
                    <w:right w:val="none" w:sz="0" w:space="0" w:color="auto"/>
                  </w:divBdr>
                  <w:divsChild>
                    <w:div w:id="625816376">
                      <w:marLeft w:val="0"/>
                      <w:marRight w:val="0"/>
                      <w:marTop w:val="0"/>
                      <w:marBottom w:val="0"/>
                      <w:divBdr>
                        <w:top w:val="none" w:sz="0" w:space="0" w:color="auto"/>
                        <w:left w:val="none" w:sz="0" w:space="0" w:color="auto"/>
                        <w:bottom w:val="none" w:sz="0" w:space="0" w:color="auto"/>
                        <w:right w:val="none" w:sz="0" w:space="0" w:color="auto"/>
                      </w:divBdr>
                    </w:div>
                  </w:divsChild>
                </w:div>
                <w:div w:id="2010252582">
                  <w:marLeft w:val="0"/>
                  <w:marRight w:val="0"/>
                  <w:marTop w:val="0"/>
                  <w:marBottom w:val="0"/>
                  <w:divBdr>
                    <w:top w:val="none" w:sz="0" w:space="0" w:color="auto"/>
                    <w:left w:val="none" w:sz="0" w:space="0" w:color="auto"/>
                    <w:bottom w:val="none" w:sz="0" w:space="0" w:color="auto"/>
                    <w:right w:val="none" w:sz="0" w:space="0" w:color="auto"/>
                  </w:divBdr>
                  <w:divsChild>
                    <w:div w:id="1403605064">
                      <w:marLeft w:val="0"/>
                      <w:marRight w:val="0"/>
                      <w:marTop w:val="0"/>
                      <w:marBottom w:val="0"/>
                      <w:divBdr>
                        <w:top w:val="none" w:sz="0" w:space="0" w:color="auto"/>
                        <w:left w:val="none" w:sz="0" w:space="0" w:color="auto"/>
                        <w:bottom w:val="none" w:sz="0" w:space="0" w:color="auto"/>
                        <w:right w:val="none" w:sz="0" w:space="0" w:color="auto"/>
                      </w:divBdr>
                    </w:div>
                  </w:divsChild>
                </w:div>
                <w:div w:id="2011129908">
                  <w:marLeft w:val="0"/>
                  <w:marRight w:val="0"/>
                  <w:marTop w:val="0"/>
                  <w:marBottom w:val="0"/>
                  <w:divBdr>
                    <w:top w:val="none" w:sz="0" w:space="0" w:color="auto"/>
                    <w:left w:val="none" w:sz="0" w:space="0" w:color="auto"/>
                    <w:bottom w:val="none" w:sz="0" w:space="0" w:color="auto"/>
                    <w:right w:val="none" w:sz="0" w:space="0" w:color="auto"/>
                  </w:divBdr>
                  <w:divsChild>
                    <w:div w:id="745687155">
                      <w:marLeft w:val="0"/>
                      <w:marRight w:val="0"/>
                      <w:marTop w:val="0"/>
                      <w:marBottom w:val="0"/>
                      <w:divBdr>
                        <w:top w:val="none" w:sz="0" w:space="0" w:color="auto"/>
                        <w:left w:val="none" w:sz="0" w:space="0" w:color="auto"/>
                        <w:bottom w:val="none" w:sz="0" w:space="0" w:color="auto"/>
                        <w:right w:val="none" w:sz="0" w:space="0" w:color="auto"/>
                      </w:divBdr>
                    </w:div>
                  </w:divsChild>
                </w:div>
                <w:div w:id="2097702741">
                  <w:marLeft w:val="0"/>
                  <w:marRight w:val="0"/>
                  <w:marTop w:val="0"/>
                  <w:marBottom w:val="0"/>
                  <w:divBdr>
                    <w:top w:val="none" w:sz="0" w:space="0" w:color="auto"/>
                    <w:left w:val="none" w:sz="0" w:space="0" w:color="auto"/>
                    <w:bottom w:val="none" w:sz="0" w:space="0" w:color="auto"/>
                    <w:right w:val="none" w:sz="0" w:space="0" w:color="auto"/>
                  </w:divBdr>
                  <w:divsChild>
                    <w:div w:id="1174370823">
                      <w:marLeft w:val="0"/>
                      <w:marRight w:val="0"/>
                      <w:marTop w:val="0"/>
                      <w:marBottom w:val="0"/>
                      <w:divBdr>
                        <w:top w:val="none" w:sz="0" w:space="0" w:color="auto"/>
                        <w:left w:val="none" w:sz="0" w:space="0" w:color="auto"/>
                        <w:bottom w:val="none" w:sz="0" w:space="0" w:color="auto"/>
                        <w:right w:val="none" w:sz="0" w:space="0" w:color="auto"/>
                      </w:divBdr>
                    </w:div>
                  </w:divsChild>
                </w:div>
                <w:div w:id="2104646147">
                  <w:marLeft w:val="0"/>
                  <w:marRight w:val="0"/>
                  <w:marTop w:val="0"/>
                  <w:marBottom w:val="0"/>
                  <w:divBdr>
                    <w:top w:val="none" w:sz="0" w:space="0" w:color="auto"/>
                    <w:left w:val="none" w:sz="0" w:space="0" w:color="auto"/>
                    <w:bottom w:val="none" w:sz="0" w:space="0" w:color="auto"/>
                    <w:right w:val="none" w:sz="0" w:space="0" w:color="auto"/>
                  </w:divBdr>
                  <w:divsChild>
                    <w:div w:id="2104647453">
                      <w:marLeft w:val="0"/>
                      <w:marRight w:val="0"/>
                      <w:marTop w:val="0"/>
                      <w:marBottom w:val="0"/>
                      <w:divBdr>
                        <w:top w:val="none" w:sz="0" w:space="0" w:color="auto"/>
                        <w:left w:val="none" w:sz="0" w:space="0" w:color="auto"/>
                        <w:bottom w:val="none" w:sz="0" w:space="0" w:color="auto"/>
                        <w:right w:val="none" w:sz="0" w:space="0" w:color="auto"/>
                      </w:divBdr>
                    </w:div>
                  </w:divsChild>
                </w:div>
                <w:div w:id="2140755311">
                  <w:marLeft w:val="0"/>
                  <w:marRight w:val="0"/>
                  <w:marTop w:val="0"/>
                  <w:marBottom w:val="0"/>
                  <w:divBdr>
                    <w:top w:val="none" w:sz="0" w:space="0" w:color="auto"/>
                    <w:left w:val="none" w:sz="0" w:space="0" w:color="auto"/>
                    <w:bottom w:val="none" w:sz="0" w:space="0" w:color="auto"/>
                    <w:right w:val="none" w:sz="0" w:space="0" w:color="auto"/>
                  </w:divBdr>
                  <w:divsChild>
                    <w:div w:id="10927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047557">
          <w:marLeft w:val="0"/>
          <w:marRight w:val="0"/>
          <w:marTop w:val="0"/>
          <w:marBottom w:val="0"/>
          <w:divBdr>
            <w:top w:val="none" w:sz="0" w:space="0" w:color="auto"/>
            <w:left w:val="none" w:sz="0" w:space="0" w:color="auto"/>
            <w:bottom w:val="none" w:sz="0" w:space="0" w:color="auto"/>
            <w:right w:val="none" w:sz="0" w:space="0" w:color="auto"/>
          </w:divBdr>
        </w:div>
        <w:div w:id="2012222149">
          <w:marLeft w:val="0"/>
          <w:marRight w:val="0"/>
          <w:marTop w:val="0"/>
          <w:marBottom w:val="0"/>
          <w:divBdr>
            <w:top w:val="none" w:sz="0" w:space="0" w:color="auto"/>
            <w:left w:val="none" w:sz="0" w:space="0" w:color="auto"/>
            <w:bottom w:val="none" w:sz="0" w:space="0" w:color="auto"/>
            <w:right w:val="none" w:sz="0" w:space="0" w:color="auto"/>
          </w:divBdr>
        </w:div>
      </w:divsChild>
    </w:div>
    <w:div w:id="1510214928">
      <w:bodyDiv w:val="1"/>
      <w:marLeft w:val="0"/>
      <w:marRight w:val="0"/>
      <w:marTop w:val="0"/>
      <w:marBottom w:val="0"/>
      <w:divBdr>
        <w:top w:val="none" w:sz="0" w:space="0" w:color="auto"/>
        <w:left w:val="none" w:sz="0" w:space="0" w:color="auto"/>
        <w:bottom w:val="none" w:sz="0" w:space="0" w:color="auto"/>
        <w:right w:val="none" w:sz="0" w:space="0" w:color="auto"/>
      </w:divBdr>
      <w:divsChild>
        <w:div w:id="281228544">
          <w:marLeft w:val="0"/>
          <w:marRight w:val="0"/>
          <w:marTop w:val="0"/>
          <w:marBottom w:val="0"/>
          <w:divBdr>
            <w:top w:val="none" w:sz="0" w:space="0" w:color="auto"/>
            <w:left w:val="none" w:sz="0" w:space="0" w:color="auto"/>
            <w:bottom w:val="none" w:sz="0" w:space="0" w:color="auto"/>
            <w:right w:val="none" w:sz="0" w:space="0" w:color="auto"/>
          </w:divBdr>
        </w:div>
        <w:div w:id="471870623">
          <w:marLeft w:val="0"/>
          <w:marRight w:val="0"/>
          <w:marTop w:val="0"/>
          <w:marBottom w:val="0"/>
          <w:divBdr>
            <w:top w:val="none" w:sz="0" w:space="0" w:color="auto"/>
            <w:left w:val="none" w:sz="0" w:space="0" w:color="auto"/>
            <w:bottom w:val="none" w:sz="0" w:space="0" w:color="auto"/>
            <w:right w:val="none" w:sz="0" w:space="0" w:color="auto"/>
          </w:divBdr>
        </w:div>
        <w:div w:id="774136431">
          <w:marLeft w:val="0"/>
          <w:marRight w:val="0"/>
          <w:marTop w:val="0"/>
          <w:marBottom w:val="0"/>
          <w:divBdr>
            <w:top w:val="none" w:sz="0" w:space="0" w:color="auto"/>
            <w:left w:val="none" w:sz="0" w:space="0" w:color="auto"/>
            <w:bottom w:val="none" w:sz="0" w:space="0" w:color="auto"/>
            <w:right w:val="none" w:sz="0" w:space="0" w:color="auto"/>
          </w:divBdr>
        </w:div>
        <w:div w:id="902838349">
          <w:marLeft w:val="0"/>
          <w:marRight w:val="0"/>
          <w:marTop w:val="0"/>
          <w:marBottom w:val="0"/>
          <w:divBdr>
            <w:top w:val="none" w:sz="0" w:space="0" w:color="auto"/>
            <w:left w:val="none" w:sz="0" w:space="0" w:color="auto"/>
            <w:bottom w:val="none" w:sz="0" w:space="0" w:color="auto"/>
            <w:right w:val="none" w:sz="0" w:space="0" w:color="auto"/>
          </w:divBdr>
        </w:div>
        <w:div w:id="1419401629">
          <w:marLeft w:val="0"/>
          <w:marRight w:val="0"/>
          <w:marTop w:val="0"/>
          <w:marBottom w:val="0"/>
          <w:divBdr>
            <w:top w:val="none" w:sz="0" w:space="0" w:color="auto"/>
            <w:left w:val="none" w:sz="0" w:space="0" w:color="auto"/>
            <w:bottom w:val="none" w:sz="0" w:space="0" w:color="auto"/>
            <w:right w:val="none" w:sz="0" w:space="0" w:color="auto"/>
          </w:divBdr>
        </w:div>
        <w:div w:id="1864245920">
          <w:marLeft w:val="0"/>
          <w:marRight w:val="0"/>
          <w:marTop w:val="0"/>
          <w:marBottom w:val="0"/>
          <w:divBdr>
            <w:top w:val="none" w:sz="0" w:space="0" w:color="auto"/>
            <w:left w:val="none" w:sz="0" w:space="0" w:color="auto"/>
            <w:bottom w:val="none" w:sz="0" w:space="0" w:color="auto"/>
            <w:right w:val="none" w:sz="0" w:space="0" w:color="auto"/>
          </w:divBdr>
        </w:div>
      </w:divsChild>
    </w:div>
    <w:div w:id="181576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hyperlink" Target="https://docs.cpuc.ca.gov/PublishedDocs/Published/G000/M503/K914/503914324.PDF" TargetMode="External"/><Relationship Id="rId21" Type="http://schemas.openxmlformats.org/officeDocument/2006/relationships/hyperlink" Target="https://docs.cpuc.ca.gov/PublishedDocs/Published/G000/M531/K559/531559739.PDF" TargetMode="External"/><Relationship Id="rId42" Type="http://schemas.openxmlformats.org/officeDocument/2006/relationships/hyperlink" Target="https://docs.cpuc.ca.gov/PublishedDocs/Published/G000/M461/K921/461921821.PDF" TargetMode="External"/><Relationship Id="rId47" Type="http://schemas.openxmlformats.org/officeDocument/2006/relationships/hyperlink" Target="https://docs.cpuc.ca.gov/PublishedDocs/Published/G000/M507/K499/507499284.PDF" TargetMode="External"/><Relationship Id="rId63" Type="http://schemas.openxmlformats.org/officeDocument/2006/relationships/hyperlink" Target="https://docs.cpuc.ca.gov/PublishedDocs/Published/G000/M081/K773/81773445.PDF" TargetMode="External"/><Relationship Id="rId68" Type="http://schemas.openxmlformats.org/officeDocument/2006/relationships/header" Target="header7.xml"/><Relationship Id="rId84" Type="http://schemas.openxmlformats.org/officeDocument/2006/relationships/hyperlink" Target="https://docs.cpuc.ca.gov/PublishedDocs/Published/G000/M503/K914/503914324.PDF" TargetMode="External"/><Relationship Id="rId89" Type="http://schemas.openxmlformats.org/officeDocument/2006/relationships/hyperlink" Target="https://docs.cpuc.ca.gov/PublishedDocs/Published/G000/M503/K914/503914324.PDF" TargetMode="External"/><Relationship Id="rId112" Type="http://schemas.openxmlformats.org/officeDocument/2006/relationships/hyperlink" Target="https://docs.cpuc.ca.gov/PublishedDocs/Published/G000/M503/K914/503914324.PDF" TargetMode="External"/><Relationship Id="rId16" Type="http://schemas.openxmlformats.org/officeDocument/2006/relationships/hyperlink" Target="https://docs.cpuc.ca.gov/word_pdf/FINAL_RESOLUTION/63130.pdf" TargetMode="External"/><Relationship Id="rId107" Type="http://schemas.openxmlformats.org/officeDocument/2006/relationships/hyperlink" Target="https://www.energy.ca.gov/data-reports/reports/energy-research-and-development-investment-plans-and-annual-reports" TargetMode="External"/><Relationship Id="rId11" Type="http://schemas.openxmlformats.org/officeDocument/2006/relationships/image" Target="media/image1.png"/><Relationship Id="rId32" Type="http://schemas.openxmlformats.org/officeDocument/2006/relationships/hyperlink" Target="https://docs.cpuc.ca.gov/PublishedDocs/Published/G000/M461/K921/461921821.PDF" TargetMode="External"/><Relationship Id="rId37" Type="http://schemas.openxmlformats.org/officeDocument/2006/relationships/hyperlink" Target="https://docs.cpuc.ca.gov/PublishedDocs/Published/G000/M507/K499/507499284.PDF" TargetMode="External"/><Relationship Id="rId53" Type="http://schemas.openxmlformats.org/officeDocument/2006/relationships/hyperlink" Target="https://docs.cpuc.ca.gov/PublishedDocs/Published/G000/M372/K329/372329202.PDF" TargetMode="External"/><Relationship Id="rId58" Type="http://schemas.openxmlformats.org/officeDocument/2006/relationships/hyperlink" Target="https://docs.cpuc.ca.gov/PublishedDocs/Published/G000/M520/K896/520896345.pdf" TargetMode="External"/><Relationship Id="rId74" Type="http://schemas.openxmlformats.org/officeDocument/2006/relationships/hyperlink" Target="https://docs.cpuc.ca.gov/PublishedDocs/WORD_PDF/FINAL_DECISION/39314.PDF" TargetMode="External"/><Relationship Id="rId79" Type="http://schemas.openxmlformats.org/officeDocument/2006/relationships/hyperlink" Target="https://docs.cpuc.ca.gov/PublishedDocs/Published/G000/M350/K789/350789679.PDF" TargetMode="External"/><Relationship Id="rId102" Type="http://schemas.openxmlformats.org/officeDocument/2006/relationships/hyperlink" Target="https://docs.cpuc.ca.gov/PublishedDocs/WORD_PDF/FINAL_DECISION/39314.PDF" TargetMode="External"/><Relationship Id="rId123" Type="http://schemas.openxmlformats.org/officeDocument/2006/relationships/hyperlink" Target="https://docs.cpuc.ca.gov/PublishedDocs/Published/G000/M531/K559/531559739.PDF" TargetMode="External"/><Relationship Id="rId5" Type="http://schemas.openxmlformats.org/officeDocument/2006/relationships/numbering" Target="numbering.xml"/><Relationship Id="rId90" Type="http://schemas.openxmlformats.org/officeDocument/2006/relationships/hyperlink" Target="https://docs.cpuc.ca.gov/PublishedDocs/Published/G000/M503/K914/503914324.PDF" TargetMode="External"/><Relationship Id="rId95" Type="http://schemas.openxmlformats.org/officeDocument/2006/relationships/footer" Target="footer15.xml"/><Relationship Id="rId22" Type="http://schemas.openxmlformats.org/officeDocument/2006/relationships/footer" Target="footer3.xml"/><Relationship Id="rId27" Type="http://schemas.openxmlformats.org/officeDocument/2006/relationships/footer" Target="footer6.xml"/><Relationship Id="rId43" Type="http://schemas.openxmlformats.org/officeDocument/2006/relationships/hyperlink" Target="https://docs.cpuc.ca.gov/PublishedDocs/Published/G000/M503/K914/503914324.PDF" TargetMode="External"/><Relationship Id="rId48" Type="http://schemas.openxmlformats.org/officeDocument/2006/relationships/hyperlink" Target="https://docs.cpuc.ca.gov/PublishedDocs/Published/G000/M461/K921/461921821.PDF" TargetMode="External"/><Relationship Id="rId64" Type="http://schemas.openxmlformats.org/officeDocument/2006/relationships/footer" Target="footer9.xml"/><Relationship Id="rId69" Type="http://schemas.openxmlformats.org/officeDocument/2006/relationships/footer" Target="footer13.xml"/><Relationship Id="rId113" Type="http://schemas.openxmlformats.org/officeDocument/2006/relationships/hyperlink" Target="https://docs.cpuc.ca.gov/PublishedDocs/Published/G000/M503/K914/503914324.PDF" TargetMode="External"/><Relationship Id="rId118" Type="http://schemas.openxmlformats.org/officeDocument/2006/relationships/hyperlink" Target="https://docs.cpuc.ca.gov/PublishedDocs/Published/G000/M070/K145/70145464.PDF" TargetMode="External"/><Relationship Id="rId80" Type="http://schemas.openxmlformats.org/officeDocument/2006/relationships/hyperlink" Target="https://www.energy.ca.gov/data-reports/reports/energy-research-and-development-investment-plans-and-annual-reports." TargetMode="External"/><Relationship Id="rId85" Type="http://schemas.openxmlformats.org/officeDocument/2006/relationships/hyperlink" Target="https://docs.cpuc.ca.gov/PublishedDocs/Published/G000/M503/K914/503914324.PDF" TargetMode="External"/><Relationship Id="rId12" Type="http://schemas.openxmlformats.org/officeDocument/2006/relationships/header" Target="header1.xml"/><Relationship Id="rId17" Type="http://schemas.openxmlformats.org/officeDocument/2006/relationships/hyperlink" Target="https://docs.cpuc.ca.gov/PublishedDocs/Published/G000/M070/K145/70145464.PDF" TargetMode="External"/><Relationship Id="rId33" Type="http://schemas.openxmlformats.org/officeDocument/2006/relationships/hyperlink" Target="https://docs.cpuc.ca.gov/PublishedDocs/Published/G000/M503/K914/503914324.PDF" TargetMode="External"/><Relationship Id="rId38" Type="http://schemas.openxmlformats.org/officeDocument/2006/relationships/hyperlink" Target="https://docs.cpuc.ca.gov/PublishedDocs/Published/G000/M372/K329/372329202.PDF" TargetMode="External"/><Relationship Id="rId59" Type="http://schemas.openxmlformats.org/officeDocument/2006/relationships/header" Target="header5.xml"/><Relationship Id="rId103" Type="http://schemas.openxmlformats.org/officeDocument/2006/relationships/hyperlink" Target="https://docs.cpuc.ca.gov/PublishedDocs/WORD_PDF/FINAL_DECISION/39314.PDF" TargetMode="External"/><Relationship Id="rId108" Type="http://schemas.openxmlformats.org/officeDocument/2006/relationships/hyperlink" Target="https://docs.cpuc.ca.gov/PublishedDocs/Published/G000/M350/K789/350789679.PDF" TargetMode="External"/><Relationship Id="rId124" Type="http://schemas.openxmlformats.org/officeDocument/2006/relationships/hyperlink" Target="https://docs.cpuc.ca.gov/PublishedDocs/Published/G000/M531/K559/531559739.PDF" TargetMode="External"/><Relationship Id="rId54" Type="http://schemas.openxmlformats.org/officeDocument/2006/relationships/hyperlink" Target="https://docs.cpuc.ca.gov/PublishedDocs/Published/G000/M461/K921/461921821.PDF" TargetMode="External"/><Relationship Id="rId70" Type="http://schemas.openxmlformats.org/officeDocument/2006/relationships/footer" Target="footer14.xml"/><Relationship Id="rId75" Type="http://schemas.openxmlformats.org/officeDocument/2006/relationships/hyperlink" Target="https://docs.cpuc.ca.gov/PublishedDocs/WORD_PDF/FINAL_DECISION/39314.PDF" TargetMode="External"/><Relationship Id="rId91" Type="http://schemas.openxmlformats.org/officeDocument/2006/relationships/hyperlink" Target="https://docs.cpuc.ca.gov/PublishedDocs/Published/G000/M070/K145/70145464.PDF" TargetMode="External"/><Relationship Id="rId96" Type="http://schemas.openxmlformats.org/officeDocument/2006/relationships/hyperlink" Target="https://docs.cpuc.ca.gov/PublishedDocs/Published/G000/M531/K559/531559739.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3.xml"/><Relationship Id="rId28" Type="http://schemas.openxmlformats.org/officeDocument/2006/relationships/hyperlink" Target="https://docs.cpuc.ca.gov/PublishedDocs/Published/G000/M316/K704/316704666.PDF" TargetMode="External"/><Relationship Id="rId49" Type="http://schemas.openxmlformats.org/officeDocument/2006/relationships/hyperlink" Target="https://docs.cpuc.ca.gov/PublishedDocs/Published/G000/M520/K896/520896345.pdf" TargetMode="External"/><Relationship Id="rId114" Type="http://schemas.openxmlformats.org/officeDocument/2006/relationships/hyperlink" Target="https://docs.cpuc.ca.gov/PublishedDocs/Published/G000/M531/K559/531559739.PDF" TargetMode="External"/><Relationship Id="rId119" Type="http://schemas.openxmlformats.org/officeDocument/2006/relationships/hyperlink" Target="https://docs.cpuc.ca.gov/PublishedDocs/Published/G000/M531/K559/531559739.PDF" TargetMode="External"/><Relationship Id="rId44" Type="http://schemas.openxmlformats.org/officeDocument/2006/relationships/hyperlink" Target="https://docs.cpuc.ca.gov/PublishedDocs/Published/G000/M521/K196/521196139.PDF" TargetMode="External"/><Relationship Id="rId60" Type="http://schemas.openxmlformats.org/officeDocument/2006/relationships/footer" Target="footer7.xml"/><Relationship Id="rId65" Type="http://schemas.openxmlformats.org/officeDocument/2006/relationships/footer" Target="footer10.xml"/><Relationship Id="rId81" Type="http://schemas.openxmlformats.org/officeDocument/2006/relationships/hyperlink" Target="https://docs.cpuc.ca.gov/PublishedDocs/Published/G000/M350/K789/350789679.PDF" TargetMode="External"/><Relationship Id="rId86" Type="http://schemas.openxmlformats.org/officeDocument/2006/relationships/hyperlink" Target="https://docs.cpuc.ca.gov/PublishedDocs/Published/G000/M503/K914/503914324.PDF" TargetMode="External"/><Relationship Id="rId13" Type="http://schemas.openxmlformats.org/officeDocument/2006/relationships/footer" Target="footer1.xml"/><Relationship Id="rId18" Type="http://schemas.openxmlformats.org/officeDocument/2006/relationships/hyperlink" Target="https://docs.cpuc.ca.gov/PublishedDocs/Published/G000/M350/K789/350789679.PDF" TargetMode="External"/><Relationship Id="rId39" Type="http://schemas.openxmlformats.org/officeDocument/2006/relationships/hyperlink" Target="https://docs.cpuc.ca.gov/PublishedDocs/Published/G000/M521/K196/521196139.PDF" TargetMode="External"/><Relationship Id="rId109" Type="http://schemas.openxmlformats.org/officeDocument/2006/relationships/hyperlink" Target="https://docs.cpuc.ca.gov/PublishedDocs/Published/G000/M410/K138/410138703.PDF" TargetMode="External"/><Relationship Id="rId34" Type="http://schemas.openxmlformats.org/officeDocument/2006/relationships/hyperlink" Target="https://docs.cpuc.ca.gov/PublishedDocs/Published/G000/M521/K196/521196139.PDF" TargetMode="External"/><Relationship Id="rId50" Type="http://schemas.openxmlformats.org/officeDocument/2006/relationships/hyperlink" Target="https://www.gov.ca.gov/wp-content/uploads/2024/10/energy-EO-10-30-24.pdf" TargetMode="External"/><Relationship Id="rId55" Type="http://schemas.openxmlformats.org/officeDocument/2006/relationships/hyperlink" Target="https://www.cpuc.ca.gov/-/media/cpuc-website/divisions/news-and-outreach/documents/news-office/key-issues/esj/esj-action-plan-v2jw.pdf" TargetMode="External"/><Relationship Id="rId76" Type="http://schemas.openxmlformats.org/officeDocument/2006/relationships/hyperlink" Target="https://docs.cpuc.ca.gov/PublishedDocs/WORD_PDF/FINAL_DECISION/39314.PDF" TargetMode="External"/><Relationship Id="rId97" Type="http://schemas.openxmlformats.org/officeDocument/2006/relationships/hyperlink" Target="https://docs.cpuc.ca.gov/PublishedDocs/Published/G000/M531/K559/531559739.PDF" TargetMode="External"/><Relationship Id="rId104" Type="http://schemas.openxmlformats.org/officeDocument/2006/relationships/hyperlink" Target="https://docs.cpuc.ca.gov/word_pdf/FINAL_RESOLUTION/63130.pdf" TargetMode="External"/><Relationship Id="rId120" Type="http://schemas.openxmlformats.org/officeDocument/2006/relationships/hyperlink" Target="https://www.energy.ca.gov/event/2024-02/workshop-analytical-framework-results-strategic-gas-infrastructure" TargetMode="External"/><Relationship Id="rId125" Type="http://schemas.openxmlformats.org/officeDocument/2006/relationships/footer" Target="footer16.xml"/><Relationship Id="rId7" Type="http://schemas.openxmlformats.org/officeDocument/2006/relationships/settings" Target="settings.xml"/><Relationship Id="rId71" Type="http://schemas.openxmlformats.org/officeDocument/2006/relationships/hyperlink" Target="https://docs.cpuc.ca.gov/PublishedDocs/Published/G000/M531/K559/531559739.PDF" TargetMode="External"/><Relationship Id="rId92" Type="http://schemas.openxmlformats.org/officeDocument/2006/relationships/hyperlink" Target="https://docs.cpuc.ca.gov/PublishedDocs/Published/G000/M531/K559/531559739.PDF" TargetMode="External"/><Relationship Id="rId2" Type="http://schemas.openxmlformats.org/officeDocument/2006/relationships/customXml" Target="../customXml/item2.xml"/><Relationship Id="rId29" Type="http://schemas.openxmlformats.org/officeDocument/2006/relationships/hyperlink" Target="https://docs.cpuc.ca.gov/PublishedDocs/Published/G000/M350/K789/350789679.PDF" TargetMode="External"/><Relationship Id="rId24" Type="http://schemas.openxmlformats.org/officeDocument/2006/relationships/footer" Target="footer4.xml"/><Relationship Id="rId40" Type="http://schemas.openxmlformats.org/officeDocument/2006/relationships/hyperlink" Target="https://docs.cpuc.ca.gov/PublishedDocs/Published/G000/M507/K499/507499284.PDF" TargetMode="External"/><Relationship Id="rId45" Type="http://schemas.openxmlformats.org/officeDocument/2006/relationships/hyperlink" Target="https://docs.cpuc.ca.gov/PublishedDocs/Published/G000/M531/K559/531559739.PDF" TargetMode="External"/><Relationship Id="rId66" Type="http://schemas.openxmlformats.org/officeDocument/2006/relationships/footer" Target="footer11.xml"/><Relationship Id="rId87" Type="http://schemas.openxmlformats.org/officeDocument/2006/relationships/hyperlink" Target="https://docs.cpuc.ca.gov/PublishedDocs/Published/G000/M531/K559/531559739.PDF" TargetMode="External"/><Relationship Id="rId110" Type="http://schemas.openxmlformats.org/officeDocument/2006/relationships/hyperlink" Target="https://docs.cpuc.ca.gov/PublishedDocs/Published/G000/M410/K138/410138703.PDF" TargetMode="External"/><Relationship Id="rId115" Type="http://schemas.openxmlformats.org/officeDocument/2006/relationships/hyperlink" Target="https://docs.cpuc.ca.gov/PublishedDocs/Published/G000/M531/K559/531559739.PDF" TargetMode="External"/><Relationship Id="rId61" Type="http://schemas.openxmlformats.org/officeDocument/2006/relationships/header" Target="header6.xml"/><Relationship Id="rId82" Type="http://schemas.openxmlformats.org/officeDocument/2006/relationships/hyperlink" Target="https://docs.cpuc.ca.gov/PublishedDocs/Published/G000/M410/K138/410138703.PDF" TargetMode="External"/><Relationship Id="rId19" Type="http://schemas.openxmlformats.org/officeDocument/2006/relationships/hyperlink" Target="https://docs.cpuc.ca.gov/PublishedDocs/Published/G000/M410/K138/410138703.PDF" TargetMode="External"/><Relationship Id="rId14" Type="http://schemas.openxmlformats.org/officeDocument/2006/relationships/header" Target="header2.xml"/><Relationship Id="rId30" Type="http://schemas.openxmlformats.org/officeDocument/2006/relationships/hyperlink" Target="https://docs.cpuc.ca.gov/PublishedDocs/Published/G000/M521/K196/521196139.PDF" TargetMode="External"/><Relationship Id="rId35" Type="http://schemas.openxmlformats.org/officeDocument/2006/relationships/hyperlink" Target="https://docs.cpuc.ca.gov/PublishedDocs/Published/G000/M531/K559/531559739.PDF" TargetMode="External"/><Relationship Id="rId56" Type="http://schemas.openxmlformats.org/officeDocument/2006/relationships/hyperlink" Target="https://docs.cpuc.ca.gov/PublishedDocs/Published/G000/M503/K914/503914324.PDF" TargetMode="External"/><Relationship Id="rId77" Type="http://schemas.openxmlformats.org/officeDocument/2006/relationships/hyperlink" Target="https://docs.cpuc.ca.gov/word_pdf/FINAL_RESOLUTION/63130.pdf" TargetMode="External"/><Relationship Id="rId100" Type="http://schemas.openxmlformats.org/officeDocument/2006/relationships/hyperlink" Target="https://docs.cpuc.ca.gov/PublishedDocs/WORD_PDF/FINAL_DECISION/39314.PDF" TargetMode="External"/><Relationship Id="rId105" Type="http://schemas.openxmlformats.org/officeDocument/2006/relationships/hyperlink" Target="https://docs.cpuc.ca.gov/PublishedDocs/Published/G000/M070/K145/70145464.PDF"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cs.cpuc.ca.gov/PublishedDocs/Published/G000/M310/K136/310136145.PDF" TargetMode="External"/><Relationship Id="rId72" Type="http://schemas.openxmlformats.org/officeDocument/2006/relationships/hyperlink" Target="https://docs.cpuc.ca.gov/PublishedDocs/Published/G000/M531/K559/531559739.PDF" TargetMode="External"/><Relationship Id="rId93" Type="http://schemas.openxmlformats.org/officeDocument/2006/relationships/hyperlink" Target="https://docs.cpuc.ca.gov/PublishedDocs/Published/G000/M531/K559/531559739.PDF" TargetMode="External"/><Relationship Id="rId98" Type="http://schemas.openxmlformats.org/officeDocument/2006/relationships/hyperlink" Target="https://docs.cpuc.ca.gov/PublishedDocs/Published/G000/M531/K559/531559739.PDF" TargetMode="External"/><Relationship Id="rId121" Type="http://schemas.openxmlformats.org/officeDocument/2006/relationships/hyperlink" Target="https://www.energy.ca.gov/event/workshop/2024-03/location-specific-gas-system-decommissioning-scoping-workshop" TargetMode="External"/><Relationship Id="rId3" Type="http://schemas.openxmlformats.org/officeDocument/2006/relationships/customXml" Target="../customXml/item3.xml"/><Relationship Id="rId25" Type="http://schemas.openxmlformats.org/officeDocument/2006/relationships/footer" Target="footer5.xml"/><Relationship Id="rId46" Type="http://schemas.openxmlformats.org/officeDocument/2006/relationships/hyperlink" Target="https://docs.cpuc.ca.gov/PublishedDocs/Published/G000/M520/K896/520896345.pdf" TargetMode="External"/><Relationship Id="rId67" Type="http://schemas.openxmlformats.org/officeDocument/2006/relationships/footer" Target="footer12.xml"/><Relationship Id="rId116" Type="http://schemas.openxmlformats.org/officeDocument/2006/relationships/hyperlink" Target="https://docs.cpuc.ca.gov/PublishedDocs/Published/G000/M503/K914/503914324.PDF" TargetMode="External"/><Relationship Id="rId20" Type="http://schemas.openxmlformats.org/officeDocument/2006/relationships/hyperlink" Target="https://docs.cpuc.ca.gov/PublishedDocs/Published/G000/M503/K914/503914324.PDF" TargetMode="External"/><Relationship Id="rId41" Type="http://schemas.openxmlformats.org/officeDocument/2006/relationships/hyperlink" Target="http://docs.cpuc.ca.gov/PublishedDocs/WORD_PDF/FINAL_DECISION/39314.PDF" TargetMode="External"/><Relationship Id="rId62" Type="http://schemas.openxmlformats.org/officeDocument/2006/relationships/footer" Target="footer8.xml"/><Relationship Id="rId83" Type="http://schemas.openxmlformats.org/officeDocument/2006/relationships/hyperlink" Target="https://docs.cpuc.ca.gov/PublishedDocs/Published/G000/M410/K138/410138703.PDF" TargetMode="External"/><Relationship Id="rId88" Type="http://schemas.openxmlformats.org/officeDocument/2006/relationships/hyperlink" Target="https://docs.cpuc.ca.gov/PublishedDocs/Published/G000/M531/K559/531559739.PDF" TargetMode="External"/><Relationship Id="rId111" Type="http://schemas.openxmlformats.org/officeDocument/2006/relationships/hyperlink" Target="https://docs.cpuc.ca.gov/PublishedDocs/Published/G000/M503/K914/503914324.PDF" TargetMode="External"/><Relationship Id="rId15" Type="http://schemas.openxmlformats.org/officeDocument/2006/relationships/footer" Target="footer2.xml"/><Relationship Id="rId36" Type="http://schemas.openxmlformats.org/officeDocument/2006/relationships/hyperlink" Target="https://docs.cpuc.ca.gov/PublishedDocs/Published/G000/M550/K485/550485071.pdf" TargetMode="External"/><Relationship Id="rId57" Type="http://schemas.openxmlformats.org/officeDocument/2006/relationships/hyperlink" Target="https://docs.cpuc.ca.gov/PublishedDocs/Published/G000/M521/K196/521196139.PDF" TargetMode="External"/><Relationship Id="rId106" Type="http://schemas.openxmlformats.org/officeDocument/2006/relationships/hyperlink" Target="https://docs.cpuc.ca.gov/PublishedDocs/Published/G000/M350/K789/350789679.PDF"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docs.cpuc.ca.gov/PublishedDocs/Published/G000/M531/K559/531559739.PDF" TargetMode="External"/><Relationship Id="rId52" Type="http://schemas.openxmlformats.org/officeDocument/2006/relationships/hyperlink" Target="https://docs.cpuc.ca.gov/PublishedDocs/Published/G000/M350/K789/350789679.PDF" TargetMode="External"/><Relationship Id="rId73" Type="http://schemas.openxmlformats.org/officeDocument/2006/relationships/hyperlink" Target="https://docs.cpuc.ca.gov/PublishedDocs/WORD_PDF/FINAL_DECISION/39314.PDF" TargetMode="External"/><Relationship Id="rId78" Type="http://schemas.openxmlformats.org/officeDocument/2006/relationships/hyperlink" Target="https://docs.cpuc.ca.gov/PublishedDocs/Published/G000/M070/K145/70145464.PDF" TargetMode="External"/><Relationship Id="rId94" Type="http://schemas.openxmlformats.org/officeDocument/2006/relationships/hyperlink" Target="https://docs.cpuc.ca.gov/PublishedDocs/Published/G000/M531/K559/531559739.PDF" TargetMode="External"/><Relationship Id="rId99" Type="http://schemas.openxmlformats.org/officeDocument/2006/relationships/hyperlink" Target="https://docs.cpuc.ca.gov/PublishedDocs/Published/G000/M531/K559/531559739.PDF" TargetMode="External"/><Relationship Id="rId101" Type="http://schemas.openxmlformats.org/officeDocument/2006/relationships/hyperlink" Target="https://docs.cpuc.ca.gov/PublishedDocs/WORD_PDF/FINAL_DECISION/39314.PDF" TargetMode="External"/><Relationship Id="rId122" Type="http://schemas.openxmlformats.org/officeDocument/2006/relationships/hyperlink" Target="https://mindfuldecommissioning.dnv.com/documents/FINAL_%20Workshop%202_Presentation_10.2.24.pdf"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17" Type="http://schemas.openxmlformats.org/officeDocument/2006/relationships/hyperlink" Target="http://docs.cpuc.ca.gov/PublishedDocs/Published/G000/M167/K772/167772745.PDF" TargetMode="External"/><Relationship Id="rId21" Type="http://schemas.openxmlformats.org/officeDocument/2006/relationships/hyperlink" Target="https://docs.cpuc.ca.gov/PublishedDocs/WORD_PDF/FINAL_DECISION/39314.PDF" TargetMode="External"/><Relationship Id="rId42" Type="http://schemas.openxmlformats.org/officeDocument/2006/relationships/hyperlink" Target="https://docs.cpuc.ca.gov/PublishedDocs/WORD_PDF/FINAL_DECISION/39314.PDF" TargetMode="External"/><Relationship Id="rId63" Type="http://schemas.openxmlformats.org/officeDocument/2006/relationships/hyperlink" Target="https://docs.cpuc.ca.gov/PublishedDocs/Published/G000/M503/K914/503914324.PDF" TargetMode="External"/><Relationship Id="rId84" Type="http://schemas.openxmlformats.org/officeDocument/2006/relationships/hyperlink" Target="https://docs.cpuc.ca.gov/PublishedDocs/Published/G000/M410/K138/410138703.PDF" TargetMode="External"/><Relationship Id="rId138" Type="http://schemas.openxmlformats.org/officeDocument/2006/relationships/hyperlink" Target="https://california.public.law/codes/public_utilities_code_section_384" TargetMode="External"/><Relationship Id="rId107" Type="http://schemas.openxmlformats.org/officeDocument/2006/relationships/hyperlink" Target="https://docs.cpuc.ca.gov/PublishedDocs/Published/G000/M520/K896/520896345.pdf" TargetMode="External"/><Relationship Id="rId11" Type="http://schemas.openxmlformats.org/officeDocument/2006/relationships/hyperlink" Target="https://docs.cpuc.ca.gov/PublishedDocs/WORD_PDF/FINAL_DECISION/39314.PDF" TargetMode="External"/><Relationship Id="rId32" Type="http://schemas.openxmlformats.org/officeDocument/2006/relationships/hyperlink" Target="https://docs.cpuc.ca.gov/PublishedDocs/Published/G000/M503/K914/503914324.PDF" TargetMode="External"/><Relationship Id="rId53" Type="http://schemas.openxmlformats.org/officeDocument/2006/relationships/hyperlink" Target="https://docs.cpuc.ca.gov/PublishedDocs/Published/G000/M503/K914/503914324.PDF" TargetMode="External"/><Relationship Id="rId74" Type="http://schemas.openxmlformats.org/officeDocument/2006/relationships/hyperlink" Target="https://docs.cpuc.ca.gov/PublishedDocs/Published/G000/M503/K914/503914324.PDF" TargetMode="External"/><Relationship Id="rId128" Type="http://schemas.openxmlformats.org/officeDocument/2006/relationships/hyperlink" Target="https://docs.cpuc.ca.gov/PublishedDocs/Published/G000/M350/K789/350789679.PDF" TargetMode="External"/><Relationship Id="rId149" Type="http://schemas.openxmlformats.org/officeDocument/2006/relationships/hyperlink" Target="https://www.energy.ca.gov/publications/2021/california-building-decarbonization-assessment" TargetMode="External"/><Relationship Id="rId5" Type="http://schemas.openxmlformats.org/officeDocument/2006/relationships/hyperlink" Target="https://docs.cpuc.ca.gov/PublishedDocs/WORD_PDF/FINAL_DECISION/39314.PDF" TargetMode="External"/><Relationship Id="rId95" Type="http://schemas.openxmlformats.org/officeDocument/2006/relationships/hyperlink" Target="https://california.public.law/codes/public_utilities_code_section_384" TargetMode="External"/><Relationship Id="rId22" Type="http://schemas.openxmlformats.org/officeDocument/2006/relationships/hyperlink" Target="https://docs.cpuc.ca.gov/PublishedDocs/WORD_PDF/FINAL_RESOLUTION/42432.PDF" TargetMode="External"/><Relationship Id="rId27" Type="http://schemas.openxmlformats.org/officeDocument/2006/relationships/hyperlink" Target="https://mindfuldecommissioning.dnv.com/index.html" TargetMode="External"/><Relationship Id="rId43" Type="http://schemas.openxmlformats.org/officeDocument/2006/relationships/hyperlink" Target="https://docs.cpuc.ca.gov/PublishedDocs/WORD_PDF/FINAL_DECISION/39314.PDF" TargetMode="External"/><Relationship Id="rId48" Type="http://schemas.openxmlformats.org/officeDocument/2006/relationships/hyperlink" Target="https://docs.cpuc.ca.gov/PublishedDocs/Published/G000/M503/K914/503914324.PDF" TargetMode="External"/><Relationship Id="rId64" Type="http://schemas.openxmlformats.org/officeDocument/2006/relationships/hyperlink" Target="https://docs.cpuc.ca.gov/PublishedDocs/Published/G000/M350/K789/350789679.PDF" TargetMode="External"/><Relationship Id="rId69" Type="http://schemas.openxmlformats.org/officeDocument/2006/relationships/hyperlink" Target="https://docs.cpuc.ca.gov/PublishedDocs/WORD_PDF/FINAL_DECISION/39314.PDF" TargetMode="External"/><Relationship Id="rId113" Type="http://schemas.openxmlformats.org/officeDocument/2006/relationships/hyperlink" Target="https://docs.cpuc.ca.gov/PublishedDocs/Published/G000/M410/K138/410138703.PDF" TargetMode="External"/><Relationship Id="rId118" Type="http://schemas.openxmlformats.org/officeDocument/2006/relationships/hyperlink" Target="http://docs.cpuc.ca.gov/PublishedDocs/Published/G000/M196/K543/196543815.PDF" TargetMode="External"/><Relationship Id="rId134" Type="http://schemas.openxmlformats.org/officeDocument/2006/relationships/hyperlink" Target="https://docs.cpuc.ca.gov/PublishedDocs/Published/G000/M503/K914/503914324.PDF" TargetMode="External"/><Relationship Id="rId139" Type="http://schemas.openxmlformats.org/officeDocument/2006/relationships/hyperlink" Target="https://docs.cpuc.ca.gov/PublishedDocs/Published/G000/M070/K145/70145464.PDF" TargetMode="External"/><Relationship Id="rId80" Type="http://schemas.openxmlformats.org/officeDocument/2006/relationships/hyperlink" Target="https://docs.cpuc.ca.gov/PublishedDocs/Published/G000/M503/K914/503914324.PDF" TargetMode="External"/><Relationship Id="rId85" Type="http://schemas.openxmlformats.org/officeDocument/2006/relationships/hyperlink" Target="https://docs.cpuc.ca.gov/PublishedDocs/Published/G000/M503/K914/503914324.PDF" TargetMode="External"/><Relationship Id="rId150" Type="http://schemas.openxmlformats.org/officeDocument/2006/relationships/hyperlink" Target="https://docs.cpuc.ca.gov/PublishedDocs/Published/G000/M097/K121/97121784.PDF" TargetMode="External"/><Relationship Id="rId155" Type="http://schemas.openxmlformats.org/officeDocument/2006/relationships/hyperlink" Target="https://www.energy.ca.gov/publications/2021/california-building-decarbonization-assessment" TargetMode="External"/><Relationship Id="rId12" Type="http://schemas.openxmlformats.org/officeDocument/2006/relationships/hyperlink" Target="https://docs.cpuc.ca.gov/PublishedDocs/WORD_PDF/FINAL_DECISION/39314.PDF" TargetMode="External"/><Relationship Id="rId17" Type="http://schemas.openxmlformats.org/officeDocument/2006/relationships/hyperlink" Target="https://docs.cpuc.ca.gov/PublishedDocs/WORD_PDF/FINAL_DECISION/39314.PDF" TargetMode="External"/><Relationship Id="rId33" Type="http://schemas.openxmlformats.org/officeDocument/2006/relationships/hyperlink" Target="https://docs.cpuc.ca.gov/PublishedDocs/WORD_PDF/FINAL_DECISION/39314.PDF" TargetMode="External"/><Relationship Id="rId38" Type="http://schemas.openxmlformats.org/officeDocument/2006/relationships/hyperlink" Target="https://california.public.law/codes/public_utilities_code_section_384" TargetMode="External"/><Relationship Id="rId59" Type="http://schemas.openxmlformats.org/officeDocument/2006/relationships/hyperlink" Target="https://docs.cpuc.ca.gov/PublishedDocs/Published/G000/M310/K136/310136145.PDF" TargetMode="External"/><Relationship Id="rId103" Type="http://schemas.openxmlformats.org/officeDocument/2006/relationships/hyperlink" Target="https://www.cpuc.ca.gov/-/media/cpuc-website/divisions/utility-audits--risk--and-compliance-division/reports/energy/2025/energy_2025-08-28_cec_grdp.pdf" TargetMode="External"/><Relationship Id="rId108" Type="http://schemas.openxmlformats.org/officeDocument/2006/relationships/hyperlink" Target="https://docs.cpuc.ca.gov/PublishedDocs/Published/G000/M596/K290/596290082.PDF" TargetMode="External"/><Relationship Id="rId124" Type="http://schemas.openxmlformats.org/officeDocument/2006/relationships/hyperlink" Target="https://www.energy.ca.gov/publications/2021/california-building-decarbonization-assessment" TargetMode="External"/><Relationship Id="rId129" Type="http://schemas.openxmlformats.org/officeDocument/2006/relationships/hyperlink" Target="https://docs.cpuc.ca.gov/PublishedDocs/WORD_PDF/FINAL_DECISION/39314.PDF" TargetMode="External"/><Relationship Id="rId54" Type="http://schemas.openxmlformats.org/officeDocument/2006/relationships/hyperlink" Target="https://docs.cpuc.ca.gov/PublishedDocs/Published/G000/M531/K559/531559739.PDF" TargetMode="External"/><Relationship Id="rId70" Type="http://schemas.openxmlformats.org/officeDocument/2006/relationships/hyperlink" Target="https://docs.cpuc.ca.gov/PublishedDocs/WORD_PDF/FINAL_DECISION/39314.PDF" TargetMode="External"/><Relationship Id="rId75" Type="http://schemas.openxmlformats.org/officeDocument/2006/relationships/hyperlink" Target="https://docs.cpuc.ca.gov/PublishedDocs/Published/G000/M070/K145/70145464.PDF" TargetMode="External"/><Relationship Id="rId91" Type="http://schemas.openxmlformats.org/officeDocument/2006/relationships/hyperlink" Target="https://docs.cpuc.ca.gov/PublishedDocs/Published/G000/M410/K138/410138703.PDF" TargetMode="External"/><Relationship Id="rId96" Type="http://schemas.openxmlformats.org/officeDocument/2006/relationships/hyperlink" Target="https://docs.cpuc.ca.gov/PublishedDocs/Published/G000/M070/K145/70145464.PDF" TargetMode="External"/><Relationship Id="rId140" Type="http://schemas.openxmlformats.org/officeDocument/2006/relationships/hyperlink" Target="https://docs.cpuc.ca.gov/PublishedDocs/Published/G000/M410/K138/410138703.PDF" TargetMode="External"/><Relationship Id="rId145" Type="http://schemas.openxmlformats.org/officeDocument/2006/relationships/hyperlink" Target="https://california.public.law/codes/public_utilities_code_section_384" TargetMode="External"/><Relationship Id="rId1" Type="http://schemas.openxmlformats.org/officeDocument/2006/relationships/hyperlink" Target="https://docs.cpuc.ca.gov/word_pdf/FINAL_RESOLUTION/63130.pdf" TargetMode="External"/><Relationship Id="rId6" Type="http://schemas.openxmlformats.org/officeDocument/2006/relationships/hyperlink" Target="https://docs.cpuc.ca.gov/PublishedDocs/WORD_PDF/FINAL_DECISION/39314.PDF" TargetMode="External"/><Relationship Id="rId23" Type="http://schemas.openxmlformats.org/officeDocument/2006/relationships/hyperlink" Target="https://docs.cpuc.ca.gov/PublishedDocs/WORD_PDF/FINAL_DECISION/39314.PDF" TargetMode="External"/><Relationship Id="rId28" Type="http://schemas.openxmlformats.org/officeDocument/2006/relationships/hyperlink" Target="https://docs.cpuc.ca.gov/PublishedDocs/Published/G000/M521/K196/521196139.PDF" TargetMode="External"/><Relationship Id="rId49" Type="http://schemas.openxmlformats.org/officeDocument/2006/relationships/hyperlink" Target="https://docs.cpuc.ca.gov/PublishedDocs/Published/G000/M521/K196/521196139.PDF" TargetMode="External"/><Relationship Id="rId114" Type="http://schemas.openxmlformats.org/officeDocument/2006/relationships/hyperlink" Target="https://docs.cpuc.ca.gov/PublishedDocs/Published/G000/M070/K145/70145464.PDF" TargetMode="External"/><Relationship Id="rId119" Type="http://schemas.openxmlformats.org/officeDocument/2006/relationships/hyperlink" Target="https://docs.cpuc.ca.gov/PublishedDocs/Published/G000/M310/K136/310136145.PDF" TargetMode="External"/><Relationship Id="rId44" Type="http://schemas.openxmlformats.org/officeDocument/2006/relationships/hyperlink" Target="http://docs.cpuc.ca.gov/PublishedDocs/Published/G000/M097/K121/97121784.PDF" TargetMode="External"/><Relationship Id="rId60" Type="http://schemas.openxmlformats.org/officeDocument/2006/relationships/hyperlink" Target="https://docs.cpuc.ca.gov/PublishedDocs/Published/G000/M350/K789/350789679.PDF" TargetMode="External"/><Relationship Id="rId65" Type="http://schemas.openxmlformats.org/officeDocument/2006/relationships/hyperlink" Target="https://docs.cpuc.ca.gov/PublishedDocs/Published/G000/M503/K914/503914324.PDF" TargetMode="External"/><Relationship Id="rId81" Type="http://schemas.openxmlformats.org/officeDocument/2006/relationships/hyperlink" Target="https://docs.cpuc.ca.gov/PublishedDocs/Published/G000/M310/K136/310136145.PDF" TargetMode="External"/><Relationship Id="rId86" Type="http://schemas.openxmlformats.org/officeDocument/2006/relationships/hyperlink" Target="https://docs.cpuc.ca.gov/PublishedDocs/WORD_PDF/FINAL_DECISION/39314.PDF" TargetMode="External"/><Relationship Id="rId130" Type="http://schemas.openxmlformats.org/officeDocument/2006/relationships/hyperlink" Target="https://docs.cpuc.ca.gov/PublishedDocs/Published/G000/M531/K559/531559739.PDF" TargetMode="External"/><Relationship Id="rId135" Type="http://schemas.openxmlformats.org/officeDocument/2006/relationships/hyperlink" Target="https://docs.cpuc.ca.gov/PublishedDocs/Published/G000/M521/K196/521196139.PDF" TargetMode="External"/><Relationship Id="rId151" Type="http://schemas.openxmlformats.org/officeDocument/2006/relationships/hyperlink" Target="https://california.public.law/codes/public_utilities_code_section_384" TargetMode="External"/><Relationship Id="rId156" Type="http://schemas.openxmlformats.org/officeDocument/2006/relationships/hyperlink" Target="https://docs.cpuc.ca.gov/PublishedDocs/Published/G000/M097/K121/97121784.PDF" TargetMode="External"/><Relationship Id="rId13" Type="http://schemas.openxmlformats.org/officeDocument/2006/relationships/hyperlink" Target="https://docs.cpuc.ca.gov/PublishedDocs/Published/G000/M531/K559/531559739.PDF" TargetMode="External"/><Relationship Id="rId18" Type="http://schemas.openxmlformats.org/officeDocument/2006/relationships/hyperlink" Target="https://docs.cpuc.ca.gov/PublishedDocs/WORD_PDF/FINAL_DECISION/39314.PDF" TargetMode="External"/><Relationship Id="rId39" Type="http://schemas.openxmlformats.org/officeDocument/2006/relationships/hyperlink" Target="https://docs.cpuc.ca.gov/PublishedDocs/Published/G000/M070/K145/70145464.PDF" TargetMode="External"/><Relationship Id="rId109" Type="http://schemas.openxmlformats.org/officeDocument/2006/relationships/hyperlink" Target="https://docs.cpuc.ca.gov/PublishedDocs/Published/G000/M507/K499/507499284.PDF" TargetMode="External"/><Relationship Id="rId34" Type="http://schemas.openxmlformats.org/officeDocument/2006/relationships/hyperlink" Target="https://docs.cpuc.ca.gov/PublishedDocs/WORD_PDF/FINAL_DECISION/39314.PDF" TargetMode="External"/><Relationship Id="rId50" Type="http://schemas.openxmlformats.org/officeDocument/2006/relationships/hyperlink" Target="https://docs.cpuc.ca.gov/PublishedDocs/Published/G000/M507/K499/507499284.PDF" TargetMode="External"/><Relationship Id="rId55" Type="http://schemas.openxmlformats.org/officeDocument/2006/relationships/hyperlink" Target="https://docs.cpuc.ca.gov/PublishedDocs/Published/G000/M350/K789/350789679.PDF" TargetMode="External"/><Relationship Id="rId76" Type="http://schemas.openxmlformats.org/officeDocument/2006/relationships/hyperlink" Target="http://docs.cpuc.ca.gov/PublishedDocs/Published/G000/M097/K121/97121784.PDF" TargetMode="External"/><Relationship Id="rId97" Type="http://schemas.openxmlformats.org/officeDocument/2006/relationships/hyperlink" Target="https://docs.cpuc.ca.gov/PublishedDocs/Published/G000/M410/K138/410138703.PDF" TargetMode="External"/><Relationship Id="rId104" Type="http://schemas.openxmlformats.org/officeDocument/2006/relationships/hyperlink" Target="https://benefits.calhr.ca.gov/state-employees/work-resources/travel-reimbursements/" TargetMode="External"/><Relationship Id="rId120" Type="http://schemas.openxmlformats.org/officeDocument/2006/relationships/hyperlink" Target="https://docs.cpuc.ca.gov/PublishedDocs/Published/G000/M410/K138/410138703.PDF" TargetMode="External"/><Relationship Id="rId125" Type="http://schemas.openxmlformats.org/officeDocument/2006/relationships/hyperlink" Target="https://docs.cpuc.ca.gov/PublishedDocs/Published/G000/M503/K914/503914324.PDF" TargetMode="External"/><Relationship Id="rId141" Type="http://schemas.openxmlformats.org/officeDocument/2006/relationships/hyperlink" Target="https://california.public.law/codes/public_utilities_code_section_384" TargetMode="External"/><Relationship Id="rId146" Type="http://schemas.openxmlformats.org/officeDocument/2006/relationships/hyperlink" Target="https://docs.cpuc.ca.gov/PublishedDocs/Published/G000/M410/K138/410138703.PDF" TargetMode="External"/><Relationship Id="rId7" Type="http://schemas.openxmlformats.org/officeDocument/2006/relationships/hyperlink" Target="https://docs.cpuc.ca.gov/PublishedDocs/WORD_PDF/FINAL_DECISION/39314.PDF" TargetMode="External"/><Relationship Id="rId71" Type="http://schemas.openxmlformats.org/officeDocument/2006/relationships/hyperlink" Target="https://docs.cpuc.ca.gov/PublishedDocs/Published/G000/M503/K914/503914324.PDF" TargetMode="External"/><Relationship Id="rId92" Type="http://schemas.openxmlformats.org/officeDocument/2006/relationships/hyperlink" Target="https://docs.cpuc.ca.gov/PublishedDocs/Published/G000/M410/K138/410138703.PDF" TargetMode="External"/><Relationship Id="rId2" Type="http://schemas.openxmlformats.org/officeDocument/2006/relationships/hyperlink" Target="https://leginfo.legislature.ca.gov/faces/billTextClient.xhtml?bill_id=199920000AB1002" TargetMode="External"/><Relationship Id="rId29" Type="http://schemas.openxmlformats.org/officeDocument/2006/relationships/hyperlink" Target="https://california.public.law/codes/public_utilities_code_section_384" TargetMode="External"/><Relationship Id="rId24" Type="http://schemas.openxmlformats.org/officeDocument/2006/relationships/hyperlink" Target="https://docs.cpuc.ca.gov/PublishedDocs/Published/G000/M531/K559/531559739.PDF" TargetMode="External"/><Relationship Id="rId40" Type="http://schemas.openxmlformats.org/officeDocument/2006/relationships/hyperlink" Target="https://docs.cpuc.ca.gov/PublishedDocs/Published/G000/M410/K138/410138703.PDF" TargetMode="External"/><Relationship Id="rId45" Type="http://schemas.openxmlformats.org/officeDocument/2006/relationships/hyperlink" Target="https://docs.cpuc.ca.gov/PublishedDocs/Published/G000/M097/K121/97121784.PDF" TargetMode="External"/><Relationship Id="rId66" Type="http://schemas.openxmlformats.org/officeDocument/2006/relationships/hyperlink" Target="https://docs.cpuc.ca.gov/PublishedDocs/Published/G000/M350/K789/350789679.PDF" TargetMode="External"/><Relationship Id="rId87" Type="http://schemas.openxmlformats.org/officeDocument/2006/relationships/hyperlink" Target="https://docs.cpuc.ca.gov/PublishedDocs/WORD_PDF/FINAL_DECISION/39314.PDF" TargetMode="External"/><Relationship Id="rId110" Type="http://schemas.openxmlformats.org/officeDocument/2006/relationships/hyperlink" Target="https://docs.cpuc.ca.gov/PublishedDocs/Published/G000/M527/K228/527228647.PDF" TargetMode="External"/><Relationship Id="rId115" Type="http://schemas.openxmlformats.org/officeDocument/2006/relationships/hyperlink" Target="http://docs.cpuc.ca.gov/PublishedDocs/Published/G000/M097/K121/97121784.PDF" TargetMode="External"/><Relationship Id="rId131" Type="http://schemas.openxmlformats.org/officeDocument/2006/relationships/hyperlink" Target="https://docs.cpuc.ca.gov/PublishedDocs/Published/G000/M410/K138/410138703.PDF" TargetMode="External"/><Relationship Id="rId136" Type="http://schemas.openxmlformats.org/officeDocument/2006/relationships/hyperlink" Target="https://docs.cpuc.ca.gov/PublishedDocs/Published/G000/M507/K499/507499284.PDF" TargetMode="External"/><Relationship Id="rId61" Type="http://schemas.openxmlformats.org/officeDocument/2006/relationships/hyperlink" Target="https://docs.cpuc.ca.gov/PublishedDocs/Published/G000/M372/K329/372329202.PDF" TargetMode="External"/><Relationship Id="rId82" Type="http://schemas.openxmlformats.org/officeDocument/2006/relationships/hyperlink" Target="https://docs.cpuc.ca.gov/PublishedDocs/Published/G000/M070/K145/70145464.PDF" TargetMode="External"/><Relationship Id="rId152" Type="http://schemas.openxmlformats.org/officeDocument/2006/relationships/hyperlink" Target="https://docs.cpuc.ca.gov/PublishedDocs/Published/G000/M410/K138/410138703.PDF" TargetMode="External"/><Relationship Id="rId19" Type="http://schemas.openxmlformats.org/officeDocument/2006/relationships/hyperlink" Target="https://docs.cpuc.ca.gov/PublishedDocs/WORD_PDF/FINAL_DECISION/39314.PDF" TargetMode="External"/><Relationship Id="rId14" Type="http://schemas.openxmlformats.org/officeDocument/2006/relationships/hyperlink" Target="https://docs.cpuc.ca.gov/PublishedDocs/WORD_PDF/FINAL_DECISION/39314.PDF" TargetMode="External"/><Relationship Id="rId30" Type="http://schemas.openxmlformats.org/officeDocument/2006/relationships/hyperlink" Target="https://docs.cpuc.ca.gov/PublishedDocs/Published/G000/M070/K145/70145464.PDF" TargetMode="External"/><Relationship Id="rId35" Type="http://schemas.openxmlformats.org/officeDocument/2006/relationships/hyperlink" Target="https://docs.cpuc.ca.gov/PublishedDocs/Published/G000/M531/K559/531559739.PDF" TargetMode="External"/><Relationship Id="rId56" Type="http://schemas.openxmlformats.org/officeDocument/2006/relationships/hyperlink" Target="https://docs.cpuc.ca.gov/PublishedDocs/Published/G000/M531/K559/531559739.PDF" TargetMode="External"/><Relationship Id="rId77" Type="http://schemas.openxmlformats.org/officeDocument/2006/relationships/hyperlink" Target="http://docs.cpuc.ca.gov/PublishedDocs/Published/G000/M152/K904/152904612.PDF" TargetMode="External"/><Relationship Id="rId100" Type="http://schemas.openxmlformats.org/officeDocument/2006/relationships/hyperlink" Target="https://docs.cpuc.ca.gov/PublishedDocs/Published/G000/M410/K138/410138703.PDF" TargetMode="External"/><Relationship Id="rId105" Type="http://schemas.openxmlformats.org/officeDocument/2006/relationships/hyperlink" Target="https://docs.cpuc.ca.gov/PublishedDocs/Published/G000/M503/K914/503914324.PDF" TargetMode="External"/><Relationship Id="rId126" Type="http://schemas.openxmlformats.org/officeDocument/2006/relationships/hyperlink" Target="http://docs.cpuc.ca.gov/PublishedDocs/Published/G000/M264/K677/264677853.PDF" TargetMode="External"/><Relationship Id="rId147" Type="http://schemas.openxmlformats.org/officeDocument/2006/relationships/hyperlink" Target="https://docs.cpuc.ca.gov/PublishedDocs/Published/G000/M350/K789/350789679.PDF" TargetMode="External"/><Relationship Id="rId8" Type="http://schemas.openxmlformats.org/officeDocument/2006/relationships/hyperlink" Target="https://docs.cpuc.ca.gov/PublishedDocs/Published/G000/M531/K559/531559739.PDF" TargetMode="External"/><Relationship Id="rId51" Type="http://schemas.openxmlformats.org/officeDocument/2006/relationships/hyperlink" Target="https://www.cpuc.ca.gov/-/media/cpuc-website/divisions/news-and-outreach/documents/news-office/key-issues/esj/esj-action-plan-v2jw.pdf" TargetMode="External"/><Relationship Id="rId72" Type="http://schemas.openxmlformats.org/officeDocument/2006/relationships/hyperlink" Target="https://docs.cpuc.ca.gov/PublishedDocs/WORD_PDF/FINAL_DECISION/39314.PDF" TargetMode="External"/><Relationship Id="rId93" Type="http://schemas.openxmlformats.org/officeDocument/2006/relationships/hyperlink" Target="https://docs.cpuc.ca.gov/PublishedDocs/Published/G000/M410/K138/410138703.PDF" TargetMode="External"/><Relationship Id="rId98" Type="http://schemas.openxmlformats.org/officeDocument/2006/relationships/hyperlink" Target="https://california.public.law/codes/public_utilities_code_section_384" TargetMode="External"/><Relationship Id="rId121" Type="http://schemas.openxmlformats.org/officeDocument/2006/relationships/hyperlink" Target="https://docs.cpuc.ca.gov/PublishedDocs/Published/G000/M350/K789/350789679.PDF" TargetMode="External"/><Relationship Id="rId142" Type="http://schemas.openxmlformats.org/officeDocument/2006/relationships/hyperlink" Target="https://docs.cpuc.ca.gov/PublishedDocs/Published/G000/M070/K145/70145464.PDF" TargetMode="External"/><Relationship Id="rId3" Type="http://schemas.openxmlformats.org/officeDocument/2006/relationships/hyperlink" Target="https://docs.cpuc.ca.gov/PublishedDocs/WORD_PDF/FINAL_DECISION/39314.PDF" TargetMode="External"/><Relationship Id="rId25" Type="http://schemas.openxmlformats.org/officeDocument/2006/relationships/hyperlink" Target="https://leginfo.legislature.ca.gov/faces/billNavClient.xhtml?bill_id=202320240SB1221" TargetMode="External"/><Relationship Id="rId46" Type="http://schemas.openxmlformats.org/officeDocument/2006/relationships/hyperlink" Target="https://docs.cpuc.ca.gov/PublishedDocs/Published/G000/M410/K138/410138703.PDF" TargetMode="External"/><Relationship Id="rId67" Type="http://schemas.openxmlformats.org/officeDocument/2006/relationships/hyperlink" Target="https://docs.cpuc.ca.gov/PublishedDocs/Published/G000/M350/K789/350789679.PDF" TargetMode="External"/><Relationship Id="rId116" Type="http://schemas.openxmlformats.org/officeDocument/2006/relationships/hyperlink" Target="http://docs.cpuc.ca.gov/PublishedDocs/Published/G000/M152/K904/152904612.PDF" TargetMode="External"/><Relationship Id="rId137" Type="http://schemas.openxmlformats.org/officeDocument/2006/relationships/hyperlink" Target="https://docs.cpuc.ca.gov/PublishedDocs/WORD_PDF/FINAL_DECISION/167664.PDF" TargetMode="External"/><Relationship Id="rId20" Type="http://schemas.openxmlformats.org/officeDocument/2006/relationships/hyperlink" Target="https://docs.cpuc.ca.gov/PublishedDocs/WORD_PDF/FINAL_DECISION/39314.PDF" TargetMode="External"/><Relationship Id="rId41" Type="http://schemas.openxmlformats.org/officeDocument/2006/relationships/hyperlink" Target="https://docs.cpuc.ca.gov/PublishedDocs/Published/G000/M503/K914/503914324.PDF" TargetMode="External"/><Relationship Id="rId62" Type="http://schemas.openxmlformats.org/officeDocument/2006/relationships/hyperlink" Target="https://docs.cpuc.ca.gov/PublishedDocs/Published/G000/M461/K921/461921821.PDF" TargetMode="External"/><Relationship Id="rId83" Type="http://schemas.openxmlformats.org/officeDocument/2006/relationships/hyperlink" Target="https://docs.cpuc.ca.gov/PublishedDocs/Published/G000/M410/K138/410138703.PDF" TargetMode="External"/><Relationship Id="rId88" Type="http://schemas.openxmlformats.org/officeDocument/2006/relationships/hyperlink" Target="https://docs.cpuc.ca.gov/PublishedDocs/WORD_PDF/FINAL_DECISION/39314.PDF" TargetMode="External"/><Relationship Id="rId111" Type="http://schemas.openxmlformats.org/officeDocument/2006/relationships/hyperlink" Target="https://docs.cpuc.ca.gov/PublishedDocs/WORD_PDF/FINAL_RESOLUTION/42432.PDF" TargetMode="External"/><Relationship Id="rId132" Type="http://schemas.openxmlformats.org/officeDocument/2006/relationships/hyperlink" Target="https://docs.cpuc.ca.gov/PublishedDocs/WORD_PDF/FINAL_DECISION/39314.PDF" TargetMode="External"/><Relationship Id="rId153" Type="http://schemas.openxmlformats.org/officeDocument/2006/relationships/hyperlink" Target="https://docs.cpuc.ca.gov/PublishedDocs/Published/G000/M350/K789/350789679.PDF" TargetMode="External"/><Relationship Id="rId15" Type="http://schemas.openxmlformats.org/officeDocument/2006/relationships/hyperlink" Target="https://docs.cpuc.ca.gov/PublishedDocs/Published/G000/M503/K914/503914324.PDF" TargetMode="External"/><Relationship Id="rId36" Type="http://schemas.openxmlformats.org/officeDocument/2006/relationships/hyperlink" Target="https://docs.cpuc.ca.gov/PublishedDocs/Published/G000/M531/K559/531559739.PDF" TargetMode="External"/><Relationship Id="rId57" Type="http://schemas.openxmlformats.org/officeDocument/2006/relationships/hyperlink" Target="https://docs.cpuc.ca.gov/PublishedDocs/Published/G000/M527/K228/527228647.PDF" TargetMode="External"/><Relationship Id="rId106" Type="http://schemas.openxmlformats.org/officeDocument/2006/relationships/hyperlink" Target="https://docs.cpuc.ca.gov/PublishedDocs/Published/G000/M521/K196/521196139.PDF" TargetMode="External"/><Relationship Id="rId127" Type="http://schemas.openxmlformats.org/officeDocument/2006/relationships/hyperlink" Target="https://docs.cpuc.ca.gov/PublishedDocs/Published/G000/M310/K136/310136145.PDF" TargetMode="External"/><Relationship Id="rId10" Type="http://schemas.openxmlformats.org/officeDocument/2006/relationships/hyperlink" Target="https://www.gov.ca.gov/wp-content/uploads/2024/10/energy-EO-10-30-24.pdf" TargetMode="External"/><Relationship Id="rId31" Type="http://schemas.openxmlformats.org/officeDocument/2006/relationships/hyperlink" Target="https://docs.cpuc.ca.gov/PublishedDocs/Published/G000/M410/K138/410138703.PDF" TargetMode="External"/><Relationship Id="rId52" Type="http://schemas.openxmlformats.org/officeDocument/2006/relationships/hyperlink" Target="https://docs.cpuc.ca.gov/PublishedDocs/Published/G000/M350/K789/350789679.PDF" TargetMode="External"/><Relationship Id="rId73" Type="http://schemas.openxmlformats.org/officeDocument/2006/relationships/hyperlink" Target="https://docs.cpuc.ca.gov/PublishedDocs/WORD_PDF/FINAL_DECISION/39314.PDF" TargetMode="External"/><Relationship Id="rId78" Type="http://schemas.openxmlformats.org/officeDocument/2006/relationships/hyperlink" Target="http://docs.cpuc.ca.gov/PublishedDocs/Published/G000/M167/K772/167772745.PDF" TargetMode="External"/><Relationship Id="rId94" Type="http://schemas.openxmlformats.org/officeDocument/2006/relationships/hyperlink" Target="https://docs.cpuc.ca.gov/PublishedDocs/Published/G000/M410/K138/410138703.PDF" TargetMode="External"/><Relationship Id="rId99" Type="http://schemas.openxmlformats.org/officeDocument/2006/relationships/hyperlink" Target="https://docs.cpuc.ca.gov/PublishedDocs/Published/G000/M097/K121/97121784.PDF" TargetMode="External"/><Relationship Id="rId101" Type="http://schemas.openxmlformats.org/officeDocument/2006/relationships/hyperlink" Target="https://docs.cpuc.ca.gov/PublishedDocs/Published/G000/M503/K914/503914324.PDF" TargetMode="External"/><Relationship Id="rId122" Type="http://schemas.openxmlformats.org/officeDocument/2006/relationships/hyperlink" Target="https://docs.cpuc.ca.gov/PublishedDocs/Published/G000/M531/K559/531559739.PDF" TargetMode="External"/><Relationship Id="rId143" Type="http://schemas.openxmlformats.org/officeDocument/2006/relationships/hyperlink" Target="https://docs.cpuc.ca.gov/PublishedDocs/Published/G000/M410/K138/410138703.PDF" TargetMode="External"/><Relationship Id="rId148" Type="http://schemas.openxmlformats.org/officeDocument/2006/relationships/hyperlink" Target="https://docs.cpuc.ca.gov/PublishedDocs/Published/G000/M531/K559/531559739.PDF" TargetMode="External"/><Relationship Id="rId4" Type="http://schemas.openxmlformats.org/officeDocument/2006/relationships/hyperlink" Target="https://docs.cpuc.ca.gov/PublishedDocs/WORD_PDF/FINAL_DECISION/39314.PDF" TargetMode="External"/><Relationship Id="rId9" Type="http://schemas.openxmlformats.org/officeDocument/2006/relationships/hyperlink" Target="https://docs.cpuc.ca.gov/PublishedDocs/Published/G000/M503/K914/503914324.PDF" TargetMode="External"/><Relationship Id="rId26" Type="http://schemas.openxmlformats.org/officeDocument/2006/relationships/hyperlink" Target="https://apps.cpuc.ca.gov/apex/f?p=401:56::::RP,57,RIR:P5_PROCEEDING_SELECT:R2409012" TargetMode="External"/><Relationship Id="rId47" Type="http://schemas.openxmlformats.org/officeDocument/2006/relationships/hyperlink" Target="https://docs.cpuc.ca.gov/PublishedDocs/Published/G000/M503/K914/503914324.PDF" TargetMode="External"/><Relationship Id="rId68" Type="http://schemas.openxmlformats.org/officeDocument/2006/relationships/hyperlink" Target="https://docs.cpuc.ca.gov/PublishedDocs/Published/G000/M023/K381/23381302.PDF" TargetMode="External"/><Relationship Id="rId89" Type="http://schemas.openxmlformats.org/officeDocument/2006/relationships/hyperlink" Target="https://docs.cpuc.ca.gov/PublishedDocs/Published/G000/M350/K789/350789679.PDF" TargetMode="External"/><Relationship Id="rId112" Type="http://schemas.openxmlformats.org/officeDocument/2006/relationships/hyperlink" Target="https://california.public.law/codes/public_utilities_code_section_384" TargetMode="External"/><Relationship Id="rId133" Type="http://schemas.openxmlformats.org/officeDocument/2006/relationships/hyperlink" Target="https://docs.cpuc.ca.gov/PublishedDocs/Published/G000/M503/K914/503914324.PDF" TargetMode="External"/><Relationship Id="rId154" Type="http://schemas.openxmlformats.org/officeDocument/2006/relationships/hyperlink" Target="https://docs.cpuc.ca.gov/PublishedDocs/Published/G000/M531/K559/531559739.PDF" TargetMode="External"/><Relationship Id="rId16" Type="http://schemas.openxmlformats.org/officeDocument/2006/relationships/hyperlink" Target="https://docs.cpuc.ca.gov/PublishedDocs/WORD_PDF/FINAL_DECISION/39314.PDF" TargetMode="External"/><Relationship Id="rId37" Type="http://schemas.openxmlformats.org/officeDocument/2006/relationships/hyperlink" Target="https://docs.cpuc.ca.gov/PublishedDocs/Published/G000/M503/K914/503914324.PDF" TargetMode="External"/><Relationship Id="rId58" Type="http://schemas.openxmlformats.org/officeDocument/2006/relationships/hyperlink" Target="https://docs.cpuc.ca.gov/PublishedDocs/Published/G000/M542/K029/542029029.PDF" TargetMode="External"/><Relationship Id="rId79" Type="http://schemas.openxmlformats.org/officeDocument/2006/relationships/hyperlink" Target="http://docs.cpuc.ca.gov/PublishedDocs/Published/G000/M196/K543/196543815.PDF" TargetMode="External"/><Relationship Id="rId102" Type="http://schemas.openxmlformats.org/officeDocument/2006/relationships/hyperlink" Target="https://docs.cpuc.ca.gov/PublishedDocs/Published/G000/M503/K914/503914324.PDF" TargetMode="External"/><Relationship Id="rId123" Type="http://schemas.openxmlformats.org/officeDocument/2006/relationships/hyperlink" Target="https://docs.cpuc.ca.gov/PublishedDocs/Published/G000/M503/K914/503914324.PDF" TargetMode="External"/><Relationship Id="rId144" Type="http://schemas.openxmlformats.org/officeDocument/2006/relationships/hyperlink" Target="https://www.energy.ca.gov/sites/default/files/2026-01/TN268110_20260102T135517_Gas%20R%26D%20Program%20-%20FY%20202324%20Updated%20Proposed%20Budget%20Plan%C2%A0.pdf" TargetMode="External"/><Relationship Id="rId90" Type="http://schemas.openxmlformats.org/officeDocument/2006/relationships/hyperlink" Target="https://docs.cpuc.ca.gov/word_pdf/FINAL_RESOLUTION/631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D0DC434EC93649981C54FC51FEC81B" ma:contentTypeVersion="21" ma:contentTypeDescription="Create a new document." ma:contentTypeScope="" ma:versionID="d261c57537e598a2b374b49e7d4c0853">
  <xsd:schema xmlns:xsd="http://www.w3.org/2001/XMLSchema" xmlns:xs="http://www.w3.org/2001/XMLSchema" xmlns:p="http://schemas.microsoft.com/office/2006/metadata/properties" xmlns:ns2="b2d2777c-a1f1-404e-80d5-4b6b735f5353" xmlns:ns3="5294eb0b-0742-491f-921b-4c8fe009313f" targetNamespace="http://schemas.microsoft.com/office/2006/metadata/properties" ma:root="true" ma:fieldsID="8c1dc81068d49f1c454182c23cecc95c" ns2:_="" ns3:_="">
    <xsd:import namespace="b2d2777c-a1f1-404e-80d5-4b6b735f5353"/>
    <xsd:import namespace="5294eb0b-0742-491f-921b-4c8fe00931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BCPLead_x0028_s_x0029_" minOccurs="0"/>
                <xsd:element ref="ns2:BCPName" minOccurs="0"/>
                <xsd:element ref="ns2:Positions" minOccurs="0"/>
                <xsd:element ref="ns2:OtherDivisionLeads" minOccurs="0"/>
                <xsd:element ref="ns2:DateSignedbyGovernor"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2777c-a1f1-404e-80d5-4b6b735f5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BCPLead_x0028_s_x0029_" ma:index="19" nillable="true" ma:displayName="ED Lead" ma:description="Energy Division lead for BCP" ma:format="Dropdown" ma:list="UserInfo" ma:SharePointGroup="0" ma:internalName="BCPLead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PName" ma:index="20" nillable="true" ma:displayName="BCP Name" ma:format="Dropdown" ma:internalName="BCPName">
      <xsd:simpleType>
        <xsd:restriction base="dms:Text">
          <xsd:maxLength value="255"/>
        </xsd:restriction>
      </xsd:simpleType>
    </xsd:element>
    <xsd:element name="Positions" ma:index="21" nillable="true" ma:displayName="Positions" ma:format="Dropdown" ma:internalName="Positions">
      <xsd:simpleType>
        <xsd:restriction base="dms:Note">
          <xsd:maxLength value="255"/>
        </xsd:restriction>
      </xsd:simpleType>
    </xsd:element>
    <xsd:element name="OtherDivisionLeads" ma:index="22" nillable="true" ma:displayName="Other Lead(s)" ma:format="Dropdown" ma:list="UserInfo" ma:SharePointGroup="0" ma:internalName="OtherDivisionLead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SignedbyGovernor" ma:index="23" nillable="true" ma:displayName="Date Signed by Governor" ma:format="DateTime" ma:internalName="DateSignedbyGovernor">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eb0b-0742-491f-921b-4c8fe00931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186ee5c-bc1d-4224-b12b-34228e56b313}" ma:internalName="TaxCatchAll" ma:showField="CatchAllData" ma:web="5294eb0b-0742-491f-921b-4c8fe0093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94eb0b-0742-491f-921b-4c8fe009313f" xsi:nil="true"/>
    <lcf76f155ced4ddcb4097134ff3c332f xmlns="b2d2777c-a1f1-404e-80d5-4b6b735f5353">
      <Terms xmlns="http://schemas.microsoft.com/office/infopath/2007/PartnerControls"/>
    </lcf76f155ced4ddcb4097134ff3c332f>
    <OtherDivisionLeads xmlns="b2d2777c-a1f1-404e-80d5-4b6b735f5353">
      <UserInfo>
        <DisplayName/>
        <AccountId xsi:nil="true"/>
        <AccountType/>
      </UserInfo>
    </OtherDivisionLeads>
    <BCPLead_x0028_s_x0029_ xmlns="b2d2777c-a1f1-404e-80d5-4b6b735f5353">
      <UserInfo>
        <DisplayName/>
        <AccountId xsi:nil="true"/>
        <AccountType/>
      </UserInfo>
    </BCPLead_x0028_s_x0029_>
    <Positions xmlns="b2d2777c-a1f1-404e-80d5-4b6b735f5353" xsi:nil="true"/>
    <BCPName xmlns="b2d2777c-a1f1-404e-80d5-4b6b735f5353" xsi:nil="true"/>
    <DateSignedbyGovernor xmlns="b2d2777c-a1f1-404e-80d5-4b6b735f53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1D879-7714-43F2-B374-A51677D0B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2777c-a1f1-404e-80d5-4b6b735f5353"/>
    <ds:schemaRef ds:uri="5294eb0b-0742-491f-921b-4c8fe0093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5294eb0b-0742-491f-921b-4c8fe009313f"/>
    <ds:schemaRef ds:uri="b2d2777c-a1f1-404e-80d5-4b6b735f5353"/>
  </ds:schemaRefs>
</ds:datastoreItem>
</file>

<file path=customXml/itemProps3.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4.xml><?xml version="1.0" encoding="utf-8"?>
<ds:datastoreItem xmlns:ds="http://schemas.openxmlformats.org/officeDocument/2006/customXml" ds:itemID="{23B08E15-EE36-4DF4-8C24-28E64942335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98</ap:Pages>
  <ap:Words>26727</ap:Words>
  <ap:Characters>152347</ap:Characters>
  <ap:Application>Microsoft Office Word</ap:Application>
  <ap:DocSecurity>0</ap:DocSecurity>
  <ap:Lines>1269</ap:Lines>
  <ap:Paragraphs>357</ap:Paragraphs>
  <ap:ScaleCrop>false</ap:ScaleCrop>
  <ap:Company/>
  <ap:LinksUpToDate>false</ap:LinksUpToDate>
  <ap:CharactersWithSpaces>178717</ap:CharactersWithSpaces>
  <ap:SharedDoc>false</ap:SharedDoc>
  <ap:HLinks>
    <vt:vector baseType="variant" size="1482">
      <vt:variant>
        <vt:i4>1179714</vt:i4>
      </vt:variant>
      <vt:variant>
        <vt:i4>270</vt:i4>
      </vt:variant>
      <vt:variant>
        <vt:i4>0</vt:i4>
      </vt:variant>
      <vt:variant>
        <vt:i4>5</vt:i4>
      </vt:variant>
      <vt:variant>
        <vt:lpwstr>https://docs.cpuc.ca.gov/PublishedDocs/Published/G000/M531/K559/531559739.PDF</vt:lpwstr>
      </vt:variant>
      <vt:variant>
        <vt:lpwstr/>
      </vt:variant>
      <vt:variant>
        <vt:i4>1179714</vt:i4>
      </vt:variant>
      <vt:variant>
        <vt:i4>267</vt:i4>
      </vt:variant>
      <vt:variant>
        <vt:i4>0</vt:i4>
      </vt:variant>
      <vt:variant>
        <vt:i4>5</vt:i4>
      </vt:variant>
      <vt:variant>
        <vt:lpwstr>https://docs.cpuc.ca.gov/PublishedDocs/Published/G000/M531/K559/531559739.PDF</vt:lpwstr>
      </vt:variant>
      <vt:variant>
        <vt:lpwstr/>
      </vt:variant>
      <vt:variant>
        <vt:i4>4391027</vt:i4>
      </vt:variant>
      <vt:variant>
        <vt:i4>264</vt:i4>
      </vt:variant>
      <vt:variant>
        <vt:i4>0</vt:i4>
      </vt:variant>
      <vt:variant>
        <vt:i4>5</vt:i4>
      </vt:variant>
      <vt:variant>
        <vt:lpwstr>https://mindfuldecommissioning.dnv.com/documents/FINAL_ Workshop 2_Presentation_10.2.24.pdf</vt:lpwstr>
      </vt:variant>
      <vt:variant>
        <vt:lpwstr/>
      </vt:variant>
      <vt:variant>
        <vt:i4>2949172</vt:i4>
      </vt:variant>
      <vt:variant>
        <vt:i4>261</vt:i4>
      </vt:variant>
      <vt:variant>
        <vt:i4>0</vt:i4>
      </vt:variant>
      <vt:variant>
        <vt:i4>5</vt:i4>
      </vt:variant>
      <vt:variant>
        <vt:lpwstr>https://www.energy.ca.gov/event/workshop/2024-03/location-specific-gas-system-decommissioning-scoping-workshop</vt:lpwstr>
      </vt:variant>
      <vt:variant>
        <vt:lpwstr>:%7E:text=The%20California%20Energy%20Commission%20%28CEC%29%20will%20host%20a,research%20addressing%20location-specific%20aspects%20of%20long-term%20gas%20decommissioning.</vt:lpwstr>
      </vt:variant>
      <vt:variant>
        <vt:i4>2359339</vt:i4>
      </vt:variant>
      <vt:variant>
        <vt:i4>258</vt:i4>
      </vt:variant>
      <vt:variant>
        <vt:i4>0</vt:i4>
      </vt:variant>
      <vt:variant>
        <vt:i4>5</vt:i4>
      </vt:variant>
      <vt:variant>
        <vt:lpwstr>https://www.energy.ca.gov/event/2024-02/workshop-analytical-framework-results-strategic-gas-infrastructure</vt:lpwstr>
      </vt:variant>
      <vt:variant>
        <vt:lpwstr/>
      </vt:variant>
      <vt:variant>
        <vt:i4>1179714</vt:i4>
      </vt:variant>
      <vt:variant>
        <vt:i4>255</vt:i4>
      </vt:variant>
      <vt:variant>
        <vt:i4>0</vt:i4>
      </vt:variant>
      <vt:variant>
        <vt:i4>5</vt:i4>
      </vt:variant>
      <vt:variant>
        <vt:lpwstr>https://docs.cpuc.ca.gov/PublishedDocs/Published/G000/M531/K559/531559739.PDF</vt:lpwstr>
      </vt:variant>
      <vt:variant>
        <vt:lpwstr/>
      </vt:variant>
      <vt:variant>
        <vt:i4>4390990</vt:i4>
      </vt:variant>
      <vt:variant>
        <vt:i4>252</vt:i4>
      </vt:variant>
      <vt:variant>
        <vt:i4>0</vt:i4>
      </vt:variant>
      <vt:variant>
        <vt:i4>5</vt:i4>
      </vt:variant>
      <vt:variant>
        <vt:lpwstr>https://docs.cpuc.ca.gov/PublishedDocs/Published/G000/M070/K145/70145464.PDF</vt:lpwstr>
      </vt:variant>
      <vt:variant>
        <vt:lpwstr/>
      </vt:variant>
      <vt:variant>
        <vt:i4>1507407</vt:i4>
      </vt:variant>
      <vt:variant>
        <vt:i4>249</vt:i4>
      </vt:variant>
      <vt:variant>
        <vt:i4>0</vt:i4>
      </vt:variant>
      <vt:variant>
        <vt:i4>5</vt:i4>
      </vt:variant>
      <vt:variant>
        <vt:lpwstr>https://docs.cpuc.ca.gov/PublishedDocs/Published/G000/M503/K914/503914324.PDF</vt:lpwstr>
      </vt:variant>
      <vt:variant>
        <vt:lpwstr/>
      </vt:variant>
      <vt:variant>
        <vt:i4>1507407</vt:i4>
      </vt:variant>
      <vt:variant>
        <vt:i4>246</vt:i4>
      </vt:variant>
      <vt:variant>
        <vt:i4>0</vt:i4>
      </vt:variant>
      <vt:variant>
        <vt:i4>5</vt:i4>
      </vt:variant>
      <vt:variant>
        <vt:lpwstr>https://docs.cpuc.ca.gov/PublishedDocs/Published/G000/M503/K914/503914324.PDF</vt:lpwstr>
      </vt:variant>
      <vt:variant>
        <vt:lpwstr/>
      </vt:variant>
      <vt:variant>
        <vt:i4>1179714</vt:i4>
      </vt:variant>
      <vt:variant>
        <vt:i4>243</vt:i4>
      </vt:variant>
      <vt:variant>
        <vt:i4>0</vt:i4>
      </vt:variant>
      <vt:variant>
        <vt:i4>5</vt:i4>
      </vt:variant>
      <vt:variant>
        <vt:lpwstr>https://docs.cpuc.ca.gov/PublishedDocs/Published/G000/M531/K559/531559739.PDF</vt:lpwstr>
      </vt:variant>
      <vt:variant>
        <vt:lpwstr/>
      </vt:variant>
      <vt:variant>
        <vt:i4>1179714</vt:i4>
      </vt:variant>
      <vt:variant>
        <vt:i4>240</vt:i4>
      </vt:variant>
      <vt:variant>
        <vt:i4>0</vt:i4>
      </vt:variant>
      <vt:variant>
        <vt:i4>5</vt:i4>
      </vt:variant>
      <vt:variant>
        <vt:lpwstr>https://docs.cpuc.ca.gov/PublishedDocs/Published/G000/M531/K559/531559739.PDF</vt:lpwstr>
      </vt:variant>
      <vt:variant>
        <vt:lpwstr/>
      </vt:variant>
      <vt:variant>
        <vt:i4>1507407</vt:i4>
      </vt:variant>
      <vt:variant>
        <vt:i4>237</vt:i4>
      </vt:variant>
      <vt:variant>
        <vt:i4>0</vt:i4>
      </vt:variant>
      <vt:variant>
        <vt:i4>5</vt:i4>
      </vt:variant>
      <vt:variant>
        <vt:lpwstr>https://docs.cpuc.ca.gov/PublishedDocs/Published/G000/M503/K914/503914324.PDF</vt:lpwstr>
      </vt:variant>
      <vt:variant>
        <vt:lpwstr/>
      </vt:variant>
      <vt:variant>
        <vt:i4>1507407</vt:i4>
      </vt:variant>
      <vt:variant>
        <vt:i4>234</vt:i4>
      </vt:variant>
      <vt:variant>
        <vt:i4>0</vt:i4>
      </vt:variant>
      <vt:variant>
        <vt:i4>5</vt:i4>
      </vt:variant>
      <vt:variant>
        <vt:lpwstr>https://docs.cpuc.ca.gov/PublishedDocs/Published/G000/M503/K914/503914324.PDF</vt:lpwstr>
      </vt:variant>
      <vt:variant>
        <vt:lpwstr/>
      </vt:variant>
      <vt:variant>
        <vt:i4>1507407</vt:i4>
      </vt:variant>
      <vt:variant>
        <vt:i4>231</vt:i4>
      </vt:variant>
      <vt:variant>
        <vt:i4>0</vt:i4>
      </vt:variant>
      <vt:variant>
        <vt:i4>5</vt:i4>
      </vt:variant>
      <vt:variant>
        <vt:lpwstr>https://docs.cpuc.ca.gov/PublishedDocs/Published/G000/M503/K914/503914324.PDF</vt:lpwstr>
      </vt:variant>
      <vt:variant>
        <vt:lpwstr/>
      </vt:variant>
      <vt:variant>
        <vt:i4>1048649</vt:i4>
      </vt:variant>
      <vt:variant>
        <vt:i4>228</vt:i4>
      </vt:variant>
      <vt:variant>
        <vt:i4>0</vt:i4>
      </vt:variant>
      <vt:variant>
        <vt:i4>5</vt:i4>
      </vt:variant>
      <vt:variant>
        <vt:lpwstr>https://docs.cpuc.ca.gov/PublishedDocs/Published/G000/M410/K138/410138703.PDF</vt:lpwstr>
      </vt:variant>
      <vt:variant>
        <vt:lpwstr/>
      </vt:variant>
      <vt:variant>
        <vt:i4>1048649</vt:i4>
      </vt:variant>
      <vt:variant>
        <vt:i4>225</vt:i4>
      </vt:variant>
      <vt:variant>
        <vt:i4>0</vt:i4>
      </vt:variant>
      <vt:variant>
        <vt:i4>5</vt:i4>
      </vt:variant>
      <vt:variant>
        <vt:lpwstr>https://docs.cpuc.ca.gov/PublishedDocs/Published/G000/M410/K138/410138703.PDF</vt:lpwstr>
      </vt:variant>
      <vt:variant>
        <vt:lpwstr/>
      </vt:variant>
      <vt:variant>
        <vt:i4>1572941</vt:i4>
      </vt:variant>
      <vt:variant>
        <vt:i4>222</vt:i4>
      </vt:variant>
      <vt:variant>
        <vt:i4>0</vt:i4>
      </vt:variant>
      <vt:variant>
        <vt:i4>5</vt:i4>
      </vt:variant>
      <vt:variant>
        <vt:lpwstr>https://docs.cpuc.ca.gov/PublishedDocs/Published/G000/M350/K789/350789679.PDF</vt:lpwstr>
      </vt:variant>
      <vt:variant>
        <vt:lpwstr/>
      </vt:variant>
      <vt:variant>
        <vt:i4>3145785</vt:i4>
      </vt:variant>
      <vt:variant>
        <vt:i4>219</vt:i4>
      </vt:variant>
      <vt:variant>
        <vt:i4>0</vt:i4>
      </vt:variant>
      <vt:variant>
        <vt:i4>5</vt:i4>
      </vt:variant>
      <vt:variant>
        <vt:lpwstr>https://www.energy.ca.gov/data-reports/reports/energy-research-and-development-investment-plans-and-annual-reports</vt:lpwstr>
      </vt:variant>
      <vt:variant>
        <vt:lpwstr/>
      </vt:variant>
      <vt:variant>
        <vt:i4>1572941</vt:i4>
      </vt:variant>
      <vt:variant>
        <vt:i4>216</vt:i4>
      </vt:variant>
      <vt:variant>
        <vt:i4>0</vt:i4>
      </vt:variant>
      <vt:variant>
        <vt:i4>5</vt:i4>
      </vt:variant>
      <vt:variant>
        <vt:lpwstr>https://docs.cpuc.ca.gov/PublishedDocs/Published/G000/M350/K789/350789679.PDF</vt:lpwstr>
      </vt:variant>
      <vt:variant>
        <vt:lpwstr/>
      </vt:variant>
      <vt:variant>
        <vt:i4>4390990</vt:i4>
      </vt:variant>
      <vt:variant>
        <vt:i4>213</vt:i4>
      </vt:variant>
      <vt:variant>
        <vt:i4>0</vt:i4>
      </vt:variant>
      <vt:variant>
        <vt:i4>5</vt:i4>
      </vt:variant>
      <vt:variant>
        <vt:lpwstr>https://docs.cpuc.ca.gov/PublishedDocs/Published/G000/M070/K145/70145464.PDF</vt:lpwstr>
      </vt:variant>
      <vt:variant>
        <vt:lpwstr/>
      </vt:variant>
      <vt:variant>
        <vt:i4>5898269</vt:i4>
      </vt:variant>
      <vt:variant>
        <vt:i4>210</vt:i4>
      </vt:variant>
      <vt:variant>
        <vt:i4>0</vt:i4>
      </vt:variant>
      <vt:variant>
        <vt:i4>5</vt:i4>
      </vt:variant>
      <vt:variant>
        <vt:lpwstr>https://docs.cpuc.ca.gov/word_pdf/FINAL_RESOLUTION/63130.pdf</vt:lpwstr>
      </vt:variant>
      <vt:variant>
        <vt:lpwstr/>
      </vt:variant>
      <vt:variant>
        <vt:i4>4259935</vt:i4>
      </vt:variant>
      <vt:variant>
        <vt:i4>207</vt:i4>
      </vt:variant>
      <vt:variant>
        <vt:i4>0</vt:i4>
      </vt:variant>
      <vt:variant>
        <vt:i4>5</vt:i4>
      </vt:variant>
      <vt:variant>
        <vt:lpwstr>https://docs.cpuc.ca.gov/PublishedDocs/WORD_PDF/FINAL_DECISION/39314.PDF</vt:lpwstr>
      </vt:variant>
      <vt:variant>
        <vt:lpwstr/>
      </vt:variant>
      <vt:variant>
        <vt:i4>4259935</vt:i4>
      </vt:variant>
      <vt:variant>
        <vt:i4>204</vt:i4>
      </vt:variant>
      <vt:variant>
        <vt:i4>0</vt:i4>
      </vt:variant>
      <vt:variant>
        <vt:i4>5</vt:i4>
      </vt:variant>
      <vt:variant>
        <vt:lpwstr>https://docs.cpuc.ca.gov/PublishedDocs/WORD_PDF/FINAL_DECISION/39314.PDF</vt:lpwstr>
      </vt:variant>
      <vt:variant>
        <vt:lpwstr/>
      </vt:variant>
      <vt:variant>
        <vt:i4>4259935</vt:i4>
      </vt:variant>
      <vt:variant>
        <vt:i4>201</vt:i4>
      </vt:variant>
      <vt:variant>
        <vt:i4>0</vt:i4>
      </vt:variant>
      <vt:variant>
        <vt:i4>5</vt:i4>
      </vt:variant>
      <vt:variant>
        <vt:lpwstr>https://docs.cpuc.ca.gov/PublishedDocs/WORD_PDF/FINAL_DECISION/39314.PDF</vt:lpwstr>
      </vt:variant>
      <vt:variant>
        <vt:lpwstr/>
      </vt:variant>
      <vt:variant>
        <vt:i4>4259935</vt:i4>
      </vt:variant>
      <vt:variant>
        <vt:i4>198</vt:i4>
      </vt:variant>
      <vt:variant>
        <vt:i4>0</vt:i4>
      </vt:variant>
      <vt:variant>
        <vt:i4>5</vt:i4>
      </vt:variant>
      <vt:variant>
        <vt:lpwstr>https://docs.cpuc.ca.gov/PublishedDocs/WORD_PDF/FINAL_DECISION/39314.PDF</vt:lpwstr>
      </vt:variant>
      <vt:variant>
        <vt:lpwstr/>
      </vt:variant>
      <vt:variant>
        <vt:i4>1179714</vt:i4>
      </vt:variant>
      <vt:variant>
        <vt:i4>195</vt:i4>
      </vt:variant>
      <vt:variant>
        <vt:i4>0</vt:i4>
      </vt:variant>
      <vt:variant>
        <vt:i4>5</vt:i4>
      </vt:variant>
      <vt:variant>
        <vt:lpwstr>https://docs.cpuc.ca.gov/PublishedDocs/Published/G000/M531/K559/531559739.PDF</vt:lpwstr>
      </vt:variant>
      <vt:variant>
        <vt:lpwstr/>
      </vt:variant>
      <vt:variant>
        <vt:i4>1179714</vt:i4>
      </vt:variant>
      <vt:variant>
        <vt:i4>192</vt:i4>
      </vt:variant>
      <vt:variant>
        <vt:i4>0</vt:i4>
      </vt:variant>
      <vt:variant>
        <vt:i4>5</vt:i4>
      </vt:variant>
      <vt:variant>
        <vt:lpwstr>https://docs.cpuc.ca.gov/PublishedDocs/Published/G000/M531/K559/531559739.PDF</vt:lpwstr>
      </vt:variant>
      <vt:variant>
        <vt:lpwstr/>
      </vt:variant>
      <vt:variant>
        <vt:i4>1179714</vt:i4>
      </vt:variant>
      <vt:variant>
        <vt:i4>189</vt:i4>
      </vt:variant>
      <vt:variant>
        <vt:i4>0</vt:i4>
      </vt:variant>
      <vt:variant>
        <vt:i4>5</vt:i4>
      </vt:variant>
      <vt:variant>
        <vt:lpwstr>https://docs.cpuc.ca.gov/PublishedDocs/Published/G000/M531/K559/531559739.PDF</vt:lpwstr>
      </vt:variant>
      <vt:variant>
        <vt:lpwstr/>
      </vt:variant>
      <vt:variant>
        <vt:i4>1179714</vt:i4>
      </vt:variant>
      <vt:variant>
        <vt:i4>186</vt:i4>
      </vt:variant>
      <vt:variant>
        <vt:i4>0</vt:i4>
      </vt:variant>
      <vt:variant>
        <vt:i4>5</vt:i4>
      </vt:variant>
      <vt:variant>
        <vt:lpwstr>https://docs.cpuc.ca.gov/PublishedDocs/Published/G000/M531/K559/531559739.PDF</vt:lpwstr>
      </vt:variant>
      <vt:variant>
        <vt:lpwstr/>
      </vt:variant>
      <vt:variant>
        <vt:i4>1179714</vt:i4>
      </vt:variant>
      <vt:variant>
        <vt:i4>183</vt:i4>
      </vt:variant>
      <vt:variant>
        <vt:i4>0</vt:i4>
      </vt:variant>
      <vt:variant>
        <vt:i4>5</vt:i4>
      </vt:variant>
      <vt:variant>
        <vt:lpwstr>https://docs.cpuc.ca.gov/PublishedDocs/Published/G000/M531/K559/531559739.PDF</vt:lpwstr>
      </vt:variant>
      <vt:variant>
        <vt:lpwstr/>
      </vt:variant>
      <vt:variant>
        <vt:i4>1179714</vt:i4>
      </vt:variant>
      <vt:variant>
        <vt:i4>180</vt:i4>
      </vt:variant>
      <vt:variant>
        <vt:i4>0</vt:i4>
      </vt:variant>
      <vt:variant>
        <vt:i4>5</vt:i4>
      </vt:variant>
      <vt:variant>
        <vt:lpwstr>https://docs.cpuc.ca.gov/PublishedDocs/Published/G000/M531/K559/531559739.PDF</vt:lpwstr>
      </vt:variant>
      <vt:variant>
        <vt:lpwstr/>
      </vt:variant>
      <vt:variant>
        <vt:i4>1179714</vt:i4>
      </vt:variant>
      <vt:variant>
        <vt:i4>177</vt:i4>
      </vt:variant>
      <vt:variant>
        <vt:i4>0</vt:i4>
      </vt:variant>
      <vt:variant>
        <vt:i4>5</vt:i4>
      </vt:variant>
      <vt:variant>
        <vt:lpwstr>https://docs.cpuc.ca.gov/PublishedDocs/Published/G000/M531/K559/531559739.PDF</vt:lpwstr>
      </vt:variant>
      <vt:variant>
        <vt:lpwstr/>
      </vt:variant>
      <vt:variant>
        <vt:i4>4390990</vt:i4>
      </vt:variant>
      <vt:variant>
        <vt:i4>174</vt:i4>
      </vt:variant>
      <vt:variant>
        <vt:i4>0</vt:i4>
      </vt:variant>
      <vt:variant>
        <vt:i4>5</vt:i4>
      </vt:variant>
      <vt:variant>
        <vt:lpwstr>https://docs.cpuc.ca.gov/PublishedDocs/Published/G000/M070/K145/70145464.PDF</vt:lpwstr>
      </vt:variant>
      <vt:variant>
        <vt:lpwstr/>
      </vt:variant>
      <vt:variant>
        <vt:i4>1507407</vt:i4>
      </vt:variant>
      <vt:variant>
        <vt:i4>171</vt:i4>
      </vt:variant>
      <vt:variant>
        <vt:i4>0</vt:i4>
      </vt:variant>
      <vt:variant>
        <vt:i4>5</vt:i4>
      </vt:variant>
      <vt:variant>
        <vt:lpwstr>https://docs.cpuc.ca.gov/PublishedDocs/Published/G000/M503/K914/503914324.PDF</vt:lpwstr>
      </vt:variant>
      <vt:variant>
        <vt:lpwstr/>
      </vt:variant>
      <vt:variant>
        <vt:i4>1507407</vt:i4>
      </vt:variant>
      <vt:variant>
        <vt:i4>168</vt:i4>
      </vt:variant>
      <vt:variant>
        <vt:i4>0</vt:i4>
      </vt:variant>
      <vt:variant>
        <vt:i4>5</vt:i4>
      </vt:variant>
      <vt:variant>
        <vt:lpwstr>https://docs.cpuc.ca.gov/PublishedDocs/Published/G000/M503/K914/503914324.PDF</vt:lpwstr>
      </vt:variant>
      <vt:variant>
        <vt:lpwstr/>
      </vt:variant>
      <vt:variant>
        <vt:i4>1179714</vt:i4>
      </vt:variant>
      <vt:variant>
        <vt:i4>165</vt:i4>
      </vt:variant>
      <vt:variant>
        <vt:i4>0</vt:i4>
      </vt:variant>
      <vt:variant>
        <vt:i4>5</vt:i4>
      </vt:variant>
      <vt:variant>
        <vt:lpwstr>https://docs.cpuc.ca.gov/PublishedDocs/Published/G000/M531/K559/531559739.PDF</vt:lpwstr>
      </vt:variant>
      <vt:variant>
        <vt:lpwstr/>
      </vt:variant>
      <vt:variant>
        <vt:i4>1179714</vt:i4>
      </vt:variant>
      <vt:variant>
        <vt:i4>162</vt:i4>
      </vt:variant>
      <vt:variant>
        <vt:i4>0</vt:i4>
      </vt:variant>
      <vt:variant>
        <vt:i4>5</vt:i4>
      </vt:variant>
      <vt:variant>
        <vt:lpwstr>https://docs.cpuc.ca.gov/PublishedDocs/Published/G000/M531/K559/531559739.PDF</vt:lpwstr>
      </vt:variant>
      <vt:variant>
        <vt:lpwstr/>
      </vt:variant>
      <vt:variant>
        <vt:i4>1507407</vt:i4>
      </vt:variant>
      <vt:variant>
        <vt:i4>159</vt:i4>
      </vt:variant>
      <vt:variant>
        <vt:i4>0</vt:i4>
      </vt:variant>
      <vt:variant>
        <vt:i4>5</vt:i4>
      </vt:variant>
      <vt:variant>
        <vt:lpwstr>https://docs.cpuc.ca.gov/PublishedDocs/Published/G000/M503/K914/503914324.PDF</vt:lpwstr>
      </vt:variant>
      <vt:variant>
        <vt:lpwstr/>
      </vt:variant>
      <vt:variant>
        <vt:i4>1507407</vt:i4>
      </vt:variant>
      <vt:variant>
        <vt:i4>156</vt:i4>
      </vt:variant>
      <vt:variant>
        <vt:i4>0</vt:i4>
      </vt:variant>
      <vt:variant>
        <vt:i4>5</vt:i4>
      </vt:variant>
      <vt:variant>
        <vt:lpwstr>https://docs.cpuc.ca.gov/PublishedDocs/Published/G000/M503/K914/503914324.PDF</vt:lpwstr>
      </vt:variant>
      <vt:variant>
        <vt:lpwstr/>
      </vt:variant>
      <vt:variant>
        <vt:i4>1507407</vt:i4>
      </vt:variant>
      <vt:variant>
        <vt:i4>153</vt:i4>
      </vt:variant>
      <vt:variant>
        <vt:i4>0</vt:i4>
      </vt:variant>
      <vt:variant>
        <vt:i4>5</vt:i4>
      </vt:variant>
      <vt:variant>
        <vt:lpwstr>https://docs.cpuc.ca.gov/PublishedDocs/Published/G000/M503/K914/503914324.PDF</vt:lpwstr>
      </vt:variant>
      <vt:variant>
        <vt:lpwstr/>
      </vt:variant>
      <vt:variant>
        <vt:i4>1048649</vt:i4>
      </vt:variant>
      <vt:variant>
        <vt:i4>150</vt:i4>
      </vt:variant>
      <vt:variant>
        <vt:i4>0</vt:i4>
      </vt:variant>
      <vt:variant>
        <vt:i4>5</vt:i4>
      </vt:variant>
      <vt:variant>
        <vt:lpwstr>https://docs.cpuc.ca.gov/PublishedDocs/Published/G000/M410/K138/410138703.PDF</vt:lpwstr>
      </vt:variant>
      <vt:variant>
        <vt:lpwstr/>
      </vt:variant>
      <vt:variant>
        <vt:i4>1048649</vt:i4>
      </vt:variant>
      <vt:variant>
        <vt:i4>147</vt:i4>
      </vt:variant>
      <vt:variant>
        <vt:i4>0</vt:i4>
      </vt:variant>
      <vt:variant>
        <vt:i4>5</vt:i4>
      </vt:variant>
      <vt:variant>
        <vt:lpwstr>https://docs.cpuc.ca.gov/PublishedDocs/Published/G000/M410/K138/410138703.PDF</vt:lpwstr>
      </vt:variant>
      <vt:variant>
        <vt:lpwstr/>
      </vt:variant>
      <vt:variant>
        <vt:i4>1572941</vt:i4>
      </vt:variant>
      <vt:variant>
        <vt:i4>144</vt:i4>
      </vt:variant>
      <vt:variant>
        <vt:i4>0</vt:i4>
      </vt:variant>
      <vt:variant>
        <vt:i4>5</vt:i4>
      </vt:variant>
      <vt:variant>
        <vt:lpwstr>https://docs.cpuc.ca.gov/PublishedDocs/Published/G000/M350/K789/350789679.PDF</vt:lpwstr>
      </vt:variant>
      <vt:variant>
        <vt:lpwstr/>
      </vt:variant>
      <vt:variant>
        <vt:i4>3145785</vt:i4>
      </vt:variant>
      <vt:variant>
        <vt:i4>141</vt:i4>
      </vt:variant>
      <vt:variant>
        <vt:i4>0</vt:i4>
      </vt:variant>
      <vt:variant>
        <vt:i4>5</vt:i4>
      </vt:variant>
      <vt:variant>
        <vt:lpwstr>https://www.energy.ca.gov/data-reports/reports/energy-research-and-development-investment-plans-and-annual-reports.</vt:lpwstr>
      </vt:variant>
      <vt:variant>
        <vt:lpwstr/>
      </vt:variant>
      <vt:variant>
        <vt:i4>1572941</vt:i4>
      </vt:variant>
      <vt:variant>
        <vt:i4>138</vt:i4>
      </vt:variant>
      <vt:variant>
        <vt:i4>0</vt:i4>
      </vt:variant>
      <vt:variant>
        <vt:i4>5</vt:i4>
      </vt:variant>
      <vt:variant>
        <vt:lpwstr>https://docs.cpuc.ca.gov/PublishedDocs/Published/G000/M350/K789/350789679.PDF</vt:lpwstr>
      </vt:variant>
      <vt:variant>
        <vt:lpwstr/>
      </vt:variant>
      <vt:variant>
        <vt:i4>4390990</vt:i4>
      </vt:variant>
      <vt:variant>
        <vt:i4>135</vt:i4>
      </vt:variant>
      <vt:variant>
        <vt:i4>0</vt:i4>
      </vt:variant>
      <vt:variant>
        <vt:i4>5</vt:i4>
      </vt:variant>
      <vt:variant>
        <vt:lpwstr>https://docs.cpuc.ca.gov/PublishedDocs/Published/G000/M070/K145/70145464.PDF</vt:lpwstr>
      </vt:variant>
      <vt:variant>
        <vt:lpwstr/>
      </vt:variant>
      <vt:variant>
        <vt:i4>5898269</vt:i4>
      </vt:variant>
      <vt:variant>
        <vt:i4>132</vt:i4>
      </vt:variant>
      <vt:variant>
        <vt:i4>0</vt:i4>
      </vt:variant>
      <vt:variant>
        <vt:i4>5</vt:i4>
      </vt:variant>
      <vt:variant>
        <vt:lpwstr>https://docs.cpuc.ca.gov/word_pdf/FINAL_RESOLUTION/63130.pdf</vt:lpwstr>
      </vt:variant>
      <vt:variant>
        <vt:lpwstr/>
      </vt:variant>
      <vt:variant>
        <vt:i4>4259935</vt:i4>
      </vt:variant>
      <vt:variant>
        <vt:i4>129</vt:i4>
      </vt:variant>
      <vt:variant>
        <vt:i4>0</vt:i4>
      </vt:variant>
      <vt:variant>
        <vt:i4>5</vt:i4>
      </vt:variant>
      <vt:variant>
        <vt:lpwstr>https://docs.cpuc.ca.gov/PublishedDocs/WORD_PDF/FINAL_DECISION/39314.PDF</vt:lpwstr>
      </vt:variant>
      <vt:variant>
        <vt:lpwstr/>
      </vt:variant>
      <vt:variant>
        <vt:i4>4259935</vt:i4>
      </vt:variant>
      <vt:variant>
        <vt:i4>126</vt:i4>
      </vt:variant>
      <vt:variant>
        <vt:i4>0</vt:i4>
      </vt:variant>
      <vt:variant>
        <vt:i4>5</vt:i4>
      </vt:variant>
      <vt:variant>
        <vt:lpwstr>https://docs.cpuc.ca.gov/PublishedDocs/WORD_PDF/FINAL_DECISION/39314.PDF</vt:lpwstr>
      </vt:variant>
      <vt:variant>
        <vt:lpwstr/>
      </vt:variant>
      <vt:variant>
        <vt:i4>4259935</vt:i4>
      </vt:variant>
      <vt:variant>
        <vt:i4>123</vt:i4>
      </vt:variant>
      <vt:variant>
        <vt:i4>0</vt:i4>
      </vt:variant>
      <vt:variant>
        <vt:i4>5</vt:i4>
      </vt:variant>
      <vt:variant>
        <vt:lpwstr>https://docs.cpuc.ca.gov/PublishedDocs/WORD_PDF/FINAL_DECISION/39314.PDF</vt:lpwstr>
      </vt:variant>
      <vt:variant>
        <vt:lpwstr/>
      </vt:variant>
      <vt:variant>
        <vt:i4>4259935</vt:i4>
      </vt:variant>
      <vt:variant>
        <vt:i4>120</vt:i4>
      </vt:variant>
      <vt:variant>
        <vt:i4>0</vt:i4>
      </vt:variant>
      <vt:variant>
        <vt:i4>5</vt:i4>
      </vt:variant>
      <vt:variant>
        <vt:lpwstr>https://docs.cpuc.ca.gov/PublishedDocs/WORD_PDF/FINAL_DECISION/39314.PDF</vt:lpwstr>
      </vt:variant>
      <vt:variant>
        <vt:lpwstr/>
      </vt:variant>
      <vt:variant>
        <vt:i4>1179714</vt:i4>
      </vt:variant>
      <vt:variant>
        <vt:i4>117</vt:i4>
      </vt:variant>
      <vt:variant>
        <vt:i4>0</vt:i4>
      </vt:variant>
      <vt:variant>
        <vt:i4>5</vt:i4>
      </vt:variant>
      <vt:variant>
        <vt:lpwstr>https://docs.cpuc.ca.gov/PublishedDocs/Published/G000/M531/K559/531559739.PDF</vt:lpwstr>
      </vt:variant>
      <vt:variant>
        <vt:lpwstr/>
      </vt:variant>
      <vt:variant>
        <vt:i4>1179714</vt:i4>
      </vt:variant>
      <vt:variant>
        <vt:i4>114</vt:i4>
      </vt:variant>
      <vt:variant>
        <vt:i4>0</vt:i4>
      </vt:variant>
      <vt:variant>
        <vt:i4>5</vt:i4>
      </vt:variant>
      <vt:variant>
        <vt:lpwstr>https://docs.cpuc.ca.gov/PublishedDocs/Published/G000/M531/K559/531559739.PDF</vt:lpwstr>
      </vt:variant>
      <vt:variant>
        <vt:lpwstr/>
      </vt:variant>
      <vt:variant>
        <vt:i4>4325452</vt:i4>
      </vt:variant>
      <vt:variant>
        <vt:i4>111</vt:i4>
      </vt:variant>
      <vt:variant>
        <vt:i4>0</vt:i4>
      </vt:variant>
      <vt:variant>
        <vt:i4>5</vt:i4>
      </vt:variant>
      <vt:variant>
        <vt:lpwstr>https://docs.cpuc.ca.gov/PublishedDocs/Published/G000/M081/K773/81773445.PDF</vt:lpwstr>
      </vt:variant>
      <vt:variant>
        <vt:lpwstr/>
      </vt:variant>
      <vt:variant>
        <vt:i4>1769540</vt:i4>
      </vt:variant>
      <vt:variant>
        <vt:i4>108</vt:i4>
      </vt:variant>
      <vt:variant>
        <vt:i4>0</vt:i4>
      </vt:variant>
      <vt:variant>
        <vt:i4>5</vt:i4>
      </vt:variant>
      <vt:variant>
        <vt:lpwstr>https://docs.cpuc.ca.gov/PublishedDocs/Published/G000/M520/K896/520896345.pdf</vt:lpwstr>
      </vt:variant>
      <vt:variant>
        <vt:lpwstr/>
      </vt:variant>
      <vt:variant>
        <vt:i4>1310786</vt:i4>
      </vt:variant>
      <vt:variant>
        <vt:i4>105</vt:i4>
      </vt:variant>
      <vt:variant>
        <vt:i4>0</vt:i4>
      </vt:variant>
      <vt:variant>
        <vt:i4>5</vt:i4>
      </vt:variant>
      <vt:variant>
        <vt:lpwstr>https://docs.cpuc.ca.gov/PublishedDocs/Published/G000/M521/K196/521196139.PDF</vt:lpwstr>
      </vt:variant>
      <vt:variant>
        <vt:lpwstr/>
      </vt:variant>
      <vt:variant>
        <vt:i4>1507407</vt:i4>
      </vt:variant>
      <vt:variant>
        <vt:i4>102</vt:i4>
      </vt:variant>
      <vt:variant>
        <vt:i4>0</vt:i4>
      </vt:variant>
      <vt:variant>
        <vt:i4>5</vt:i4>
      </vt:variant>
      <vt:variant>
        <vt:lpwstr>https://docs.cpuc.ca.gov/PublishedDocs/Published/G000/M503/K914/503914324.PDF</vt:lpwstr>
      </vt:variant>
      <vt:variant>
        <vt:lpwstr/>
      </vt:variant>
      <vt:variant>
        <vt:i4>3539067</vt:i4>
      </vt:variant>
      <vt:variant>
        <vt:i4>99</vt:i4>
      </vt:variant>
      <vt:variant>
        <vt:i4>0</vt:i4>
      </vt:variant>
      <vt:variant>
        <vt:i4>5</vt:i4>
      </vt:variant>
      <vt:variant>
        <vt:lpwstr>https://www.cpuc.ca.gov/-/media/cpuc-website/divisions/news-and-outreach/documents/news-office/key-issues/esj/esj-action-plan-v2jw.pdf</vt:lpwstr>
      </vt:variant>
      <vt:variant>
        <vt:lpwstr/>
      </vt:variant>
      <vt:variant>
        <vt:i4>1310786</vt:i4>
      </vt:variant>
      <vt:variant>
        <vt:i4>96</vt:i4>
      </vt:variant>
      <vt:variant>
        <vt:i4>0</vt:i4>
      </vt:variant>
      <vt:variant>
        <vt:i4>5</vt:i4>
      </vt:variant>
      <vt:variant>
        <vt:lpwstr>https://docs.cpuc.ca.gov/PublishedDocs/Published/G000/M461/K921/461921821.PDF</vt:lpwstr>
      </vt:variant>
      <vt:variant>
        <vt:lpwstr/>
      </vt:variant>
      <vt:variant>
        <vt:i4>1114188</vt:i4>
      </vt:variant>
      <vt:variant>
        <vt:i4>93</vt:i4>
      </vt:variant>
      <vt:variant>
        <vt:i4>0</vt:i4>
      </vt:variant>
      <vt:variant>
        <vt:i4>5</vt:i4>
      </vt:variant>
      <vt:variant>
        <vt:lpwstr>https://docs.cpuc.ca.gov/PublishedDocs/Published/G000/M372/K329/372329202.PDF</vt:lpwstr>
      </vt:variant>
      <vt:variant>
        <vt:lpwstr/>
      </vt:variant>
      <vt:variant>
        <vt:i4>1572941</vt:i4>
      </vt:variant>
      <vt:variant>
        <vt:i4>90</vt:i4>
      </vt:variant>
      <vt:variant>
        <vt:i4>0</vt:i4>
      </vt:variant>
      <vt:variant>
        <vt:i4>5</vt:i4>
      </vt:variant>
      <vt:variant>
        <vt:lpwstr>https://docs.cpuc.ca.gov/PublishedDocs/Published/G000/M350/K789/350789679.PDF</vt:lpwstr>
      </vt:variant>
      <vt:variant>
        <vt:lpwstr/>
      </vt:variant>
      <vt:variant>
        <vt:i4>1900608</vt:i4>
      </vt:variant>
      <vt:variant>
        <vt:i4>87</vt:i4>
      </vt:variant>
      <vt:variant>
        <vt:i4>0</vt:i4>
      </vt:variant>
      <vt:variant>
        <vt:i4>5</vt:i4>
      </vt:variant>
      <vt:variant>
        <vt:lpwstr>https://docs.cpuc.ca.gov/PublishedDocs/Published/G000/M310/K136/310136145.PDF</vt:lpwstr>
      </vt:variant>
      <vt:variant>
        <vt:lpwstr/>
      </vt:variant>
      <vt:variant>
        <vt:i4>1441877</vt:i4>
      </vt:variant>
      <vt:variant>
        <vt:i4>84</vt:i4>
      </vt:variant>
      <vt:variant>
        <vt:i4>0</vt:i4>
      </vt:variant>
      <vt:variant>
        <vt:i4>5</vt:i4>
      </vt:variant>
      <vt:variant>
        <vt:lpwstr>https://www.gov.ca.gov/wp-content/uploads/2024/10/energy-EO-10-30-24.pdf</vt:lpwstr>
      </vt:variant>
      <vt:variant>
        <vt:lpwstr/>
      </vt:variant>
      <vt:variant>
        <vt:i4>1769540</vt:i4>
      </vt:variant>
      <vt:variant>
        <vt:i4>81</vt:i4>
      </vt:variant>
      <vt:variant>
        <vt:i4>0</vt:i4>
      </vt:variant>
      <vt:variant>
        <vt:i4>5</vt:i4>
      </vt:variant>
      <vt:variant>
        <vt:lpwstr>https://docs.cpuc.ca.gov/PublishedDocs/Published/G000/M520/K896/520896345.pdf</vt:lpwstr>
      </vt:variant>
      <vt:variant>
        <vt:lpwstr/>
      </vt:variant>
      <vt:variant>
        <vt:i4>1310786</vt:i4>
      </vt:variant>
      <vt:variant>
        <vt:i4>78</vt:i4>
      </vt:variant>
      <vt:variant>
        <vt:i4>0</vt:i4>
      </vt:variant>
      <vt:variant>
        <vt:i4>5</vt:i4>
      </vt:variant>
      <vt:variant>
        <vt:lpwstr>https://docs.cpuc.ca.gov/PublishedDocs/Published/G000/M461/K921/461921821.PDF</vt:lpwstr>
      </vt:variant>
      <vt:variant>
        <vt:lpwstr/>
      </vt:variant>
      <vt:variant>
        <vt:i4>1114178</vt:i4>
      </vt:variant>
      <vt:variant>
        <vt:i4>75</vt:i4>
      </vt:variant>
      <vt:variant>
        <vt:i4>0</vt:i4>
      </vt:variant>
      <vt:variant>
        <vt:i4>5</vt:i4>
      </vt:variant>
      <vt:variant>
        <vt:lpwstr>https://docs.cpuc.ca.gov/PublishedDocs/Published/G000/M507/K499/507499284.PDF</vt:lpwstr>
      </vt:variant>
      <vt:variant>
        <vt:lpwstr/>
      </vt:variant>
      <vt:variant>
        <vt:i4>1769540</vt:i4>
      </vt:variant>
      <vt:variant>
        <vt:i4>72</vt:i4>
      </vt:variant>
      <vt:variant>
        <vt:i4>0</vt:i4>
      </vt:variant>
      <vt:variant>
        <vt:i4>5</vt:i4>
      </vt:variant>
      <vt:variant>
        <vt:lpwstr>https://docs.cpuc.ca.gov/PublishedDocs/Published/G000/M520/K896/520896345.pdf</vt:lpwstr>
      </vt:variant>
      <vt:variant>
        <vt:lpwstr/>
      </vt:variant>
      <vt:variant>
        <vt:i4>1179714</vt:i4>
      </vt:variant>
      <vt:variant>
        <vt:i4>69</vt:i4>
      </vt:variant>
      <vt:variant>
        <vt:i4>0</vt:i4>
      </vt:variant>
      <vt:variant>
        <vt:i4>5</vt:i4>
      </vt:variant>
      <vt:variant>
        <vt:lpwstr>https://docs.cpuc.ca.gov/PublishedDocs/Published/G000/M531/K559/531559739.PDF</vt:lpwstr>
      </vt:variant>
      <vt:variant>
        <vt:lpwstr/>
      </vt:variant>
      <vt:variant>
        <vt:i4>1310786</vt:i4>
      </vt:variant>
      <vt:variant>
        <vt:i4>66</vt:i4>
      </vt:variant>
      <vt:variant>
        <vt:i4>0</vt:i4>
      </vt:variant>
      <vt:variant>
        <vt:i4>5</vt:i4>
      </vt:variant>
      <vt:variant>
        <vt:lpwstr>https://docs.cpuc.ca.gov/PublishedDocs/Published/G000/M521/K196/521196139.PDF</vt:lpwstr>
      </vt:variant>
      <vt:variant>
        <vt:lpwstr/>
      </vt:variant>
      <vt:variant>
        <vt:i4>1507407</vt:i4>
      </vt:variant>
      <vt:variant>
        <vt:i4>63</vt:i4>
      </vt:variant>
      <vt:variant>
        <vt:i4>0</vt:i4>
      </vt:variant>
      <vt:variant>
        <vt:i4>5</vt:i4>
      </vt:variant>
      <vt:variant>
        <vt:lpwstr>https://docs.cpuc.ca.gov/PublishedDocs/Published/G000/M503/K914/503914324.PDF</vt:lpwstr>
      </vt:variant>
      <vt:variant>
        <vt:lpwstr/>
      </vt:variant>
      <vt:variant>
        <vt:i4>1310786</vt:i4>
      </vt:variant>
      <vt:variant>
        <vt:i4>60</vt:i4>
      </vt:variant>
      <vt:variant>
        <vt:i4>0</vt:i4>
      </vt:variant>
      <vt:variant>
        <vt:i4>5</vt:i4>
      </vt:variant>
      <vt:variant>
        <vt:lpwstr>https://docs.cpuc.ca.gov/PublishedDocs/Published/G000/M461/K921/461921821.PDF</vt:lpwstr>
      </vt:variant>
      <vt:variant>
        <vt:lpwstr/>
      </vt:variant>
      <vt:variant>
        <vt:i4>3407935</vt:i4>
      </vt:variant>
      <vt:variant>
        <vt:i4>57</vt:i4>
      </vt:variant>
      <vt:variant>
        <vt:i4>0</vt:i4>
      </vt:variant>
      <vt:variant>
        <vt:i4>5</vt:i4>
      </vt:variant>
      <vt:variant>
        <vt:lpwstr>http://docs.cpuc.ca.gov/PublishedDocs/WORD_PDF/FINAL_DECISION/39314.PDF</vt:lpwstr>
      </vt:variant>
      <vt:variant>
        <vt:lpwstr/>
      </vt:variant>
      <vt:variant>
        <vt:i4>1114178</vt:i4>
      </vt:variant>
      <vt:variant>
        <vt:i4>54</vt:i4>
      </vt:variant>
      <vt:variant>
        <vt:i4>0</vt:i4>
      </vt:variant>
      <vt:variant>
        <vt:i4>5</vt:i4>
      </vt:variant>
      <vt:variant>
        <vt:lpwstr>https://docs.cpuc.ca.gov/PublishedDocs/Published/G000/M507/K499/507499284.PDF</vt:lpwstr>
      </vt:variant>
      <vt:variant>
        <vt:lpwstr/>
      </vt:variant>
      <vt:variant>
        <vt:i4>1310786</vt:i4>
      </vt:variant>
      <vt:variant>
        <vt:i4>51</vt:i4>
      </vt:variant>
      <vt:variant>
        <vt:i4>0</vt:i4>
      </vt:variant>
      <vt:variant>
        <vt:i4>5</vt:i4>
      </vt:variant>
      <vt:variant>
        <vt:lpwstr>https://docs.cpuc.ca.gov/PublishedDocs/Published/G000/M521/K196/521196139.PDF</vt:lpwstr>
      </vt:variant>
      <vt:variant>
        <vt:lpwstr/>
      </vt:variant>
      <vt:variant>
        <vt:i4>1114188</vt:i4>
      </vt:variant>
      <vt:variant>
        <vt:i4>48</vt:i4>
      </vt:variant>
      <vt:variant>
        <vt:i4>0</vt:i4>
      </vt:variant>
      <vt:variant>
        <vt:i4>5</vt:i4>
      </vt:variant>
      <vt:variant>
        <vt:lpwstr>https://docs.cpuc.ca.gov/PublishedDocs/Published/G000/M372/K329/372329202.PDF</vt:lpwstr>
      </vt:variant>
      <vt:variant>
        <vt:lpwstr/>
      </vt:variant>
      <vt:variant>
        <vt:i4>1114178</vt:i4>
      </vt:variant>
      <vt:variant>
        <vt:i4>45</vt:i4>
      </vt:variant>
      <vt:variant>
        <vt:i4>0</vt:i4>
      </vt:variant>
      <vt:variant>
        <vt:i4>5</vt:i4>
      </vt:variant>
      <vt:variant>
        <vt:lpwstr>https://docs.cpuc.ca.gov/PublishedDocs/Published/G000/M507/K499/507499284.PDF</vt:lpwstr>
      </vt:variant>
      <vt:variant>
        <vt:lpwstr/>
      </vt:variant>
      <vt:variant>
        <vt:i4>1114186</vt:i4>
      </vt:variant>
      <vt:variant>
        <vt:i4>42</vt:i4>
      </vt:variant>
      <vt:variant>
        <vt:i4>0</vt:i4>
      </vt:variant>
      <vt:variant>
        <vt:i4>5</vt:i4>
      </vt:variant>
      <vt:variant>
        <vt:lpwstr>https://docs.cpuc.ca.gov/PublishedDocs/Published/G000/M550/K485/550485071.pdf</vt:lpwstr>
      </vt:variant>
      <vt:variant>
        <vt:lpwstr/>
      </vt:variant>
      <vt:variant>
        <vt:i4>1179714</vt:i4>
      </vt:variant>
      <vt:variant>
        <vt:i4>39</vt:i4>
      </vt:variant>
      <vt:variant>
        <vt:i4>0</vt:i4>
      </vt:variant>
      <vt:variant>
        <vt:i4>5</vt:i4>
      </vt:variant>
      <vt:variant>
        <vt:lpwstr>https://docs.cpuc.ca.gov/PublishedDocs/Published/G000/M531/K559/531559739.PDF</vt:lpwstr>
      </vt:variant>
      <vt:variant>
        <vt:lpwstr/>
      </vt:variant>
      <vt:variant>
        <vt:i4>1310786</vt:i4>
      </vt:variant>
      <vt:variant>
        <vt:i4>36</vt:i4>
      </vt:variant>
      <vt:variant>
        <vt:i4>0</vt:i4>
      </vt:variant>
      <vt:variant>
        <vt:i4>5</vt:i4>
      </vt:variant>
      <vt:variant>
        <vt:lpwstr>https://docs.cpuc.ca.gov/PublishedDocs/Published/G000/M521/K196/521196139.PDF</vt:lpwstr>
      </vt:variant>
      <vt:variant>
        <vt:lpwstr/>
      </vt:variant>
      <vt:variant>
        <vt:i4>1507407</vt:i4>
      </vt:variant>
      <vt:variant>
        <vt:i4>33</vt:i4>
      </vt:variant>
      <vt:variant>
        <vt:i4>0</vt:i4>
      </vt:variant>
      <vt:variant>
        <vt:i4>5</vt:i4>
      </vt:variant>
      <vt:variant>
        <vt:lpwstr>https://docs.cpuc.ca.gov/PublishedDocs/Published/G000/M503/K914/503914324.PDF</vt:lpwstr>
      </vt:variant>
      <vt:variant>
        <vt:lpwstr/>
      </vt:variant>
      <vt:variant>
        <vt:i4>1310786</vt:i4>
      </vt:variant>
      <vt:variant>
        <vt:i4>30</vt:i4>
      </vt:variant>
      <vt:variant>
        <vt:i4>0</vt:i4>
      </vt:variant>
      <vt:variant>
        <vt:i4>5</vt:i4>
      </vt:variant>
      <vt:variant>
        <vt:lpwstr>https://docs.cpuc.ca.gov/PublishedDocs/Published/G000/M461/K921/461921821.PDF</vt:lpwstr>
      </vt:variant>
      <vt:variant>
        <vt:lpwstr/>
      </vt:variant>
      <vt:variant>
        <vt:i4>1179714</vt:i4>
      </vt:variant>
      <vt:variant>
        <vt:i4>27</vt:i4>
      </vt:variant>
      <vt:variant>
        <vt:i4>0</vt:i4>
      </vt:variant>
      <vt:variant>
        <vt:i4>5</vt:i4>
      </vt:variant>
      <vt:variant>
        <vt:lpwstr>https://docs.cpuc.ca.gov/PublishedDocs/Published/G000/M531/K559/531559739.PDF</vt:lpwstr>
      </vt:variant>
      <vt:variant>
        <vt:lpwstr/>
      </vt:variant>
      <vt:variant>
        <vt:i4>1310786</vt:i4>
      </vt:variant>
      <vt:variant>
        <vt:i4>24</vt:i4>
      </vt:variant>
      <vt:variant>
        <vt:i4>0</vt:i4>
      </vt:variant>
      <vt:variant>
        <vt:i4>5</vt:i4>
      </vt:variant>
      <vt:variant>
        <vt:lpwstr>https://docs.cpuc.ca.gov/PublishedDocs/Published/G000/M521/K196/521196139.PDF</vt:lpwstr>
      </vt:variant>
      <vt:variant>
        <vt:lpwstr/>
      </vt:variant>
      <vt:variant>
        <vt:i4>1572941</vt:i4>
      </vt:variant>
      <vt:variant>
        <vt:i4>21</vt:i4>
      </vt:variant>
      <vt:variant>
        <vt:i4>0</vt:i4>
      </vt:variant>
      <vt:variant>
        <vt:i4>5</vt:i4>
      </vt:variant>
      <vt:variant>
        <vt:lpwstr>https://docs.cpuc.ca.gov/PublishedDocs/Published/G000/M350/K789/350789679.PDF</vt:lpwstr>
      </vt:variant>
      <vt:variant>
        <vt:lpwstr/>
      </vt:variant>
      <vt:variant>
        <vt:i4>1966149</vt:i4>
      </vt:variant>
      <vt:variant>
        <vt:i4>18</vt:i4>
      </vt:variant>
      <vt:variant>
        <vt:i4>0</vt:i4>
      </vt:variant>
      <vt:variant>
        <vt:i4>5</vt:i4>
      </vt:variant>
      <vt:variant>
        <vt:lpwstr>https://docs.cpuc.ca.gov/PublishedDocs/Published/G000/M316/K704/316704666.PDF</vt:lpwstr>
      </vt:variant>
      <vt:variant>
        <vt:lpwstr/>
      </vt:variant>
      <vt:variant>
        <vt:i4>1179714</vt:i4>
      </vt:variant>
      <vt:variant>
        <vt:i4>15</vt:i4>
      </vt:variant>
      <vt:variant>
        <vt:i4>0</vt:i4>
      </vt:variant>
      <vt:variant>
        <vt:i4>5</vt:i4>
      </vt:variant>
      <vt:variant>
        <vt:lpwstr>https://docs.cpuc.ca.gov/PublishedDocs/Published/G000/M531/K559/531559739.PDF</vt:lpwstr>
      </vt:variant>
      <vt:variant>
        <vt:lpwstr/>
      </vt:variant>
      <vt:variant>
        <vt:i4>1507407</vt:i4>
      </vt:variant>
      <vt:variant>
        <vt:i4>12</vt:i4>
      </vt:variant>
      <vt:variant>
        <vt:i4>0</vt:i4>
      </vt:variant>
      <vt:variant>
        <vt:i4>5</vt:i4>
      </vt:variant>
      <vt:variant>
        <vt:lpwstr>https://docs.cpuc.ca.gov/PublishedDocs/Published/G000/M503/K914/503914324.PDF</vt:lpwstr>
      </vt:variant>
      <vt:variant>
        <vt:lpwstr/>
      </vt:variant>
      <vt:variant>
        <vt:i4>1048649</vt:i4>
      </vt:variant>
      <vt:variant>
        <vt:i4>9</vt:i4>
      </vt:variant>
      <vt:variant>
        <vt:i4>0</vt:i4>
      </vt:variant>
      <vt:variant>
        <vt:i4>5</vt:i4>
      </vt:variant>
      <vt:variant>
        <vt:lpwstr>https://docs.cpuc.ca.gov/PublishedDocs/Published/G000/M410/K138/410138703.PDF</vt:lpwstr>
      </vt:variant>
      <vt:variant>
        <vt:lpwstr/>
      </vt:variant>
      <vt:variant>
        <vt:i4>1572941</vt:i4>
      </vt:variant>
      <vt:variant>
        <vt:i4>6</vt:i4>
      </vt:variant>
      <vt:variant>
        <vt:i4>0</vt:i4>
      </vt:variant>
      <vt:variant>
        <vt:i4>5</vt:i4>
      </vt:variant>
      <vt:variant>
        <vt:lpwstr>https://docs.cpuc.ca.gov/PublishedDocs/Published/G000/M350/K789/350789679.PDF</vt:lpwstr>
      </vt:variant>
      <vt:variant>
        <vt:lpwstr/>
      </vt:variant>
      <vt:variant>
        <vt:i4>4390990</vt:i4>
      </vt:variant>
      <vt:variant>
        <vt:i4>3</vt:i4>
      </vt:variant>
      <vt:variant>
        <vt:i4>0</vt:i4>
      </vt:variant>
      <vt:variant>
        <vt:i4>5</vt:i4>
      </vt:variant>
      <vt:variant>
        <vt:lpwstr>https://docs.cpuc.ca.gov/PublishedDocs/Published/G000/M070/K145/70145464.PDF</vt:lpwstr>
      </vt:variant>
      <vt:variant>
        <vt:lpwstr/>
      </vt:variant>
      <vt:variant>
        <vt:i4>5898269</vt:i4>
      </vt:variant>
      <vt:variant>
        <vt:i4>0</vt:i4>
      </vt:variant>
      <vt:variant>
        <vt:i4>0</vt:i4>
      </vt:variant>
      <vt:variant>
        <vt:i4>5</vt:i4>
      </vt:variant>
      <vt:variant>
        <vt:lpwstr>https://docs.cpuc.ca.gov/word_pdf/FINAL_RESOLUTION/63130.pdf</vt:lpwstr>
      </vt:variant>
      <vt:variant>
        <vt:lpwstr/>
      </vt:variant>
      <vt:variant>
        <vt:i4>4194368</vt:i4>
      </vt:variant>
      <vt:variant>
        <vt:i4>465</vt:i4>
      </vt:variant>
      <vt:variant>
        <vt:i4>0</vt:i4>
      </vt:variant>
      <vt:variant>
        <vt:i4>5</vt:i4>
      </vt:variant>
      <vt:variant>
        <vt:lpwstr>https://docs.cpuc.ca.gov/PublishedDocs/Published/G000/M097/K121/97121784.PDF</vt:lpwstr>
      </vt:variant>
      <vt:variant>
        <vt:lpwstr/>
      </vt:variant>
      <vt:variant>
        <vt:i4>6881397</vt:i4>
      </vt:variant>
      <vt:variant>
        <vt:i4>462</vt:i4>
      </vt:variant>
      <vt:variant>
        <vt:i4>0</vt:i4>
      </vt:variant>
      <vt:variant>
        <vt:i4>5</vt:i4>
      </vt:variant>
      <vt:variant>
        <vt:lpwstr>https://www.energy.ca.gov/publications/2021/california-building-decarbonization-assessment</vt:lpwstr>
      </vt:variant>
      <vt:variant>
        <vt:lpwstr/>
      </vt:variant>
      <vt:variant>
        <vt:i4>1179714</vt:i4>
      </vt:variant>
      <vt:variant>
        <vt:i4>459</vt:i4>
      </vt:variant>
      <vt:variant>
        <vt:i4>0</vt:i4>
      </vt:variant>
      <vt:variant>
        <vt:i4>5</vt:i4>
      </vt:variant>
      <vt:variant>
        <vt:lpwstr>https://docs.cpuc.ca.gov/PublishedDocs/Published/G000/M531/K559/531559739.PDF</vt:lpwstr>
      </vt:variant>
      <vt:variant>
        <vt:lpwstr/>
      </vt:variant>
      <vt:variant>
        <vt:i4>1572941</vt:i4>
      </vt:variant>
      <vt:variant>
        <vt:i4>456</vt:i4>
      </vt:variant>
      <vt:variant>
        <vt:i4>0</vt:i4>
      </vt:variant>
      <vt:variant>
        <vt:i4>5</vt:i4>
      </vt:variant>
      <vt:variant>
        <vt:lpwstr>https://docs.cpuc.ca.gov/PublishedDocs/Published/G000/M350/K789/350789679.PDF</vt:lpwstr>
      </vt:variant>
      <vt:variant>
        <vt:lpwstr/>
      </vt:variant>
      <vt:variant>
        <vt:i4>1048649</vt:i4>
      </vt:variant>
      <vt:variant>
        <vt:i4>453</vt:i4>
      </vt:variant>
      <vt:variant>
        <vt:i4>0</vt:i4>
      </vt:variant>
      <vt:variant>
        <vt:i4>5</vt:i4>
      </vt:variant>
      <vt:variant>
        <vt:lpwstr>https://docs.cpuc.ca.gov/PublishedDocs/Published/G000/M410/K138/410138703.PDF</vt:lpwstr>
      </vt:variant>
      <vt:variant>
        <vt:lpwstr/>
      </vt:variant>
      <vt:variant>
        <vt:i4>1245269</vt:i4>
      </vt:variant>
      <vt:variant>
        <vt:i4>450</vt:i4>
      </vt:variant>
      <vt:variant>
        <vt:i4>0</vt:i4>
      </vt:variant>
      <vt:variant>
        <vt:i4>5</vt:i4>
      </vt:variant>
      <vt:variant>
        <vt:lpwstr>https://california.public.law/codes/public_utilities_code_section_384</vt:lpwstr>
      </vt:variant>
      <vt:variant>
        <vt:lpwstr/>
      </vt:variant>
      <vt:variant>
        <vt:i4>4194368</vt:i4>
      </vt:variant>
      <vt:variant>
        <vt:i4>447</vt:i4>
      </vt:variant>
      <vt:variant>
        <vt:i4>0</vt:i4>
      </vt:variant>
      <vt:variant>
        <vt:i4>5</vt:i4>
      </vt:variant>
      <vt:variant>
        <vt:lpwstr>https://docs.cpuc.ca.gov/PublishedDocs/Published/G000/M097/K121/97121784.PDF</vt:lpwstr>
      </vt:variant>
      <vt:variant>
        <vt:lpwstr/>
      </vt:variant>
      <vt:variant>
        <vt:i4>6881397</vt:i4>
      </vt:variant>
      <vt:variant>
        <vt:i4>444</vt:i4>
      </vt:variant>
      <vt:variant>
        <vt:i4>0</vt:i4>
      </vt:variant>
      <vt:variant>
        <vt:i4>5</vt:i4>
      </vt:variant>
      <vt:variant>
        <vt:lpwstr>https://www.energy.ca.gov/publications/2021/california-building-decarbonization-assessment</vt:lpwstr>
      </vt:variant>
      <vt:variant>
        <vt:lpwstr/>
      </vt:variant>
      <vt:variant>
        <vt:i4>1179714</vt:i4>
      </vt:variant>
      <vt:variant>
        <vt:i4>441</vt:i4>
      </vt:variant>
      <vt:variant>
        <vt:i4>0</vt:i4>
      </vt:variant>
      <vt:variant>
        <vt:i4>5</vt:i4>
      </vt:variant>
      <vt:variant>
        <vt:lpwstr>https://docs.cpuc.ca.gov/PublishedDocs/Published/G000/M531/K559/531559739.PDF</vt:lpwstr>
      </vt:variant>
      <vt:variant>
        <vt:lpwstr/>
      </vt:variant>
      <vt:variant>
        <vt:i4>1572941</vt:i4>
      </vt:variant>
      <vt:variant>
        <vt:i4>438</vt:i4>
      </vt:variant>
      <vt:variant>
        <vt:i4>0</vt:i4>
      </vt:variant>
      <vt:variant>
        <vt:i4>5</vt:i4>
      </vt:variant>
      <vt:variant>
        <vt:lpwstr>https://docs.cpuc.ca.gov/PublishedDocs/Published/G000/M350/K789/350789679.PDF</vt:lpwstr>
      </vt:variant>
      <vt:variant>
        <vt:lpwstr/>
      </vt:variant>
      <vt:variant>
        <vt:i4>1048649</vt:i4>
      </vt:variant>
      <vt:variant>
        <vt:i4>435</vt:i4>
      </vt:variant>
      <vt:variant>
        <vt:i4>0</vt:i4>
      </vt:variant>
      <vt:variant>
        <vt:i4>5</vt:i4>
      </vt:variant>
      <vt:variant>
        <vt:lpwstr>https://docs.cpuc.ca.gov/PublishedDocs/Published/G000/M410/K138/410138703.PDF</vt:lpwstr>
      </vt:variant>
      <vt:variant>
        <vt:lpwstr/>
      </vt:variant>
      <vt:variant>
        <vt:i4>1245269</vt:i4>
      </vt:variant>
      <vt:variant>
        <vt:i4>432</vt:i4>
      </vt:variant>
      <vt:variant>
        <vt:i4>0</vt:i4>
      </vt:variant>
      <vt:variant>
        <vt:i4>5</vt:i4>
      </vt:variant>
      <vt:variant>
        <vt:lpwstr>https://california.public.law/codes/public_utilities_code_section_384</vt:lpwstr>
      </vt:variant>
      <vt:variant>
        <vt:lpwstr/>
      </vt:variant>
      <vt:variant>
        <vt:i4>7405695</vt:i4>
      </vt:variant>
      <vt:variant>
        <vt:i4>429</vt:i4>
      </vt:variant>
      <vt:variant>
        <vt:i4>0</vt:i4>
      </vt:variant>
      <vt:variant>
        <vt:i4>5</vt:i4>
      </vt:variant>
      <vt:variant>
        <vt:lpwstr>https://www.energy.ca.gov/sites/default/files/2026-01/TN268110_20260102T135517_Gas R%26D Program - FY 202324 Updated Proposed Budget Plan%C2%A0.pdf</vt:lpwstr>
      </vt:variant>
      <vt:variant>
        <vt:lpwstr/>
      </vt:variant>
      <vt:variant>
        <vt:i4>1048649</vt:i4>
      </vt:variant>
      <vt:variant>
        <vt:i4>426</vt:i4>
      </vt:variant>
      <vt:variant>
        <vt:i4>0</vt:i4>
      </vt:variant>
      <vt:variant>
        <vt:i4>5</vt:i4>
      </vt:variant>
      <vt:variant>
        <vt:lpwstr>https://docs.cpuc.ca.gov/PublishedDocs/Published/G000/M410/K138/410138703.PDF</vt:lpwstr>
      </vt:variant>
      <vt:variant>
        <vt:lpwstr/>
      </vt:variant>
      <vt:variant>
        <vt:i4>4390990</vt:i4>
      </vt:variant>
      <vt:variant>
        <vt:i4>423</vt:i4>
      </vt:variant>
      <vt:variant>
        <vt:i4>0</vt:i4>
      </vt:variant>
      <vt:variant>
        <vt:i4>5</vt:i4>
      </vt:variant>
      <vt:variant>
        <vt:lpwstr>https://docs.cpuc.ca.gov/PublishedDocs/Published/G000/M070/K145/70145464.PDF</vt:lpwstr>
      </vt:variant>
      <vt:variant>
        <vt:lpwstr/>
      </vt:variant>
      <vt:variant>
        <vt:i4>1245269</vt:i4>
      </vt:variant>
      <vt:variant>
        <vt:i4>420</vt:i4>
      </vt:variant>
      <vt:variant>
        <vt:i4>0</vt:i4>
      </vt:variant>
      <vt:variant>
        <vt:i4>5</vt:i4>
      </vt:variant>
      <vt:variant>
        <vt:lpwstr>https://california.public.law/codes/public_utilities_code_section_384</vt:lpwstr>
      </vt:variant>
      <vt:variant>
        <vt:lpwstr/>
      </vt:variant>
      <vt:variant>
        <vt:i4>1048649</vt:i4>
      </vt:variant>
      <vt:variant>
        <vt:i4>417</vt:i4>
      </vt:variant>
      <vt:variant>
        <vt:i4>0</vt:i4>
      </vt:variant>
      <vt:variant>
        <vt:i4>5</vt:i4>
      </vt:variant>
      <vt:variant>
        <vt:lpwstr>https://docs.cpuc.ca.gov/PublishedDocs/Published/G000/M410/K138/410138703.PDF</vt:lpwstr>
      </vt:variant>
      <vt:variant>
        <vt:lpwstr/>
      </vt:variant>
      <vt:variant>
        <vt:i4>4390990</vt:i4>
      </vt:variant>
      <vt:variant>
        <vt:i4>414</vt:i4>
      </vt:variant>
      <vt:variant>
        <vt:i4>0</vt:i4>
      </vt:variant>
      <vt:variant>
        <vt:i4>5</vt:i4>
      </vt:variant>
      <vt:variant>
        <vt:lpwstr>https://docs.cpuc.ca.gov/PublishedDocs/Published/G000/M070/K145/70145464.PDF</vt:lpwstr>
      </vt:variant>
      <vt:variant>
        <vt:lpwstr/>
      </vt:variant>
      <vt:variant>
        <vt:i4>1245269</vt:i4>
      </vt:variant>
      <vt:variant>
        <vt:i4>411</vt:i4>
      </vt:variant>
      <vt:variant>
        <vt:i4>0</vt:i4>
      </vt:variant>
      <vt:variant>
        <vt:i4>5</vt:i4>
      </vt:variant>
      <vt:variant>
        <vt:lpwstr>https://california.public.law/codes/public_utilities_code_section_384</vt:lpwstr>
      </vt:variant>
      <vt:variant>
        <vt:lpwstr/>
      </vt:variant>
      <vt:variant>
        <vt:i4>1638489</vt:i4>
      </vt:variant>
      <vt:variant>
        <vt:i4>408</vt:i4>
      </vt:variant>
      <vt:variant>
        <vt:i4>0</vt:i4>
      </vt:variant>
      <vt:variant>
        <vt:i4>5</vt:i4>
      </vt:variant>
      <vt:variant>
        <vt:lpwstr>https://docs.cpuc.ca.gov/PublishedDocs/WORD_PDF/FINAL_DECISION/167664.PDF</vt:lpwstr>
      </vt:variant>
      <vt:variant>
        <vt:lpwstr/>
      </vt:variant>
      <vt:variant>
        <vt:i4>1114178</vt:i4>
      </vt:variant>
      <vt:variant>
        <vt:i4>405</vt:i4>
      </vt:variant>
      <vt:variant>
        <vt:i4>0</vt:i4>
      </vt:variant>
      <vt:variant>
        <vt:i4>5</vt:i4>
      </vt:variant>
      <vt:variant>
        <vt:lpwstr>https://docs.cpuc.ca.gov/PublishedDocs/Published/G000/M507/K499/507499284.PDF</vt:lpwstr>
      </vt:variant>
      <vt:variant>
        <vt:lpwstr/>
      </vt:variant>
      <vt:variant>
        <vt:i4>1310786</vt:i4>
      </vt:variant>
      <vt:variant>
        <vt:i4>402</vt:i4>
      </vt:variant>
      <vt:variant>
        <vt:i4>0</vt:i4>
      </vt:variant>
      <vt:variant>
        <vt:i4>5</vt:i4>
      </vt:variant>
      <vt:variant>
        <vt:lpwstr>https://docs.cpuc.ca.gov/PublishedDocs/Published/G000/M521/K196/521196139.PDF</vt:lpwstr>
      </vt:variant>
      <vt:variant>
        <vt:lpwstr/>
      </vt:variant>
      <vt:variant>
        <vt:i4>1507407</vt:i4>
      </vt:variant>
      <vt:variant>
        <vt:i4>399</vt:i4>
      </vt:variant>
      <vt:variant>
        <vt:i4>0</vt:i4>
      </vt:variant>
      <vt:variant>
        <vt:i4>5</vt:i4>
      </vt:variant>
      <vt:variant>
        <vt:lpwstr>https://docs.cpuc.ca.gov/PublishedDocs/Published/G000/M503/K914/503914324.PDF</vt:lpwstr>
      </vt:variant>
      <vt:variant>
        <vt:lpwstr/>
      </vt:variant>
      <vt:variant>
        <vt:i4>1507407</vt:i4>
      </vt:variant>
      <vt:variant>
        <vt:i4>396</vt:i4>
      </vt:variant>
      <vt:variant>
        <vt:i4>0</vt:i4>
      </vt:variant>
      <vt:variant>
        <vt:i4>5</vt:i4>
      </vt:variant>
      <vt:variant>
        <vt:lpwstr>https://docs.cpuc.ca.gov/PublishedDocs/Published/G000/M503/K914/503914324.PDF</vt:lpwstr>
      </vt:variant>
      <vt:variant>
        <vt:lpwstr/>
      </vt:variant>
      <vt:variant>
        <vt:i4>4259935</vt:i4>
      </vt:variant>
      <vt:variant>
        <vt:i4>393</vt:i4>
      </vt:variant>
      <vt:variant>
        <vt:i4>0</vt:i4>
      </vt:variant>
      <vt:variant>
        <vt:i4>5</vt:i4>
      </vt:variant>
      <vt:variant>
        <vt:lpwstr>https://docs.cpuc.ca.gov/PublishedDocs/WORD_PDF/FINAL_DECISION/39314.PDF</vt:lpwstr>
      </vt:variant>
      <vt:variant>
        <vt:lpwstr/>
      </vt:variant>
      <vt:variant>
        <vt:i4>1048649</vt:i4>
      </vt:variant>
      <vt:variant>
        <vt:i4>390</vt:i4>
      </vt:variant>
      <vt:variant>
        <vt:i4>0</vt:i4>
      </vt:variant>
      <vt:variant>
        <vt:i4>5</vt:i4>
      </vt:variant>
      <vt:variant>
        <vt:lpwstr>https://docs.cpuc.ca.gov/PublishedDocs/Published/G000/M410/K138/410138703.PDF</vt:lpwstr>
      </vt:variant>
      <vt:variant>
        <vt:lpwstr/>
      </vt:variant>
      <vt:variant>
        <vt:i4>1179714</vt:i4>
      </vt:variant>
      <vt:variant>
        <vt:i4>387</vt:i4>
      </vt:variant>
      <vt:variant>
        <vt:i4>0</vt:i4>
      </vt:variant>
      <vt:variant>
        <vt:i4>5</vt:i4>
      </vt:variant>
      <vt:variant>
        <vt:lpwstr>https://docs.cpuc.ca.gov/PublishedDocs/Published/G000/M531/K559/531559739.PDF</vt:lpwstr>
      </vt:variant>
      <vt:variant>
        <vt:lpwstr/>
      </vt:variant>
      <vt:variant>
        <vt:i4>4259935</vt:i4>
      </vt:variant>
      <vt:variant>
        <vt:i4>384</vt:i4>
      </vt:variant>
      <vt:variant>
        <vt:i4>0</vt:i4>
      </vt:variant>
      <vt:variant>
        <vt:i4>5</vt:i4>
      </vt:variant>
      <vt:variant>
        <vt:lpwstr>https://docs.cpuc.ca.gov/PublishedDocs/WORD_PDF/FINAL_DECISION/39314.PDF</vt:lpwstr>
      </vt:variant>
      <vt:variant>
        <vt:lpwstr/>
      </vt:variant>
      <vt:variant>
        <vt:i4>1572941</vt:i4>
      </vt:variant>
      <vt:variant>
        <vt:i4>381</vt:i4>
      </vt:variant>
      <vt:variant>
        <vt:i4>0</vt:i4>
      </vt:variant>
      <vt:variant>
        <vt:i4>5</vt:i4>
      </vt:variant>
      <vt:variant>
        <vt:lpwstr>https://docs.cpuc.ca.gov/PublishedDocs/Published/G000/M350/K789/350789679.PDF</vt:lpwstr>
      </vt:variant>
      <vt:variant>
        <vt:lpwstr/>
      </vt:variant>
      <vt:variant>
        <vt:i4>1900608</vt:i4>
      </vt:variant>
      <vt:variant>
        <vt:i4>378</vt:i4>
      </vt:variant>
      <vt:variant>
        <vt:i4>0</vt:i4>
      </vt:variant>
      <vt:variant>
        <vt:i4>5</vt:i4>
      </vt:variant>
      <vt:variant>
        <vt:lpwstr>https://docs.cpuc.ca.gov/PublishedDocs/Published/G000/M310/K136/310136145.PDF</vt:lpwstr>
      </vt:variant>
      <vt:variant>
        <vt:lpwstr/>
      </vt:variant>
      <vt:variant>
        <vt:i4>4325380</vt:i4>
      </vt:variant>
      <vt:variant>
        <vt:i4>375</vt:i4>
      </vt:variant>
      <vt:variant>
        <vt:i4>0</vt:i4>
      </vt:variant>
      <vt:variant>
        <vt:i4>5</vt:i4>
      </vt:variant>
      <vt:variant>
        <vt:lpwstr>http://docs.cpuc.ca.gov/PublishedDocs/Published/G000/M264/K677/264677853.PDF</vt:lpwstr>
      </vt:variant>
      <vt:variant>
        <vt:lpwstr/>
      </vt:variant>
      <vt:variant>
        <vt:i4>1507407</vt:i4>
      </vt:variant>
      <vt:variant>
        <vt:i4>372</vt:i4>
      </vt:variant>
      <vt:variant>
        <vt:i4>0</vt:i4>
      </vt:variant>
      <vt:variant>
        <vt:i4>5</vt:i4>
      </vt:variant>
      <vt:variant>
        <vt:lpwstr>https://docs.cpuc.ca.gov/PublishedDocs/Published/G000/M503/K914/503914324.PDF</vt:lpwstr>
      </vt:variant>
      <vt:variant>
        <vt:lpwstr/>
      </vt:variant>
      <vt:variant>
        <vt:i4>6881397</vt:i4>
      </vt:variant>
      <vt:variant>
        <vt:i4>369</vt:i4>
      </vt:variant>
      <vt:variant>
        <vt:i4>0</vt:i4>
      </vt:variant>
      <vt:variant>
        <vt:i4>5</vt:i4>
      </vt:variant>
      <vt:variant>
        <vt:lpwstr>https://www.energy.ca.gov/publications/2021/california-building-decarbonization-assessment</vt:lpwstr>
      </vt:variant>
      <vt:variant>
        <vt:lpwstr/>
      </vt:variant>
      <vt:variant>
        <vt:i4>1507407</vt:i4>
      </vt:variant>
      <vt:variant>
        <vt:i4>366</vt:i4>
      </vt:variant>
      <vt:variant>
        <vt:i4>0</vt:i4>
      </vt:variant>
      <vt:variant>
        <vt:i4>5</vt:i4>
      </vt:variant>
      <vt:variant>
        <vt:lpwstr>https://docs.cpuc.ca.gov/PublishedDocs/Published/G000/M503/K914/503914324.PDF</vt:lpwstr>
      </vt:variant>
      <vt:variant>
        <vt:lpwstr/>
      </vt:variant>
      <vt:variant>
        <vt:i4>1179714</vt:i4>
      </vt:variant>
      <vt:variant>
        <vt:i4>363</vt:i4>
      </vt:variant>
      <vt:variant>
        <vt:i4>0</vt:i4>
      </vt:variant>
      <vt:variant>
        <vt:i4>5</vt:i4>
      </vt:variant>
      <vt:variant>
        <vt:lpwstr>https://docs.cpuc.ca.gov/PublishedDocs/Published/G000/M531/K559/531559739.PDF</vt:lpwstr>
      </vt:variant>
      <vt:variant>
        <vt:lpwstr/>
      </vt:variant>
      <vt:variant>
        <vt:i4>1572941</vt:i4>
      </vt:variant>
      <vt:variant>
        <vt:i4>360</vt:i4>
      </vt:variant>
      <vt:variant>
        <vt:i4>0</vt:i4>
      </vt:variant>
      <vt:variant>
        <vt:i4>5</vt:i4>
      </vt:variant>
      <vt:variant>
        <vt:lpwstr>https://docs.cpuc.ca.gov/PublishedDocs/Published/G000/M350/K789/350789679.PDF</vt:lpwstr>
      </vt:variant>
      <vt:variant>
        <vt:lpwstr/>
      </vt:variant>
      <vt:variant>
        <vt:i4>1048649</vt:i4>
      </vt:variant>
      <vt:variant>
        <vt:i4>357</vt:i4>
      </vt:variant>
      <vt:variant>
        <vt:i4>0</vt:i4>
      </vt:variant>
      <vt:variant>
        <vt:i4>5</vt:i4>
      </vt:variant>
      <vt:variant>
        <vt:lpwstr>https://docs.cpuc.ca.gov/PublishedDocs/Published/G000/M410/K138/410138703.PDF</vt:lpwstr>
      </vt:variant>
      <vt:variant>
        <vt:lpwstr/>
      </vt:variant>
      <vt:variant>
        <vt:i4>1900608</vt:i4>
      </vt:variant>
      <vt:variant>
        <vt:i4>354</vt:i4>
      </vt:variant>
      <vt:variant>
        <vt:i4>0</vt:i4>
      </vt:variant>
      <vt:variant>
        <vt:i4>5</vt:i4>
      </vt:variant>
      <vt:variant>
        <vt:lpwstr>https://docs.cpuc.ca.gov/PublishedDocs/Published/G000/M310/K136/310136145.PDF</vt:lpwstr>
      </vt:variant>
      <vt:variant>
        <vt:lpwstr/>
      </vt:variant>
      <vt:variant>
        <vt:i4>5111818</vt:i4>
      </vt:variant>
      <vt:variant>
        <vt:i4>351</vt:i4>
      </vt:variant>
      <vt:variant>
        <vt:i4>0</vt:i4>
      </vt:variant>
      <vt:variant>
        <vt:i4>5</vt:i4>
      </vt:variant>
      <vt:variant>
        <vt:lpwstr>http://docs.cpuc.ca.gov/PublishedDocs/Published/G000/M196/K543/196543815.PDF</vt:lpwstr>
      </vt:variant>
      <vt:variant>
        <vt:lpwstr/>
      </vt:variant>
      <vt:variant>
        <vt:i4>5177345</vt:i4>
      </vt:variant>
      <vt:variant>
        <vt:i4>348</vt:i4>
      </vt:variant>
      <vt:variant>
        <vt:i4>0</vt:i4>
      </vt:variant>
      <vt:variant>
        <vt:i4>5</vt:i4>
      </vt:variant>
      <vt:variant>
        <vt:lpwstr>http://docs.cpuc.ca.gov/PublishedDocs/Published/G000/M167/K772/167772745.PDF</vt:lpwstr>
      </vt:variant>
      <vt:variant>
        <vt:lpwstr/>
      </vt:variant>
      <vt:variant>
        <vt:i4>4194317</vt:i4>
      </vt:variant>
      <vt:variant>
        <vt:i4>345</vt:i4>
      </vt:variant>
      <vt:variant>
        <vt:i4>0</vt:i4>
      </vt:variant>
      <vt:variant>
        <vt:i4>5</vt:i4>
      </vt:variant>
      <vt:variant>
        <vt:lpwstr>http://docs.cpuc.ca.gov/PublishedDocs/Published/G000/M152/K904/152904612.PDF</vt:lpwstr>
      </vt:variant>
      <vt:variant>
        <vt:lpwstr/>
      </vt:variant>
      <vt:variant>
        <vt:i4>2818110</vt:i4>
      </vt:variant>
      <vt:variant>
        <vt:i4>342</vt:i4>
      </vt:variant>
      <vt:variant>
        <vt:i4>0</vt:i4>
      </vt:variant>
      <vt:variant>
        <vt:i4>5</vt:i4>
      </vt:variant>
      <vt:variant>
        <vt:lpwstr>http://docs.cpuc.ca.gov/PublishedDocs/Published/G000/M097/K121/97121784.PDF</vt:lpwstr>
      </vt:variant>
      <vt:variant>
        <vt:lpwstr/>
      </vt:variant>
      <vt:variant>
        <vt:i4>4390990</vt:i4>
      </vt:variant>
      <vt:variant>
        <vt:i4>339</vt:i4>
      </vt:variant>
      <vt:variant>
        <vt:i4>0</vt:i4>
      </vt:variant>
      <vt:variant>
        <vt:i4>5</vt:i4>
      </vt:variant>
      <vt:variant>
        <vt:lpwstr>https://docs.cpuc.ca.gov/PublishedDocs/Published/G000/M070/K145/70145464.PDF</vt:lpwstr>
      </vt:variant>
      <vt:variant>
        <vt:lpwstr/>
      </vt:variant>
      <vt:variant>
        <vt:i4>1048649</vt:i4>
      </vt:variant>
      <vt:variant>
        <vt:i4>336</vt:i4>
      </vt:variant>
      <vt:variant>
        <vt:i4>0</vt:i4>
      </vt:variant>
      <vt:variant>
        <vt:i4>5</vt:i4>
      </vt:variant>
      <vt:variant>
        <vt:lpwstr>https://docs.cpuc.ca.gov/PublishedDocs/Published/G000/M410/K138/410138703.PDF</vt:lpwstr>
      </vt:variant>
      <vt:variant>
        <vt:lpwstr/>
      </vt:variant>
      <vt:variant>
        <vt:i4>1245269</vt:i4>
      </vt:variant>
      <vt:variant>
        <vt:i4>333</vt:i4>
      </vt:variant>
      <vt:variant>
        <vt:i4>0</vt:i4>
      </vt:variant>
      <vt:variant>
        <vt:i4>5</vt:i4>
      </vt:variant>
      <vt:variant>
        <vt:lpwstr>https://california.public.law/codes/public_utilities_code_section_384</vt:lpwstr>
      </vt:variant>
      <vt:variant>
        <vt:lpwstr/>
      </vt:variant>
      <vt:variant>
        <vt:i4>3407931</vt:i4>
      </vt:variant>
      <vt:variant>
        <vt:i4>330</vt:i4>
      </vt:variant>
      <vt:variant>
        <vt:i4>0</vt:i4>
      </vt:variant>
      <vt:variant>
        <vt:i4>5</vt:i4>
      </vt:variant>
      <vt:variant>
        <vt:lpwstr>https://docs.cpuc.ca.gov/PublishedDocs/WORD_PDF/FINAL_RESOLUTION/42432.PDF</vt:lpwstr>
      </vt:variant>
      <vt:variant>
        <vt:lpwstr/>
      </vt:variant>
      <vt:variant>
        <vt:i4>1245259</vt:i4>
      </vt:variant>
      <vt:variant>
        <vt:i4>327</vt:i4>
      </vt:variant>
      <vt:variant>
        <vt:i4>0</vt:i4>
      </vt:variant>
      <vt:variant>
        <vt:i4>5</vt:i4>
      </vt:variant>
      <vt:variant>
        <vt:lpwstr>https://docs.cpuc.ca.gov/PublishedDocs/Published/G000/M527/K228/527228647.PDF</vt:lpwstr>
      </vt:variant>
      <vt:variant>
        <vt:lpwstr/>
      </vt:variant>
      <vt:variant>
        <vt:i4>1114178</vt:i4>
      </vt:variant>
      <vt:variant>
        <vt:i4>324</vt:i4>
      </vt:variant>
      <vt:variant>
        <vt:i4>0</vt:i4>
      </vt:variant>
      <vt:variant>
        <vt:i4>5</vt:i4>
      </vt:variant>
      <vt:variant>
        <vt:lpwstr>https://docs.cpuc.ca.gov/PublishedDocs/Published/G000/M507/K499/507499284.PDF</vt:lpwstr>
      </vt:variant>
      <vt:variant>
        <vt:lpwstr/>
      </vt:variant>
      <vt:variant>
        <vt:i4>1441857</vt:i4>
      </vt:variant>
      <vt:variant>
        <vt:i4>321</vt:i4>
      </vt:variant>
      <vt:variant>
        <vt:i4>0</vt:i4>
      </vt:variant>
      <vt:variant>
        <vt:i4>5</vt:i4>
      </vt:variant>
      <vt:variant>
        <vt:lpwstr>https://docs.cpuc.ca.gov/PublishedDocs/Published/G000/M596/K290/596290082.PDF</vt:lpwstr>
      </vt:variant>
      <vt:variant>
        <vt:lpwstr/>
      </vt:variant>
      <vt:variant>
        <vt:i4>1769540</vt:i4>
      </vt:variant>
      <vt:variant>
        <vt:i4>318</vt:i4>
      </vt:variant>
      <vt:variant>
        <vt:i4>0</vt:i4>
      </vt:variant>
      <vt:variant>
        <vt:i4>5</vt:i4>
      </vt:variant>
      <vt:variant>
        <vt:lpwstr>https://docs.cpuc.ca.gov/PublishedDocs/Published/G000/M520/K896/520896345.pdf</vt:lpwstr>
      </vt:variant>
      <vt:variant>
        <vt:lpwstr/>
      </vt:variant>
      <vt:variant>
        <vt:i4>1310786</vt:i4>
      </vt:variant>
      <vt:variant>
        <vt:i4>315</vt:i4>
      </vt:variant>
      <vt:variant>
        <vt:i4>0</vt:i4>
      </vt:variant>
      <vt:variant>
        <vt:i4>5</vt:i4>
      </vt:variant>
      <vt:variant>
        <vt:lpwstr>https://docs.cpuc.ca.gov/PublishedDocs/Published/G000/M521/K196/521196139.PDF</vt:lpwstr>
      </vt:variant>
      <vt:variant>
        <vt:lpwstr/>
      </vt:variant>
      <vt:variant>
        <vt:i4>1507407</vt:i4>
      </vt:variant>
      <vt:variant>
        <vt:i4>312</vt:i4>
      </vt:variant>
      <vt:variant>
        <vt:i4>0</vt:i4>
      </vt:variant>
      <vt:variant>
        <vt:i4>5</vt:i4>
      </vt:variant>
      <vt:variant>
        <vt:lpwstr>https://docs.cpuc.ca.gov/PublishedDocs/Published/G000/M503/K914/503914324.PDF</vt:lpwstr>
      </vt:variant>
      <vt:variant>
        <vt:lpwstr/>
      </vt:variant>
      <vt:variant>
        <vt:i4>2555953</vt:i4>
      </vt:variant>
      <vt:variant>
        <vt:i4>309</vt:i4>
      </vt:variant>
      <vt:variant>
        <vt:i4>0</vt:i4>
      </vt:variant>
      <vt:variant>
        <vt:i4>5</vt:i4>
      </vt:variant>
      <vt:variant>
        <vt:lpwstr>https://benefits.calhr.ca.gov/state-employees/work-resources/travel-reimbursements/</vt:lpwstr>
      </vt:variant>
      <vt:variant>
        <vt:lpwstr/>
      </vt:variant>
      <vt:variant>
        <vt:i4>65646</vt:i4>
      </vt:variant>
      <vt:variant>
        <vt:i4>306</vt:i4>
      </vt:variant>
      <vt:variant>
        <vt:i4>0</vt:i4>
      </vt:variant>
      <vt:variant>
        <vt:i4>5</vt:i4>
      </vt:variant>
      <vt:variant>
        <vt:lpwstr>https://www.cpuc.ca.gov/-/media/cpuc-website/divisions/utility-audits--risk--and-compliance-division/reports/energy/2025/energy_2025-08-28_cec_grdp.pdf</vt:lpwstr>
      </vt:variant>
      <vt:variant>
        <vt:lpwstr/>
      </vt:variant>
      <vt:variant>
        <vt:i4>1507407</vt:i4>
      </vt:variant>
      <vt:variant>
        <vt:i4>303</vt:i4>
      </vt:variant>
      <vt:variant>
        <vt:i4>0</vt:i4>
      </vt:variant>
      <vt:variant>
        <vt:i4>5</vt:i4>
      </vt:variant>
      <vt:variant>
        <vt:lpwstr>https://docs.cpuc.ca.gov/PublishedDocs/Published/G000/M503/K914/503914324.PDF</vt:lpwstr>
      </vt:variant>
      <vt:variant>
        <vt:lpwstr/>
      </vt:variant>
      <vt:variant>
        <vt:i4>1507407</vt:i4>
      </vt:variant>
      <vt:variant>
        <vt:i4>300</vt:i4>
      </vt:variant>
      <vt:variant>
        <vt:i4>0</vt:i4>
      </vt:variant>
      <vt:variant>
        <vt:i4>5</vt:i4>
      </vt:variant>
      <vt:variant>
        <vt:lpwstr>https://docs.cpuc.ca.gov/PublishedDocs/Published/G000/M503/K914/503914324.PDF</vt:lpwstr>
      </vt:variant>
      <vt:variant>
        <vt:lpwstr/>
      </vt:variant>
      <vt:variant>
        <vt:i4>1048649</vt:i4>
      </vt:variant>
      <vt:variant>
        <vt:i4>297</vt:i4>
      </vt:variant>
      <vt:variant>
        <vt:i4>0</vt:i4>
      </vt:variant>
      <vt:variant>
        <vt:i4>5</vt:i4>
      </vt:variant>
      <vt:variant>
        <vt:lpwstr>https://docs.cpuc.ca.gov/PublishedDocs/Published/G000/M410/K138/410138703.PDF</vt:lpwstr>
      </vt:variant>
      <vt:variant>
        <vt:lpwstr/>
      </vt:variant>
      <vt:variant>
        <vt:i4>4194368</vt:i4>
      </vt:variant>
      <vt:variant>
        <vt:i4>294</vt:i4>
      </vt:variant>
      <vt:variant>
        <vt:i4>0</vt:i4>
      </vt:variant>
      <vt:variant>
        <vt:i4>5</vt:i4>
      </vt:variant>
      <vt:variant>
        <vt:lpwstr>https://docs.cpuc.ca.gov/PublishedDocs/Published/G000/M097/K121/97121784.PDF</vt:lpwstr>
      </vt:variant>
      <vt:variant>
        <vt:lpwstr/>
      </vt:variant>
      <vt:variant>
        <vt:i4>1245269</vt:i4>
      </vt:variant>
      <vt:variant>
        <vt:i4>291</vt:i4>
      </vt:variant>
      <vt:variant>
        <vt:i4>0</vt:i4>
      </vt:variant>
      <vt:variant>
        <vt:i4>5</vt:i4>
      </vt:variant>
      <vt:variant>
        <vt:lpwstr>https://california.public.law/codes/public_utilities_code_section_384</vt:lpwstr>
      </vt:variant>
      <vt:variant>
        <vt:lpwstr/>
      </vt:variant>
      <vt:variant>
        <vt:i4>1048649</vt:i4>
      </vt:variant>
      <vt:variant>
        <vt:i4>288</vt:i4>
      </vt:variant>
      <vt:variant>
        <vt:i4>0</vt:i4>
      </vt:variant>
      <vt:variant>
        <vt:i4>5</vt:i4>
      </vt:variant>
      <vt:variant>
        <vt:lpwstr>https://docs.cpuc.ca.gov/PublishedDocs/Published/G000/M410/K138/410138703.PDF</vt:lpwstr>
      </vt:variant>
      <vt:variant>
        <vt:lpwstr/>
      </vt:variant>
      <vt:variant>
        <vt:i4>4390990</vt:i4>
      </vt:variant>
      <vt:variant>
        <vt:i4>285</vt:i4>
      </vt:variant>
      <vt:variant>
        <vt:i4>0</vt:i4>
      </vt:variant>
      <vt:variant>
        <vt:i4>5</vt:i4>
      </vt:variant>
      <vt:variant>
        <vt:lpwstr>https://docs.cpuc.ca.gov/PublishedDocs/Published/G000/M070/K145/70145464.PDF</vt:lpwstr>
      </vt:variant>
      <vt:variant>
        <vt:lpwstr/>
      </vt:variant>
      <vt:variant>
        <vt:i4>1245269</vt:i4>
      </vt:variant>
      <vt:variant>
        <vt:i4>282</vt:i4>
      </vt:variant>
      <vt:variant>
        <vt:i4>0</vt:i4>
      </vt:variant>
      <vt:variant>
        <vt:i4>5</vt:i4>
      </vt:variant>
      <vt:variant>
        <vt:lpwstr>https://california.public.law/codes/public_utilities_code_section_384</vt:lpwstr>
      </vt:variant>
      <vt:variant>
        <vt:lpwstr/>
      </vt:variant>
      <vt:variant>
        <vt:i4>1048649</vt:i4>
      </vt:variant>
      <vt:variant>
        <vt:i4>279</vt:i4>
      </vt:variant>
      <vt:variant>
        <vt:i4>0</vt:i4>
      </vt:variant>
      <vt:variant>
        <vt:i4>5</vt:i4>
      </vt:variant>
      <vt:variant>
        <vt:lpwstr>https://docs.cpuc.ca.gov/PublishedDocs/Published/G000/M410/K138/410138703.PDF</vt:lpwstr>
      </vt:variant>
      <vt:variant>
        <vt:lpwstr/>
      </vt:variant>
      <vt:variant>
        <vt:i4>1048649</vt:i4>
      </vt:variant>
      <vt:variant>
        <vt:i4>276</vt:i4>
      </vt:variant>
      <vt:variant>
        <vt:i4>0</vt:i4>
      </vt:variant>
      <vt:variant>
        <vt:i4>5</vt:i4>
      </vt:variant>
      <vt:variant>
        <vt:lpwstr>https://docs.cpuc.ca.gov/PublishedDocs/Published/G000/M410/K138/410138703.PDF</vt:lpwstr>
      </vt:variant>
      <vt:variant>
        <vt:lpwstr/>
      </vt:variant>
      <vt:variant>
        <vt:i4>1048649</vt:i4>
      </vt:variant>
      <vt:variant>
        <vt:i4>273</vt:i4>
      </vt:variant>
      <vt:variant>
        <vt:i4>0</vt:i4>
      </vt:variant>
      <vt:variant>
        <vt:i4>5</vt:i4>
      </vt:variant>
      <vt:variant>
        <vt:lpwstr>https://docs.cpuc.ca.gov/PublishedDocs/Published/G000/M410/K138/410138703.PDF</vt:lpwstr>
      </vt:variant>
      <vt:variant>
        <vt:lpwstr/>
      </vt:variant>
      <vt:variant>
        <vt:i4>1048649</vt:i4>
      </vt:variant>
      <vt:variant>
        <vt:i4>270</vt:i4>
      </vt:variant>
      <vt:variant>
        <vt:i4>0</vt:i4>
      </vt:variant>
      <vt:variant>
        <vt:i4>5</vt:i4>
      </vt:variant>
      <vt:variant>
        <vt:lpwstr>https://docs.cpuc.ca.gov/PublishedDocs/Published/G000/M410/K138/410138703.PDF</vt:lpwstr>
      </vt:variant>
      <vt:variant>
        <vt:lpwstr/>
      </vt:variant>
      <vt:variant>
        <vt:i4>5898269</vt:i4>
      </vt:variant>
      <vt:variant>
        <vt:i4>267</vt:i4>
      </vt:variant>
      <vt:variant>
        <vt:i4>0</vt:i4>
      </vt:variant>
      <vt:variant>
        <vt:i4>5</vt:i4>
      </vt:variant>
      <vt:variant>
        <vt:lpwstr>https://docs.cpuc.ca.gov/word_pdf/FINAL_RESOLUTION/63130.pdf</vt:lpwstr>
      </vt:variant>
      <vt:variant>
        <vt:lpwstr/>
      </vt:variant>
      <vt:variant>
        <vt:i4>1572941</vt:i4>
      </vt:variant>
      <vt:variant>
        <vt:i4>264</vt:i4>
      </vt:variant>
      <vt:variant>
        <vt:i4>0</vt:i4>
      </vt:variant>
      <vt:variant>
        <vt:i4>5</vt:i4>
      </vt:variant>
      <vt:variant>
        <vt:lpwstr>https://docs.cpuc.ca.gov/PublishedDocs/Published/G000/M350/K789/350789679.PDF</vt:lpwstr>
      </vt:variant>
      <vt:variant>
        <vt:lpwstr/>
      </vt:variant>
      <vt:variant>
        <vt:i4>4259935</vt:i4>
      </vt:variant>
      <vt:variant>
        <vt:i4>261</vt:i4>
      </vt:variant>
      <vt:variant>
        <vt:i4>0</vt:i4>
      </vt:variant>
      <vt:variant>
        <vt:i4>5</vt:i4>
      </vt:variant>
      <vt:variant>
        <vt:lpwstr>https://docs.cpuc.ca.gov/PublishedDocs/WORD_PDF/FINAL_DECISION/39314.PDF</vt:lpwstr>
      </vt:variant>
      <vt:variant>
        <vt:lpwstr/>
      </vt:variant>
      <vt:variant>
        <vt:i4>4259935</vt:i4>
      </vt:variant>
      <vt:variant>
        <vt:i4>258</vt:i4>
      </vt:variant>
      <vt:variant>
        <vt:i4>0</vt:i4>
      </vt:variant>
      <vt:variant>
        <vt:i4>5</vt:i4>
      </vt:variant>
      <vt:variant>
        <vt:lpwstr>https://docs.cpuc.ca.gov/PublishedDocs/WORD_PDF/FINAL_DECISION/39314.PDF</vt:lpwstr>
      </vt:variant>
      <vt:variant>
        <vt:lpwstr/>
      </vt:variant>
      <vt:variant>
        <vt:i4>4259935</vt:i4>
      </vt:variant>
      <vt:variant>
        <vt:i4>255</vt:i4>
      </vt:variant>
      <vt:variant>
        <vt:i4>0</vt:i4>
      </vt:variant>
      <vt:variant>
        <vt:i4>5</vt:i4>
      </vt:variant>
      <vt:variant>
        <vt:lpwstr>https://docs.cpuc.ca.gov/PublishedDocs/WORD_PDF/FINAL_DECISION/39314.PDF</vt:lpwstr>
      </vt:variant>
      <vt:variant>
        <vt:lpwstr/>
      </vt:variant>
      <vt:variant>
        <vt:i4>1507407</vt:i4>
      </vt:variant>
      <vt:variant>
        <vt:i4>252</vt:i4>
      </vt:variant>
      <vt:variant>
        <vt:i4>0</vt:i4>
      </vt:variant>
      <vt:variant>
        <vt:i4>5</vt:i4>
      </vt:variant>
      <vt:variant>
        <vt:lpwstr>https://docs.cpuc.ca.gov/PublishedDocs/Published/G000/M503/K914/503914324.PDF</vt:lpwstr>
      </vt:variant>
      <vt:variant>
        <vt:lpwstr/>
      </vt:variant>
      <vt:variant>
        <vt:i4>1048649</vt:i4>
      </vt:variant>
      <vt:variant>
        <vt:i4>249</vt:i4>
      </vt:variant>
      <vt:variant>
        <vt:i4>0</vt:i4>
      </vt:variant>
      <vt:variant>
        <vt:i4>5</vt:i4>
      </vt:variant>
      <vt:variant>
        <vt:lpwstr>https://docs.cpuc.ca.gov/PublishedDocs/Published/G000/M410/K138/410138703.PDF</vt:lpwstr>
      </vt:variant>
      <vt:variant>
        <vt:lpwstr/>
      </vt:variant>
      <vt:variant>
        <vt:i4>1048649</vt:i4>
      </vt:variant>
      <vt:variant>
        <vt:i4>246</vt:i4>
      </vt:variant>
      <vt:variant>
        <vt:i4>0</vt:i4>
      </vt:variant>
      <vt:variant>
        <vt:i4>5</vt:i4>
      </vt:variant>
      <vt:variant>
        <vt:lpwstr>https://docs.cpuc.ca.gov/PublishedDocs/Published/G000/M410/K138/410138703.PDF</vt:lpwstr>
      </vt:variant>
      <vt:variant>
        <vt:lpwstr/>
      </vt:variant>
      <vt:variant>
        <vt:i4>4390990</vt:i4>
      </vt:variant>
      <vt:variant>
        <vt:i4>243</vt:i4>
      </vt:variant>
      <vt:variant>
        <vt:i4>0</vt:i4>
      </vt:variant>
      <vt:variant>
        <vt:i4>5</vt:i4>
      </vt:variant>
      <vt:variant>
        <vt:lpwstr>https://docs.cpuc.ca.gov/PublishedDocs/Published/G000/M070/K145/70145464.PDF</vt:lpwstr>
      </vt:variant>
      <vt:variant>
        <vt:lpwstr/>
      </vt:variant>
      <vt:variant>
        <vt:i4>1900608</vt:i4>
      </vt:variant>
      <vt:variant>
        <vt:i4>240</vt:i4>
      </vt:variant>
      <vt:variant>
        <vt:i4>0</vt:i4>
      </vt:variant>
      <vt:variant>
        <vt:i4>5</vt:i4>
      </vt:variant>
      <vt:variant>
        <vt:lpwstr>https://docs.cpuc.ca.gov/PublishedDocs/Published/G000/M310/K136/310136145.PDF</vt:lpwstr>
      </vt:variant>
      <vt:variant>
        <vt:lpwstr/>
      </vt:variant>
      <vt:variant>
        <vt:i4>1507407</vt:i4>
      </vt:variant>
      <vt:variant>
        <vt:i4>237</vt:i4>
      </vt:variant>
      <vt:variant>
        <vt:i4>0</vt:i4>
      </vt:variant>
      <vt:variant>
        <vt:i4>5</vt:i4>
      </vt:variant>
      <vt:variant>
        <vt:lpwstr>https://docs.cpuc.ca.gov/PublishedDocs/Published/G000/M503/K914/503914324.PDF</vt:lpwstr>
      </vt:variant>
      <vt:variant>
        <vt:lpwstr/>
      </vt:variant>
      <vt:variant>
        <vt:i4>5111818</vt:i4>
      </vt:variant>
      <vt:variant>
        <vt:i4>234</vt:i4>
      </vt:variant>
      <vt:variant>
        <vt:i4>0</vt:i4>
      </vt:variant>
      <vt:variant>
        <vt:i4>5</vt:i4>
      </vt:variant>
      <vt:variant>
        <vt:lpwstr>http://docs.cpuc.ca.gov/PublishedDocs/Published/G000/M196/K543/196543815.PDF</vt:lpwstr>
      </vt:variant>
      <vt:variant>
        <vt:lpwstr/>
      </vt:variant>
      <vt:variant>
        <vt:i4>5177345</vt:i4>
      </vt:variant>
      <vt:variant>
        <vt:i4>231</vt:i4>
      </vt:variant>
      <vt:variant>
        <vt:i4>0</vt:i4>
      </vt:variant>
      <vt:variant>
        <vt:i4>5</vt:i4>
      </vt:variant>
      <vt:variant>
        <vt:lpwstr>http://docs.cpuc.ca.gov/PublishedDocs/Published/G000/M167/K772/167772745.PDF</vt:lpwstr>
      </vt:variant>
      <vt:variant>
        <vt:lpwstr/>
      </vt:variant>
      <vt:variant>
        <vt:i4>4194317</vt:i4>
      </vt:variant>
      <vt:variant>
        <vt:i4>228</vt:i4>
      </vt:variant>
      <vt:variant>
        <vt:i4>0</vt:i4>
      </vt:variant>
      <vt:variant>
        <vt:i4>5</vt:i4>
      </vt:variant>
      <vt:variant>
        <vt:lpwstr>http://docs.cpuc.ca.gov/PublishedDocs/Published/G000/M152/K904/152904612.PDF</vt:lpwstr>
      </vt:variant>
      <vt:variant>
        <vt:lpwstr/>
      </vt:variant>
      <vt:variant>
        <vt:i4>2818110</vt:i4>
      </vt:variant>
      <vt:variant>
        <vt:i4>225</vt:i4>
      </vt:variant>
      <vt:variant>
        <vt:i4>0</vt:i4>
      </vt:variant>
      <vt:variant>
        <vt:i4>5</vt:i4>
      </vt:variant>
      <vt:variant>
        <vt:lpwstr>http://docs.cpuc.ca.gov/PublishedDocs/Published/G000/M097/K121/97121784.PDF</vt:lpwstr>
      </vt:variant>
      <vt:variant>
        <vt:lpwstr/>
      </vt:variant>
      <vt:variant>
        <vt:i4>4390990</vt:i4>
      </vt:variant>
      <vt:variant>
        <vt:i4>222</vt:i4>
      </vt:variant>
      <vt:variant>
        <vt:i4>0</vt:i4>
      </vt:variant>
      <vt:variant>
        <vt:i4>5</vt:i4>
      </vt:variant>
      <vt:variant>
        <vt:lpwstr>https://docs.cpuc.ca.gov/PublishedDocs/Published/G000/M070/K145/70145464.PDF</vt:lpwstr>
      </vt:variant>
      <vt:variant>
        <vt:lpwstr/>
      </vt:variant>
      <vt:variant>
        <vt:i4>1507407</vt:i4>
      </vt:variant>
      <vt:variant>
        <vt:i4>219</vt:i4>
      </vt:variant>
      <vt:variant>
        <vt:i4>0</vt:i4>
      </vt:variant>
      <vt:variant>
        <vt:i4>5</vt:i4>
      </vt:variant>
      <vt:variant>
        <vt:lpwstr>https://docs.cpuc.ca.gov/PublishedDocs/Published/G000/M503/K914/503914324.PDF</vt:lpwstr>
      </vt:variant>
      <vt:variant>
        <vt:lpwstr/>
      </vt:variant>
      <vt:variant>
        <vt:i4>4259935</vt:i4>
      </vt:variant>
      <vt:variant>
        <vt:i4>216</vt:i4>
      </vt:variant>
      <vt:variant>
        <vt:i4>0</vt:i4>
      </vt:variant>
      <vt:variant>
        <vt:i4>5</vt:i4>
      </vt:variant>
      <vt:variant>
        <vt:lpwstr>https://docs.cpuc.ca.gov/PublishedDocs/WORD_PDF/FINAL_DECISION/39314.PDF</vt:lpwstr>
      </vt:variant>
      <vt:variant>
        <vt:lpwstr/>
      </vt:variant>
      <vt:variant>
        <vt:i4>4259935</vt:i4>
      </vt:variant>
      <vt:variant>
        <vt:i4>213</vt:i4>
      </vt:variant>
      <vt:variant>
        <vt:i4>0</vt:i4>
      </vt:variant>
      <vt:variant>
        <vt:i4>5</vt:i4>
      </vt:variant>
      <vt:variant>
        <vt:lpwstr>https://docs.cpuc.ca.gov/PublishedDocs/WORD_PDF/FINAL_DECISION/39314.PDF</vt:lpwstr>
      </vt:variant>
      <vt:variant>
        <vt:lpwstr/>
      </vt:variant>
      <vt:variant>
        <vt:i4>1507407</vt:i4>
      </vt:variant>
      <vt:variant>
        <vt:i4>210</vt:i4>
      </vt:variant>
      <vt:variant>
        <vt:i4>0</vt:i4>
      </vt:variant>
      <vt:variant>
        <vt:i4>5</vt:i4>
      </vt:variant>
      <vt:variant>
        <vt:lpwstr>https://docs.cpuc.ca.gov/PublishedDocs/Published/G000/M503/K914/503914324.PDF</vt:lpwstr>
      </vt:variant>
      <vt:variant>
        <vt:lpwstr/>
      </vt:variant>
      <vt:variant>
        <vt:i4>4259935</vt:i4>
      </vt:variant>
      <vt:variant>
        <vt:i4>207</vt:i4>
      </vt:variant>
      <vt:variant>
        <vt:i4>0</vt:i4>
      </vt:variant>
      <vt:variant>
        <vt:i4>5</vt:i4>
      </vt:variant>
      <vt:variant>
        <vt:lpwstr>https://docs.cpuc.ca.gov/PublishedDocs/WORD_PDF/FINAL_DECISION/39314.PDF</vt:lpwstr>
      </vt:variant>
      <vt:variant>
        <vt:lpwstr/>
      </vt:variant>
      <vt:variant>
        <vt:i4>4259935</vt:i4>
      </vt:variant>
      <vt:variant>
        <vt:i4>204</vt:i4>
      </vt:variant>
      <vt:variant>
        <vt:i4>0</vt:i4>
      </vt:variant>
      <vt:variant>
        <vt:i4>5</vt:i4>
      </vt:variant>
      <vt:variant>
        <vt:lpwstr>https://docs.cpuc.ca.gov/PublishedDocs/WORD_PDF/FINAL_DECISION/39314.PDF</vt:lpwstr>
      </vt:variant>
      <vt:variant>
        <vt:lpwstr/>
      </vt:variant>
      <vt:variant>
        <vt:i4>7798882</vt:i4>
      </vt:variant>
      <vt:variant>
        <vt:i4>201</vt:i4>
      </vt:variant>
      <vt:variant>
        <vt:i4>0</vt:i4>
      </vt:variant>
      <vt:variant>
        <vt:i4>5</vt:i4>
      </vt:variant>
      <vt:variant>
        <vt:lpwstr>https://docs.cpuc.ca.gov/PublishedDocs/Published/G000/M023/K381/23381302.PDF</vt:lpwstr>
      </vt:variant>
      <vt:variant>
        <vt:lpwstr>page=17</vt:lpwstr>
      </vt:variant>
      <vt:variant>
        <vt:i4>1572941</vt:i4>
      </vt:variant>
      <vt:variant>
        <vt:i4>198</vt:i4>
      </vt:variant>
      <vt:variant>
        <vt:i4>0</vt:i4>
      </vt:variant>
      <vt:variant>
        <vt:i4>5</vt:i4>
      </vt:variant>
      <vt:variant>
        <vt:lpwstr>https://docs.cpuc.ca.gov/PublishedDocs/Published/G000/M350/K789/350789679.PDF</vt:lpwstr>
      </vt:variant>
      <vt:variant>
        <vt:lpwstr/>
      </vt:variant>
      <vt:variant>
        <vt:i4>1572941</vt:i4>
      </vt:variant>
      <vt:variant>
        <vt:i4>195</vt:i4>
      </vt:variant>
      <vt:variant>
        <vt:i4>0</vt:i4>
      </vt:variant>
      <vt:variant>
        <vt:i4>5</vt:i4>
      </vt:variant>
      <vt:variant>
        <vt:lpwstr>https://docs.cpuc.ca.gov/PublishedDocs/Published/G000/M350/K789/350789679.PDF</vt:lpwstr>
      </vt:variant>
      <vt:variant>
        <vt:lpwstr/>
      </vt:variant>
      <vt:variant>
        <vt:i4>1507407</vt:i4>
      </vt:variant>
      <vt:variant>
        <vt:i4>192</vt:i4>
      </vt:variant>
      <vt:variant>
        <vt:i4>0</vt:i4>
      </vt:variant>
      <vt:variant>
        <vt:i4>5</vt:i4>
      </vt:variant>
      <vt:variant>
        <vt:lpwstr>https://docs.cpuc.ca.gov/PublishedDocs/Published/G000/M503/K914/503914324.PDF</vt:lpwstr>
      </vt:variant>
      <vt:variant>
        <vt:lpwstr/>
      </vt:variant>
      <vt:variant>
        <vt:i4>1572941</vt:i4>
      </vt:variant>
      <vt:variant>
        <vt:i4>189</vt:i4>
      </vt:variant>
      <vt:variant>
        <vt:i4>0</vt:i4>
      </vt:variant>
      <vt:variant>
        <vt:i4>5</vt:i4>
      </vt:variant>
      <vt:variant>
        <vt:lpwstr>https://docs.cpuc.ca.gov/PublishedDocs/Published/G000/M350/K789/350789679.PDF</vt:lpwstr>
      </vt:variant>
      <vt:variant>
        <vt:lpwstr/>
      </vt:variant>
      <vt:variant>
        <vt:i4>1507407</vt:i4>
      </vt:variant>
      <vt:variant>
        <vt:i4>186</vt:i4>
      </vt:variant>
      <vt:variant>
        <vt:i4>0</vt:i4>
      </vt:variant>
      <vt:variant>
        <vt:i4>5</vt:i4>
      </vt:variant>
      <vt:variant>
        <vt:lpwstr>https://docs.cpuc.ca.gov/PublishedDocs/Published/G000/M503/K914/503914324.PDF</vt:lpwstr>
      </vt:variant>
      <vt:variant>
        <vt:lpwstr/>
      </vt:variant>
      <vt:variant>
        <vt:i4>1310786</vt:i4>
      </vt:variant>
      <vt:variant>
        <vt:i4>183</vt:i4>
      </vt:variant>
      <vt:variant>
        <vt:i4>0</vt:i4>
      </vt:variant>
      <vt:variant>
        <vt:i4>5</vt:i4>
      </vt:variant>
      <vt:variant>
        <vt:lpwstr>https://docs.cpuc.ca.gov/PublishedDocs/Published/G000/M461/K921/461921821.PDF</vt:lpwstr>
      </vt:variant>
      <vt:variant>
        <vt:lpwstr/>
      </vt:variant>
      <vt:variant>
        <vt:i4>1114188</vt:i4>
      </vt:variant>
      <vt:variant>
        <vt:i4>180</vt:i4>
      </vt:variant>
      <vt:variant>
        <vt:i4>0</vt:i4>
      </vt:variant>
      <vt:variant>
        <vt:i4>5</vt:i4>
      </vt:variant>
      <vt:variant>
        <vt:lpwstr>https://docs.cpuc.ca.gov/PublishedDocs/Published/G000/M372/K329/372329202.PDF</vt:lpwstr>
      </vt:variant>
      <vt:variant>
        <vt:lpwstr/>
      </vt:variant>
      <vt:variant>
        <vt:i4>1572941</vt:i4>
      </vt:variant>
      <vt:variant>
        <vt:i4>177</vt:i4>
      </vt:variant>
      <vt:variant>
        <vt:i4>0</vt:i4>
      </vt:variant>
      <vt:variant>
        <vt:i4>5</vt:i4>
      </vt:variant>
      <vt:variant>
        <vt:lpwstr>https://docs.cpuc.ca.gov/PublishedDocs/Published/G000/M350/K789/350789679.PDF</vt:lpwstr>
      </vt:variant>
      <vt:variant>
        <vt:lpwstr/>
      </vt:variant>
      <vt:variant>
        <vt:i4>1900608</vt:i4>
      </vt:variant>
      <vt:variant>
        <vt:i4>174</vt:i4>
      </vt:variant>
      <vt:variant>
        <vt:i4>0</vt:i4>
      </vt:variant>
      <vt:variant>
        <vt:i4>5</vt:i4>
      </vt:variant>
      <vt:variant>
        <vt:lpwstr>https://docs.cpuc.ca.gov/PublishedDocs/Published/G000/M310/K136/310136145.PDF</vt:lpwstr>
      </vt:variant>
      <vt:variant>
        <vt:lpwstr/>
      </vt:variant>
      <vt:variant>
        <vt:i4>1376323</vt:i4>
      </vt:variant>
      <vt:variant>
        <vt:i4>171</vt:i4>
      </vt:variant>
      <vt:variant>
        <vt:i4>0</vt:i4>
      </vt:variant>
      <vt:variant>
        <vt:i4>5</vt:i4>
      </vt:variant>
      <vt:variant>
        <vt:lpwstr>https://docs.cpuc.ca.gov/PublishedDocs/Published/G000/M542/K029/542029029.PDF</vt:lpwstr>
      </vt:variant>
      <vt:variant>
        <vt:lpwstr/>
      </vt:variant>
      <vt:variant>
        <vt:i4>1245259</vt:i4>
      </vt:variant>
      <vt:variant>
        <vt:i4>168</vt:i4>
      </vt:variant>
      <vt:variant>
        <vt:i4>0</vt:i4>
      </vt:variant>
      <vt:variant>
        <vt:i4>5</vt:i4>
      </vt:variant>
      <vt:variant>
        <vt:lpwstr>https://docs.cpuc.ca.gov/PublishedDocs/Published/G000/M527/K228/527228647.PDF</vt:lpwstr>
      </vt:variant>
      <vt:variant>
        <vt:lpwstr/>
      </vt:variant>
      <vt:variant>
        <vt:i4>1179714</vt:i4>
      </vt:variant>
      <vt:variant>
        <vt:i4>165</vt:i4>
      </vt:variant>
      <vt:variant>
        <vt:i4>0</vt:i4>
      </vt:variant>
      <vt:variant>
        <vt:i4>5</vt:i4>
      </vt:variant>
      <vt:variant>
        <vt:lpwstr>https://docs.cpuc.ca.gov/PublishedDocs/Published/G000/M531/K559/531559739.PDF</vt:lpwstr>
      </vt:variant>
      <vt:variant>
        <vt:lpwstr/>
      </vt:variant>
      <vt:variant>
        <vt:i4>1572941</vt:i4>
      </vt:variant>
      <vt:variant>
        <vt:i4>162</vt:i4>
      </vt:variant>
      <vt:variant>
        <vt:i4>0</vt:i4>
      </vt:variant>
      <vt:variant>
        <vt:i4>5</vt:i4>
      </vt:variant>
      <vt:variant>
        <vt:lpwstr>https://docs.cpuc.ca.gov/PublishedDocs/Published/G000/M350/K789/350789679.PDF</vt:lpwstr>
      </vt:variant>
      <vt:variant>
        <vt:lpwstr/>
      </vt:variant>
      <vt:variant>
        <vt:i4>1179714</vt:i4>
      </vt:variant>
      <vt:variant>
        <vt:i4>159</vt:i4>
      </vt:variant>
      <vt:variant>
        <vt:i4>0</vt:i4>
      </vt:variant>
      <vt:variant>
        <vt:i4>5</vt:i4>
      </vt:variant>
      <vt:variant>
        <vt:lpwstr>https://docs.cpuc.ca.gov/PublishedDocs/Published/G000/M531/K559/531559739.PDF</vt:lpwstr>
      </vt:variant>
      <vt:variant>
        <vt:lpwstr/>
      </vt:variant>
      <vt:variant>
        <vt:i4>1507407</vt:i4>
      </vt:variant>
      <vt:variant>
        <vt:i4>156</vt:i4>
      </vt:variant>
      <vt:variant>
        <vt:i4>0</vt:i4>
      </vt:variant>
      <vt:variant>
        <vt:i4>5</vt:i4>
      </vt:variant>
      <vt:variant>
        <vt:lpwstr>https://docs.cpuc.ca.gov/PublishedDocs/Published/G000/M503/K914/503914324.PDF</vt:lpwstr>
      </vt:variant>
      <vt:variant>
        <vt:lpwstr/>
      </vt:variant>
      <vt:variant>
        <vt:i4>1572941</vt:i4>
      </vt:variant>
      <vt:variant>
        <vt:i4>153</vt:i4>
      </vt:variant>
      <vt:variant>
        <vt:i4>0</vt:i4>
      </vt:variant>
      <vt:variant>
        <vt:i4>5</vt:i4>
      </vt:variant>
      <vt:variant>
        <vt:lpwstr>https://docs.cpuc.ca.gov/PublishedDocs/Published/G000/M350/K789/350789679.PDF</vt:lpwstr>
      </vt:variant>
      <vt:variant>
        <vt:lpwstr/>
      </vt:variant>
      <vt:variant>
        <vt:i4>3539067</vt:i4>
      </vt:variant>
      <vt:variant>
        <vt:i4>150</vt:i4>
      </vt:variant>
      <vt:variant>
        <vt:i4>0</vt:i4>
      </vt:variant>
      <vt:variant>
        <vt:i4>5</vt:i4>
      </vt:variant>
      <vt:variant>
        <vt:lpwstr>https://www.cpuc.ca.gov/-/media/cpuc-website/divisions/news-and-outreach/documents/news-office/key-issues/esj/esj-action-plan-v2jw.pdf</vt:lpwstr>
      </vt:variant>
      <vt:variant>
        <vt:lpwstr/>
      </vt:variant>
      <vt:variant>
        <vt:i4>1114178</vt:i4>
      </vt:variant>
      <vt:variant>
        <vt:i4>147</vt:i4>
      </vt:variant>
      <vt:variant>
        <vt:i4>0</vt:i4>
      </vt:variant>
      <vt:variant>
        <vt:i4>5</vt:i4>
      </vt:variant>
      <vt:variant>
        <vt:lpwstr>https://docs.cpuc.ca.gov/PublishedDocs/Published/G000/M507/K499/507499284.PDF</vt:lpwstr>
      </vt:variant>
      <vt:variant>
        <vt:lpwstr/>
      </vt:variant>
      <vt:variant>
        <vt:i4>1310786</vt:i4>
      </vt:variant>
      <vt:variant>
        <vt:i4>144</vt:i4>
      </vt:variant>
      <vt:variant>
        <vt:i4>0</vt:i4>
      </vt:variant>
      <vt:variant>
        <vt:i4>5</vt:i4>
      </vt:variant>
      <vt:variant>
        <vt:lpwstr>https://docs.cpuc.ca.gov/PublishedDocs/Published/G000/M521/K196/521196139.PDF</vt:lpwstr>
      </vt:variant>
      <vt:variant>
        <vt:lpwstr/>
      </vt:variant>
      <vt:variant>
        <vt:i4>1507407</vt:i4>
      </vt:variant>
      <vt:variant>
        <vt:i4>141</vt:i4>
      </vt:variant>
      <vt:variant>
        <vt:i4>0</vt:i4>
      </vt:variant>
      <vt:variant>
        <vt:i4>5</vt:i4>
      </vt:variant>
      <vt:variant>
        <vt:lpwstr>https://docs.cpuc.ca.gov/PublishedDocs/Published/G000/M503/K914/503914324.PDF</vt:lpwstr>
      </vt:variant>
      <vt:variant>
        <vt:lpwstr/>
      </vt:variant>
      <vt:variant>
        <vt:i4>1507407</vt:i4>
      </vt:variant>
      <vt:variant>
        <vt:i4>138</vt:i4>
      </vt:variant>
      <vt:variant>
        <vt:i4>0</vt:i4>
      </vt:variant>
      <vt:variant>
        <vt:i4>5</vt:i4>
      </vt:variant>
      <vt:variant>
        <vt:lpwstr>https://docs.cpuc.ca.gov/PublishedDocs/Published/G000/M503/K914/503914324.PDF</vt:lpwstr>
      </vt:variant>
      <vt:variant>
        <vt:lpwstr/>
      </vt:variant>
      <vt:variant>
        <vt:i4>1048649</vt:i4>
      </vt:variant>
      <vt:variant>
        <vt:i4>135</vt:i4>
      </vt:variant>
      <vt:variant>
        <vt:i4>0</vt:i4>
      </vt:variant>
      <vt:variant>
        <vt:i4>5</vt:i4>
      </vt:variant>
      <vt:variant>
        <vt:lpwstr>https://docs.cpuc.ca.gov/PublishedDocs/Published/G000/M410/K138/410138703.PDF</vt:lpwstr>
      </vt:variant>
      <vt:variant>
        <vt:lpwstr/>
      </vt:variant>
      <vt:variant>
        <vt:i4>4194368</vt:i4>
      </vt:variant>
      <vt:variant>
        <vt:i4>132</vt:i4>
      </vt:variant>
      <vt:variant>
        <vt:i4>0</vt:i4>
      </vt:variant>
      <vt:variant>
        <vt:i4>5</vt:i4>
      </vt:variant>
      <vt:variant>
        <vt:lpwstr>https://docs.cpuc.ca.gov/PublishedDocs/Published/G000/M097/K121/97121784.PDF</vt:lpwstr>
      </vt:variant>
      <vt:variant>
        <vt:lpwstr/>
      </vt:variant>
      <vt:variant>
        <vt:i4>2818110</vt:i4>
      </vt:variant>
      <vt:variant>
        <vt:i4>129</vt:i4>
      </vt:variant>
      <vt:variant>
        <vt:i4>0</vt:i4>
      </vt:variant>
      <vt:variant>
        <vt:i4>5</vt:i4>
      </vt:variant>
      <vt:variant>
        <vt:lpwstr>http://docs.cpuc.ca.gov/PublishedDocs/Published/G000/M097/K121/97121784.PDF</vt:lpwstr>
      </vt:variant>
      <vt:variant>
        <vt:lpwstr/>
      </vt:variant>
      <vt:variant>
        <vt:i4>4259935</vt:i4>
      </vt:variant>
      <vt:variant>
        <vt:i4>126</vt:i4>
      </vt:variant>
      <vt:variant>
        <vt:i4>0</vt:i4>
      </vt:variant>
      <vt:variant>
        <vt:i4>5</vt:i4>
      </vt:variant>
      <vt:variant>
        <vt:lpwstr>https://docs.cpuc.ca.gov/PublishedDocs/WORD_PDF/FINAL_DECISION/39314.PDF</vt:lpwstr>
      </vt:variant>
      <vt:variant>
        <vt:lpwstr/>
      </vt:variant>
      <vt:variant>
        <vt:i4>4259935</vt:i4>
      </vt:variant>
      <vt:variant>
        <vt:i4>123</vt:i4>
      </vt:variant>
      <vt:variant>
        <vt:i4>0</vt:i4>
      </vt:variant>
      <vt:variant>
        <vt:i4>5</vt:i4>
      </vt:variant>
      <vt:variant>
        <vt:lpwstr>https://docs.cpuc.ca.gov/PublishedDocs/WORD_PDF/FINAL_DECISION/39314.PDF</vt:lpwstr>
      </vt:variant>
      <vt:variant>
        <vt:lpwstr/>
      </vt:variant>
      <vt:variant>
        <vt:i4>1507407</vt:i4>
      </vt:variant>
      <vt:variant>
        <vt:i4>120</vt:i4>
      </vt:variant>
      <vt:variant>
        <vt:i4>0</vt:i4>
      </vt:variant>
      <vt:variant>
        <vt:i4>5</vt:i4>
      </vt:variant>
      <vt:variant>
        <vt:lpwstr>https://docs.cpuc.ca.gov/PublishedDocs/Published/G000/M503/K914/503914324.PDF</vt:lpwstr>
      </vt:variant>
      <vt:variant>
        <vt:lpwstr/>
      </vt:variant>
      <vt:variant>
        <vt:i4>1048649</vt:i4>
      </vt:variant>
      <vt:variant>
        <vt:i4>117</vt:i4>
      </vt:variant>
      <vt:variant>
        <vt:i4>0</vt:i4>
      </vt:variant>
      <vt:variant>
        <vt:i4>5</vt:i4>
      </vt:variant>
      <vt:variant>
        <vt:lpwstr>https://docs.cpuc.ca.gov/PublishedDocs/Published/G000/M410/K138/410138703.PDF</vt:lpwstr>
      </vt:variant>
      <vt:variant>
        <vt:lpwstr/>
      </vt:variant>
      <vt:variant>
        <vt:i4>4390990</vt:i4>
      </vt:variant>
      <vt:variant>
        <vt:i4>114</vt:i4>
      </vt:variant>
      <vt:variant>
        <vt:i4>0</vt:i4>
      </vt:variant>
      <vt:variant>
        <vt:i4>5</vt:i4>
      </vt:variant>
      <vt:variant>
        <vt:lpwstr>https://docs.cpuc.ca.gov/PublishedDocs/Published/G000/M070/K145/70145464.PDF</vt:lpwstr>
      </vt:variant>
      <vt:variant>
        <vt:lpwstr/>
      </vt:variant>
      <vt:variant>
        <vt:i4>1245269</vt:i4>
      </vt:variant>
      <vt:variant>
        <vt:i4>111</vt:i4>
      </vt:variant>
      <vt:variant>
        <vt:i4>0</vt:i4>
      </vt:variant>
      <vt:variant>
        <vt:i4>5</vt:i4>
      </vt:variant>
      <vt:variant>
        <vt:lpwstr>https://california.public.law/codes/public_utilities_code_section_384</vt:lpwstr>
      </vt:variant>
      <vt:variant>
        <vt:lpwstr/>
      </vt:variant>
      <vt:variant>
        <vt:i4>1507407</vt:i4>
      </vt:variant>
      <vt:variant>
        <vt:i4>108</vt:i4>
      </vt:variant>
      <vt:variant>
        <vt:i4>0</vt:i4>
      </vt:variant>
      <vt:variant>
        <vt:i4>5</vt:i4>
      </vt:variant>
      <vt:variant>
        <vt:lpwstr>https://docs.cpuc.ca.gov/PublishedDocs/Published/G000/M503/K914/503914324.PDF</vt:lpwstr>
      </vt:variant>
      <vt:variant>
        <vt:lpwstr/>
      </vt:variant>
      <vt:variant>
        <vt:i4>1179714</vt:i4>
      </vt:variant>
      <vt:variant>
        <vt:i4>105</vt:i4>
      </vt:variant>
      <vt:variant>
        <vt:i4>0</vt:i4>
      </vt:variant>
      <vt:variant>
        <vt:i4>5</vt:i4>
      </vt:variant>
      <vt:variant>
        <vt:lpwstr>https://docs.cpuc.ca.gov/PublishedDocs/Published/G000/M531/K559/531559739.PDF</vt:lpwstr>
      </vt:variant>
      <vt:variant>
        <vt:lpwstr/>
      </vt:variant>
      <vt:variant>
        <vt:i4>1179714</vt:i4>
      </vt:variant>
      <vt:variant>
        <vt:i4>102</vt:i4>
      </vt:variant>
      <vt:variant>
        <vt:i4>0</vt:i4>
      </vt:variant>
      <vt:variant>
        <vt:i4>5</vt:i4>
      </vt:variant>
      <vt:variant>
        <vt:lpwstr>https://docs.cpuc.ca.gov/PublishedDocs/Published/G000/M531/K559/531559739.PDF</vt:lpwstr>
      </vt:variant>
      <vt:variant>
        <vt:lpwstr/>
      </vt:variant>
      <vt:variant>
        <vt:i4>4259935</vt:i4>
      </vt:variant>
      <vt:variant>
        <vt:i4>99</vt:i4>
      </vt:variant>
      <vt:variant>
        <vt:i4>0</vt:i4>
      </vt:variant>
      <vt:variant>
        <vt:i4>5</vt:i4>
      </vt:variant>
      <vt:variant>
        <vt:lpwstr>https://docs.cpuc.ca.gov/PublishedDocs/WORD_PDF/FINAL_DECISION/39314.PDF</vt:lpwstr>
      </vt:variant>
      <vt:variant>
        <vt:lpwstr/>
      </vt:variant>
      <vt:variant>
        <vt:i4>4259935</vt:i4>
      </vt:variant>
      <vt:variant>
        <vt:i4>96</vt:i4>
      </vt:variant>
      <vt:variant>
        <vt:i4>0</vt:i4>
      </vt:variant>
      <vt:variant>
        <vt:i4>5</vt:i4>
      </vt:variant>
      <vt:variant>
        <vt:lpwstr>https://docs.cpuc.ca.gov/PublishedDocs/WORD_PDF/FINAL_DECISION/39314.PDF</vt:lpwstr>
      </vt:variant>
      <vt:variant>
        <vt:lpwstr/>
      </vt:variant>
      <vt:variant>
        <vt:i4>1507407</vt:i4>
      </vt:variant>
      <vt:variant>
        <vt:i4>93</vt:i4>
      </vt:variant>
      <vt:variant>
        <vt:i4>0</vt:i4>
      </vt:variant>
      <vt:variant>
        <vt:i4>5</vt:i4>
      </vt:variant>
      <vt:variant>
        <vt:lpwstr>https://docs.cpuc.ca.gov/PublishedDocs/Published/G000/M503/K914/503914324.PDF</vt:lpwstr>
      </vt:variant>
      <vt:variant>
        <vt:lpwstr/>
      </vt:variant>
      <vt:variant>
        <vt:i4>1048649</vt:i4>
      </vt:variant>
      <vt:variant>
        <vt:i4>90</vt:i4>
      </vt:variant>
      <vt:variant>
        <vt:i4>0</vt:i4>
      </vt:variant>
      <vt:variant>
        <vt:i4>5</vt:i4>
      </vt:variant>
      <vt:variant>
        <vt:lpwstr>https://docs.cpuc.ca.gov/PublishedDocs/Published/G000/M410/K138/410138703.PDF</vt:lpwstr>
      </vt:variant>
      <vt:variant>
        <vt:lpwstr/>
      </vt:variant>
      <vt:variant>
        <vt:i4>4390990</vt:i4>
      </vt:variant>
      <vt:variant>
        <vt:i4>87</vt:i4>
      </vt:variant>
      <vt:variant>
        <vt:i4>0</vt:i4>
      </vt:variant>
      <vt:variant>
        <vt:i4>5</vt:i4>
      </vt:variant>
      <vt:variant>
        <vt:lpwstr>https://docs.cpuc.ca.gov/PublishedDocs/Published/G000/M070/K145/70145464.PDF</vt:lpwstr>
      </vt:variant>
      <vt:variant>
        <vt:lpwstr/>
      </vt:variant>
      <vt:variant>
        <vt:i4>1245269</vt:i4>
      </vt:variant>
      <vt:variant>
        <vt:i4>84</vt:i4>
      </vt:variant>
      <vt:variant>
        <vt:i4>0</vt:i4>
      </vt:variant>
      <vt:variant>
        <vt:i4>5</vt:i4>
      </vt:variant>
      <vt:variant>
        <vt:lpwstr>https://california.public.law/codes/public_utilities_code_section_384</vt:lpwstr>
      </vt:variant>
      <vt:variant>
        <vt:lpwstr/>
      </vt:variant>
      <vt:variant>
        <vt:i4>1310786</vt:i4>
      </vt:variant>
      <vt:variant>
        <vt:i4>81</vt:i4>
      </vt:variant>
      <vt:variant>
        <vt:i4>0</vt:i4>
      </vt:variant>
      <vt:variant>
        <vt:i4>5</vt:i4>
      </vt:variant>
      <vt:variant>
        <vt:lpwstr>https://docs.cpuc.ca.gov/PublishedDocs/Published/G000/M521/K196/521196139.PDF</vt:lpwstr>
      </vt:variant>
      <vt:variant>
        <vt:lpwstr/>
      </vt:variant>
      <vt:variant>
        <vt:i4>1310795</vt:i4>
      </vt:variant>
      <vt:variant>
        <vt:i4>78</vt:i4>
      </vt:variant>
      <vt:variant>
        <vt:i4>0</vt:i4>
      </vt:variant>
      <vt:variant>
        <vt:i4>5</vt:i4>
      </vt:variant>
      <vt:variant>
        <vt:lpwstr>https://mindfuldecommissioning.dnv.com/index.html</vt:lpwstr>
      </vt:variant>
      <vt:variant>
        <vt:lpwstr/>
      </vt:variant>
      <vt:variant>
        <vt:i4>5570567</vt:i4>
      </vt:variant>
      <vt:variant>
        <vt:i4>75</vt:i4>
      </vt:variant>
      <vt:variant>
        <vt:i4>0</vt:i4>
      </vt:variant>
      <vt:variant>
        <vt:i4>5</vt:i4>
      </vt:variant>
      <vt:variant>
        <vt:lpwstr>https://apps.cpuc.ca.gov/apex/f?p=401:56::::RP,57,RIR:P5_PROCEEDING_SELECT:R2409012</vt:lpwstr>
      </vt:variant>
      <vt:variant>
        <vt:lpwstr/>
      </vt:variant>
      <vt:variant>
        <vt:i4>7602263</vt:i4>
      </vt:variant>
      <vt:variant>
        <vt:i4>72</vt:i4>
      </vt:variant>
      <vt:variant>
        <vt:i4>0</vt:i4>
      </vt:variant>
      <vt:variant>
        <vt:i4>5</vt:i4>
      </vt:variant>
      <vt:variant>
        <vt:lpwstr>https://leginfo.legislature.ca.gov/faces/billNavClient.xhtml?bill_id=202320240SB1221</vt:lpwstr>
      </vt:variant>
      <vt:variant>
        <vt:lpwstr/>
      </vt:variant>
      <vt:variant>
        <vt:i4>1179714</vt:i4>
      </vt:variant>
      <vt:variant>
        <vt:i4>69</vt:i4>
      </vt:variant>
      <vt:variant>
        <vt:i4>0</vt:i4>
      </vt:variant>
      <vt:variant>
        <vt:i4>5</vt:i4>
      </vt:variant>
      <vt:variant>
        <vt:lpwstr>https://docs.cpuc.ca.gov/PublishedDocs/Published/G000/M531/K559/531559739.PDF</vt:lpwstr>
      </vt:variant>
      <vt:variant>
        <vt:lpwstr/>
      </vt:variant>
      <vt:variant>
        <vt:i4>4259935</vt:i4>
      </vt:variant>
      <vt:variant>
        <vt:i4>66</vt:i4>
      </vt:variant>
      <vt:variant>
        <vt:i4>0</vt:i4>
      </vt:variant>
      <vt:variant>
        <vt:i4>5</vt:i4>
      </vt:variant>
      <vt:variant>
        <vt:lpwstr>https://docs.cpuc.ca.gov/PublishedDocs/WORD_PDF/FINAL_DECISION/39314.PDF</vt:lpwstr>
      </vt:variant>
      <vt:variant>
        <vt:lpwstr/>
      </vt:variant>
      <vt:variant>
        <vt:i4>3407931</vt:i4>
      </vt:variant>
      <vt:variant>
        <vt:i4>63</vt:i4>
      </vt:variant>
      <vt:variant>
        <vt:i4>0</vt:i4>
      </vt:variant>
      <vt:variant>
        <vt:i4>5</vt:i4>
      </vt:variant>
      <vt:variant>
        <vt:lpwstr>https://docs.cpuc.ca.gov/PublishedDocs/WORD_PDF/FINAL_RESOLUTION/42432.PDF</vt:lpwstr>
      </vt:variant>
      <vt:variant>
        <vt:lpwstr/>
      </vt:variant>
      <vt:variant>
        <vt:i4>4259935</vt:i4>
      </vt:variant>
      <vt:variant>
        <vt:i4>60</vt:i4>
      </vt:variant>
      <vt:variant>
        <vt:i4>0</vt:i4>
      </vt:variant>
      <vt:variant>
        <vt:i4>5</vt:i4>
      </vt:variant>
      <vt:variant>
        <vt:lpwstr>https://docs.cpuc.ca.gov/PublishedDocs/WORD_PDF/FINAL_DECISION/39314.PDF</vt:lpwstr>
      </vt:variant>
      <vt:variant>
        <vt:lpwstr/>
      </vt:variant>
      <vt:variant>
        <vt:i4>4259935</vt:i4>
      </vt:variant>
      <vt:variant>
        <vt:i4>57</vt:i4>
      </vt:variant>
      <vt:variant>
        <vt:i4>0</vt:i4>
      </vt:variant>
      <vt:variant>
        <vt:i4>5</vt:i4>
      </vt:variant>
      <vt:variant>
        <vt:lpwstr>https://docs.cpuc.ca.gov/PublishedDocs/WORD_PDF/FINAL_DECISION/39314.PDF</vt:lpwstr>
      </vt:variant>
      <vt:variant>
        <vt:lpwstr/>
      </vt:variant>
      <vt:variant>
        <vt:i4>4259935</vt:i4>
      </vt:variant>
      <vt:variant>
        <vt:i4>54</vt:i4>
      </vt:variant>
      <vt:variant>
        <vt:i4>0</vt:i4>
      </vt:variant>
      <vt:variant>
        <vt:i4>5</vt:i4>
      </vt:variant>
      <vt:variant>
        <vt:lpwstr>https://docs.cpuc.ca.gov/PublishedDocs/WORD_PDF/FINAL_DECISION/39314.PDF</vt:lpwstr>
      </vt:variant>
      <vt:variant>
        <vt:lpwstr/>
      </vt:variant>
      <vt:variant>
        <vt:i4>4259935</vt:i4>
      </vt:variant>
      <vt:variant>
        <vt:i4>51</vt:i4>
      </vt:variant>
      <vt:variant>
        <vt:i4>0</vt:i4>
      </vt:variant>
      <vt:variant>
        <vt:i4>5</vt:i4>
      </vt:variant>
      <vt:variant>
        <vt:lpwstr>https://docs.cpuc.ca.gov/PublishedDocs/WORD_PDF/FINAL_DECISION/39314.PDF</vt:lpwstr>
      </vt:variant>
      <vt:variant>
        <vt:lpwstr/>
      </vt:variant>
      <vt:variant>
        <vt:i4>4259935</vt:i4>
      </vt:variant>
      <vt:variant>
        <vt:i4>48</vt:i4>
      </vt:variant>
      <vt:variant>
        <vt:i4>0</vt:i4>
      </vt:variant>
      <vt:variant>
        <vt:i4>5</vt:i4>
      </vt:variant>
      <vt:variant>
        <vt:lpwstr>https://docs.cpuc.ca.gov/PublishedDocs/WORD_PDF/FINAL_DECISION/39314.PDF</vt:lpwstr>
      </vt:variant>
      <vt:variant>
        <vt:lpwstr/>
      </vt:variant>
      <vt:variant>
        <vt:i4>4259935</vt:i4>
      </vt:variant>
      <vt:variant>
        <vt:i4>45</vt:i4>
      </vt:variant>
      <vt:variant>
        <vt:i4>0</vt:i4>
      </vt:variant>
      <vt:variant>
        <vt:i4>5</vt:i4>
      </vt:variant>
      <vt:variant>
        <vt:lpwstr>https://docs.cpuc.ca.gov/PublishedDocs/WORD_PDF/FINAL_DECISION/39314.PDF</vt:lpwstr>
      </vt:variant>
      <vt:variant>
        <vt:lpwstr/>
      </vt:variant>
      <vt:variant>
        <vt:i4>1507407</vt:i4>
      </vt:variant>
      <vt:variant>
        <vt:i4>42</vt:i4>
      </vt:variant>
      <vt:variant>
        <vt:i4>0</vt:i4>
      </vt:variant>
      <vt:variant>
        <vt:i4>5</vt:i4>
      </vt:variant>
      <vt:variant>
        <vt:lpwstr>https://docs.cpuc.ca.gov/PublishedDocs/Published/G000/M503/K914/503914324.PDF</vt:lpwstr>
      </vt:variant>
      <vt:variant>
        <vt:lpwstr/>
      </vt:variant>
      <vt:variant>
        <vt:i4>4259935</vt:i4>
      </vt:variant>
      <vt:variant>
        <vt:i4>39</vt:i4>
      </vt:variant>
      <vt:variant>
        <vt:i4>0</vt:i4>
      </vt:variant>
      <vt:variant>
        <vt:i4>5</vt:i4>
      </vt:variant>
      <vt:variant>
        <vt:lpwstr>https://docs.cpuc.ca.gov/PublishedDocs/WORD_PDF/FINAL_DECISION/39314.PDF</vt:lpwstr>
      </vt:variant>
      <vt:variant>
        <vt:lpwstr/>
      </vt:variant>
      <vt:variant>
        <vt:i4>1179714</vt:i4>
      </vt:variant>
      <vt:variant>
        <vt:i4>36</vt:i4>
      </vt:variant>
      <vt:variant>
        <vt:i4>0</vt:i4>
      </vt:variant>
      <vt:variant>
        <vt:i4>5</vt:i4>
      </vt:variant>
      <vt:variant>
        <vt:lpwstr>https://docs.cpuc.ca.gov/PublishedDocs/Published/G000/M531/K559/531559739.PDF</vt:lpwstr>
      </vt:variant>
      <vt:variant>
        <vt:lpwstr/>
      </vt:variant>
      <vt:variant>
        <vt:i4>4259935</vt:i4>
      </vt:variant>
      <vt:variant>
        <vt:i4>33</vt:i4>
      </vt:variant>
      <vt:variant>
        <vt:i4>0</vt:i4>
      </vt:variant>
      <vt:variant>
        <vt:i4>5</vt:i4>
      </vt:variant>
      <vt:variant>
        <vt:lpwstr>https://docs.cpuc.ca.gov/PublishedDocs/WORD_PDF/FINAL_DECISION/39314.PDF</vt:lpwstr>
      </vt:variant>
      <vt:variant>
        <vt:lpwstr/>
      </vt:variant>
      <vt:variant>
        <vt:i4>4259935</vt:i4>
      </vt:variant>
      <vt:variant>
        <vt:i4>30</vt:i4>
      </vt:variant>
      <vt:variant>
        <vt:i4>0</vt:i4>
      </vt:variant>
      <vt:variant>
        <vt:i4>5</vt:i4>
      </vt:variant>
      <vt:variant>
        <vt:lpwstr>https://docs.cpuc.ca.gov/PublishedDocs/WORD_PDF/FINAL_DECISION/39314.PDF</vt:lpwstr>
      </vt:variant>
      <vt:variant>
        <vt:lpwstr/>
      </vt:variant>
      <vt:variant>
        <vt:i4>1441877</vt:i4>
      </vt:variant>
      <vt:variant>
        <vt:i4>27</vt:i4>
      </vt:variant>
      <vt:variant>
        <vt:i4>0</vt:i4>
      </vt:variant>
      <vt:variant>
        <vt:i4>5</vt:i4>
      </vt:variant>
      <vt:variant>
        <vt:lpwstr>https://www.gov.ca.gov/wp-content/uploads/2024/10/energy-EO-10-30-24.pdf</vt:lpwstr>
      </vt:variant>
      <vt:variant>
        <vt:lpwstr/>
      </vt:variant>
      <vt:variant>
        <vt:i4>1507407</vt:i4>
      </vt:variant>
      <vt:variant>
        <vt:i4>24</vt:i4>
      </vt:variant>
      <vt:variant>
        <vt:i4>0</vt:i4>
      </vt:variant>
      <vt:variant>
        <vt:i4>5</vt:i4>
      </vt:variant>
      <vt:variant>
        <vt:lpwstr>https://docs.cpuc.ca.gov/PublishedDocs/Published/G000/M503/K914/503914324.PDF</vt:lpwstr>
      </vt:variant>
      <vt:variant>
        <vt:lpwstr/>
      </vt:variant>
      <vt:variant>
        <vt:i4>1179714</vt:i4>
      </vt:variant>
      <vt:variant>
        <vt:i4>21</vt:i4>
      </vt:variant>
      <vt:variant>
        <vt:i4>0</vt:i4>
      </vt:variant>
      <vt:variant>
        <vt:i4>5</vt:i4>
      </vt:variant>
      <vt:variant>
        <vt:lpwstr>https://docs.cpuc.ca.gov/PublishedDocs/Published/G000/M531/K559/531559739.PDF</vt:lpwstr>
      </vt:variant>
      <vt:variant>
        <vt:lpwstr/>
      </vt:variant>
      <vt:variant>
        <vt:i4>4259935</vt:i4>
      </vt:variant>
      <vt:variant>
        <vt:i4>18</vt:i4>
      </vt:variant>
      <vt:variant>
        <vt:i4>0</vt:i4>
      </vt:variant>
      <vt:variant>
        <vt:i4>5</vt:i4>
      </vt:variant>
      <vt:variant>
        <vt:lpwstr>https://docs.cpuc.ca.gov/PublishedDocs/WORD_PDF/FINAL_DECISION/39314.PDF</vt:lpwstr>
      </vt:variant>
      <vt:variant>
        <vt:lpwstr/>
      </vt:variant>
      <vt:variant>
        <vt:i4>4259935</vt:i4>
      </vt:variant>
      <vt:variant>
        <vt:i4>15</vt:i4>
      </vt:variant>
      <vt:variant>
        <vt:i4>0</vt:i4>
      </vt:variant>
      <vt:variant>
        <vt:i4>5</vt:i4>
      </vt:variant>
      <vt:variant>
        <vt:lpwstr>https://docs.cpuc.ca.gov/PublishedDocs/WORD_PDF/FINAL_DECISION/39314.PDF</vt:lpwstr>
      </vt:variant>
      <vt:variant>
        <vt:lpwstr/>
      </vt:variant>
      <vt:variant>
        <vt:i4>4259935</vt:i4>
      </vt:variant>
      <vt:variant>
        <vt:i4>12</vt:i4>
      </vt:variant>
      <vt:variant>
        <vt:i4>0</vt:i4>
      </vt:variant>
      <vt:variant>
        <vt:i4>5</vt:i4>
      </vt:variant>
      <vt:variant>
        <vt:lpwstr>https://docs.cpuc.ca.gov/PublishedDocs/WORD_PDF/FINAL_DECISION/39314.PDF</vt:lpwstr>
      </vt:variant>
      <vt:variant>
        <vt:lpwstr/>
      </vt:variant>
      <vt:variant>
        <vt:i4>4259935</vt:i4>
      </vt:variant>
      <vt:variant>
        <vt:i4>9</vt:i4>
      </vt:variant>
      <vt:variant>
        <vt:i4>0</vt:i4>
      </vt:variant>
      <vt:variant>
        <vt:i4>5</vt:i4>
      </vt:variant>
      <vt:variant>
        <vt:lpwstr>https://docs.cpuc.ca.gov/PublishedDocs/WORD_PDF/FINAL_DECISION/39314.PDF</vt:lpwstr>
      </vt:variant>
      <vt:variant>
        <vt:lpwstr/>
      </vt:variant>
      <vt:variant>
        <vt:i4>4259935</vt:i4>
      </vt:variant>
      <vt:variant>
        <vt:i4>6</vt:i4>
      </vt:variant>
      <vt:variant>
        <vt:i4>0</vt:i4>
      </vt:variant>
      <vt:variant>
        <vt:i4>5</vt:i4>
      </vt:variant>
      <vt:variant>
        <vt:lpwstr>https://docs.cpuc.ca.gov/PublishedDocs/WORD_PDF/FINAL_DECISION/39314.PDF</vt:lpwstr>
      </vt:variant>
      <vt:variant>
        <vt:lpwstr/>
      </vt:variant>
      <vt:variant>
        <vt:i4>5767217</vt:i4>
      </vt:variant>
      <vt:variant>
        <vt:i4>3</vt:i4>
      </vt:variant>
      <vt:variant>
        <vt:i4>0</vt:i4>
      </vt:variant>
      <vt:variant>
        <vt:i4>5</vt:i4>
      </vt:variant>
      <vt:variant>
        <vt:lpwstr>https://leginfo.legislature.ca.gov/faces/billTextClient.xhtml?bill_id=199920000AB1002</vt:lpwstr>
      </vt:variant>
      <vt:variant>
        <vt:lpwstr/>
      </vt:variant>
      <vt:variant>
        <vt:i4>5898269</vt:i4>
      </vt:variant>
      <vt:variant>
        <vt:i4>0</vt:i4>
      </vt:variant>
      <vt:variant>
        <vt:i4>0</vt:i4>
      </vt:variant>
      <vt:variant>
        <vt:i4>5</vt:i4>
      </vt:variant>
      <vt:variant>
        <vt:lpwstr>https://docs.cpuc.ca.gov/word_pdf/FINAL_RESOLUTION/63130.pdf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2026-10-14T09:31:42Z</dcterms:created>
  <dcterms:modified xsi:type="dcterms:W3CDTF">2026-10-14T09:31:42Z</dcterms:modified>
</cp:coreProperties>
</file>