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60421" w:rsidP="000E4A71" w:rsidRDefault="00830EC1" w14:paraId="6884E4F7" w14:textId="29D96D91">
      <w:pPr>
        <w:tabs>
          <w:tab w:val="center" w:pos="4320"/>
          <w:tab w:val="right" w:pos="9360"/>
        </w:tabs>
        <w:spacing w:line="240" w:lineRule="auto"/>
        <w:ind w:firstLine="0"/>
      </w:pPr>
      <w:r>
        <w:t>ALJ/SCD/cg7</w:t>
      </w:r>
      <w:r w:rsidR="007E0FEE">
        <w:tab/>
      </w:r>
      <w:r w:rsidR="00DA7B5D">
        <w:rPr>
          <w:rFonts w:ascii="Arial" w:hAnsi="Arial" w:cs="Arial"/>
          <w:b/>
          <w:sz w:val="32"/>
          <w:szCs w:val="32"/>
        </w:rPr>
        <w:t>PROPOSED DECISION</w:t>
      </w:r>
      <w:r w:rsidR="00DA7B5D">
        <w:tab/>
      </w:r>
      <w:r w:rsidRPr="00EE4315" w:rsidR="00DA7B5D">
        <w:rPr>
          <w:b/>
        </w:rPr>
        <w:t>Agenda ID #</w:t>
      </w:r>
      <w:r w:rsidR="002065B4">
        <w:rPr>
          <w:b/>
        </w:rPr>
        <w:t>24550</w:t>
      </w:r>
      <w:r w:rsidR="000E4A71">
        <w:rPr>
          <w:b/>
        </w:rPr>
        <w:t xml:space="preserve"> (Rev. 1)</w:t>
      </w:r>
    </w:p>
    <w:p w:rsidR="00DA7B5D" w:rsidP="00632207" w:rsidRDefault="00830EC1" w14:paraId="4D50C161" w14:textId="4D8037FD">
      <w:pPr>
        <w:spacing w:line="240" w:lineRule="auto"/>
        <w:jc w:val="right"/>
        <w:rPr>
          <w:b/>
        </w:rPr>
      </w:pPr>
      <w:r>
        <w:rPr>
          <w:b/>
        </w:rPr>
        <w:t>Ratesetting</w:t>
      </w:r>
    </w:p>
    <w:p w:rsidRPr="00EE4315" w:rsidR="000C05ED" w:rsidP="00632207" w:rsidRDefault="000C05ED" w14:paraId="7E02DE55" w14:textId="28C6CFAC">
      <w:pPr>
        <w:spacing w:line="240" w:lineRule="auto"/>
        <w:jc w:val="right"/>
        <w:rPr>
          <w:b/>
        </w:rPr>
      </w:pPr>
      <w:r>
        <w:rPr>
          <w:b/>
        </w:rPr>
        <w:t>10/29/2026</w:t>
      </w:r>
      <w:r w:rsidR="00333236">
        <w:rPr>
          <w:b/>
        </w:rPr>
        <w:t xml:space="preserve"> </w:t>
      </w:r>
      <w:r w:rsidR="00333236">
        <w:rPr>
          <w:b/>
        </w:rPr>
        <w:t>Item #15</w:t>
      </w:r>
    </w:p>
    <w:p w:rsidR="00DA7B5D" w:rsidP="008F0116" w:rsidRDefault="00DA7B5D" w14:paraId="2E17846D" w14:textId="77777777">
      <w:pPr>
        <w:ind w:firstLine="0"/>
      </w:pPr>
    </w:p>
    <w:p w:rsidR="00DA7B5D" w:rsidP="00BB0243" w:rsidRDefault="00DA7B5D" w14:paraId="4EB6DE3C" w14:textId="77777777">
      <w:pPr>
        <w:spacing w:line="240" w:lineRule="auto"/>
        <w:jc w:val="center"/>
        <w:rPr>
          <w:u w:val="single"/>
        </w:rPr>
      </w:pPr>
    </w:p>
    <w:p w:rsidR="00DA7B5D" w:rsidP="00BB0243" w:rsidRDefault="00DA7B5D" w14:paraId="587887C0" w14:textId="77777777">
      <w:pPr>
        <w:spacing w:line="240" w:lineRule="auto"/>
        <w:ind w:firstLine="0"/>
        <w:jc w:val="center"/>
        <w:rPr>
          <w:rFonts w:ascii="Arial" w:hAnsi="Arial" w:cs="Arial"/>
          <w:sz w:val="24"/>
          <w:szCs w:val="24"/>
        </w:rPr>
      </w:pPr>
      <w:r w:rsidRPr="00DA7B5D">
        <w:rPr>
          <w:rFonts w:ascii="Arial" w:hAnsi="Arial" w:cs="Arial"/>
          <w:b/>
          <w:sz w:val="24"/>
          <w:szCs w:val="24"/>
        </w:rPr>
        <w:t>BEFORE THE PUBLIC UTILITIES COMMISSION OF THE STATE OF CALIFORNIA</w:t>
      </w:r>
    </w:p>
    <w:p w:rsidR="00DA7B5D" w:rsidP="008F0116" w:rsidRDefault="00DA7B5D" w14:paraId="22FCB66E" w14:textId="77777777">
      <w:pPr>
        <w:spacing w:line="240" w:lineRule="auto"/>
        <w:ind w:firstLine="0"/>
        <w:rPr>
          <w:rFonts w:ascii="Arial" w:hAnsi="Arial" w:cs="Arial"/>
          <w:sz w:val="24"/>
          <w:szCs w:val="24"/>
        </w:rPr>
      </w:pPr>
    </w:p>
    <w:tbl>
      <w:tblPr>
        <w:tblStyle w:val="TableGrid"/>
        <w:tblW w:w="9360" w:type="dxa"/>
        <w:jc w:val="center"/>
        <w:tblLayout w:type="fixed"/>
        <w:tblLook w:val="04A0" w:firstRow="1" w:lastRow="0" w:firstColumn="1" w:lastColumn="0" w:noHBand="0" w:noVBand="1"/>
      </w:tblPr>
      <w:tblGrid>
        <w:gridCol w:w="4680"/>
        <w:gridCol w:w="4680"/>
      </w:tblGrid>
      <w:tr w:rsidR="00DA7B5D" w:rsidTr="00E725FC" w14:paraId="21F10897" w14:textId="77777777">
        <w:trPr>
          <w:jc w:val="center"/>
        </w:trPr>
        <w:tc>
          <w:tcPr>
            <w:tcW w:w="5040" w:type="dxa"/>
            <w:tcBorders>
              <w:top w:val="nil"/>
              <w:left w:val="nil"/>
              <w:bottom w:val="single" w:color="auto" w:sz="4" w:space="0"/>
              <w:right w:val="single" w:color="auto" w:sz="4" w:space="0"/>
            </w:tcBorders>
          </w:tcPr>
          <w:p w:rsidRPr="00DA7B5D" w:rsidR="00DA7B5D" w:rsidP="00C10B5F" w:rsidRDefault="00360E67" w14:paraId="53EF6018" w14:textId="2838F3EF">
            <w:pPr>
              <w:spacing w:line="240" w:lineRule="auto"/>
              <w:ind w:firstLine="0"/>
              <w:rPr>
                <w:rFonts w:cs="Arial"/>
                <w:szCs w:val="26"/>
              </w:rPr>
            </w:pPr>
            <w:r w:rsidRPr="00360E67">
              <w:rPr>
                <w:rFonts w:cs="Arial"/>
                <w:szCs w:val="26"/>
              </w:rPr>
              <w:t>Application of Southern California Gas Company (U 904 G), on Behalf of its Customers, for Approval of Gas Line Extension Allowances.</w:t>
            </w:r>
            <w:r w:rsidRPr="00DA7B5D" w:rsidR="00DA7B5D">
              <w:rPr>
                <w:rFonts w:cs="Arial"/>
                <w:szCs w:val="26"/>
              </w:rPr>
              <w:br/>
            </w:r>
          </w:p>
        </w:tc>
        <w:tc>
          <w:tcPr>
            <w:tcW w:w="5040" w:type="dxa"/>
            <w:tcBorders>
              <w:top w:val="nil"/>
              <w:left w:val="single" w:color="auto" w:sz="4" w:space="0"/>
              <w:bottom w:val="nil"/>
              <w:right w:val="nil"/>
            </w:tcBorders>
            <w:vAlign w:val="center"/>
          </w:tcPr>
          <w:p w:rsidRPr="00DA7B5D" w:rsidR="00DA7B5D" w:rsidP="00412C83" w:rsidRDefault="0092061F" w14:paraId="21465329" w14:textId="4B17D47C">
            <w:pPr>
              <w:spacing w:line="240" w:lineRule="auto"/>
              <w:ind w:firstLine="0"/>
              <w:jc w:val="center"/>
              <w:rPr>
                <w:rFonts w:cs="Arial"/>
                <w:szCs w:val="26"/>
              </w:rPr>
            </w:pPr>
            <w:r>
              <w:rPr>
                <w:rFonts w:cs="Arial"/>
                <w:szCs w:val="26"/>
              </w:rPr>
              <w:t>Application 25-07-001</w:t>
            </w:r>
          </w:p>
        </w:tc>
      </w:tr>
    </w:tbl>
    <w:p w:rsidR="00DA7B5D" w:rsidP="008F0116" w:rsidRDefault="00DA7B5D" w14:paraId="36E34147" w14:textId="77777777">
      <w:pPr>
        <w:spacing w:line="240" w:lineRule="auto"/>
        <w:ind w:firstLine="0"/>
        <w:rPr>
          <w:rFonts w:ascii="Arial" w:hAnsi="Arial" w:cs="Arial"/>
          <w:sz w:val="24"/>
          <w:szCs w:val="24"/>
        </w:rPr>
      </w:pPr>
    </w:p>
    <w:p w:rsidR="00DA7B5D" w:rsidP="008F0116" w:rsidRDefault="00DA7B5D" w14:paraId="474C1204" w14:textId="77777777">
      <w:pPr>
        <w:spacing w:line="240" w:lineRule="auto"/>
        <w:ind w:firstLine="0"/>
        <w:rPr>
          <w:rFonts w:ascii="Arial" w:hAnsi="Arial" w:cs="Arial"/>
          <w:sz w:val="24"/>
          <w:szCs w:val="24"/>
        </w:rPr>
      </w:pPr>
    </w:p>
    <w:p w:rsidRPr="00F92385" w:rsidR="00F92385" w:rsidP="00B3087D" w:rsidRDefault="008C510D" w14:paraId="4C5BF965" w14:textId="2FE9DDE7">
      <w:pPr>
        <w:pStyle w:val="Dummy"/>
        <w:jc w:val="center"/>
        <w:sectPr w:rsidRPr="00F92385" w:rsidR="00F92385" w:rsidSect="00CC3357">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pgNumType w:fmt="numberInDash" w:start="1"/>
          <w:cols w:space="720"/>
          <w:titlePg/>
          <w:docGrid w:linePitch="360"/>
        </w:sectPr>
      </w:pPr>
      <w:bookmarkStart w:name="_Toc243318770" w:id="0"/>
      <w:bookmarkStart w:name="_Toc243476850" w:id="1"/>
      <w:r>
        <w:t xml:space="preserve">DECISION </w:t>
      </w:r>
      <w:r w:rsidRPr="002E3F7B">
        <w:t>GRANTING APPLICATION IN PART AND DENYING APPLICATION IN PART</w:t>
      </w:r>
      <w:bookmarkEnd w:id="0"/>
      <w:bookmarkEnd w:id="1"/>
    </w:p>
    <w:p w:rsidRPr="001E2A62" w:rsidR="00D50119" w:rsidP="00F76650" w:rsidRDefault="00D50119" w14:paraId="7F7B7EA4" w14:textId="77777777">
      <w:pPr>
        <w:pStyle w:val="Main"/>
        <w:rPr>
          <w:rFonts w:ascii="Book Antiqua" w:hAnsi="Book Antiqua"/>
        </w:rPr>
      </w:pPr>
      <w:r w:rsidRPr="001E2A62">
        <w:rPr>
          <w:rFonts w:ascii="Book Antiqua" w:hAnsi="Book Antiqua"/>
        </w:rPr>
        <w:lastRenderedPageBreak/>
        <w:t>TABLE OF CONTENTS</w:t>
      </w:r>
    </w:p>
    <w:p w:rsidRPr="00D50119" w:rsidR="00D50119" w:rsidP="007E0FEE" w:rsidRDefault="00D50119" w14:paraId="3FB64972" w14:textId="77777777">
      <w:pPr>
        <w:tabs>
          <w:tab w:val="right" w:pos="9360"/>
        </w:tabs>
        <w:ind w:firstLine="0"/>
      </w:pPr>
      <w:r w:rsidRPr="00D50119">
        <w:rPr>
          <w:b/>
        </w:rPr>
        <w:t>Title</w:t>
      </w:r>
      <w:r>
        <w:tab/>
      </w:r>
      <w:r w:rsidRPr="00D50119">
        <w:rPr>
          <w:b/>
        </w:rPr>
        <w:t>Page</w:t>
      </w:r>
    </w:p>
    <w:sdt>
      <w:sdtPr>
        <w:id w:val="-1224440197"/>
        <w:docPartObj>
          <w:docPartGallery w:val="Table of Contents"/>
          <w:docPartUnique/>
        </w:docPartObj>
      </w:sdtPr>
      <w:sdtEndPr>
        <w:rPr>
          <w:b/>
          <w:bCs/>
          <w:noProof/>
        </w:rPr>
      </w:sdtEndPr>
      <w:sdtContent>
        <w:p w:rsidR="00B1748C" w:rsidRDefault="008C7413" w14:paraId="419707DB" w14:textId="53F32C14">
          <w:pPr>
            <w:pStyle w:val="TOC1"/>
            <w:tabs>
              <w:tab w:val="right" w:leader="dot" w:pos="9350"/>
            </w:tabs>
            <w:rPr>
              <w:rFonts w:asciiTheme="minorHAnsi" w:hAnsiTheme="minorHAnsi" w:cstheme="minorBidi"/>
              <w:noProof/>
              <w:kern w:val="2"/>
              <w:sz w:val="24"/>
              <w:szCs w:val="24"/>
              <w14:ligatures w14:val="standardContextual"/>
            </w:rPr>
          </w:pPr>
          <w:r>
            <w:rPr>
              <w:rFonts w:asciiTheme="minorHAnsi" w:hAnsiTheme="minorHAnsi"/>
              <w:sz w:val="22"/>
            </w:rPr>
            <w:fldChar w:fldCharType="begin"/>
          </w:r>
          <w:r>
            <w:rPr>
              <w:rFonts w:asciiTheme="minorHAnsi" w:hAnsiTheme="minorHAnsi"/>
              <w:sz w:val="22"/>
            </w:rPr>
            <w:instrText xml:space="preserve"> TOC \o "1-6" \h \z \u </w:instrText>
          </w:r>
          <w:r>
            <w:rPr>
              <w:rFonts w:asciiTheme="minorHAnsi" w:hAnsiTheme="minorHAnsi"/>
              <w:sz w:val="22"/>
            </w:rPr>
            <w:fldChar w:fldCharType="separate"/>
          </w:r>
          <w:hyperlink w:history="1" w:anchor="_Toc243476850">
            <w:r w:rsidRPr="0003490B" w:rsidR="00B1748C">
              <w:rPr>
                <w:rStyle w:val="Hyperlink"/>
                <w:noProof/>
              </w:rPr>
              <w:t>DECISION GRANTING APPLICATION IN PART AND DENYING APPLICATION IN PART</w:t>
            </w:r>
            <w:r w:rsidR="00B1748C">
              <w:rPr>
                <w:noProof/>
                <w:webHidden/>
              </w:rPr>
              <w:tab/>
            </w:r>
            <w:r w:rsidR="00B1748C">
              <w:rPr>
                <w:noProof/>
                <w:webHidden/>
              </w:rPr>
              <w:fldChar w:fldCharType="begin"/>
            </w:r>
            <w:r w:rsidR="00B1748C">
              <w:rPr>
                <w:noProof/>
                <w:webHidden/>
              </w:rPr>
              <w:instrText xml:space="preserve"> PAGEREF _Toc243476850 \h </w:instrText>
            </w:r>
            <w:r w:rsidR="00B1748C">
              <w:rPr>
                <w:noProof/>
                <w:webHidden/>
              </w:rPr>
            </w:r>
            <w:r w:rsidR="00B1748C">
              <w:rPr>
                <w:noProof/>
                <w:webHidden/>
              </w:rPr>
              <w:fldChar w:fldCharType="separate"/>
            </w:r>
            <w:r w:rsidR="00B1748C">
              <w:rPr>
                <w:noProof/>
                <w:webHidden/>
              </w:rPr>
              <w:t>- 1 -</w:t>
            </w:r>
            <w:r w:rsidR="00B1748C">
              <w:rPr>
                <w:noProof/>
                <w:webHidden/>
              </w:rPr>
              <w:fldChar w:fldCharType="end"/>
            </w:r>
          </w:hyperlink>
        </w:p>
        <w:p w:rsidR="00B1748C" w:rsidRDefault="00B1748C" w14:paraId="5A1540BD" w14:textId="129CDA03">
          <w:pPr>
            <w:pStyle w:val="TOC1"/>
            <w:tabs>
              <w:tab w:val="right" w:leader="dot" w:pos="9350"/>
            </w:tabs>
            <w:rPr>
              <w:rFonts w:asciiTheme="minorHAnsi" w:hAnsiTheme="minorHAnsi" w:cstheme="minorBidi"/>
              <w:noProof/>
              <w:kern w:val="2"/>
              <w:sz w:val="24"/>
              <w:szCs w:val="24"/>
              <w14:ligatures w14:val="standardContextual"/>
            </w:rPr>
          </w:pPr>
          <w:hyperlink w:history="1" w:anchor="_Toc243476851">
            <w:r w:rsidRPr="0003490B">
              <w:rPr>
                <w:rStyle w:val="Hyperlink"/>
                <w:noProof/>
              </w:rPr>
              <w:t>Summary</w:t>
            </w:r>
            <w:r>
              <w:rPr>
                <w:noProof/>
                <w:webHidden/>
              </w:rPr>
              <w:tab/>
            </w:r>
            <w:r>
              <w:rPr>
                <w:noProof/>
                <w:webHidden/>
              </w:rPr>
              <w:fldChar w:fldCharType="begin"/>
            </w:r>
            <w:r>
              <w:rPr>
                <w:noProof/>
                <w:webHidden/>
              </w:rPr>
              <w:instrText xml:space="preserve"> PAGEREF _Toc243476851 \h </w:instrText>
            </w:r>
            <w:r>
              <w:rPr>
                <w:noProof/>
                <w:webHidden/>
              </w:rPr>
            </w:r>
            <w:r>
              <w:rPr>
                <w:noProof/>
                <w:webHidden/>
              </w:rPr>
              <w:fldChar w:fldCharType="separate"/>
            </w:r>
            <w:r>
              <w:rPr>
                <w:noProof/>
                <w:webHidden/>
              </w:rPr>
              <w:t>2</w:t>
            </w:r>
            <w:r>
              <w:rPr>
                <w:noProof/>
                <w:webHidden/>
              </w:rPr>
              <w:fldChar w:fldCharType="end"/>
            </w:r>
          </w:hyperlink>
        </w:p>
        <w:p w:rsidR="00B1748C" w:rsidRDefault="00B1748C" w14:paraId="7C6166E0" w14:textId="76A5D64E">
          <w:pPr>
            <w:pStyle w:val="TOC1"/>
            <w:tabs>
              <w:tab w:val="right" w:leader="dot" w:pos="9350"/>
            </w:tabs>
            <w:rPr>
              <w:rFonts w:asciiTheme="minorHAnsi" w:hAnsiTheme="minorHAnsi" w:cstheme="minorBidi"/>
              <w:noProof/>
              <w:kern w:val="2"/>
              <w:sz w:val="24"/>
              <w:szCs w:val="24"/>
              <w14:ligatures w14:val="standardContextual"/>
            </w:rPr>
          </w:pPr>
          <w:hyperlink w:history="1" w:anchor="_Toc243476852">
            <w:r w:rsidRPr="0003490B">
              <w:rPr>
                <w:rStyle w:val="Hyperlink"/>
                <w:noProof/>
              </w:rPr>
              <w:t>1.</w:t>
            </w:r>
            <w:r>
              <w:rPr>
                <w:rFonts w:asciiTheme="minorHAnsi" w:hAnsiTheme="minorHAnsi" w:cstheme="minorBidi"/>
                <w:noProof/>
                <w:kern w:val="2"/>
                <w:sz w:val="24"/>
                <w:szCs w:val="24"/>
                <w14:ligatures w14:val="standardContextual"/>
              </w:rPr>
              <w:tab/>
            </w:r>
            <w:r w:rsidRPr="0003490B">
              <w:rPr>
                <w:rStyle w:val="Hyperlink"/>
                <w:noProof/>
              </w:rPr>
              <w:t>Factual and Procedural Background</w:t>
            </w:r>
            <w:r>
              <w:rPr>
                <w:noProof/>
                <w:webHidden/>
              </w:rPr>
              <w:tab/>
            </w:r>
            <w:r>
              <w:rPr>
                <w:noProof/>
                <w:webHidden/>
              </w:rPr>
              <w:fldChar w:fldCharType="begin"/>
            </w:r>
            <w:r>
              <w:rPr>
                <w:noProof/>
                <w:webHidden/>
              </w:rPr>
              <w:instrText xml:space="preserve"> PAGEREF _Toc243476852 \h </w:instrText>
            </w:r>
            <w:r>
              <w:rPr>
                <w:noProof/>
                <w:webHidden/>
              </w:rPr>
            </w:r>
            <w:r>
              <w:rPr>
                <w:noProof/>
                <w:webHidden/>
              </w:rPr>
              <w:fldChar w:fldCharType="separate"/>
            </w:r>
            <w:r>
              <w:rPr>
                <w:noProof/>
                <w:webHidden/>
              </w:rPr>
              <w:t>2</w:t>
            </w:r>
            <w:r>
              <w:rPr>
                <w:noProof/>
                <w:webHidden/>
              </w:rPr>
              <w:fldChar w:fldCharType="end"/>
            </w:r>
          </w:hyperlink>
        </w:p>
        <w:p w:rsidR="00B1748C" w:rsidRDefault="00B1748C" w14:paraId="3FB4A5DF" w14:textId="5CF6C6B1">
          <w:pPr>
            <w:pStyle w:val="TOC2"/>
            <w:tabs>
              <w:tab w:val="right" w:leader="dot" w:pos="9350"/>
            </w:tabs>
            <w:rPr>
              <w:rFonts w:asciiTheme="minorHAnsi" w:hAnsiTheme="minorHAnsi" w:cstheme="minorBidi"/>
              <w:noProof/>
              <w:kern w:val="2"/>
              <w:sz w:val="24"/>
              <w:szCs w:val="24"/>
              <w14:ligatures w14:val="standardContextual"/>
            </w:rPr>
          </w:pPr>
          <w:hyperlink w:history="1" w:anchor="_Toc243476853">
            <w:r w:rsidRPr="0003490B">
              <w:rPr>
                <w:rStyle w:val="Hyperlink"/>
                <w:noProof/>
              </w:rPr>
              <w:t>1.1.</w:t>
            </w:r>
            <w:r>
              <w:rPr>
                <w:rFonts w:asciiTheme="minorHAnsi" w:hAnsiTheme="minorHAnsi" w:cstheme="minorBidi"/>
                <w:noProof/>
                <w:kern w:val="2"/>
                <w:sz w:val="24"/>
                <w:szCs w:val="24"/>
                <w14:ligatures w14:val="standardContextual"/>
              </w:rPr>
              <w:tab/>
            </w:r>
            <w:r w:rsidRPr="0003490B">
              <w:rPr>
                <w:rStyle w:val="Hyperlink"/>
                <w:noProof/>
              </w:rPr>
              <w:t>Decision 22-09-026</w:t>
            </w:r>
            <w:r>
              <w:rPr>
                <w:noProof/>
                <w:webHidden/>
              </w:rPr>
              <w:tab/>
            </w:r>
            <w:r>
              <w:rPr>
                <w:noProof/>
                <w:webHidden/>
              </w:rPr>
              <w:fldChar w:fldCharType="begin"/>
            </w:r>
            <w:r>
              <w:rPr>
                <w:noProof/>
                <w:webHidden/>
              </w:rPr>
              <w:instrText xml:space="preserve"> PAGEREF _Toc243476853 \h </w:instrText>
            </w:r>
            <w:r>
              <w:rPr>
                <w:noProof/>
                <w:webHidden/>
              </w:rPr>
            </w:r>
            <w:r>
              <w:rPr>
                <w:noProof/>
                <w:webHidden/>
              </w:rPr>
              <w:fldChar w:fldCharType="separate"/>
            </w:r>
            <w:r>
              <w:rPr>
                <w:noProof/>
                <w:webHidden/>
              </w:rPr>
              <w:t>2</w:t>
            </w:r>
            <w:r>
              <w:rPr>
                <w:noProof/>
                <w:webHidden/>
              </w:rPr>
              <w:fldChar w:fldCharType="end"/>
            </w:r>
          </w:hyperlink>
        </w:p>
        <w:p w:rsidR="00B1748C" w:rsidRDefault="00B1748C" w14:paraId="104C37A7" w14:textId="3955E3D4">
          <w:pPr>
            <w:pStyle w:val="TOC2"/>
            <w:tabs>
              <w:tab w:val="right" w:leader="dot" w:pos="9350"/>
            </w:tabs>
            <w:rPr>
              <w:rFonts w:asciiTheme="minorHAnsi" w:hAnsiTheme="minorHAnsi" w:cstheme="minorBidi"/>
              <w:noProof/>
              <w:kern w:val="2"/>
              <w:sz w:val="24"/>
              <w:szCs w:val="24"/>
              <w14:ligatures w14:val="standardContextual"/>
            </w:rPr>
          </w:pPr>
          <w:hyperlink w:history="1" w:anchor="_Toc243476854">
            <w:r w:rsidRPr="0003490B">
              <w:rPr>
                <w:rStyle w:val="Hyperlink"/>
                <w:noProof/>
              </w:rPr>
              <w:t>1.2.</w:t>
            </w:r>
            <w:r>
              <w:rPr>
                <w:rFonts w:asciiTheme="minorHAnsi" w:hAnsiTheme="minorHAnsi" w:cstheme="minorBidi"/>
                <w:noProof/>
                <w:kern w:val="2"/>
                <w:sz w:val="24"/>
                <w:szCs w:val="24"/>
                <w14:ligatures w14:val="standardContextual"/>
              </w:rPr>
              <w:tab/>
            </w:r>
            <w:r w:rsidRPr="0003490B">
              <w:rPr>
                <w:rStyle w:val="Hyperlink"/>
                <w:noProof/>
              </w:rPr>
              <w:t>SoCalGas’ Application</w:t>
            </w:r>
            <w:r>
              <w:rPr>
                <w:noProof/>
                <w:webHidden/>
              </w:rPr>
              <w:tab/>
            </w:r>
            <w:r>
              <w:rPr>
                <w:noProof/>
                <w:webHidden/>
              </w:rPr>
              <w:fldChar w:fldCharType="begin"/>
            </w:r>
            <w:r>
              <w:rPr>
                <w:noProof/>
                <w:webHidden/>
              </w:rPr>
              <w:instrText xml:space="preserve"> PAGEREF _Toc243476854 \h </w:instrText>
            </w:r>
            <w:r>
              <w:rPr>
                <w:noProof/>
                <w:webHidden/>
              </w:rPr>
            </w:r>
            <w:r>
              <w:rPr>
                <w:noProof/>
                <w:webHidden/>
              </w:rPr>
              <w:fldChar w:fldCharType="separate"/>
            </w:r>
            <w:r>
              <w:rPr>
                <w:noProof/>
                <w:webHidden/>
              </w:rPr>
              <w:t>3</w:t>
            </w:r>
            <w:r>
              <w:rPr>
                <w:noProof/>
                <w:webHidden/>
              </w:rPr>
              <w:fldChar w:fldCharType="end"/>
            </w:r>
          </w:hyperlink>
        </w:p>
        <w:p w:rsidR="00B1748C" w:rsidRDefault="00B1748C" w14:paraId="56FFBAC3" w14:textId="616D974C">
          <w:pPr>
            <w:pStyle w:val="TOC2"/>
            <w:tabs>
              <w:tab w:val="right" w:leader="dot" w:pos="9350"/>
            </w:tabs>
            <w:rPr>
              <w:rFonts w:asciiTheme="minorHAnsi" w:hAnsiTheme="minorHAnsi" w:cstheme="minorBidi"/>
              <w:noProof/>
              <w:kern w:val="2"/>
              <w:sz w:val="24"/>
              <w:szCs w:val="24"/>
              <w14:ligatures w14:val="standardContextual"/>
            </w:rPr>
          </w:pPr>
          <w:hyperlink w:history="1" w:anchor="_Toc243476855">
            <w:r w:rsidRPr="0003490B">
              <w:rPr>
                <w:rStyle w:val="Hyperlink"/>
                <w:noProof/>
              </w:rPr>
              <w:t>1.3.</w:t>
            </w:r>
            <w:r>
              <w:rPr>
                <w:rFonts w:asciiTheme="minorHAnsi" w:hAnsiTheme="minorHAnsi" w:cstheme="minorBidi"/>
                <w:noProof/>
                <w:kern w:val="2"/>
                <w:sz w:val="24"/>
                <w:szCs w:val="24"/>
                <w14:ligatures w14:val="standardContextual"/>
              </w:rPr>
              <w:tab/>
            </w:r>
            <w:r w:rsidRPr="0003490B">
              <w:rPr>
                <w:rStyle w:val="Hyperlink"/>
                <w:noProof/>
              </w:rPr>
              <w:t>Submission Date</w:t>
            </w:r>
            <w:r>
              <w:rPr>
                <w:noProof/>
                <w:webHidden/>
              </w:rPr>
              <w:tab/>
            </w:r>
            <w:r>
              <w:rPr>
                <w:noProof/>
                <w:webHidden/>
              </w:rPr>
              <w:fldChar w:fldCharType="begin"/>
            </w:r>
            <w:r>
              <w:rPr>
                <w:noProof/>
                <w:webHidden/>
              </w:rPr>
              <w:instrText xml:space="preserve"> PAGEREF _Toc243476855 \h </w:instrText>
            </w:r>
            <w:r>
              <w:rPr>
                <w:noProof/>
                <w:webHidden/>
              </w:rPr>
            </w:r>
            <w:r>
              <w:rPr>
                <w:noProof/>
                <w:webHidden/>
              </w:rPr>
              <w:fldChar w:fldCharType="separate"/>
            </w:r>
            <w:r>
              <w:rPr>
                <w:noProof/>
                <w:webHidden/>
              </w:rPr>
              <w:t>5</w:t>
            </w:r>
            <w:r>
              <w:rPr>
                <w:noProof/>
                <w:webHidden/>
              </w:rPr>
              <w:fldChar w:fldCharType="end"/>
            </w:r>
          </w:hyperlink>
        </w:p>
        <w:p w:rsidR="00B1748C" w:rsidRDefault="00B1748C" w14:paraId="2BACB46A" w14:textId="1CDCC150">
          <w:pPr>
            <w:pStyle w:val="TOC1"/>
            <w:tabs>
              <w:tab w:val="right" w:leader="dot" w:pos="9350"/>
            </w:tabs>
            <w:rPr>
              <w:rFonts w:asciiTheme="minorHAnsi" w:hAnsiTheme="minorHAnsi" w:cstheme="minorBidi"/>
              <w:noProof/>
              <w:kern w:val="2"/>
              <w:sz w:val="24"/>
              <w:szCs w:val="24"/>
              <w14:ligatures w14:val="standardContextual"/>
            </w:rPr>
          </w:pPr>
          <w:hyperlink w:history="1" w:anchor="_Toc243476856">
            <w:r w:rsidRPr="0003490B">
              <w:rPr>
                <w:rStyle w:val="Hyperlink"/>
                <w:noProof/>
              </w:rPr>
              <w:t>2.</w:t>
            </w:r>
            <w:r>
              <w:rPr>
                <w:rFonts w:asciiTheme="minorHAnsi" w:hAnsiTheme="minorHAnsi" w:cstheme="minorBidi"/>
                <w:noProof/>
                <w:kern w:val="2"/>
                <w:sz w:val="24"/>
                <w:szCs w:val="24"/>
                <w14:ligatures w14:val="standardContextual"/>
              </w:rPr>
              <w:tab/>
            </w:r>
            <w:r w:rsidRPr="0003490B">
              <w:rPr>
                <w:rStyle w:val="Hyperlink"/>
                <w:noProof/>
              </w:rPr>
              <w:t>Issues Before the Commission</w:t>
            </w:r>
            <w:r>
              <w:rPr>
                <w:noProof/>
                <w:webHidden/>
              </w:rPr>
              <w:tab/>
            </w:r>
            <w:r>
              <w:rPr>
                <w:noProof/>
                <w:webHidden/>
              </w:rPr>
              <w:fldChar w:fldCharType="begin"/>
            </w:r>
            <w:r>
              <w:rPr>
                <w:noProof/>
                <w:webHidden/>
              </w:rPr>
              <w:instrText xml:space="preserve"> PAGEREF _Toc243476856 \h </w:instrText>
            </w:r>
            <w:r>
              <w:rPr>
                <w:noProof/>
                <w:webHidden/>
              </w:rPr>
            </w:r>
            <w:r>
              <w:rPr>
                <w:noProof/>
                <w:webHidden/>
              </w:rPr>
              <w:fldChar w:fldCharType="separate"/>
            </w:r>
            <w:r>
              <w:rPr>
                <w:noProof/>
                <w:webHidden/>
              </w:rPr>
              <w:t>5</w:t>
            </w:r>
            <w:r>
              <w:rPr>
                <w:noProof/>
                <w:webHidden/>
              </w:rPr>
              <w:fldChar w:fldCharType="end"/>
            </w:r>
          </w:hyperlink>
        </w:p>
        <w:p w:rsidR="00B1748C" w:rsidRDefault="00B1748C" w14:paraId="1B921DBA" w14:textId="43349456">
          <w:pPr>
            <w:pStyle w:val="TOC1"/>
            <w:tabs>
              <w:tab w:val="right" w:leader="dot" w:pos="9350"/>
            </w:tabs>
            <w:rPr>
              <w:rFonts w:asciiTheme="minorHAnsi" w:hAnsiTheme="minorHAnsi" w:cstheme="minorBidi"/>
              <w:noProof/>
              <w:kern w:val="2"/>
              <w:sz w:val="24"/>
              <w:szCs w:val="24"/>
              <w14:ligatures w14:val="standardContextual"/>
            </w:rPr>
          </w:pPr>
          <w:hyperlink w:history="1" w:anchor="_Toc243476857">
            <w:r w:rsidRPr="0003490B">
              <w:rPr>
                <w:rStyle w:val="Hyperlink"/>
                <w:noProof/>
              </w:rPr>
              <w:t>3.</w:t>
            </w:r>
            <w:r>
              <w:rPr>
                <w:rFonts w:asciiTheme="minorHAnsi" w:hAnsiTheme="minorHAnsi" w:cstheme="minorBidi"/>
                <w:noProof/>
                <w:kern w:val="2"/>
                <w:sz w:val="24"/>
                <w:szCs w:val="24"/>
                <w14:ligatures w14:val="standardContextual"/>
              </w:rPr>
              <w:tab/>
            </w:r>
            <w:r w:rsidRPr="0003490B">
              <w:rPr>
                <w:rStyle w:val="Hyperlink"/>
                <w:noProof/>
              </w:rPr>
              <w:t>Gas Line Extension Allowance</w:t>
            </w:r>
            <w:r>
              <w:rPr>
                <w:noProof/>
                <w:webHidden/>
              </w:rPr>
              <w:tab/>
            </w:r>
            <w:r>
              <w:rPr>
                <w:noProof/>
                <w:webHidden/>
              </w:rPr>
              <w:fldChar w:fldCharType="begin"/>
            </w:r>
            <w:r>
              <w:rPr>
                <w:noProof/>
                <w:webHidden/>
              </w:rPr>
              <w:instrText xml:space="preserve"> PAGEREF _Toc243476857 \h </w:instrText>
            </w:r>
            <w:r>
              <w:rPr>
                <w:noProof/>
                <w:webHidden/>
              </w:rPr>
            </w:r>
            <w:r>
              <w:rPr>
                <w:noProof/>
                <w:webHidden/>
              </w:rPr>
              <w:fldChar w:fldCharType="separate"/>
            </w:r>
            <w:r>
              <w:rPr>
                <w:noProof/>
                <w:webHidden/>
              </w:rPr>
              <w:t>6</w:t>
            </w:r>
            <w:r>
              <w:rPr>
                <w:noProof/>
                <w:webHidden/>
              </w:rPr>
              <w:fldChar w:fldCharType="end"/>
            </w:r>
          </w:hyperlink>
        </w:p>
        <w:p w:rsidR="00B1748C" w:rsidRDefault="00B1748C" w14:paraId="4F8B2C88" w14:textId="4543687A">
          <w:pPr>
            <w:pStyle w:val="TOC2"/>
            <w:tabs>
              <w:tab w:val="right" w:leader="dot" w:pos="9350"/>
            </w:tabs>
            <w:rPr>
              <w:rFonts w:asciiTheme="minorHAnsi" w:hAnsiTheme="minorHAnsi" w:cstheme="minorBidi"/>
              <w:noProof/>
              <w:kern w:val="2"/>
              <w:sz w:val="24"/>
              <w:szCs w:val="24"/>
              <w14:ligatures w14:val="standardContextual"/>
            </w:rPr>
          </w:pPr>
          <w:hyperlink w:history="1" w:anchor="_Toc243476858">
            <w:r w:rsidRPr="0003490B">
              <w:rPr>
                <w:rStyle w:val="Hyperlink"/>
                <w:noProof/>
              </w:rPr>
              <w:t>3.1.</w:t>
            </w:r>
            <w:r>
              <w:rPr>
                <w:rFonts w:asciiTheme="minorHAnsi" w:hAnsiTheme="minorHAnsi" w:cstheme="minorBidi"/>
                <w:noProof/>
                <w:kern w:val="2"/>
                <w:sz w:val="24"/>
                <w:szCs w:val="24"/>
                <w14:ligatures w14:val="standardContextual"/>
              </w:rPr>
              <w:tab/>
            </w:r>
            <w:r w:rsidRPr="0003490B">
              <w:rPr>
                <w:rStyle w:val="Hyperlink"/>
                <w:noProof/>
              </w:rPr>
              <w:t>Demonstrable Reduction in Greenhouse Gas Emissions</w:t>
            </w:r>
            <w:r>
              <w:rPr>
                <w:noProof/>
                <w:webHidden/>
              </w:rPr>
              <w:tab/>
            </w:r>
            <w:r>
              <w:rPr>
                <w:noProof/>
                <w:webHidden/>
              </w:rPr>
              <w:fldChar w:fldCharType="begin"/>
            </w:r>
            <w:r>
              <w:rPr>
                <w:noProof/>
                <w:webHidden/>
              </w:rPr>
              <w:instrText xml:space="preserve"> PAGEREF _Toc243476858 \h </w:instrText>
            </w:r>
            <w:r>
              <w:rPr>
                <w:noProof/>
                <w:webHidden/>
              </w:rPr>
            </w:r>
            <w:r>
              <w:rPr>
                <w:noProof/>
                <w:webHidden/>
              </w:rPr>
              <w:fldChar w:fldCharType="separate"/>
            </w:r>
            <w:r>
              <w:rPr>
                <w:noProof/>
                <w:webHidden/>
              </w:rPr>
              <w:t>6</w:t>
            </w:r>
            <w:r>
              <w:rPr>
                <w:noProof/>
                <w:webHidden/>
              </w:rPr>
              <w:fldChar w:fldCharType="end"/>
            </w:r>
          </w:hyperlink>
        </w:p>
        <w:p w:rsidR="00B1748C" w:rsidRDefault="00B1748C" w14:paraId="29382D95" w14:textId="50AD4961">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3476859">
            <w:r w:rsidRPr="0003490B">
              <w:rPr>
                <w:rStyle w:val="Hyperlink"/>
                <w:noProof/>
              </w:rPr>
              <w:t>3.1.1.</w:t>
            </w:r>
            <w:r>
              <w:rPr>
                <w:rFonts w:asciiTheme="minorHAnsi" w:hAnsiTheme="minorHAnsi" w:cstheme="minorBidi"/>
                <w:noProof/>
                <w:kern w:val="2"/>
                <w:sz w:val="24"/>
                <w:szCs w:val="24"/>
                <w14:ligatures w14:val="standardContextual"/>
              </w:rPr>
              <w:tab/>
            </w:r>
            <w:r w:rsidRPr="0003490B">
              <w:rPr>
                <w:rStyle w:val="Hyperlink"/>
                <w:noProof/>
              </w:rPr>
              <w:t>SoCalGas’ Contentions</w:t>
            </w:r>
            <w:r>
              <w:rPr>
                <w:noProof/>
                <w:webHidden/>
              </w:rPr>
              <w:tab/>
            </w:r>
            <w:r>
              <w:rPr>
                <w:noProof/>
                <w:webHidden/>
              </w:rPr>
              <w:fldChar w:fldCharType="begin"/>
            </w:r>
            <w:r>
              <w:rPr>
                <w:noProof/>
                <w:webHidden/>
              </w:rPr>
              <w:instrText xml:space="preserve"> PAGEREF _Toc243476859 \h </w:instrText>
            </w:r>
            <w:r>
              <w:rPr>
                <w:noProof/>
                <w:webHidden/>
              </w:rPr>
            </w:r>
            <w:r>
              <w:rPr>
                <w:noProof/>
                <w:webHidden/>
              </w:rPr>
              <w:fldChar w:fldCharType="separate"/>
            </w:r>
            <w:r>
              <w:rPr>
                <w:noProof/>
                <w:webHidden/>
              </w:rPr>
              <w:t>6</w:t>
            </w:r>
            <w:r>
              <w:rPr>
                <w:noProof/>
                <w:webHidden/>
              </w:rPr>
              <w:fldChar w:fldCharType="end"/>
            </w:r>
          </w:hyperlink>
        </w:p>
        <w:p w:rsidR="00B1748C" w:rsidRDefault="00B1748C" w14:paraId="6B396E3D" w14:textId="42631C0B">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3476860">
            <w:r w:rsidRPr="0003490B">
              <w:rPr>
                <w:rStyle w:val="Hyperlink"/>
                <w:noProof/>
              </w:rPr>
              <w:t>3.1.2.</w:t>
            </w:r>
            <w:r>
              <w:rPr>
                <w:rFonts w:asciiTheme="minorHAnsi" w:hAnsiTheme="minorHAnsi" w:cstheme="minorBidi"/>
                <w:noProof/>
                <w:kern w:val="2"/>
                <w:sz w:val="24"/>
                <w:szCs w:val="24"/>
                <w14:ligatures w14:val="standardContextual"/>
              </w:rPr>
              <w:tab/>
            </w:r>
            <w:r w:rsidRPr="0003490B">
              <w:rPr>
                <w:rStyle w:val="Hyperlink"/>
                <w:noProof/>
              </w:rPr>
              <w:t>Intervenors’ Contentions</w:t>
            </w:r>
            <w:r>
              <w:rPr>
                <w:noProof/>
                <w:webHidden/>
              </w:rPr>
              <w:tab/>
            </w:r>
            <w:r>
              <w:rPr>
                <w:noProof/>
                <w:webHidden/>
              </w:rPr>
              <w:fldChar w:fldCharType="begin"/>
            </w:r>
            <w:r>
              <w:rPr>
                <w:noProof/>
                <w:webHidden/>
              </w:rPr>
              <w:instrText xml:space="preserve"> PAGEREF _Toc243476860 \h </w:instrText>
            </w:r>
            <w:r>
              <w:rPr>
                <w:noProof/>
                <w:webHidden/>
              </w:rPr>
            </w:r>
            <w:r>
              <w:rPr>
                <w:noProof/>
                <w:webHidden/>
              </w:rPr>
              <w:fldChar w:fldCharType="separate"/>
            </w:r>
            <w:r>
              <w:rPr>
                <w:noProof/>
                <w:webHidden/>
              </w:rPr>
              <w:t>7</w:t>
            </w:r>
            <w:r>
              <w:rPr>
                <w:noProof/>
                <w:webHidden/>
              </w:rPr>
              <w:fldChar w:fldCharType="end"/>
            </w:r>
          </w:hyperlink>
        </w:p>
        <w:p w:rsidR="00B1748C" w:rsidRDefault="00B1748C" w14:paraId="15471472" w14:textId="4349DF20">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3476861">
            <w:r w:rsidRPr="0003490B">
              <w:rPr>
                <w:rStyle w:val="Hyperlink"/>
                <w:noProof/>
              </w:rPr>
              <w:t>3.1.3.</w:t>
            </w:r>
            <w:r>
              <w:rPr>
                <w:rFonts w:asciiTheme="minorHAnsi" w:hAnsiTheme="minorHAnsi" w:cstheme="minorBidi"/>
                <w:noProof/>
                <w:kern w:val="2"/>
                <w:sz w:val="24"/>
                <w:szCs w:val="24"/>
                <w14:ligatures w14:val="standardContextual"/>
              </w:rPr>
              <w:tab/>
            </w:r>
            <w:r w:rsidRPr="0003490B">
              <w:rPr>
                <w:rStyle w:val="Hyperlink"/>
                <w:noProof/>
              </w:rPr>
              <w:t>Discussion</w:t>
            </w:r>
            <w:r>
              <w:rPr>
                <w:noProof/>
                <w:webHidden/>
              </w:rPr>
              <w:tab/>
            </w:r>
            <w:r>
              <w:rPr>
                <w:noProof/>
                <w:webHidden/>
              </w:rPr>
              <w:fldChar w:fldCharType="begin"/>
            </w:r>
            <w:r>
              <w:rPr>
                <w:noProof/>
                <w:webHidden/>
              </w:rPr>
              <w:instrText xml:space="preserve"> PAGEREF _Toc243476861 \h </w:instrText>
            </w:r>
            <w:r>
              <w:rPr>
                <w:noProof/>
                <w:webHidden/>
              </w:rPr>
            </w:r>
            <w:r>
              <w:rPr>
                <w:noProof/>
                <w:webHidden/>
              </w:rPr>
              <w:fldChar w:fldCharType="separate"/>
            </w:r>
            <w:r>
              <w:rPr>
                <w:noProof/>
                <w:webHidden/>
              </w:rPr>
              <w:t>9</w:t>
            </w:r>
            <w:r>
              <w:rPr>
                <w:noProof/>
                <w:webHidden/>
              </w:rPr>
              <w:fldChar w:fldCharType="end"/>
            </w:r>
          </w:hyperlink>
        </w:p>
        <w:p w:rsidR="00B1748C" w:rsidRDefault="00B1748C" w14:paraId="62E81DAC" w14:textId="4DB739C4">
          <w:pPr>
            <w:pStyle w:val="TOC2"/>
            <w:tabs>
              <w:tab w:val="right" w:leader="dot" w:pos="9350"/>
            </w:tabs>
            <w:rPr>
              <w:rFonts w:asciiTheme="minorHAnsi" w:hAnsiTheme="minorHAnsi" w:cstheme="minorBidi"/>
              <w:noProof/>
              <w:kern w:val="2"/>
              <w:sz w:val="24"/>
              <w:szCs w:val="24"/>
              <w14:ligatures w14:val="standardContextual"/>
            </w:rPr>
          </w:pPr>
          <w:hyperlink w:history="1" w:anchor="_Toc243476862">
            <w:r w:rsidRPr="0003490B">
              <w:rPr>
                <w:rStyle w:val="Hyperlink"/>
                <w:noProof/>
              </w:rPr>
              <w:t>3.2.</w:t>
            </w:r>
            <w:r>
              <w:rPr>
                <w:rFonts w:asciiTheme="minorHAnsi" w:hAnsiTheme="minorHAnsi" w:cstheme="minorBidi"/>
                <w:noProof/>
                <w:kern w:val="2"/>
                <w:sz w:val="24"/>
                <w:szCs w:val="24"/>
                <w14:ligatures w14:val="standardContextual"/>
              </w:rPr>
              <w:tab/>
            </w:r>
            <w:r w:rsidRPr="0003490B">
              <w:rPr>
                <w:rStyle w:val="Hyperlink"/>
                <w:noProof/>
              </w:rPr>
              <w:t>Consistency with California Climate Goals</w:t>
            </w:r>
            <w:r>
              <w:rPr>
                <w:noProof/>
                <w:webHidden/>
              </w:rPr>
              <w:tab/>
            </w:r>
            <w:r>
              <w:rPr>
                <w:noProof/>
                <w:webHidden/>
              </w:rPr>
              <w:fldChar w:fldCharType="begin"/>
            </w:r>
            <w:r>
              <w:rPr>
                <w:noProof/>
                <w:webHidden/>
              </w:rPr>
              <w:instrText xml:space="preserve"> PAGEREF _Toc243476862 \h </w:instrText>
            </w:r>
            <w:r>
              <w:rPr>
                <w:noProof/>
                <w:webHidden/>
              </w:rPr>
            </w:r>
            <w:r>
              <w:rPr>
                <w:noProof/>
                <w:webHidden/>
              </w:rPr>
              <w:fldChar w:fldCharType="separate"/>
            </w:r>
            <w:r>
              <w:rPr>
                <w:noProof/>
                <w:webHidden/>
              </w:rPr>
              <w:t>10</w:t>
            </w:r>
            <w:r>
              <w:rPr>
                <w:noProof/>
                <w:webHidden/>
              </w:rPr>
              <w:fldChar w:fldCharType="end"/>
            </w:r>
          </w:hyperlink>
        </w:p>
        <w:p w:rsidR="00B1748C" w:rsidRDefault="00B1748C" w14:paraId="7DC73B87" w14:textId="0EDD2CE5">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3476863">
            <w:r w:rsidRPr="0003490B">
              <w:rPr>
                <w:rStyle w:val="Hyperlink"/>
                <w:noProof/>
              </w:rPr>
              <w:t>3.2.1.</w:t>
            </w:r>
            <w:r>
              <w:rPr>
                <w:rFonts w:asciiTheme="minorHAnsi" w:hAnsiTheme="minorHAnsi" w:cstheme="minorBidi"/>
                <w:noProof/>
                <w:kern w:val="2"/>
                <w:sz w:val="24"/>
                <w:szCs w:val="24"/>
                <w14:ligatures w14:val="standardContextual"/>
              </w:rPr>
              <w:tab/>
            </w:r>
            <w:r w:rsidRPr="0003490B">
              <w:rPr>
                <w:rStyle w:val="Hyperlink"/>
                <w:noProof/>
              </w:rPr>
              <w:t>SoCalGas’ Contentions</w:t>
            </w:r>
            <w:r>
              <w:rPr>
                <w:noProof/>
                <w:webHidden/>
              </w:rPr>
              <w:tab/>
            </w:r>
            <w:r>
              <w:rPr>
                <w:noProof/>
                <w:webHidden/>
              </w:rPr>
              <w:fldChar w:fldCharType="begin"/>
            </w:r>
            <w:r>
              <w:rPr>
                <w:noProof/>
                <w:webHidden/>
              </w:rPr>
              <w:instrText xml:space="preserve"> PAGEREF _Toc243476863 \h </w:instrText>
            </w:r>
            <w:r>
              <w:rPr>
                <w:noProof/>
                <w:webHidden/>
              </w:rPr>
            </w:r>
            <w:r>
              <w:rPr>
                <w:noProof/>
                <w:webHidden/>
              </w:rPr>
              <w:fldChar w:fldCharType="separate"/>
            </w:r>
            <w:r>
              <w:rPr>
                <w:noProof/>
                <w:webHidden/>
              </w:rPr>
              <w:t>10</w:t>
            </w:r>
            <w:r>
              <w:rPr>
                <w:noProof/>
                <w:webHidden/>
              </w:rPr>
              <w:fldChar w:fldCharType="end"/>
            </w:r>
          </w:hyperlink>
        </w:p>
        <w:p w:rsidR="00B1748C" w:rsidRDefault="00B1748C" w14:paraId="5F43A765" w14:textId="40F05B08">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3476864">
            <w:r w:rsidRPr="0003490B">
              <w:rPr>
                <w:rStyle w:val="Hyperlink"/>
                <w:noProof/>
              </w:rPr>
              <w:t>3.2.2.</w:t>
            </w:r>
            <w:r>
              <w:rPr>
                <w:rFonts w:asciiTheme="minorHAnsi" w:hAnsiTheme="minorHAnsi" w:cstheme="minorBidi"/>
                <w:noProof/>
                <w:kern w:val="2"/>
                <w:sz w:val="24"/>
                <w:szCs w:val="24"/>
                <w14:ligatures w14:val="standardContextual"/>
              </w:rPr>
              <w:tab/>
            </w:r>
            <w:r w:rsidRPr="0003490B">
              <w:rPr>
                <w:rStyle w:val="Hyperlink"/>
                <w:noProof/>
              </w:rPr>
              <w:t>Intervenors’ Contentions</w:t>
            </w:r>
            <w:r>
              <w:rPr>
                <w:noProof/>
                <w:webHidden/>
              </w:rPr>
              <w:tab/>
            </w:r>
            <w:r>
              <w:rPr>
                <w:noProof/>
                <w:webHidden/>
              </w:rPr>
              <w:fldChar w:fldCharType="begin"/>
            </w:r>
            <w:r>
              <w:rPr>
                <w:noProof/>
                <w:webHidden/>
              </w:rPr>
              <w:instrText xml:space="preserve"> PAGEREF _Toc243476864 \h </w:instrText>
            </w:r>
            <w:r>
              <w:rPr>
                <w:noProof/>
                <w:webHidden/>
              </w:rPr>
            </w:r>
            <w:r>
              <w:rPr>
                <w:noProof/>
                <w:webHidden/>
              </w:rPr>
              <w:fldChar w:fldCharType="separate"/>
            </w:r>
            <w:r>
              <w:rPr>
                <w:noProof/>
                <w:webHidden/>
              </w:rPr>
              <w:t>11</w:t>
            </w:r>
            <w:r>
              <w:rPr>
                <w:noProof/>
                <w:webHidden/>
              </w:rPr>
              <w:fldChar w:fldCharType="end"/>
            </w:r>
          </w:hyperlink>
        </w:p>
        <w:p w:rsidR="00B1748C" w:rsidRDefault="00B1748C" w14:paraId="4179C98C" w14:textId="5A6AFAA0">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3476865">
            <w:r w:rsidRPr="0003490B">
              <w:rPr>
                <w:rStyle w:val="Hyperlink"/>
                <w:noProof/>
              </w:rPr>
              <w:t>3.2.3.</w:t>
            </w:r>
            <w:r>
              <w:rPr>
                <w:rFonts w:asciiTheme="minorHAnsi" w:hAnsiTheme="minorHAnsi" w:cstheme="minorBidi"/>
                <w:noProof/>
                <w:kern w:val="2"/>
                <w:sz w:val="24"/>
                <w:szCs w:val="24"/>
                <w14:ligatures w14:val="standardContextual"/>
              </w:rPr>
              <w:tab/>
            </w:r>
            <w:r w:rsidRPr="0003490B">
              <w:rPr>
                <w:rStyle w:val="Hyperlink"/>
                <w:noProof/>
              </w:rPr>
              <w:t>Discussion</w:t>
            </w:r>
            <w:r>
              <w:rPr>
                <w:noProof/>
                <w:webHidden/>
              </w:rPr>
              <w:tab/>
            </w:r>
            <w:r>
              <w:rPr>
                <w:noProof/>
                <w:webHidden/>
              </w:rPr>
              <w:fldChar w:fldCharType="begin"/>
            </w:r>
            <w:r>
              <w:rPr>
                <w:noProof/>
                <w:webHidden/>
              </w:rPr>
              <w:instrText xml:space="preserve"> PAGEREF _Toc243476865 \h </w:instrText>
            </w:r>
            <w:r>
              <w:rPr>
                <w:noProof/>
                <w:webHidden/>
              </w:rPr>
            </w:r>
            <w:r>
              <w:rPr>
                <w:noProof/>
                <w:webHidden/>
              </w:rPr>
              <w:fldChar w:fldCharType="separate"/>
            </w:r>
            <w:r>
              <w:rPr>
                <w:noProof/>
                <w:webHidden/>
              </w:rPr>
              <w:t>12</w:t>
            </w:r>
            <w:r>
              <w:rPr>
                <w:noProof/>
                <w:webHidden/>
              </w:rPr>
              <w:fldChar w:fldCharType="end"/>
            </w:r>
          </w:hyperlink>
        </w:p>
        <w:p w:rsidR="00B1748C" w:rsidRDefault="00B1748C" w14:paraId="7835E35C" w14:textId="703226D8">
          <w:pPr>
            <w:pStyle w:val="TOC2"/>
            <w:tabs>
              <w:tab w:val="right" w:leader="dot" w:pos="9350"/>
            </w:tabs>
            <w:rPr>
              <w:rFonts w:asciiTheme="minorHAnsi" w:hAnsiTheme="minorHAnsi" w:cstheme="minorBidi"/>
              <w:noProof/>
              <w:kern w:val="2"/>
              <w:sz w:val="24"/>
              <w:szCs w:val="24"/>
              <w14:ligatures w14:val="standardContextual"/>
            </w:rPr>
          </w:pPr>
          <w:hyperlink w:history="1" w:anchor="_Toc243476866">
            <w:r w:rsidRPr="0003490B">
              <w:rPr>
                <w:rStyle w:val="Hyperlink"/>
                <w:noProof/>
              </w:rPr>
              <w:t>3.3.</w:t>
            </w:r>
            <w:r>
              <w:rPr>
                <w:rFonts w:asciiTheme="minorHAnsi" w:hAnsiTheme="minorHAnsi" w:cstheme="minorBidi"/>
                <w:noProof/>
                <w:kern w:val="2"/>
                <w:sz w:val="24"/>
                <w:szCs w:val="24"/>
                <w14:ligatures w14:val="standardContextual"/>
              </w:rPr>
              <w:tab/>
            </w:r>
            <w:r w:rsidRPr="0003490B">
              <w:rPr>
                <w:rStyle w:val="Hyperlink"/>
                <w:noProof/>
              </w:rPr>
              <w:t>Demonstration of No Feasible Alternative to Natural Gas</w:t>
            </w:r>
            <w:r>
              <w:rPr>
                <w:noProof/>
                <w:webHidden/>
              </w:rPr>
              <w:tab/>
            </w:r>
            <w:r>
              <w:rPr>
                <w:noProof/>
                <w:webHidden/>
              </w:rPr>
              <w:fldChar w:fldCharType="begin"/>
            </w:r>
            <w:r>
              <w:rPr>
                <w:noProof/>
                <w:webHidden/>
              </w:rPr>
              <w:instrText xml:space="preserve"> PAGEREF _Toc243476866 \h </w:instrText>
            </w:r>
            <w:r>
              <w:rPr>
                <w:noProof/>
                <w:webHidden/>
              </w:rPr>
            </w:r>
            <w:r>
              <w:rPr>
                <w:noProof/>
                <w:webHidden/>
              </w:rPr>
              <w:fldChar w:fldCharType="separate"/>
            </w:r>
            <w:r>
              <w:rPr>
                <w:noProof/>
                <w:webHidden/>
              </w:rPr>
              <w:t>14</w:t>
            </w:r>
            <w:r>
              <w:rPr>
                <w:noProof/>
                <w:webHidden/>
              </w:rPr>
              <w:fldChar w:fldCharType="end"/>
            </w:r>
          </w:hyperlink>
        </w:p>
        <w:p w:rsidR="00B1748C" w:rsidRDefault="00B1748C" w14:paraId="46604904" w14:textId="2CBBE2FA">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3476868">
            <w:r w:rsidRPr="0003490B">
              <w:rPr>
                <w:rStyle w:val="Hyperlink"/>
                <w:noProof/>
              </w:rPr>
              <w:t>3.3.1.</w:t>
            </w:r>
            <w:r>
              <w:rPr>
                <w:rFonts w:asciiTheme="minorHAnsi" w:hAnsiTheme="minorHAnsi" w:cstheme="minorBidi"/>
                <w:noProof/>
                <w:kern w:val="2"/>
                <w:sz w:val="24"/>
                <w:szCs w:val="24"/>
                <w14:ligatures w14:val="standardContextual"/>
              </w:rPr>
              <w:tab/>
            </w:r>
            <w:r w:rsidRPr="0003490B">
              <w:rPr>
                <w:rStyle w:val="Hyperlink"/>
                <w:noProof/>
              </w:rPr>
              <w:t>Project B</w:t>
            </w:r>
            <w:r>
              <w:rPr>
                <w:noProof/>
                <w:webHidden/>
              </w:rPr>
              <w:tab/>
            </w:r>
            <w:r>
              <w:rPr>
                <w:noProof/>
                <w:webHidden/>
              </w:rPr>
              <w:fldChar w:fldCharType="begin"/>
            </w:r>
            <w:r>
              <w:rPr>
                <w:noProof/>
                <w:webHidden/>
              </w:rPr>
              <w:instrText xml:space="preserve"> PAGEREF _Toc243476868 \h </w:instrText>
            </w:r>
            <w:r>
              <w:rPr>
                <w:noProof/>
                <w:webHidden/>
              </w:rPr>
            </w:r>
            <w:r>
              <w:rPr>
                <w:noProof/>
                <w:webHidden/>
              </w:rPr>
              <w:fldChar w:fldCharType="separate"/>
            </w:r>
            <w:r>
              <w:rPr>
                <w:noProof/>
                <w:webHidden/>
              </w:rPr>
              <w:t>16</w:t>
            </w:r>
            <w:r>
              <w:rPr>
                <w:noProof/>
                <w:webHidden/>
              </w:rPr>
              <w:fldChar w:fldCharType="end"/>
            </w:r>
          </w:hyperlink>
        </w:p>
        <w:p w:rsidR="00B1748C" w:rsidRDefault="00B1748C" w14:paraId="76DDFD62" w14:textId="64502DBC">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3476869">
            <w:r w:rsidRPr="0003490B">
              <w:rPr>
                <w:rStyle w:val="Hyperlink"/>
                <w:noProof/>
              </w:rPr>
              <w:t>3.3.2.</w:t>
            </w:r>
            <w:r>
              <w:rPr>
                <w:rFonts w:asciiTheme="minorHAnsi" w:hAnsiTheme="minorHAnsi" w:cstheme="minorBidi"/>
                <w:noProof/>
                <w:kern w:val="2"/>
                <w:sz w:val="24"/>
                <w:szCs w:val="24"/>
                <w14:ligatures w14:val="standardContextual"/>
              </w:rPr>
              <w:tab/>
            </w:r>
            <w:r w:rsidRPr="0003490B">
              <w:rPr>
                <w:rStyle w:val="Hyperlink"/>
                <w:noProof/>
              </w:rPr>
              <w:t>Projects D-1 and D-2</w:t>
            </w:r>
            <w:r>
              <w:rPr>
                <w:noProof/>
                <w:webHidden/>
              </w:rPr>
              <w:tab/>
            </w:r>
            <w:r>
              <w:rPr>
                <w:noProof/>
                <w:webHidden/>
              </w:rPr>
              <w:fldChar w:fldCharType="begin"/>
            </w:r>
            <w:r>
              <w:rPr>
                <w:noProof/>
                <w:webHidden/>
              </w:rPr>
              <w:instrText xml:space="preserve"> PAGEREF _Toc243476869 \h </w:instrText>
            </w:r>
            <w:r>
              <w:rPr>
                <w:noProof/>
                <w:webHidden/>
              </w:rPr>
            </w:r>
            <w:r>
              <w:rPr>
                <w:noProof/>
                <w:webHidden/>
              </w:rPr>
              <w:fldChar w:fldCharType="separate"/>
            </w:r>
            <w:r>
              <w:rPr>
                <w:noProof/>
                <w:webHidden/>
              </w:rPr>
              <w:t>18</w:t>
            </w:r>
            <w:r>
              <w:rPr>
                <w:noProof/>
                <w:webHidden/>
              </w:rPr>
              <w:fldChar w:fldCharType="end"/>
            </w:r>
          </w:hyperlink>
        </w:p>
        <w:p w:rsidR="00B1748C" w:rsidRDefault="00B1748C" w14:paraId="3D4E9E20" w14:textId="17A7AC47">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3476870">
            <w:r w:rsidRPr="0003490B">
              <w:rPr>
                <w:rStyle w:val="Hyperlink"/>
                <w:noProof/>
              </w:rPr>
              <w:t>3.3.3.</w:t>
            </w:r>
            <w:r>
              <w:rPr>
                <w:rFonts w:asciiTheme="minorHAnsi" w:hAnsiTheme="minorHAnsi" w:cstheme="minorBidi"/>
                <w:noProof/>
                <w:kern w:val="2"/>
                <w:sz w:val="24"/>
                <w:szCs w:val="24"/>
                <w14:ligatures w14:val="standardContextual"/>
              </w:rPr>
              <w:tab/>
            </w:r>
            <w:r w:rsidRPr="0003490B">
              <w:rPr>
                <w:rStyle w:val="Hyperlink"/>
                <w:noProof/>
              </w:rPr>
              <w:t>Project E</w:t>
            </w:r>
            <w:r>
              <w:rPr>
                <w:noProof/>
                <w:webHidden/>
              </w:rPr>
              <w:tab/>
            </w:r>
            <w:r>
              <w:rPr>
                <w:noProof/>
                <w:webHidden/>
              </w:rPr>
              <w:fldChar w:fldCharType="begin"/>
            </w:r>
            <w:r>
              <w:rPr>
                <w:noProof/>
                <w:webHidden/>
              </w:rPr>
              <w:instrText xml:space="preserve"> PAGEREF _Toc243476870 \h </w:instrText>
            </w:r>
            <w:r>
              <w:rPr>
                <w:noProof/>
                <w:webHidden/>
              </w:rPr>
            </w:r>
            <w:r>
              <w:rPr>
                <w:noProof/>
                <w:webHidden/>
              </w:rPr>
              <w:fldChar w:fldCharType="separate"/>
            </w:r>
            <w:r>
              <w:rPr>
                <w:noProof/>
                <w:webHidden/>
              </w:rPr>
              <w:t>20</w:t>
            </w:r>
            <w:r>
              <w:rPr>
                <w:noProof/>
                <w:webHidden/>
              </w:rPr>
              <w:fldChar w:fldCharType="end"/>
            </w:r>
          </w:hyperlink>
        </w:p>
        <w:p w:rsidR="00B1748C" w:rsidRDefault="00B1748C" w14:paraId="0C14FF7B" w14:textId="1A968A4F">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3476871">
            <w:r w:rsidRPr="0003490B">
              <w:rPr>
                <w:rStyle w:val="Hyperlink"/>
                <w:noProof/>
              </w:rPr>
              <w:t>3.3.4.</w:t>
            </w:r>
            <w:r>
              <w:rPr>
                <w:rFonts w:asciiTheme="minorHAnsi" w:hAnsiTheme="minorHAnsi" w:cstheme="minorBidi"/>
                <w:noProof/>
                <w:kern w:val="2"/>
                <w:sz w:val="24"/>
                <w:szCs w:val="24"/>
                <w14:ligatures w14:val="standardContextual"/>
              </w:rPr>
              <w:tab/>
            </w:r>
            <w:r w:rsidRPr="0003490B">
              <w:rPr>
                <w:rStyle w:val="Hyperlink"/>
                <w:noProof/>
              </w:rPr>
              <w:t>Projects G and H</w:t>
            </w:r>
            <w:r>
              <w:rPr>
                <w:noProof/>
                <w:webHidden/>
              </w:rPr>
              <w:tab/>
            </w:r>
            <w:r>
              <w:rPr>
                <w:noProof/>
                <w:webHidden/>
              </w:rPr>
              <w:fldChar w:fldCharType="begin"/>
            </w:r>
            <w:r>
              <w:rPr>
                <w:noProof/>
                <w:webHidden/>
              </w:rPr>
              <w:instrText xml:space="preserve"> PAGEREF _Toc243476871 \h </w:instrText>
            </w:r>
            <w:r>
              <w:rPr>
                <w:noProof/>
                <w:webHidden/>
              </w:rPr>
            </w:r>
            <w:r>
              <w:rPr>
                <w:noProof/>
                <w:webHidden/>
              </w:rPr>
              <w:fldChar w:fldCharType="separate"/>
            </w:r>
            <w:r>
              <w:rPr>
                <w:noProof/>
                <w:webHidden/>
              </w:rPr>
              <w:t>22</w:t>
            </w:r>
            <w:r>
              <w:rPr>
                <w:noProof/>
                <w:webHidden/>
              </w:rPr>
              <w:fldChar w:fldCharType="end"/>
            </w:r>
          </w:hyperlink>
        </w:p>
        <w:p w:rsidR="00B1748C" w:rsidRDefault="00B1748C" w14:paraId="1C99BA99" w14:textId="144B6C78">
          <w:pPr>
            <w:pStyle w:val="TOC1"/>
            <w:tabs>
              <w:tab w:val="right" w:leader="dot" w:pos="9350"/>
            </w:tabs>
            <w:rPr>
              <w:rFonts w:asciiTheme="minorHAnsi" w:hAnsiTheme="minorHAnsi" w:cstheme="minorBidi"/>
              <w:noProof/>
              <w:kern w:val="2"/>
              <w:sz w:val="24"/>
              <w:szCs w:val="24"/>
              <w14:ligatures w14:val="standardContextual"/>
            </w:rPr>
          </w:pPr>
          <w:hyperlink w:history="1" w:anchor="_Toc243476872">
            <w:r w:rsidRPr="0003490B">
              <w:rPr>
                <w:rStyle w:val="Hyperlink"/>
                <w:noProof/>
              </w:rPr>
              <w:t>4.</w:t>
            </w:r>
            <w:r>
              <w:rPr>
                <w:rFonts w:asciiTheme="minorHAnsi" w:hAnsiTheme="minorHAnsi" w:cstheme="minorBidi"/>
                <w:noProof/>
                <w:kern w:val="2"/>
                <w:sz w:val="24"/>
                <w:szCs w:val="24"/>
                <w14:ligatures w14:val="standardContextual"/>
              </w:rPr>
              <w:tab/>
            </w:r>
            <w:r w:rsidRPr="0003490B">
              <w:rPr>
                <w:rStyle w:val="Hyperlink"/>
                <w:noProof/>
              </w:rPr>
              <w:t>Compliance with All Requirements in D.22-09-026, Including an Update to Non-Residential Gas Line Extension Allowance Calculations</w:t>
            </w:r>
            <w:r>
              <w:rPr>
                <w:noProof/>
                <w:webHidden/>
              </w:rPr>
              <w:tab/>
            </w:r>
            <w:r>
              <w:rPr>
                <w:noProof/>
                <w:webHidden/>
              </w:rPr>
              <w:fldChar w:fldCharType="begin"/>
            </w:r>
            <w:r>
              <w:rPr>
                <w:noProof/>
                <w:webHidden/>
              </w:rPr>
              <w:instrText xml:space="preserve"> PAGEREF _Toc243476872 \h </w:instrText>
            </w:r>
            <w:r>
              <w:rPr>
                <w:noProof/>
                <w:webHidden/>
              </w:rPr>
            </w:r>
            <w:r>
              <w:rPr>
                <w:noProof/>
                <w:webHidden/>
              </w:rPr>
              <w:fldChar w:fldCharType="separate"/>
            </w:r>
            <w:r>
              <w:rPr>
                <w:noProof/>
                <w:webHidden/>
              </w:rPr>
              <w:t>24</w:t>
            </w:r>
            <w:r>
              <w:rPr>
                <w:noProof/>
                <w:webHidden/>
              </w:rPr>
              <w:fldChar w:fldCharType="end"/>
            </w:r>
          </w:hyperlink>
        </w:p>
        <w:p w:rsidR="00B1748C" w:rsidRDefault="00B1748C" w14:paraId="509839CD" w14:textId="33DB31F5">
          <w:pPr>
            <w:pStyle w:val="TOC1"/>
            <w:tabs>
              <w:tab w:val="right" w:leader="dot" w:pos="9350"/>
            </w:tabs>
            <w:rPr>
              <w:rFonts w:asciiTheme="minorHAnsi" w:hAnsiTheme="minorHAnsi" w:cstheme="minorBidi"/>
              <w:noProof/>
              <w:kern w:val="2"/>
              <w:sz w:val="24"/>
              <w:szCs w:val="24"/>
              <w14:ligatures w14:val="standardContextual"/>
            </w:rPr>
          </w:pPr>
          <w:hyperlink w:history="1" w:anchor="_Toc243476873">
            <w:r w:rsidRPr="0003490B">
              <w:rPr>
                <w:rStyle w:val="Hyperlink"/>
                <w:noProof/>
              </w:rPr>
              <w:t>5.</w:t>
            </w:r>
            <w:r>
              <w:rPr>
                <w:rFonts w:asciiTheme="minorHAnsi" w:hAnsiTheme="minorHAnsi" w:cstheme="minorBidi"/>
                <w:noProof/>
                <w:kern w:val="2"/>
                <w:sz w:val="24"/>
                <w:szCs w:val="24"/>
                <w14:ligatures w14:val="standardContextual"/>
              </w:rPr>
              <w:tab/>
            </w:r>
            <w:r w:rsidRPr="0003490B">
              <w:rPr>
                <w:rStyle w:val="Hyperlink"/>
                <w:noProof/>
              </w:rPr>
              <w:t>Proposed Clarifications to Tariff Rule Nos. 20 and 21</w:t>
            </w:r>
            <w:r>
              <w:rPr>
                <w:noProof/>
                <w:webHidden/>
              </w:rPr>
              <w:tab/>
            </w:r>
            <w:r>
              <w:rPr>
                <w:noProof/>
                <w:webHidden/>
              </w:rPr>
              <w:fldChar w:fldCharType="begin"/>
            </w:r>
            <w:r>
              <w:rPr>
                <w:noProof/>
                <w:webHidden/>
              </w:rPr>
              <w:instrText xml:space="preserve"> PAGEREF _Toc243476873 \h </w:instrText>
            </w:r>
            <w:r>
              <w:rPr>
                <w:noProof/>
                <w:webHidden/>
              </w:rPr>
            </w:r>
            <w:r>
              <w:rPr>
                <w:noProof/>
                <w:webHidden/>
              </w:rPr>
              <w:fldChar w:fldCharType="separate"/>
            </w:r>
            <w:r>
              <w:rPr>
                <w:noProof/>
                <w:webHidden/>
              </w:rPr>
              <w:t>26</w:t>
            </w:r>
            <w:r>
              <w:rPr>
                <w:noProof/>
                <w:webHidden/>
              </w:rPr>
              <w:fldChar w:fldCharType="end"/>
            </w:r>
          </w:hyperlink>
        </w:p>
        <w:p w:rsidR="00B1748C" w:rsidRDefault="00B1748C" w14:paraId="7AEE4C7A" w14:textId="6C6E2BD5">
          <w:pPr>
            <w:pStyle w:val="TOC1"/>
            <w:tabs>
              <w:tab w:val="right" w:leader="dot" w:pos="9350"/>
            </w:tabs>
            <w:rPr>
              <w:rFonts w:asciiTheme="minorHAnsi" w:hAnsiTheme="minorHAnsi" w:cstheme="minorBidi"/>
              <w:noProof/>
              <w:kern w:val="2"/>
              <w:sz w:val="24"/>
              <w:szCs w:val="24"/>
              <w14:ligatures w14:val="standardContextual"/>
            </w:rPr>
          </w:pPr>
          <w:hyperlink w:history="1" w:anchor="_Toc243476874">
            <w:r w:rsidRPr="0003490B">
              <w:rPr>
                <w:rStyle w:val="Hyperlink"/>
                <w:noProof/>
              </w:rPr>
              <w:t>6.</w:t>
            </w:r>
            <w:r>
              <w:rPr>
                <w:rFonts w:asciiTheme="minorHAnsi" w:hAnsiTheme="minorHAnsi" w:cstheme="minorBidi"/>
                <w:noProof/>
                <w:kern w:val="2"/>
                <w:sz w:val="24"/>
                <w:szCs w:val="24"/>
                <w14:ligatures w14:val="standardContextual"/>
              </w:rPr>
              <w:tab/>
            </w:r>
            <w:r w:rsidRPr="0003490B">
              <w:rPr>
                <w:rStyle w:val="Hyperlink"/>
                <w:noProof/>
              </w:rPr>
              <w:t>Creation of Balancing Account</w:t>
            </w:r>
            <w:r>
              <w:rPr>
                <w:noProof/>
                <w:webHidden/>
              </w:rPr>
              <w:tab/>
            </w:r>
            <w:r>
              <w:rPr>
                <w:noProof/>
                <w:webHidden/>
              </w:rPr>
              <w:fldChar w:fldCharType="begin"/>
            </w:r>
            <w:r>
              <w:rPr>
                <w:noProof/>
                <w:webHidden/>
              </w:rPr>
              <w:instrText xml:space="preserve"> PAGEREF _Toc243476874 \h </w:instrText>
            </w:r>
            <w:r>
              <w:rPr>
                <w:noProof/>
                <w:webHidden/>
              </w:rPr>
            </w:r>
            <w:r>
              <w:rPr>
                <w:noProof/>
                <w:webHidden/>
              </w:rPr>
              <w:fldChar w:fldCharType="separate"/>
            </w:r>
            <w:r>
              <w:rPr>
                <w:noProof/>
                <w:webHidden/>
              </w:rPr>
              <w:t>28</w:t>
            </w:r>
            <w:r>
              <w:rPr>
                <w:noProof/>
                <w:webHidden/>
              </w:rPr>
              <w:fldChar w:fldCharType="end"/>
            </w:r>
          </w:hyperlink>
        </w:p>
        <w:p w:rsidR="00B1748C" w:rsidRDefault="00B1748C" w14:paraId="22F8F0D0" w14:textId="332AC127">
          <w:pPr>
            <w:pStyle w:val="TOC2"/>
            <w:tabs>
              <w:tab w:val="right" w:leader="dot" w:pos="9350"/>
            </w:tabs>
            <w:rPr>
              <w:rFonts w:asciiTheme="minorHAnsi" w:hAnsiTheme="minorHAnsi" w:cstheme="minorBidi"/>
              <w:noProof/>
              <w:kern w:val="2"/>
              <w:sz w:val="24"/>
              <w:szCs w:val="24"/>
              <w14:ligatures w14:val="standardContextual"/>
            </w:rPr>
          </w:pPr>
          <w:hyperlink w:history="1" w:anchor="_Toc243476875">
            <w:r w:rsidRPr="0003490B">
              <w:rPr>
                <w:rStyle w:val="Hyperlink"/>
                <w:noProof/>
              </w:rPr>
              <w:t>6.1.</w:t>
            </w:r>
            <w:r>
              <w:rPr>
                <w:rFonts w:asciiTheme="minorHAnsi" w:hAnsiTheme="minorHAnsi" w:cstheme="minorBidi"/>
                <w:noProof/>
                <w:kern w:val="2"/>
                <w:sz w:val="24"/>
                <w:szCs w:val="24"/>
                <w14:ligatures w14:val="standardContextual"/>
              </w:rPr>
              <w:tab/>
            </w:r>
            <w:r w:rsidRPr="0003490B">
              <w:rPr>
                <w:rStyle w:val="Hyperlink"/>
                <w:noProof/>
              </w:rPr>
              <w:t>Parties’ Contentions</w:t>
            </w:r>
            <w:r>
              <w:rPr>
                <w:noProof/>
                <w:webHidden/>
              </w:rPr>
              <w:tab/>
            </w:r>
            <w:r>
              <w:rPr>
                <w:noProof/>
                <w:webHidden/>
              </w:rPr>
              <w:fldChar w:fldCharType="begin"/>
            </w:r>
            <w:r>
              <w:rPr>
                <w:noProof/>
                <w:webHidden/>
              </w:rPr>
              <w:instrText xml:space="preserve"> PAGEREF _Toc243476875 \h </w:instrText>
            </w:r>
            <w:r>
              <w:rPr>
                <w:noProof/>
                <w:webHidden/>
              </w:rPr>
            </w:r>
            <w:r>
              <w:rPr>
                <w:noProof/>
                <w:webHidden/>
              </w:rPr>
              <w:fldChar w:fldCharType="separate"/>
            </w:r>
            <w:r>
              <w:rPr>
                <w:noProof/>
                <w:webHidden/>
              </w:rPr>
              <w:t>28</w:t>
            </w:r>
            <w:r>
              <w:rPr>
                <w:noProof/>
                <w:webHidden/>
              </w:rPr>
              <w:fldChar w:fldCharType="end"/>
            </w:r>
          </w:hyperlink>
        </w:p>
        <w:p w:rsidR="00B1748C" w:rsidRDefault="00B1748C" w14:paraId="433B2538" w14:textId="70EE0CF1">
          <w:pPr>
            <w:pStyle w:val="TOC2"/>
            <w:tabs>
              <w:tab w:val="right" w:leader="dot" w:pos="9350"/>
            </w:tabs>
            <w:rPr>
              <w:rFonts w:asciiTheme="minorHAnsi" w:hAnsiTheme="minorHAnsi" w:cstheme="minorBidi"/>
              <w:noProof/>
              <w:kern w:val="2"/>
              <w:sz w:val="24"/>
              <w:szCs w:val="24"/>
              <w14:ligatures w14:val="standardContextual"/>
            </w:rPr>
          </w:pPr>
          <w:hyperlink w:history="1" w:anchor="_Toc243476876">
            <w:r w:rsidRPr="0003490B">
              <w:rPr>
                <w:rStyle w:val="Hyperlink"/>
                <w:noProof/>
              </w:rPr>
              <w:t>6.2.</w:t>
            </w:r>
            <w:r>
              <w:rPr>
                <w:rFonts w:asciiTheme="minorHAnsi" w:hAnsiTheme="minorHAnsi" w:cstheme="minorBidi"/>
                <w:noProof/>
                <w:kern w:val="2"/>
                <w:sz w:val="24"/>
                <w:szCs w:val="24"/>
                <w14:ligatures w14:val="standardContextual"/>
              </w:rPr>
              <w:tab/>
            </w:r>
            <w:r w:rsidRPr="0003490B">
              <w:rPr>
                <w:rStyle w:val="Hyperlink"/>
                <w:noProof/>
              </w:rPr>
              <w:t>Discussion</w:t>
            </w:r>
            <w:r>
              <w:rPr>
                <w:noProof/>
                <w:webHidden/>
              </w:rPr>
              <w:tab/>
            </w:r>
            <w:r>
              <w:rPr>
                <w:noProof/>
                <w:webHidden/>
              </w:rPr>
              <w:fldChar w:fldCharType="begin"/>
            </w:r>
            <w:r>
              <w:rPr>
                <w:noProof/>
                <w:webHidden/>
              </w:rPr>
              <w:instrText xml:space="preserve"> PAGEREF _Toc243476876 \h </w:instrText>
            </w:r>
            <w:r>
              <w:rPr>
                <w:noProof/>
                <w:webHidden/>
              </w:rPr>
            </w:r>
            <w:r>
              <w:rPr>
                <w:noProof/>
                <w:webHidden/>
              </w:rPr>
              <w:fldChar w:fldCharType="separate"/>
            </w:r>
            <w:r>
              <w:rPr>
                <w:noProof/>
                <w:webHidden/>
              </w:rPr>
              <w:t>30</w:t>
            </w:r>
            <w:r>
              <w:rPr>
                <w:noProof/>
                <w:webHidden/>
              </w:rPr>
              <w:fldChar w:fldCharType="end"/>
            </w:r>
          </w:hyperlink>
        </w:p>
        <w:p w:rsidR="00B1748C" w:rsidRDefault="00B1748C" w14:paraId="4F0F9E06" w14:textId="23521B74">
          <w:pPr>
            <w:pStyle w:val="TOC1"/>
            <w:tabs>
              <w:tab w:val="right" w:leader="dot" w:pos="9350"/>
            </w:tabs>
            <w:rPr>
              <w:rFonts w:asciiTheme="minorHAnsi" w:hAnsiTheme="minorHAnsi" w:cstheme="minorBidi"/>
              <w:noProof/>
              <w:kern w:val="2"/>
              <w:sz w:val="24"/>
              <w:szCs w:val="24"/>
              <w14:ligatures w14:val="standardContextual"/>
            </w:rPr>
          </w:pPr>
          <w:hyperlink w:history="1" w:anchor="_Toc243476877">
            <w:r w:rsidRPr="0003490B">
              <w:rPr>
                <w:rStyle w:val="Hyperlink"/>
                <w:noProof/>
              </w:rPr>
              <w:t>7.</w:t>
            </w:r>
            <w:r>
              <w:rPr>
                <w:rFonts w:asciiTheme="minorHAnsi" w:hAnsiTheme="minorHAnsi" w:cstheme="minorBidi"/>
                <w:noProof/>
                <w:kern w:val="2"/>
                <w:sz w:val="24"/>
                <w:szCs w:val="24"/>
                <w14:ligatures w14:val="standardContextual"/>
              </w:rPr>
              <w:tab/>
            </w:r>
            <w:r w:rsidRPr="0003490B">
              <w:rPr>
                <w:rStyle w:val="Hyperlink"/>
                <w:noProof/>
              </w:rPr>
              <w:t>Revenue Requirement</w:t>
            </w:r>
            <w:r>
              <w:rPr>
                <w:noProof/>
                <w:webHidden/>
              </w:rPr>
              <w:tab/>
            </w:r>
            <w:r>
              <w:rPr>
                <w:noProof/>
                <w:webHidden/>
              </w:rPr>
              <w:fldChar w:fldCharType="begin"/>
            </w:r>
            <w:r>
              <w:rPr>
                <w:noProof/>
                <w:webHidden/>
              </w:rPr>
              <w:instrText xml:space="preserve"> PAGEREF _Toc243476877 \h </w:instrText>
            </w:r>
            <w:r>
              <w:rPr>
                <w:noProof/>
                <w:webHidden/>
              </w:rPr>
            </w:r>
            <w:r>
              <w:rPr>
                <w:noProof/>
                <w:webHidden/>
              </w:rPr>
              <w:fldChar w:fldCharType="separate"/>
            </w:r>
            <w:r>
              <w:rPr>
                <w:noProof/>
                <w:webHidden/>
              </w:rPr>
              <w:t>32</w:t>
            </w:r>
            <w:r>
              <w:rPr>
                <w:noProof/>
                <w:webHidden/>
              </w:rPr>
              <w:fldChar w:fldCharType="end"/>
            </w:r>
          </w:hyperlink>
        </w:p>
        <w:p w:rsidR="00B1748C" w:rsidRDefault="00B1748C" w14:paraId="252E2D5D" w14:textId="6BAA46A7">
          <w:pPr>
            <w:pStyle w:val="TOC1"/>
            <w:tabs>
              <w:tab w:val="right" w:leader="dot" w:pos="9350"/>
            </w:tabs>
            <w:rPr>
              <w:rFonts w:asciiTheme="minorHAnsi" w:hAnsiTheme="minorHAnsi" w:cstheme="minorBidi"/>
              <w:noProof/>
              <w:kern w:val="2"/>
              <w:sz w:val="24"/>
              <w:szCs w:val="24"/>
              <w14:ligatures w14:val="standardContextual"/>
            </w:rPr>
          </w:pPr>
          <w:hyperlink w:history="1" w:anchor="_Toc243476878">
            <w:r w:rsidRPr="0003490B">
              <w:rPr>
                <w:rStyle w:val="Hyperlink"/>
                <w:noProof/>
              </w:rPr>
              <w:t>8.</w:t>
            </w:r>
            <w:r>
              <w:rPr>
                <w:rFonts w:asciiTheme="minorHAnsi" w:hAnsiTheme="minorHAnsi" w:cstheme="minorBidi"/>
                <w:noProof/>
                <w:kern w:val="2"/>
                <w:sz w:val="24"/>
                <w:szCs w:val="24"/>
                <w14:ligatures w14:val="standardContextual"/>
              </w:rPr>
              <w:tab/>
            </w:r>
            <w:r w:rsidRPr="0003490B">
              <w:rPr>
                <w:rStyle w:val="Hyperlink"/>
                <w:noProof/>
              </w:rPr>
              <w:t>Alignment with Commission’s Environmental and Social Justice Action Plan</w:t>
            </w:r>
            <w:r>
              <w:rPr>
                <w:noProof/>
                <w:webHidden/>
              </w:rPr>
              <w:tab/>
            </w:r>
            <w:r>
              <w:rPr>
                <w:noProof/>
                <w:webHidden/>
              </w:rPr>
              <w:fldChar w:fldCharType="begin"/>
            </w:r>
            <w:r>
              <w:rPr>
                <w:noProof/>
                <w:webHidden/>
              </w:rPr>
              <w:instrText xml:space="preserve"> PAGEREF _Toc243476878 \h </w:instrText>
            </w:r>
            <w:r>
              <w:rPr>
                <w:noProof/>
                <w:webHidden/>
              </w:rPr>
            </w:r>
            <w:r>
              <w:rPr>
                <w:noProof/>
                <w:webHidden/>
              </w:rPr>
              <w:fldChar w:fldCharType="separate"/>
            </w:r>
            <w:r>
              <w:rPr>
                <w:noProof/>
                <w:webHidden/>
              </w:rPr>
              <w:t>33</w:t>
            </w:r>
            <w:r>
              <w:rPr>
                <w:noProof/>
                <w:webHidden/>
              </w:rPr>
              <w:fldChar w:fldCharType="end"/>
            </w:r>
          </w:hyperlink>
        </w:p>
        <w:p w:rsidR="00B1748C" w:rsidRDefault="00B1748C" w14:paraId="778F12D0" w14:textId="1364363B">
          <w:pPr>
            <w:pStyle w:val="TOC2"/>
            <w:tabs>
              <w:tab w:val="right" w:leader="dot" w:pos="9350"/>
            </w:tabs>
            <w:rPr>
              <w:rFonts w:asciiTheme="minorHAnsi" w:hAnsiTheme="minorHAnsi" w:cstheme="minorBidi"/>
              <w:noProof/>
              <w:kern w:val="2"/>
              <w:sz w:val="24"/>
              <w:szCs w:val="24"/>
              <w14:ligatures w14:val="standardContextual"/>
            </w:rPr>
          </w:pPr>
          <w:hyperlink w:history="1" w:anchor="_Toc243476879">
            <w:r w:rsidRPr="0003490B">
              <w:rPr>
                <w:rStyle w:val="Hyperlink"/>
                <w:noProof/>
              </w:rPr>
              <w:t>8.1.</w:t>
            </w:r>
            <w:r>
              <w:rPr>
                <w:rFonts w:asciiTheme="minorHAnsi" w:hAnsiTheme="minorHAnsi" w:cstheme="minorBidi"/>
                <w:noProof/>
                <w:kern w:val="2"/>
                <w:sz w:val="24"/>
                <w:szCs w:val="24"/>
                <w14:ligatures w14:val="standardContextual"/>
              </w:rPr>
              <w:tab/>
            </w:r>
            <w:r w:rsidRPr="0003490B">
              <w:rPr>
                <w:rStyle w:val="Hyperlink"/>
                <w:noProof/>
              </w:rPr>
              <w:t>Parties’ Contentions</w:t>
            </w:r>
            <w:r>
              <w:rPr>
                <w:noProof/>
                <w:webHidden/>
              </w:rPr>
              <w:tab/>
            </w:r>
            <w:r>
              <w:rPr>
                <w:noProof/>
                <w:webHidden/>
              </w:rPr>
              <w:fldChar w:fldCharType="begin"/>
            </w:r>
            <w:r>
              <w:rPr>
                <w:noProof/>
                <w:webHidden/>
              </w:rPr>
              <w:instrText xml:space="preserve"> PAGEREF _Toc243476879 \h </w:instrText>
            </w:r>
            <w:r>
              <w:rPr>
                <w:noProof/>
                <w:webHidden/>
              </w:rPr>
            </w:r>
            <w:r>
              <w:rPr>
                <w:noProof/>
                <w:webHidden/>
              </w:rPr>
              <w:fldChar w:fldCharType="separate"/>
            </w:r>
            <w:r>
              <w:rPr>
                <w:noProof/>
                <w:webHidden/>
              </w:rPr>
              <w:t>33</w:t>
            </w:r>
            <w:r>
              <w:rPr>
                <w:noProof/>
                <w:webHidden/>
              </w:rPr>
              <w:fldChar w:fldCharType="end"/>
            </w:r>
          </w:hyperlink>
        </w:p>
        <w:p w:rsidR="00B1748C" w:rsidRDefault="00B1748C" w14:paraId="46D1A116" w14:textId="2411040F">
          <w:pPr>
            <w:pStyle w:val="TOC2"/>
            <w:tabs>
              <w:tab w:val="right" w:leader="dot" w:pos="9350"/>
            </w:tabs>
            <w:rPr>
              <w:rFonts w:asciiTheme="minorHAnsi" w:hAnsiTheme="minorHAnsi" w:cstheme="minorBidi"/>
              <w:noProof/>
              <w:kern w:val="2"/>
              <w:sz w:val="24"/>
              <w:szCs w:val="24"/>
              <w14:ligatures w14:val="standardContextual"/>
            </w:rPr>
          </w:pPr>
          <w:hyperlink w:history="1" w:anchor="_Toc243476880">
            <w:r w:rsidRPr="0003490B">
              <w:rPr>
                <w:rStyle w:val="Hyperlink"/>
                <w:noProof/>
              </w:rPr>
              <w:t>8.2.</w:t>
            </w:r>
            <w:r>
              <w:rPr>
                <w:rFonts w:asciiTheme="minorHAnsi" w:hAnsiTheme="minorHAnsi" w:cstheme="minorBidi"/>
                <w:noProof/>
                <w:kern w:val="2"/>
                <w:sz w:val="24"/>
                <w:szCs w:val="24"/>
                <w14:ligatures w14:val="standardContextual"/>
              </w:rPr>
              <w:tab/>
            </w:r>
            <w:r w:rsidRPr="0003490B">
              <w:rPr>
                <w:rStyle w:val="Hyperlink"/>
                <w:noProof/>
              </w:rPr>
              <w:t>Discussion</w:t>
            </w:r>
            <w:r>
              <w:rPr>
                <w:noProof/>
                <w:webHidden/>
              </w:rPr>
              <w:tab/>
            </w:r>
            <w:r>
              <w:rPr>
                <w:noProof/>
                <w:webHidden/>
              </w:rPr>
              <w:fldChar w:fldCharType="begin"/>
            </w:r>
            <w:r>
              <w:rPr>
                <w:noProof/>
                <w:webHidden/>
              </w:rPr>
              <w:instrText xml:space="preserve"> PAGEREF _Toc243476880 \h </w:instrText>
            </w:r>
            <w:r>
              <w:rPr>
                <w:noProof/>
                <w:webHidden/>
              </w:rPr>
            </w:r>
            <w:r>
              <w:rPr>
                <w:noProof/>
                <w:webHidden/>
              </w:rPr>
              <w:fldChar w:fldCharType="separate"/>
            </w:r>
            <w:r>
              <w:rPr>
                <w:noProof/>
                <w:webHidden/>
              </w:rPr>
              <w:t>34</w:t>
            </w:r>
            <w:r>
              <w:rPr>
                <w:noProof/>
                <w:webHidden/>
              </w:rPr>
              <w:fldChar w:fldCharType="end"/>
            </w:r>
          </w:hyperlink>
        </w:p>
        <w:p w:rsidR="00B1748C" w:rsidRDefault="00B1748C" w14:paraId="731D95A4" w14:textId="094CB08F">
          <w:pPr>
            <w:pStyle w:val="TOC1"/>
            <w:tabs>
              <w:tab w:val="right" w:leader="dot" w:pos="9350"/>
            </w:tabs>
            <w:rPr>
              <w:rFonts w:asciiTheme="minorHAnsi" w:hAnsiTheme="minorHAnsi" w:cstheme="minorBidi"/>
              <w:noProof/>
              <w:kern w:val="2"/>
              <w:sz w:val="24"/>
              <w:szCs w:val="24"/>
              <w14:ligatures w14:val="standardContextual"/>
            </w:rPr>
          </w:pPr>
          <w:hyperlink w:history="1" w:anchor="_Toc243476881">
            <w:r w:rsidRPr="0003490B">
              <w:rPr>
                <w:rStyle w:val="Hyperlink"/>
                <w:noProof/>
              </w:rPr>
              <w:t>9.</w:t>
            </w:r>
            <w:r>
              <w:rPr>
                <w:rFonts w:asciiTheme="minorHAnsi" w:hAnsiTheme="minorHAnsi" w:cstheme="minorBidi"/>
                <w:noProof/>
                <w:kern w:val="2"/>
                <w:sz w:val="24"/>
                <w:szCs w:val="24"/>
                <w14:ligatures w14:val="standardContextual"/>
              </w:rPr>
              <w:tab/>
            </w:r>
            <w:r w:rsidRPr="0003490B">
              <w:rPr>
                <w:rStyle w:val="Hyperlink"/>
                <w:noProof/>
              </w:rPr>
              <w:t>Summary of Public Comment</w:t>
            </w:r>
            <w:r>
              <w:rPr>
                <w:noProof/>
                <w:webHidden/>
              </w:rPr>
              <w:tab/>
            </w:r>
            <w:r>
              <w:rPr>
                <w:noProof/>
                <w:webHidden/>
              </w:rPr>
              <w:fldChar w:fldCharType="begin"/>
            </w:r>
            <w:r>
              <w:rPr>
                <w:noProof/>
                <w:webHidden/>
              </w:rPr>
              <w:instrText xml:space="preserve"> PAGEREF _Toc243476881 \h </w:instrText>
            </w:r>
            <w:r>
              <w:rPr>
                <w:noProof/>
                <w:webHidden/>
              </w:rPr>
            </w:r>
            <w:r>
              <w:rPr>
                <w:noProof/>
                <w:webHidden/>
              </w:rPr>
              <w:fldChar w:fldCharType="separate"/>
            </w:r>
            <w:r>
              <w:rPr>
                <w:noProof/>
                <w:webHidden/>
              </w:rPr>
              <w:t>35</w:t>
            </w:r>
            <w:r>
              <w:rPr>
                <w:noProof/>
                <w:webHidden/>
              </w:rPr>
              <w:fldChar w:fldCharType="end"/>
            </w:r>
          </w:hyperlink>
        </w:p>
        <w:p w:rsidR="00B1748C" w:rsidRDefault="00B1748C" w14:paraId="5102ADD0" w14:textId="45247686">
          <w:pPr>
            <w:pStyle w:val="TOC1"/>
            <w:tabs>
              <w:tab w:val="right" w:leader="dot" w:pos="9350"/>
            </w:tabs>
            <w:rPr>
              <w:rFonts w:asciiTheme="minorHAnsi" w:hAnsiTheme="minorHAnsi" w:cstheme="minorBidi"/>
              <w:noProof/>
              <w:kern w:val="2"/>
              <w:sz w:val="24"/>
              <w:szCs w:val="24"/>
              <w14:ligatures w14:val="standardContextual"/>
            </w:rPr>
          </w:pPr>
          <w:hyperlink w:history="1" w:anchor="_Toc243476882">
            <w:r w:rsidRPr="0003490B">
              <w:rPr>
                <w:rStyle w:val="Hyperlink"/>
                <w:noProof/>
              </w:rPr>
              <w:t>10.</w:t>
            </w:r>
            <w:r>
              <w:rPr>
                <w:rFonts w:asciiTheme="minorHAnsi" w:hAnsiTheme="minorHAnsi" w:cstheme="minorBidi"/>
                <w:noProof/>
                <w:kern w:val="2"/>
                <w:sz w:val="24"/>
                <w:szCs w:val="24"/>
                <w14:ligatures w14:val="standardContextual"/>
              </w:rPr>
              <w:tab/>
            </w:r>
            <w:r w:rsidRPr="0003490B">
              <w:rPr>
                <w:rStyle w:val="Hyperlink"/>
                <w:noProof/>
              </w:rPr>
              <w:t>Conclusion</w:t>
            </w:r>
            <w:r>
              <w:rPr>
                <w:noProof/>
                <w:webHidden/>
              </w:rPr>
              <w:tab/>
            </w:r>
            <w:r>
              <w:rPr>
                <w:noProof/>
                <w:webHidden/>
              </w:rPr>
              <w:fldChar w:fldCharType="begin"/>
            </w:r>
            <w:r>
              <w:rPr>
                <w:noProof/>
                <w:webHidden/>
              </w:rPr>
              <w:instrText xml:space="preserve"> PAGEREF _Toc243476882 \h </w:instrText>
            </w:r>
            <w:r>
              <w:rPr>
                <w:noProof/>
                <w:webHidden/>
              </w:rPr>
            </w:r>
            <w:r>
              <w:rPr>
                <w:noProof/>
                <w:webHidden/>
              </w:rPr>
              <w:fldChar w:fldCharType="separate"/>
            </w:r>
            <w:r>
              <w:rPr>
                <w:noProof/>
                <w:webHidden/>
              </w:rPr>
              <w:t>36</w:t>
            </w:r>
            <w:r>
              <w:rPr>
                <w:noProof/>
                <w:webHidden/>
              </w:rPr>
              <w:fldChar w:fldCharType="end"/>
            </w:r>
          </w:hyperlink>
        </w:p>
        <w:p w:rsidR="00B1748C" w:rsidRDefault="00B1748C" w14:paraId="6ED2DA81" w14:textId="19C7C95E">
          <w:pPr>
            <w:pStyle w:val="TOC1"/>
            <w:tabs>
              <w:tab w:val="right" w:leader="dot" w:pos="9350"/>
            </w:tabs>
            <w:rPr>
              <w:rFonts w:asciiTheme="minorHAnsi" w:hAnsiTheme="minorHAnsi" w:cstheme="minorBidi"/>
              <w:noProof/>
              <w:kern w:val="2"/>
              <w:sz w:val="24"/>
              <w:szCs w:val="24"/>
              <w14:ligatures w14:val="standardContextual"/>
            </w:rPr>
          </w:pPr>
          <w:hyperlink w:history="1" w:anchor="_Toc243476883">
            <w:r w:rsidRPr="0003490B">
              <w:rPr>
                <w:rStyle w:val="Hyperlink"/>
                <w:noProof/>
              </w:rPr>
              <w:t>11.</w:t>
            </w:r>
            <w:r>
              <w:rPr>
                <w:rFonts w:asciiTheme="minorHAnsi" w:hAnsiTheme="minorHAnsi" w:cstheme="minorBidi"/>
                <w:noProof/>
                <w:kern w:val="2"/>
                <w:sz w:val="24"/>
                <w:szCs w:val="24"/>
                <w14:ligatures w14:val="standardContextual"/>
              </w:rPr>
              <w:tab/>
            </w:r>
            <w:r w:rsidRPr="0003490B">
              <w:rPr>
                <w:rStyle w:val="Hyperlink"/>
                <w:noProof/>
              </w:rPr>
              <w:t>Procedural Matters</w:t>
            </w:r>
            <w:r>
              <w:rPr>
                <w:noProof/>
                <w:webHidden/>
              </w:rPr>
              <w:tab/>
            </w:r>
            <w:r>
              <w:rPr>
                <w:noProof/>
                <w:webHidden/>
              </w:rPr>
              <w:fldChar w:fldCharType="begin"/>
            </w:r>
            <w:r>
              <w:rPr>
                <w:noProof/>
                <w:webHidden/>
              </w:rPr>
              <w:instrText xml:space="preserve"> PAGEREF _Toc243476883 \h </w:instrText>
            </w:r>
            <w:r>
              <w:rPr>
                <w:noProof/>
                <w:webHidden/>
              </w:rPr>
            </w:r>
            <w:r>
              <w:rPr>
                <w:noProof/>
                <w:webHidden/>
              </w:rPr>
              <w:fldChar w:fldCharType="separate"/>
            </w:r>
            <w:r>
              <w:rPr>
                <w:noProof/>
                <w:webHidden/>
              </w:rPr>
              <w:t>36</w:t>
            </w:r>
            <w:r>
              <w:rPr>
                <w:noProof/>
                <w:webHidden/>
              </w:rPr>
              <w:fldChar w:fldCharType="end"/>
            </w:r>
          </w:hyperlink>
        </w:p>
        <w:p w:rsidR="00B1748C" w:rsidRDefault="00B1748C" w14:paraId="2A156DD1" w14:textId="24F43F66">
          <w:pPr>
            <w:pStyle w:val="TOC1"/>
            <w:tabs>
              <w:tab w:val="right" w:leader="dot" w:pos="9350"/>
            </w:tabs>
            <w:rPr>
              <w:rFonts w:asciiTheme="minorHAnsi" w:hAnsiTheme="minorHAnsi" w:cstheme="minorBidi"/>
              <w:noProof/>
              <w:kern w:val="2"/>
              <w:sz w:val="24"/>
              <w:szCs w:val="24"/>
              <w14:ligatures w14:val="standardContextual"/>
            </w:rPr>
          </w:pPr>
          <w:hyperlink w:history="1" w:anchor="_Toc243476884">
            <w:r w:rsidRPr="0003490B">
              <w:rPr>
                <w:rStyle w:val="Hyperlink"/>
                <w:noProof/>
              </w:rPr>
              <w:t>12.</w:t>
            </w:r>
            <w:r>
              <w:rPr>
                <w:rFonts w:asciiTheme="minorHAnsi" w:hAnsiTheme="minorHAnsi" w:cstheme="minorBidi"/>
                <w:noProof/>
                <w:kern w:val="2"/>
                <w:sz w:val="24"/>
                <w:szCs w:val="24"/>
                <w14:ligatures w14:val="standardContextual"/>
              </w:rPr>
              <w:tab/>
            </w:r>
            <w:r w:rsidRPr="0003490B">
              <w:rPr>
                <w:rStyle w:val="Hyperlink"/>
                <w:noProof/>
              </w:rPr>
              <w:t>Comments on Proposed Decision</w:t>
            </w:r>
            <w:r>
              <w:rPr>
                <w:noProof/>
                <w:webHidden/>
              </w:rPr>
              <w:tab/>
            </w:r>
            <w:r>
              <w:rPr>
                <w:noProof/>
                <w:webHidden/>
              </w:rPr>
              <w:fldChar w:fldCharType="begin"/>
            </w:r>
            <w:r>
              <w:rPr>
                <w:noProof/>
                <w:webHidden/>
              </w:rPr>
              <w:instrText xml:space="preserve"> PAGEREF _Toc243476884 \h </w:instrText>
            </w:r>
            <w:r>
              <w:rPr>
                <w:noProof/>
                <w:webHidden/>
              </w:rPr>
            </w:r>
            <w:r>
              <w:rPr>
                <w:noProof/>
                <w:webHidden/>
              </w:rPr>
              <w:fldChar w:fldCharType="separate"/>
            </w:r>
            <w:r>
              <w:rPr>
                <w:noProof/>
                <w:webHidden/>
              </w:rPr>
              <w:t>37</w:t>
            </w:r>
            <w:r>
              <w:rPr>
                <w:noProof/>
                <w:webHidden/>
              </w:rPr>
              <w:fldChar w:fldCharType="end"/>
            </w:r>
          </w:hyperlink>
        </w:p>
        <w:p w:rsidR="00B1748C" w:rsidRDefault="00B1748C" w14:paraId="1322B495" w14:textId="755D9AA8">
          <w:pPr>
            <w:pStyle w:val="TOC1"/>
            <w:tabs>
              <w:tab w:val="right" w:leader="dot" w:pos="9350"/>
            </w:tabs>
            <w:rPr>
              <w:rFonts w:asciiTheme="minorHAnsi" w:hAnsiTheme="minorHAnsi" w:cstheme="minorBidi"/>
              <w:noProof/>
              <w:kern w:val="2"/>
              <w:sz w:val="24"/>
              <w:szCs w:val="24"/>
              <w14:ligatures w14:val="standardContextual"/>
            </w:rPr>
          </w:pPr>
          <w:hyperlink w:history="1" w:anchor="_Toc243476885">
            <w:r w:rsidRPr="0003490B">
              <w:rPr>
                <w:rStyle w:val="Hyperlink"/>
                <w:noProof/>
              </w:rPr>
              <w:t>13.</w:t>
            </w:r>
            <w:r>
              <w:rPr>
                <w:rFonts w:asciiTheme="minorHAnsi" w:hAnsiTheme="minorHAnsi" w:cstheme="minorBidi"/>
                <w:noProof/>
                <w:kern w:val="2"/>
                <w:sz w:val="24"/>
                <w:szCs w:val="24"/>
                <w14:ligatures w14:val="standardContextual"/>
              </w:rPr>
              <w:tab/>
            </w:r>
            <w:r w:rsidRPr="0003490B">
              <w:rPr>
                <w:rStyle w:val="Hyperlink"/>
                <w:noProof/>
              </w:rPr>
              <w:t>Assignment of Proceeding</w:t>
            </w:r>
            <w:r>
              <w:rPr>
                <w:noProof/>
                <w:webHidden/>
              </w:rPr>
              <w:tab/>
            </w:r>
            <w:r>
              <w:rPr>
                <w:noProof/>
                <w:webHidden/>
              </w:rPr>
              <w:fldChar w:fldCharType="begin"/>
            </w:r>
            <w:r>
              <w:rPr>
                <w:noProof/>
                <w:webHidden/>
              </w:rPr>
              <w:instrText xml:space="preserve"> PAGEREF _Toc243476885 \h </w:instrText>
            </w:r>
            <w:r>
              <w:rPr>
                <w:noProof/>
                <w:webHidden/>
              </w:rPr>
            </w:r>
            <w:r>
              <w:rPr>
                <w:noProof/>
                <w:webHidden/>
              </w:rPr>
              <w:fldChar w:fldCharType="separate"/>
            </w:r>
            <w:r>
              <w:rPr>
                <w:noProof/>
                <w:webHidden/>
              </w:rPr>
              <w:t>39</w:t>
            </w:r>
            <w:r>
              <w:rPr>
                <w:noProof/>
                <w:webHidden/>
              </w:rPr>
              <w:fldChar w:fldCharType="end"/>
            </w:r>
          </w:hyperlink>
        </w:p>
        <w:p w:rsidR="00B1748C" w:rsidRDefault="00B1748C" w14:paraId="357680CF" w14:textId="4B0E4451">
          <w:pPr>
            <w:pStyle w:val="TOC1"/>
            <w:tabs>
              <w:tab w:val="right" w:leader="dot" w:pos="9350"/>
            </w:tabs>
            <w:rPr>
              <w:rFonts w:asciiTheme="minorHAnsi" w:hAnsiTheme="minorHAnsi" w:cstheme="minorBidi"/>
              <w:noProof/>
              <w:kern w:val="2"/>
              <w:sz w:val="24"/>
              <w:szCs w:val="24"/>
              <w14:ligatures w14:val="standardContextual"/>
            </w:rPr>
          </w:pPr>
          <w:hyperlink w:history="1" w:anchor="_Toc243476886">
            <w:r w:rsidRPr="0003490B">
              <w:rPr>
                <w:rStyle w:val="Hyperlink"/>
                <w:noProof/>
              </w:rPr>
              <w:t>Findings of Fact</w:t>
            </w:r>
            <w:r>
              <w:rPr>
                <w:noProof/>
                <w:webHidden/>
              </w:rPr>
              <w:tab/>
            </w:r>
            <w:r>
              <w:rPr>
                <w:noProof/>
                <w:webHidden/>
              </w:rPr>
              <w:fldChar w:fldCharType="begin"/>
            </w:r>
            <w:r>
              <w:rPr>
                <w:noProof/>
                <w:webHidden/>
              </w:rPr>
              <w:instrText xml:space="preserve"> PAGEREF _Toc243476886 \h </w:instrText>
            </w:r>
            <w:r>
              <w:rPr>
                <w:noProof/>
                <w:webHidden/>
              </w:rPr>
            </w:r>
            <w:r>
              <w:rPr>
                <w:noProof/>
                <w:webHidden/>
              </w:rPr>
              <w:fldChar w:fldCharType="separate"/>
            </w:r>
            <w:r>
              <w:rPr>
                <w:noProof/>
                <w:webHidden/>
              </w:rPr>
              <w:t>39</w:t>
            </w:r>
            <w:r>
              <w:rPr>
                <w:noProof/>
                <w:webHidden/>
              </w:rPr>
              <w:fldChar w:fldCharType="end"/>
            </w:r>
          </w:hyperlink>
        </w:p>
        <w:p w:rsidR="00B1748C" w:rsidRDefault="00B1748C" w14:paraId="1E386662" w14:textId="5D2897F7">
          <w:pPr>
            <w:pStyle w:val="TOC1"/>
            <w:tabs>
              <w:tab w:val="right" w:leader="dot" w:pos="9350"/>
            </w:tabs>
            <w:rPr>
              <w:rFonts w:asciiTheme="minorHAnsi" w:hAnsiTheme="minorHAnsi" w:cstheme="minorBidi"/>
              <w:noProof/>
              <w:kern w:val="2"/>
              <w:sz w:val="24"/>
              <w:szCs w:val="24"/>
              <w14:ligatures w14:val="standardContextual"/>
            </w:rPr>
          </w:pPr>
          <w:hyperlink w:history="1" w:anchor="_Toc243476887">
            <w:r w:rsidRPr="0003490B">
              <w:rPr>
                <w:rStyle w:val="Hyperlink"/>
                <w:noProof/>
              </w:rPr>
              <w:t>Conclusions of Law</w:t>
            </w:r>
            <w:r>
              <w:rPr>
                <w:noProof/>
                <w:webHidden/>
              </w:rPr>
              <w:tab/>
            </w:r>
            <w:r>
              <w:rPr>
                <w:noProof/>
                <w:webHidden/>
              </w:rPr>
              <w:fldChar w:fldCharType="begin"/>
            </w:r>
            <w:r>
              <w:rPr>
                <w:noProof/>
                <w:webHidden/>
              </w:rPr>
              <w:instrText xml:space="preserve"> PAGEREF _Toc243476887 \h </w:instrText>
            </w:r>
            <w:r>
              <w:rPr>
                <w:noProof/>
                <w:webHidden/>
              </w:rPr>
            </w:r>
            <w:r>
              <w:rPr>
                <w:noProof/>
                <w:webHidden/>
              </w:rPr>
              <w:fldChar w:fldCharType="separate"/>
            </w:r>
            <w:r>
              <w:rPr>
                <w:noProof/>
                <w:webHidden/>
              </w:rPr>
              <w:t>42</w:t>
            </w:r>
            <w:r>
              <w:rPr>
                <w:noProof/>
                <w:webHidden/>
              </w:rPr>
              <w:fldChar w:fldCharType="end"/>
            </w:r>
          </w:hyperlink>
        </w:p>
        <w:p w:rsidR="00B1748C" w:rsidRDefault="00B1748C" w14:paraId="74BC87A1" w14:textId="2B8C6680">
          <w:pPr>
            <w:pStyle w:val="TOC1"/>
            <w:tabs>
              <w:tab w:val="right" w:leader="dot" w:pos="9350"/>
            </w:tabs>
            <w:rPr>
              <w:rFonts w:asciiTheme="minorHAnsi" w:hAnsiTheme="minorHAnsi" w:cstheme="minorBidi"/>
              <w:noProof/>
              <w:kern w:val="2"/>
              <w:sz w:val="24"/>
              <w:szCs w:val="24"/>
              <w14:ligatures w14:val="standardContextual"/>
            </w:rPr>
          </w:pPr>
          <w:hyperlink w:history="1" w:anchor="_Toc243476888">
            <w:r w:rsidRPr="0003490B">
              <w:rPr>
                <w:rStyle w:val="Hyperlink"/>
                <w:noProof/>
              </w:rPr>
              <w:t>ORDER</w:t>
            </w:r>
            <w:r>
              <w:rPr>
                <w:noProof/>
                <w:webHidden/>
              </w:rPr>
              <w:tab/>
            </w:r>
            <w:r>
              <w:rPr>
                <w:noProof/>
                <w:webHidden/>
              </w:rPr>
              <w:fldChar w:fldCharType="begin"/>
            </w:r>
            <w:r>
              <w:rPr>
                <w:noProof/>
                <w:webHidden/>
              </w:rPr>
              <w:instrText xml:space="preserve"> PAGEREF _Toc243476888 \h </w:instrText>
            </w:r>
            <w:r>
              <w:rPr>
                <w:noProof/>
                <w:webHidden/>
              </w:rPr>
            </w:r>
            <w:r>
              <w:rPr>
                <w:noProof/>
                <w:webHidden/>
              </w:rPr>
              <w:fldChar w:fldCharType="separate"/>
            </w:r>
            <w:r>
              <w:rPr>
                <w:noProof/>
                <w:webHidden/>
              </w:rPr>
              <w:t>44</w:t>
            </w:r>
            <w:r>
              <w:rPr>
                <w:noProof/>
                <w:webHidden/>
              </w:rPr>
              <w:fldChar w:fldCharType="end"/>
            </w:r>
          </w:hyperlink>
        </w:p>
        <w:p w:rsidR="00D82A43" w:rsidP="008C7413" w:rsidRDefault="008C7413" w14:paraId="257718F1" w14:textId="25D7CC60">
          <w:pPr>
            <w:pStyle w:val="TOC1"/>
            <w:tabs>
              <w:tab w:val="right" w:leader="dot" w:pos="9350"/>
            </w:tabs>
          </w:pPr>
          <w:r>
            <w:rPr>
              <w:rFonts w:asciiTheme="minorHAnsi" w:hAnsiTheme="minorHAnsi"/>
              <w:sz w:val="22"/>
            </w:rPr>
            <w:fldChar w:fldCharType="end"/>
          </w:r>
        </w:p>
      </w:sdtContent>
    </w:sdt>
    <w:p w:rsidRPr="00D44DB6" w:rsidR="00D44DB6" w:rsidP="00D44DB6" w:rsidRDefault="00D44DB6" w14:paraId="30DEAEE1" w14:textId="62846E75">
      <w:pPr>
        <w:spacing w:line="240" w:lineRule="auto"/>
        <w:ind w:firstLine="0"/>
        <w:rPr>
          <w:rFonts w:cs="Arial"/>
          <w:i/>
          <w:szCs w:val="26"/>
        </w:rPr>
        <w:sectPr w:rsidRPr="00D44DB6" w:rsidR="00D44DB6" w:rsidSect="00D44DB6">
          <w:headerReference w:type="default" r:id="rId17"/>
          <w:footerReference w:type="default" r:id="rId18"/>
          <w:pgSz w:w="12240" w:h="15840"/>
          <w:pgMar w:top="1728" w:right="1440" w:bottom="1440" w:left="1440" w:header="720" w:footer="720" w:gutter="0"/>
          <w:pgNumType w:fmt="lowerRoman" w:start="1"/>
          <w:cols w:space="720"/>
          <w:docGrid w:linePitch="360"/>
        </w:sectPr>
      </w:pPr>
    </w:p>
    <w:p w:rsidR="0098655A" w:rsidP="00360E67" w:rsidRDefault="008C510D" w14:paraId="69E7BC09" w14:textId="7375AC0E">
      <w:pPr>
        <w:pStyle w:val="Main"/>
        <w:spacing w:after="120"/>
      </w:pPr>
      <w:r w:rsidRPr="002E3F7B">
        <w:lastRenderedPageBreak/>
        <w:t>DECISION GRANTING application IN PART AND DENYING APPLICATION IN PART</w:t>
      </w:r>
    </w:p>
    <w:p w:rsidR="005A148C" w:rsidP="005A148C" w:rsidRDefault="005A148C" w14:paraId="7A259E5A" w14:textId="77777777">
      <w:pPr>
        <w:pStyle w:val="Dummy"/>
      </w:pPr>
      <w:bookmarkStart w:name="_Toc8123714" w:id="2"/>
      <w:bookmarkStart w:name="_Toc243318771" w:id="3"/>
      <w:bookmarkStart w:name="_Toc243476851" w:id="4"/>
      <w:r>
        <w:t>Summary</w:t>
      </w:r>
      <w:bookmarkEnd w:id="2"/>
      <w:bookmarkEnd w:id="3"/>
      <w:bookmarkEnd w:id="4"/>
    </w:p>
    <w:p w:rsidR="00693052" w:rsidP="00693052" w:rsidRDefault="005A148C" w14:paraId="1038D0EB" w14:textId="247B0BF6">
      <w:pPr>
        <w:pStyle w:val="Standard"/>
      </w:pPr>
      <w:r>
        <w:t>Th</w:t>
      </w:r>
      <w:r w:rsidR="009A0809">
        <w:t xml:space="preserve">is </w:t>
      </w:r>
      <w:r w:rsidRPr="002E3F7B" w:rsidR="009A0809">
        <w:t>decision grants in part and denies in part the</w:t>
      </w:r>
      <w:r w:rsidR="009A0809">
        <w:t xml:space="preserve"> </w:t>
      </w:r>
      <w:r w:rsidR="00620C6E">
        <w:t>application of Southern California Gas Company</w:t>
      </w:r>
      <w:r w:rsidR="003C293B">
        <w:t xml:space="preserve"> (</w:t>
      </w:r>
      <w:r w:rsidR="005B1F7B">
        <w:t>SoCalGas)</w:t>
      </w:r>
      <w:r w:rsidR="003C293B">
        <w:t xml:space="preserve"> on behalf of its customers, for approval of gas line extension </w:t>
      </w:r>
      <w:r w:rsidRPr="00D3641B" w:rsidR="003C293B">
        <w:t xml:space="preserve">allowances. </w:t>
      </w:r>
      <w:r w:rsidRPr="00D3641B" w:rsidR="00025649">
        <w:t>This decisi</w:t>
      </w:r>
      <w:r w:rsidRPr="00D3641B" w:rsidR="00005025">
        <w:t xml:space="preserve">on also </w:t>
      </w:r>
      <w:r w:rsidRPr="00D3641B" w:rsidR="004B1E77">
        <w:t>approves SoCalGas’ request</w:t>
      </w:r>
      <w:r w:rsidRPr="00D3641B" w:rsidR="00960166">
        <w:t xml:space="preserve"> to </w:t>
      </w:r>
      <w:r w:rsidRPr="00D3641B" w:rsidR="00D92E1B">
        <w:t>revise Tariff Rule</w:t>
      </w:r>
      <w:r w:rsidRPr="00D3641B" w:rsidR="0049027B">
        <w:t xml:space="preserve"> Nos. 20 and 21, SoCalGas’ update to the non-residential gas line extension allowance multiplier of 3.1, </w:t>
      </w:r>
      <w:r w:rsidRPr="00D3641B" w:rsidR="00D25A95">
        <w:t>a</w:t>
      </w:r>
      <w:r w:rsidRPr="00D3641B" w:rsidR="00BA07D3">
        <w:t xml:space="preserve">nd </w:t>
      </w:r>
      <w:r w:rsidRPr="00D3641B" w:rsidR="0018476E">
        <w:t xml:space="preserve">SoCalGas’ request to establish a two-way balancing account </w:t>
      </w:r>
      <w:r w:rsidRPr="00D3641B" w:rsidR="00F53543">
        <w:t>to track costs associated with approved gas line extension allowances.</w:t>
      </w:r>
      <w:r w:rsidRPr="00D3641B" w:rsidR="00D3641B">
        <w:t xml:space="preserve"> Finally</w:t>
      </w:r>
      <w:r w:rsidR="00D3641B">
        <w:t xml:space="preserve">, this decision approves the calculation of SoCalGas’ forecasted revenue requirement, but directs SoCalGas to update its revenue requirement calculations to account for the fact that only </w:t>
      </w:r>
      <w:r w:rsidR="00261AFD">
        <w:t>four</w:t>
      </w:r>
      <w:r w:rsidR="00D3641B">
        <w:t xml:space="preserve"> of the original nine projects are approved by this decision.</w:t>
      </w:r>
    </w:p>
    <w:p w:rsidR="0073353F" w:rsidP="006E6574" w:rsidRDefault="00684771" w14:paraId="779C1B91" w14:textId="5A8D00C1">
      <w:pPr>
        <w:pStyle w:val="Standard"/>
      </w:pPr>
      <w:r>
        <w:t>Application 25-07-001 is closed.</w:t>
      </w:r>
    </w:p>
    <w:p w:rsidR="002C7FE9" w:rsidP="00D25CD2" w:rsidRDefault="00C24EBB" w14:paraId="6E583DEE" w14:textId="1E2BD024">
      <w:pPr>
        <w:pStyle w:val="Heading1"/>
        <w:numPr>
          <w:ilvl w:val="0"/>
          <w:numId w:val="1"/>
        </w:numPr>
      </w:pPr>
      <w:bookmarkStart w:name="_Toc8123715" w:id="5"/>
      <w:bookmarkStart w:name="_Toc243318772" w:id="6"/>
      <w:bookmarkStart w:name="_Toc243476852" w:id="7"/>
      <w:r>
        <w:t>Factual and Pr</w:t>
      </w:r>
      <w:r w:rsidR="0006247C">
        <w:t xml:space="preserve">ocedural </w:t>
      </w:r>
      <w:r w:rsidRPr="00121089" w:rsidR="002C7FE9">
        <w:t>Background</w:t>
      </w:r>
      <w:bookmarkEnd w:id="5"/>
      <w:bookmarkEnd w:id="6"/>
      <w:bookmarkEnd w:id="7"/>
    </w:p>
    <w:p w:rsidR="0063491C" w:rsidP="0063491C" w:rsidRDefault="0006247C" w14:paraId="4A4CBD69" w14:textId="7FB2AAF8">
      <w:pPr>
        <w:pStyle w:val="Heading2"/>
      </w:pPr>
      <w:bookmarkStart w:name="_Toc243318773" w:id="8"/>
      <w:bookmarkStart w:name="_Toc243476853" w:id="9"/>
      <w:r>
        <w:t>D</w:t>
      </w:r>
      <w:r w:rsidR="00D95769">
        <w:t>ecision 22-09-026</w:t>
      </w:r>
      <w:bookmarkEnd w:id="8"/>
      <w:bookmarkEnd w:id="9"/>
    </w:p>
    <w:p w:rsidR="0063491C" w:rsidP="006E6574" w:rsidRDefault="00822881" w14:paraId="7D0B38FC" w14:textId="5851BC8D">
      <w:pPr>
        <w:pStyle w:val="Standard"/>
      </w:pPr>
      <w:r>
        <w:t xml:space="preserve">California Public Utilities </w:t>
      </w:r>
      <w:r w:rsidR="00242168">
        <w:t>Commission</w:t>
      </w:r>
      <w:r>
        <w:t xml:space="preserve"> (Commission)</w:t>
      </w:r>
      <w:r w:rsidR="00242168">
        <w:t xml:space="preserve"> </w:t>
      </w:r>
      <w:r w:rsidR="009903C1">
        <w:t>Decision (D</w:t>
      </w:r>
      <w:r w:rsidR="0063491C">
        <w:t>.</w:t>
      </w:r>
      <w:r w:rsidR="009903C1">
        <w:t xml:space="preserve">) </w:t>
      </w:r>
      <w:r w:rsidR="00242168">
        <w:t>22-09-026 eliminated gas line extension allowances</w:t>
      </w:r>
      <w:r w:rsidR="00F23211">
        <w:t xml:space="preserve"> for all customers </w:t>
      </w:r>
      <w:r w:rsidR="00791ECA">
        <w:t xml:space="preserve">in all customer classes effective July 1, 2023, as a part of the Commission’s rulemaking to support </w:t>
      </w:r>
      <w:r w:rsidR="00A371E8">
        <w:t xml:space="preserve">the decarbonization of buildings in California. </w:t>
      </w:r>
      <w:r w:rsidR="00605CC5">
        <w:t>The decision also established an application process</w:t>
      </w:r>
      <w:r w:rsidR="00506408">
        <w:t xml:space="preserve"> for specific, unique</w:t>
      </w:r>
      <w:r w:rsidR="0080352C">
        <w:t>,</w:t>
      </w:r>
      <w:r w:rsidR="00506408">
        <w:t xml:space="preserve"> non-residential projects where a gas line </w:t>
      </w:r>
      <w:r w:rsidR="00C079D2">
        <w:t>extension allowance</w:t>
      </w:r>
      <w:r w:rsidR="00506408">
        <w:t xml:space="preserve"> may still be warranted.</w:t>
      </w:r>
      <w:r w:rsidR="003D5DD2">
        <w:rPr>
          <w:rStyle w:val="FootnoteReference"/>
        </w:rPr>
        <w:footnoteReference w:id="2"/>
      </w:r>
      <w:r w:rsidR="00506408">
        <w:t xml:space="preserve"> </w:t>
      </w:r>
      <w:r w:rsidR="00D95E4F">
        <w:t xml:space="preserve">As a part of this application process, </w:t>
      </w:r>
      <w:r w:rsidR="00D72F97">
        <w:t>D.22-09-026 direct</w:t>
      </w:r>
      <w:r w:rsidR="005B1F7B">
        <w:t>s</w:t>
      </w:r>
      <w:r w:rsidR="00D72F97">
        <w:t xml:space="preserve"> </w:t>
      </w:r>
      <w:r w:rsidR="00D95E4F">
        <w:t xml:space="preserve">the investor owned utilities to file an annual application by July </w:t>
      </w:r>
      <w:r w:rsidR="003D5DD2">
        <w:t>1 of each year</w:t>
      </w:r>
      <w:r w:rsidR="00A019E2">
        <w:t xml:space="preserve"> that include</w:t>
      </w:r>
      <w:r w:rsidR="005B1F7B">
        <w:t>s</w:t>
      </w:r>
      <w:r w:rsidR="003D5DD2">
        <w:t xml:space="preserve"> all projects requesting a gas line </w:t>
      </w:r>
      <w:r w:rsidR="00B36866">
        <w:t>extension allowance</w:t>
      </w:r>
      <w:r w:rsidR="00D72F97">
        <w:t xml:space="preserve"> that me</w:t>
      </w:r>
      <w:r w:rsidR="005B1F7B">
        <w:t>e</w:t>
      </w:r>
      <w:r w:rsidR="00D72F97">
        <w:t>t the requirements set forth in the decision</w:t>
      </w:r>
      <w:r w:rsidR="003D5DD2">
        <w:t>.</w:t>
      </w:r>
    </w:p>
    <w:p w:rsidR="0063491C" w:rsidP="0063491C" w:rsidRDefault="005B1F7B" w14:paraId="32962591" w14:textId="72D7689B">
      <w:pPr>
        <w:pStyle w:val="Heading2"/>
      </w:pPr>
      <w:bookmarkStart w:name="_Toc243318774" w:id="10"/>
      <w:bookmarkStart w:name="_Toc243476854" w:id="11"/>
      <w:r>
        <w:lastRenderedPageBreak/>
        <w:t xml:space="preserve">SoCalGas’ </w:t>
      </w:r>
      <w:r w:rsidR="00D25CD2">
        <w:t>Application</w:t>
      </w:r>
      <w:bookmarkEnd w:id="10"/>
      <w:bookmarkEnd w:id="11"/>
    </w:p>
    <w:p w:rsidR="00EE3060" w:rsidP="006E6574" w:rsidRDefault="00AA372F" w14:paraId="452BF5A1" w14:textId="1F86A8B9">
      <w:pPr>
        <w:pStyle w:val="Standard"/>
      </w:pPr>
      <w:r>
        <w:t xml:space="preserve">On July 1, 2025, </w:t>
      </w:r>
      <w:r w:rsidR="00861770">
        <w:t>So</w:t>
      </w:r>
      <w:r w:rsidR="005B1F7B">
        <w:t>u</w:t>
      </w:r>
      <w:r w:rsidR="00861770">
        <w:t xml:space="preserve">thern California Gas Company (SoCalGas) </w:t>
      </w:r>
      <w:r w:rsidR="00354775">
        <w:t xml:space="preserve">filed the instant application on behalf of its customers, requesting approval </w:t>
      </w:r>
      <w:r w:rsidR="007146D6">
        <w:t>for (1) gas line extension allowances for nine renewable natural gas refueling station projects, (2) an update to the non-residential gas line extension allowance multiplier of 3.1, and (3) updates to SoCalGass</w:t>
      </w:r>
      <w:r w:rsidR="00641070">
        <w:t>’</w:t>
      </w:r>
      <w:r w:rsidR="007146D6">
        <w:t xml:space="preserve"> Tariff Rule Nos. 20 and 21 to clarify advanced payments.</w:t>
      </w:r>
      <w:r w:rsidR="00456EC5">
        <w:t xml:space="preserve"> In addition, </w:t>
      </w:r>
      <w:r w:rsidR="009A2EE7">
        <w:t>SoCalGas requested authorization to create a new Gas Line Extension Allowance Balancing Account</w:t>
      </w:r>
      <w:r w:rsidR="005C5B35">
        <w:t xml:space="preserve"> </w:t>
      </w:r>
      <w:r w:rsidR="009A2EE7">
        <w:t xml:space="preserve">to record </w:t>
      </w:r>
      <w:r w:rsidR="005817EC">
        <w:t>the actual re</w:t>
      </w:r>
      <w:r w:rsidR="00747926">
        <w:t>venue requirement for recovery in rates.</w:t>
      </w:r>
    </w:p>
    <w:p w:rsidR="00747926" w:rsidP="006E6574" w:rsidRDefault="00841D4A" w14:paraId="1AC52049" w14:textId="1FF985B2">
      <w:pPr>
        <w:pStyle w:val="Standard"/>
      </w:pPr>
      <w:r>
        <w:t xml:space="preserve">The application estimates the </w:t>
      </w:r>
      <w:r w:rsidR="008024A5">
        <w:t xml:space="preserve">gas line extension allowances for the nine customer projects total approximately $6.656 million. </w:t>
      </w:r>
      <w:r w:rsidR="00A4048A">
        <w:t>Under SoCalGas’ proposal, f</w:t>
      </w:r>
      <w:r w:rsidR="008024A5">
        <w:t>ollowing a three-year</w:t>
      </w:r>
      <w:r w:rsidR="00CF25F5">
        <w:t xml:space="preserve"> post-installation</w:t>
      </w:r>
      <w:r w:rsidR="008024A5">
        <w:t xml:space="preserve"> true-up period for each customer project</w:t>
      </w:r>
      <w:r w:rsidR="00C22B40">
        <w:t xml:space="preserve"> during which actual customer usage is measured, the allowable gas line extension allowance amount will be finalized</w:t>
      </w:r>
      <w:r w:rsidR="003C1A65">
        <w:t xml:space="preserve"> and paid to the customer</w:t>
      </w:r>
      <w:r w:rsidR="00A4048A">
        <w:t>.</w:t>
      </w:r>
      <w:r w:rsidR="008024A5">
        <w:t xml:space="preserve"> </w:t>
      </w:r>
      <w:r w:rsidR="001B7EB4">
        <w:t xml:space="preserve">The actual revenue requirement will then be recorded </w:t>
      </w:r>
      <w:r w:rsidR="005B1F7B">
        <w:t>in</w:t>
      </w:r>
      <w:r w:rsidR="001B7EB4">
        <w:t xml:space="preserve"> the </w:t>
      </w:r>
      <w:r w:rsidR="00BC6685">
        <w:t>new balancing account</w:t>
      </w:r>
      <w:r w:rsidR="003C1A65">
        <w:t xml:space="preserve"> </w:t>
      </w:r>
      <w:r w:rsidR="004C21F0">
        <w:t xml:space="preserve">and </w:t>
      </w:r>
      <w:r w:rsidR="0013113A">
        <w:t xml:space="preserve">SoCalGas would </w:t>
      </w:r>
      <w:r w:rsidR="004C21F0">
        <w:t>seek recovery through an advice letter</w:t>
      </w:r>
      <w:r w:rsidR="008024A5">
        <w:t>. The total forecasted revenue requirement for the nine</w:t>
      </w:r>
      <w:r w:rsidR="004C287F">
        <w:t xml:space="preserve"> original</w:t>
      </w:r>
      <w:r w:rsidR="008024A5">
        <w:t xml:space="preserve"> customer projects’ allowances is $14.9 million over the useful life of the assets.</w:t>
      </w:r>
    </w:p>
    <w:p w:rsidR="00DE228A" w:rsidP="006E6574" w:rsidRDefault="009070DE" w14:paraId="4AF022BA" w14:textId="7DE08550">
      <w:pPr>
        <w:pStyle w:val="Standard"/>
      </w:pPr>
      <w:r>
        <w:t xml:space="preserve">Following SoCalGas’ submission of the application, </w:t>
      </w:r>
      <w:r w:rsidR="008A2BE9">
        <w:t>three</w:t>
      </w:r>
      <w:r>
        <w:t xml:space="preserve"> of the nine original projects (Projects </w:t>
      </w:r>
      <w:r w:rsidR="008A2BE9">
        <w:t xml:space="preserve">A, </w:t>
      </w:r>
      <w:r>
        <w:t xml:space="preserve">C and F) withdrew their applications, leaving </w:t>
      </w:r>
      <w:r w:rsidR="00BF10DF">
        <w:t>six</w:t>
      </w:r>
      <w:r>
        <w:t xml:space="preserve"> proposed projects remaining.</w:t>
      </w:r>
      <w:r w:rsidR="00234102">
        <w:rPr>
          <w:rStyle w:val="FootnoteReference"/>
        </w:rPr>
        <w:footnoteReference w:id="3"/>
      </w:r>
    </w:p>
    <w:p w:rsidR="00C52A88" w:rsidP="00C52A88" w:rsidRDefault="00C52A88" w14:paraId="4A543CA3" w14:textId="4C30AF3A">
      <w:pPr>
        <w:pStyle w:val="xstandard"/>
      </w:pPr>
      <w:r>
        <w:lastRenderedPageBreak/>
        <w:t xml:space="preserve">On August 4, 2025, the Public Advocates Office </w:t>
      </w:r>
      <w:r w:rsidR="005B1F7B">
        <w:t xml:space="preserve">at the Commission </w:t>
      </w:r>
      <w:r>
        <w:t xml:space="preserve">(Cal Advocates) and Sierra Club both filed timely protests to SoCalGas’ application. On August 14, 2025, SoCalGas filed a timely reply to the protests. </w:t>
      </w:r>
    </w:p>
    <w:p w:rsidR="00C52A88" w:rsidP="00C52A88" w:rsidRDefault="00C52A88" w14:paraId="61671317" w14:textId="052566EF">
      <w:pPr>
        <w:pStyle w:val="Standard"/>
      </w:pPr>
      <w:r>
        <w:t>A pre</w:t>
      </w:r>
      <w:r w:rsidR="0046386A">
        <w:t>-</w:t>
      </w:r>
      <w:r>
        <w:t>hearing conference was held on September 4, 2025</w:t>
      </w:r>
      <w:r w:rsidR="000C32ED">
        <w:t xml:space="preserve">. Following the pre-hearing conference, on October 14, 2025, the </w:t>
      </w:r>
      <w:r w:rsidR="00E64B17">
        <w:t>A</w:t>
      </w:r>
      <w:r w:rsidR="000C32ED">
        <w:t xml:space="preserve">ssigned </w:t>
      </w:r>
      <w:r w:rsidR="00E64B17">
        <w:t>C</w:t>
      </w:r>
      <w:r w:rsidR="000C32ED">
        <w:t>ommissioner’s Scoping Memo and Ruling</w:t>
      </w:r>
      <w:r w:rsidR="00E64B17">
        <w:t xml:space="preserve"> </w:t>
      </w:r>
      <w:r w:rsidR="000C32ED">
        <w:t xml:space="preserve">was filed, which </w:t>
      </w:r>
      <w:r w:rsidR="00A65FBF">
        <w:t>adopted the scope for the proceeding and set forth a schedule for the proceeding</w:t>
      </w:r>
      <w:r>
        <w:t>.</w:t>
      </w:r>
      <w:r w:rsidR="00E64B17">
        <w:t xml:space="preserve"> </w:t>
      </w:r>
    </w:p>
    <w:p w:rsidR="007114DC" w:rsidP="00C52A88" w:rsidRDefault="00F50894" w14:paraId="46F04F7E" w14:textId="6F8149AB">
      <w:pPr>
        <w:pStyle w:val="Standard"/>
      </w:pPr>
      <w:r>
        <w:t xml:space="preserve">On November 14, 2025, </w:t>
      </w:r>
      <w:r w:rsidR="00073945">
        <w:t>Cal Advocates and Sierra Club both served opening testimony.</w:t>
      </w:r>
    </w:p>
    <w:p w:rsidR="00073945" w:rsidP="00C52A88" w:rsidRDefault="00073945" w14:paraId="2B17A997" w14:textId="080926E3">
      <w:pPr>
        <w:pStyle w:val="Standard"/>
      </w:pPr>
      <w:r>
        <w:t>On December 17, 2025, SoCalGas served rebuttal testimony.</w:t>
      </w:r>
    </w:p>
    <w:p w:rsidR="00737AFB" w:rsidP="00737AFB" w:rsidRDefault="00003C46" w14:paraId="24C0BD98" w14:textId="234DECBD">
      <w:pPr>
        <w:pStyle w:val="Standard"/>
      </w:pPr>
      <w:r>
        <w:t xml:space="preserve">On January 21, 2026, </w:t>
      </w:r>
      <w:r w:rsidR="00156356">
        <w:t xml:space="preserve">after no requests for evidentiary hearings were filed, the assigned Administrative Law Judge (ALJ) </w:t>
      </w:r>
      <w:r w:rsidR="00006229">
        <w:t xml:space="preserve">issued a ruling requesting motions to admit </w:t>
      </w:r>
      <w:r w:rsidR="00E872B8">
        <w:t>testimony and documents into evidence. On January 30, 2026, SoCalGas, Cal Advocates</w:t>
      </w:r>
      <w:r w:rsidR="005B1F7B">
        <w:t>,</w:t>
      </w:r>
      <w:r w:rsidR="00E872B8">
        <w:t xml:space="preserve"> and Sierra Club all filed motions to admit testimony and other documents into evidence.</w:t>
      </w:r>
      <w:r w:rsidR="00ED14B3">
        <w:t xml:space="preserve"> SoCalGas also filed a motion for </w:t>
      </w:r>
      <w:r w:rsidR="00F00E1C">
        <w:t>leave to file certain exhibits under seal.</w:t>
      </w:r>
      <w:r w:rsidR="00737AFB">
        <w:t xml:space="preserve"> </w:t>
      </w:r>
      <w:r w:rsidR="00E872B8">
        <w:t xml:space="preserve">On </w:t>
      </w:r>
      <w:r w:rsidR="0047317B">
        <w:t xml:space="preserve">February 9, 2026, SoCalGas filed an objection to the admission of certain testimony into evidence by Sierra Club. </w:t>
      </w:r>
    </w:p>
    <w:p w:rsidR="00E872B8" w:rsidP="00737AFB" w:rsidRDefault="00200334" w14:paraId="5B0A36FB" w14:textId="79CEB279">
      <w:pPr>
        <w:pStyle w:val="Standard"/>
      </w:pPr>
      <w:r>
        <w:t xml:space="preserve">On February 11, 2026, the ALJ </w:t>
      </w:r>
      <w:r w:rsidR="00AF0618">
        <w:t>overrul</w:t>
      </w:r>
      <w:r w:rsidR="00603976">
        <w:t>ed</w:t>
      </w:r>
      <w:r w:rsidR="00AF0618">
        <w:t xml:space="preserve"> SoCalGas’</w:t>
      </w:r>
      <w:r w:rsidR="007E368B">
        <w:t xml:space="preserve"> </w:t>
      </w:r>
      <w:r w:rsidR="00AF0618">
        <w:t>objections and admitt</w:t>
      </w:r>
      <w:r w:rsidR="00603976">
        <w:t>ed</w:t>
      </w:r>
      <w:r w:rsidR="00ED14B3">
        <w:t xml:space="preserve"> all testimony and documents into evidence. The ruling also granted </w:t>
      </w:r>
      <w:r w:rsidR="00F00E1C">
        <w:t xml:space="preserve">SoCalGas’ motion for leave to file </w:t>
      </w:r>
      <w:r w:rsidR="009F56C5">
        <w:t>exhibits under seal.</w:t>
      </w:r>
    </w:p>
    <w:p w:rsidR="009F56C5" w:rsidP="00C52A88" w:rsidRDefault="009F56C5" w14:paraId="4A54D6EB" w14:textId="6DD6A522">
      <w:pPr>
        <w:pStyle w:val="Standard"/>
      </w:pPr>
      <w:r>
        <w:t xml:space="preserve">On February 27, 2026, the parties filed opening briefs. On March </w:t>
      </w:r>
      <w:r w:rsidR="001F49F4">
        <w:t>20, 2026, the parties filed reply briefs.</w:t>
      </w:r>
    </w:p>
    <w:p w:rsidR="001F49F4" w:rsidP="00C52A88" w:rsidRDefault="001F49F4" w14:paraId="71482197" w14:textId="28350479">
      <w:pPr>
        <w:pStyle w:val="Standard"/>
      </w:pPr>
      <w:r>
        <w:t>On April 23, 2026, the ALJ issued a ruling reopening the record and setting a schedule for supplemental testimony.</w:t>
      </w:r>
    </w:p>
    <w:p w:rsidR="001F49F4" w:rsidP="00C52A88" w:rsidRDefault="001F49F4" w14:paraId="58C6EA6A" w14:textId="1861B518">
      <w:pPr>
        <w:pStyle w:val="Standard"/>
      </w:pPr>
      <w:r w:rsidRPr="00C81A2F">
        <w:t>On May 18, 2026</w:t>
      </w:r>
      <w:r w:rsidRPr="00C81A2F" w:rsidR="00B23167">
        <w:t>, SoCalGas</w:t>
      </w:r>
      <w:r w:rsidR="00B23167">
        <w:t xml:space="preserve"> served supplemental testimony.</w:t>
      </w:r>
    </w:p>
    <w:p w:rsidR="00B23167" w:rsidP="00C52A88" w:rsidRDefault="00B23167" w14:paraId="31E177D3" w14:textId="3FAA9083">
      <w:pPr>
        <w:pStyle w:val="Standard"/>
      </w:pPr>
      <w:r>
        <w:lastRenderedPageBreak/>
        <w:t>On June 2, 2026, Sierra Club served rebuttal testimony to SoCalGas’ supplemental testimony.</w:t>
      </w:r>
    </w:p>
    <w:p w:rsidR="00B23167" w:rsidP="00C52A88" w:rsidRDefault="00B23167" w14:paraId="23A03307" w14:textId="68EEA8A3">
      <w:pPr>
        <w:pStyle w:val="Standard"/>
      </w:pPr>
      <w:r>
        <w:t xml:space="preserve">On June 10, 2026, </w:t>
      </w:r>
      <w:r w:rsidR="00956BAB">
        <w:t>Sierra Club and SoCalGas filed motions to admit the supplemental testimony. SoCalGas also filed a motion</w:t>
      </w:r>
      <w:r w:rsidR="003249A9">
        <w:t xml:space="preserve"> for leave to</w:t>
      </w:r>
      <w:r w:rsidR="00956BAB">
        <w:t xml:space="preserve"> file </w:t>
      </w:r>
      <w:r w:rsidR="00F02DFF">
        <w:t xml:space="preserve">a confidential exhibit </w:t>
      </w:r>
      <w:r w:rsidR="00956BAB">
        <w:t>under seal</w:t>
      </w:r>
      <w:r w:rsidR="003249A9">
        <w:t xml:space="preserve"> and </w:t>
      </w:r>
      <w:r w:rsidR="00262E0F">
        <w:t>a joint statement on behalf of both parties stipulating that no further briefing was needed.</w:t>
      </w:r>
    </w:p>
    <w:p w:rsidR="00C81A2F" w:rsidP="00C52A88" w:rsidRDefault="00FB1B13" w14:paraId="09F90469" w14:textId="5319D47A">
      <w:pPr>
        <w:pStyle w:val="Standard"/>
      </w:pPr>
      <w:r>
        <w:t xml:space="preserve">On June </w:t>
      </w:r>
      <w:r w:rsidR="00487B73">
        <w:t>22</w:t>
      </w:r>
      <w:r>
        <w:t xml:space="preserve">, 2026, </w:t>
      </w:r>
      <w:r w:rsidR="00D169EC">
        <w:t>the assigned ALJ issued a ruling granting Sierra Club and SoCalGas’ motions to admit supplemental testimony</w:t>
      </w:r>
      <w:r w:rsidR="000076C5">
        <w:t xml:space="preserve"> into evidence</w:t>
      </w:r>
      <w:r w:rsidR="00D169EC">
        <w:t xml:space="preserve">, </w:t>
      </w:r>
      <w:r w:rsidR="00DB61DC">
        <w:t>and granting SoCalGas’</w:t>
      </w:r>
      <w:r w:rsidR="00035CA9">
        <w:t xml:space="preserve"> motion for leave to </w:t>
      </w:r>
      <w:r w:rsidR="00F02DFF">
        <w:t>file a confidential exhibit under seal.</w:t>
      </w:r>
      <w:r w:rsidR="00035CA9">
        <w:t xml:space="preserve"> </w:t>
      </w:r>
    </w:p>
    <w:p w:rsidR="00683B2C" w:rsidP="00683B2C" w:rsidRDefault="00683B2C" w14:paraId="427B060B" w14:textId="77777777">
      <w:pPr>
        <w:pStyle w:val="Heading2"/>
      </w:pPr>
      <w:bookmarkStart w:name="_Toc243318775" w:id="12"/>
      <w:bookmarkStart w:name="_Toc243476855" w:id="13"/>
      <w:r>
        <w:t>Submission Date</w:t>
      </w:r>
      <w:bookmarkEnd w:id="12"/>
      <w:bookmarkEnd w:id="13"/>
    </w:p>
    <w:p w:rsidRPr="0063491C" w:rsidR="0063491C" w:rsidP="001F49F4" w:rsidRDefault="00683B2C" w14:paraId="0A32980C" w14:textId="251A736E">
      <w:pPr>
        <w:pStyle w:val="Standard"/>
      </w:pPr>
      <w:r w:rsidRPr="00753C07">
        <w:t xml:space="preserve">This matter was submitted on </w:t>
      </w:r>
      <w:r w:rsidRPr="00753C07" w:rsidR="003371CB">
        <w:t xml:space="preserve">June </w:t>
      </w:r>
      <w:r w:rsidR="007D7D5E">
        <w:t>22</w:t>
      </w:r>
      <w:r w:rsidRPr="00753C07" w:rsidR="003371CB">
        <w:t>, 2026</w:t>
      </w:r>
      <w:r w:rsidRPr="00753C07">
        <w:t xml:space="preserve"> upon </w:t>
      </w:r>
      <w:r w:rsidRPr="00753C07" w:rsidR="003371CB">
        <w:t>admission</w:t>
      </w:r>
      <w:r w:rsidR="003371CB">
        <w:t xml:space="preserve"> of Sierra Club</w:t>
      </w:r>
      <w:r w:rsidR="00AB0FB2">
        <w:t>’s</w:t>
      </w:r>
      <w:r w:rsidR="003371CB">
        <w:t xml:space="preserve"> and SoCalGas’ supplemental testimony.</w:t>
      </w:r>
    </w:p>
    <w:p w:rsidR="005A148C" w:rsidP="005939A5" w:rsidRDefault="005939A5" w14:paraId="51FFB164" w14:textId="77777777">
      <w:pPr>
        <w:pStyle w:val="Heading1"/>
      </w:pPr>
      <w:bookmarkStart w:name="_Toc8123719" w:id="14"/>
      <w:bookmarkStart w:name="_Toc243318776" w:id="15"/>
      <w:bookmarkStart w:name="_Toc243476856" w:id="16"/>
      <w:r>
        <w:t xml:space="preserve">Issues Before the </w:t>
      </w:r>
      <w:bookmarkEnd w:id="14"/>
      <w:r w:rsidR="008A08BF">
        <w:t>Commission</w:t>
      </w:r>
      <w:bookmarkEnd w:id="15"/>
      <w:bookmarkEnd w:id="16"/>
    </w:p>
    <w:p w:rsidR="00206713" w:rsidP="00FB625B" w:rsidRDefault="00206713" w14:paraId="4FFF3C00" w14:textId="77777777">
      <w:pPr>
        <w:pStyle w:val="Standard"/>
        <w:spacing w:after="120" w:line="240" w:lineRule="auto"/>
      </w:pPr>
      <w:r>
        <w:t>The issues to be determined or otherwise considered are:</w:t>
      </w:r>
    </w:p>
    <w:p w:rsidR="006C6458" w:rsidP="000E0685" w:rsidRDefault="006C6458" w14:paraId="427FACCC" w14:textId="380A2861">
      <w:pPr>
        <w:pStyle w:val="ListNum"/>
        <w:tabs>
          <w:tab w:val="clear" w:pos="1080"/>
        </w:tabs>
        <w:ind w:right="1440"/>
      </w:pPr>
      <w:r>
        <w:t>Whether the proposed projects in the application meet the requirements listed in D.22-09-026 to receive a gas line subsidy:</w:t>
      </w:r>
    </w:p>
    <w:p w:rsidR="006C6458" w:rsidP="000E0685" w:rsidRDefault="006C6458" w14:paraId="3714D478" w14:textId="7A85FCF1">
      <w:pPr>
        <w:pStyle w:val="Standard"/>
        <w:numPr>
          <w:ilvl w:val="0"/>
          <w:numId w:val="18"/>
        </w:numPr>
        <w:spacing w:after="120" w:line="240" w:lineRule="auto"/>
        <w:ind w:right="1440"/>
      </w:pPr>
      <w:r>
        <w:t xml:space="preserve">The project shows a demonstrable reduction in greenhouse gas </w:t>
      </w:r>
      <w:r w:rsidR="00261BF9">
        <w:t xml:space="preserve">(GHG) </w:t>
      </w:r>
      <w:r>
        <w:t>emissions;</w:t>
      </w:r>
    </w:p>
    <w:p w:rsidR="006C6458" w:rsidP="000E0685" w:rsidRDefault="006C6458" w14:paraId="3527C893" w14:textId="5B4160B5">
      <w:pPr>
        <w:pStyle w:val="Standard"/>
        <w:numPr>
          <w:ilvl w:val="0"/>
          <w:numId w:val="18"/>
        </w:numPr>
        <w:spacing w:after="120" w:line="240" w:lineRule="auto"/>
        <w:ind w:right="1440"/>
      </w:pPr>
      <w:r>
        <w:t xml:space="preserve">The project’s gas line extension is consistent with California’s climate goals, including those articulated in Senate Bill </w:t>
      </w:r>
      <w:r w:rsidR="005943D2">
        <w:t xml:space="preserve">(SB) </w:t>
      </w:r>
      <w:r>
        <w:t>32 (Pavley, 2016); and</w:t>
      </w:r>
    </w:p>
    <w:p w:rsidRPr="00936C1B" w:rsidR="006C6458" w:rsidP="000E0685" w:rsidRDefault="006C6458" w14:paraId="52468618" w14:textId="77777777">
      <w:pPr>
        <w:pStyle w:val="Standard"/>
        <w:numPr>
          <w:ilvl w:val="0"/>
          <w:numId w:val="18"/>
        </w:numPr>
        <w:spacing w:after="120" w:line="240" w:lineRule="auto"/>
        <w:ind w:right="1440"/>
      </w:pPr>
      <w:r>
        <w:t>The project applicant demonstrates that it has no feasible alternatives to the use of natural gas, including electrification.</w:t>
      </w:r>
    </w:p>
    <w:p w:rsidRPr="00B13EF0" w:rsidR="006C6458" w:rsidP="000E0685" w:rsidRDefault="006C6458" w14:paraId="769326A0" w14:textId="77777777">
      <w:pPr>
        <w:pStyle w:val="ListNum"/>
        <w:tabs>
          <w:tab w:val="clear" w:pos="1080"/>
        </w:tabs>
        <w:ind w:right="1440"/>
      </w:pPr>
      <w:r>
        <w:t>Whether the application complies with the requirements set forth in D.22-09-026, including but not limited to, an update to the non-residential gas line extension allowance calculations based on current methodology;</w:t>
      </w:r>
    </w:p>
    <w:p w:rsidR="006C6458" w:rsidP="000E0685" w:rsidRDefault="006C6458" w14:paraId="063DB526" w14:textId="77777777">
      <w:pPr>
        <w:pStyle w:val="ListNum"/>
        <w:tabs>
          <w:tab w:val="clear" w:pos="1080"/>
        </w:tabs>
        <w:ind w:right="1440"/>
      </w:pPr>
      <w:r>
        <w:lastRenderedPageBreak/>
        <w:t>Whether the proposed clarifications to Tariff Rule Nos. 20 and 21 are reasonable;</w:t>
      </w:r>
    </w:p>
    <w:p w:rsidR="006C6458" w:rsidP="000E0685" w:rsidRDefault="006C6458" w14:paraId="085B3160" w14:textId="77777777">
      <w:pPr>
        <w:pStyle w:val="ListNum"/>
        <w:tabs>
          <w:tab w:val="clear" w:pos="1080"/>
        </w:tabs>
        <w:ind w:right="1440"/>
      </w:pPr>
      <w:r>
        <w:t>Whether the creation of a balancing account to record costs is reasonable;</w:t>
      </w:r>
    </w:p>
    <w:p w:rsidRPr="00E4234E" w:rsidR="006C6458" w:rsidP="000E0685" w:rsidRDefault="006C6458" w14:paraId="2D81D6B0" w14:textId="03A68D26">
      <w:pPr>
        <w:pStyle w:val="ListNum"/>
        <w:tabs>
          <w:tab w:val="clear" w:pos="1080"/>
        </w:tabs>
        <w:ind w:right="1440"/>
      </w:pPr>
      <w:r>
        <w:t>Whether the revenue requirement is reasonable;</w:t>
      </w:r>
      <w:r w:rsidR="00850018">
        <w:t xml:space="preserve"> and</w:t>
      </w:r>
    </w:p>
    <w:p w:rsidR="005939A5" w:rsidP="000E0685" w:rsidRDefault="006C6458" w14:paraId="59452989" w14:textId="2F6457BE">
      <w:pPr>
        <w:pStyle w:val="ListNum"/>
        <w:tabs>
          <w:tab w:val="clear" w:pos="1080"/>
        </w:tabs>
      </w:pPr>
      <w:r>
        <w:t>Whether the application aligns with the goals of the Commission’s Environmental and Social Justice Action Plan</w:t>
      </w:r>
      <w:r w:rsidR="005939A5">
        <w:t>.</w:t>
      </w:r>
    </w:p>
    <w:p w:rsidR="005939A5" w:rsidP="005939A5" w:rsidRDefault="00C4561B" w14:paraId="4D574F4D" w14:textId="69375379">
      <w:pPr>
        <w:pStyle w:val="Heading1"/>
      </w:pPr>
      <w:bookmarkStart w:name="_Toc243318777" w:id="17"/>
      <w:bookmarkStart w:name="_Toc243476857" w:id="18"/>
      <w:r>
        <w:t>Gas Line</w:t>
      </w:r>
      <w:r w:rsidR="005432A3">
        <w:t xml:space="preserve"> Extension</w:t>
      </w:r>
      <w:r>
        <w:t xml:space="preserve"> </w:t>
      </w:r>
      <w:r w:rsidR="0069252D">
        <w:t>Allowance</w:t>
      </w:r>
      <w:bookmarkEnd w:id="17"/>
      <w:bookmarkEnd w:id="18"/>
    </w:p>
    <w:p w:rsidR="0073353F" w:rsidP="006E6574" w:rsidRDefault="003C5969" w14:paraId="298A1158" w14:textId="2F6C1ADB">
      <w:pPr>
        <w:pStyle w:val="Standard"/>
      </w:pPr>
      <w:r>
        <w:t xml:space="preserve">D.22-09-026 sets forth three criteria that proposed projects must meet in order to receive a gas line </w:t>
      </w:r>
      <w:r w:rsidR="0069252D">
        <w:t>extension allowance</w:t>
      </w:r>
      <w:r>
        <w:t xml:space="preserve">: </w:t>
      </w:r>
      <w:r w:rsidR="00901BC5">
        <w:t xml:space="preserve">(1) the project shows a demonstrable reduction in </w:t>
      </w:r>
      <w:r w:rsidR="00261BF9">
        <w:t>GHG</w:t>
      </w:r>
      <w:r w:rsidR="00901BC5">
        <w:t xml:space="preserve"> emissions, (2) the project’s gas line </w:t>
      </w:r>
      <w:r w:rsidR="006D33B4">
        <w:t>extension is consistent with California’s climate goals, including those articulated in S</w:t>
      </w:r>
      <w:r w:rsidR="005943D2">
        <w:t>B</w:t>
      </w:r>
      <w:r w:rsidR="006D33B4">
        <w:t xml:space="preserve"> 32, and (3) the project applicant demonstrates that it has no feasible alternatives to the use of natural gas, including electrification. </w:t>
      </w:r>
      <w:r w:rsidR="000D6B39">
        <w:t>We discuss w</w:t>
      </w:r>
      <w:r w:rsidR="003354BF">
        <w:t xml:space="preserve">hether the </w:t>
      </w:r>
      <w:r w:rsidR="002B5503">
        <w:t>six</w:t>
      </w:r>
      <w:r w:rsidR="00775074">
        <w:t xml:space="preserve"> proposed projects in the application meet these requirements below.</w:t>
      </w:r>
      <w:r w:rsidR="005432A3">
        <w:t xml:space="preserve"> Ultimately, we find that </w:t>
      </w:r>
      <w:r w:rsidR="0013162F">
        <w:t xml:space="preserve">four </w:t>
      </w:r>
      <w:r w:rsidR="005432A3">
        <w:t>of the proposed projects (Projects B, D-1</w:t>
      </w:r>
      <w:r w:rsidR="00603976">
        <w:t>,</w:t>
      </w:r>
      <w:r w:rsidR="005432A3">
        <w:t xml:space="preserve"> D-2</w:t>
      </w:r>
      <w:r w:rsidR="7023153D">
        <w:t>, and E</w:t>
      </w:r>
      <w:r w:rsidR="005432A3">
        <w:t>) meet the criteria to receive a gas line extension</w:t>
      </w:r>
      <w:r w:rsidR="0069252D">
        <w:t xml:space="preserve"> allowance.</w:t>
      </w:r>
    </w:p>
    <w:p w:rsidR="00EA36C6" w:rsidP="001F14EE" w:rsidRDefault="00C4561B" w14:paraId="0933D42C" w14:textId="1FDCBFE7">
      <w:pPr>
        <w:pStyle w:val="Heading2"/>
      </w:pPr>
      <w:bookmarkStart w:name="_Toc243318778" w:id="19"/>
      <w:bookmarkStart w:name="_Toc243476858" w:id="20"/>
      <w:r>
        <w:t>Demonstrable Reduction in Greenhouse Gas Emissions</w:t>
      </w:r>
      <w:bookmarkEnd w:id="19"/>
      <w:bookmarkEnd w:id="20"/>
    </w:p>
    <w:p w:rsidR="007156B9" w:rsidP="00287BC5" w:rsidRDefault="007B17BB" w14:paraId="245F4EDD" w14:textId="370010B0">
      <w:pPr>
        <w:pStyle w:val="Heading3"/>
      </w:pPr>
      <w:bookmarkStart w:name="_Toc243318779" w:id="21"/>
      <w:bookmarkStart w:name="_Toc243476859" w:id="22"/>
      <w:r>
        <w:t>SoCalGas’ Contentions</w:t>
      </w:r>
      <w:bookmarkEnd w:id="21"/>
      <w:bookmarkEnd w:id="22"/>
    </w:p>
    <w:p w:rsidR="0007354F" w:rsidP="00ED0E92" w:rsidRDefault="00D715BB" w14:paraId="7759B743" w14:textId="2F5EEF50">
      <w:pPr>
        <w:pStyle w:val="Standard"/>
      </w:pPr>
      <w:r>
        <w:t xml:space="preserve">SoCalGas contends that all </w:t>
      </w:r>
      <w:r w:rsidR="002B5503">
        <w:t>six</w:t>
      </w:r>
      <w:r w:rsidR="00092A61">
        <w:t xml:space="preserve"> proposed </w:t>
      </w:r>
      <w:r w:rsidR="005943D2">
        <w:t>renewable natural gas (</w:t>
      </w:r>
      <w:r w:rsidR="00092A61">
        <w:t>RNG</w:t>
      </w:r>
      <w:r w:rsidR="005943D2">
        <w:t>)</w:t>
      </w:r>
      <w:r w:rsidR="00092A61">
        <w:t xml:space="preserve"> refu</w:t>
      </w:r>
      <w:r w:rsidR="00F31593">
        <w:t>el</w:t>
      </w:r>
      <w:r w:rsidR="00092A61">
        <w:t>ing</w:t>
      </w:r>
      <w:r>
        <w:t xml:space="preserve"> </w:t>
      </w:r>
      <w:r w:rsidR="00A43B40">
        <w:t xml:space="preserve">station </w:t>
      </w:r>
      <w:r>
        <w:t>projects</w:t>
      </w:r>
      <w:r w:rsidR="00306F8B">
        <w:t xml:space="preserve"> demonstrate a reduction in </w:t>
      </w:r>
      <w:r w:rsidR="00261BF9">
        <w:t>GHG</w:t>
      </w:r>
      <w:r w:rsidR="00306F8B">
        <w:t xml:space="preserve"> emissions. </w:t>
      </w:r>
      <w:r w:rsidR="00EB0055">
        <w:t xml:space="preserve">In order to </w:t>
      </w:r>
      <w:r w:rsidR="009151FB">
        <w:t>demonstrate emissions reductions</w:t>
      </w:r>
      <w:r w:rsidR="007B5645">
        <w:t>, SoCalGas use</w:t>
      </w:r>
      <w:r w:rsidR="005943D2">
        <w:t>s</w:t>
      </w:r>
      <w:r w:rsidR="00324601">
        <w:t xml:space="preserve"> a “Standard Lifecycle GHG Emission Reduction Methodology</w:t>
      </w:r>
      <w:r w:rsidR="005F4B84">
        <w:t>,</w:t>
      </w:r>
      <w:r w:rsidR="00A71F91">
        <w:t>”</w:t>
      </w:r>
      <w:r w:rsidR="005F4B84">
        <w:t xml:space="preserve"> </w:t>
      </w:r>
      <w:r w:rsidR="00647F1D">
        <w:t xml:space="preserve">(Methodology) </w:t>
      </w:r>
      <w:r w:rsidR="005F4B84">
        <w:t xml:space="preserve">which </w:t>
      </w:r>
      <w:r w:rsidR="009151FB">
        <w:t xml:space="preserve">calculates </w:t>
      </w:r>
      <w:r w:rsidR="00554ABD">
        <w:t xml:space="preserve">the emissions reduced from the use of RNG </w:t>
      </w:r>
      <w:r w:rsidR="00A71F91">
        <w:t>to displace diesel fuel</w:t>
      </w:r>
      <w:r w:rsidR="00324601">
        <w:t>.</w:t>
      </w:r>
      <w:r w:rsidR="00324601">
        <w:rPr>
          <w:rStyle w:val="FootnoteReference"/>
        </w:rPr>
        <w:footnoteReference w:id="4"/>
      </w:r>
      <w:r w:rsidR="009706FA">
        <w:t xml:space="preserve"> </w:t>
      </w:r>
      <w:r w:rsidR="003174E6">
        <w:t>Specifically, t</w:t>
      </w:r>
      <w:r w:rsidR="009706FA">
        <w:t>h</w:t>
      </w:r>
      <w:r w:rsidR="00647F1D">
        <w:t>e</w:t>
      </w:r>
      <w:r w:rsidR="009706FA">
        <w:t xml:space="preserve"> </w:t>
      </w:r>
      <w:r w:rsidR="00647F1D">
        <w:t>M</w:t>
      </w:r>
      <w:r w:rsidR="009706FA">
        <w:t xml:space="preserve">ethodology </w:t>
      </w:r>
      <w:r w:rsidR="00682EB7">
        <w:t>uses the</w:t>
      </w:r>
      <w:r w:rsidR="00DD59AF">
        <w:t xml:space="preserve"> </w:t>
      </w:r>
      <w:r w:rsidR="00682EB7">
        <w:t xml:space="preserve">low carbon fuel standard (LCFS) </w:t>
      </w:r>
      <w:r w:rsidR="000070EB">
        <w:t>credits or deficits</w:t>
      </w:r>
      <w:r w:rsidR="0011767D">
        <w:t xml:space="preserve"> </w:t>
      </w:r>
      <w:r w:rsidR="0011767D">
        <w:lastRenderedPageBreak/>
        <w:t>calculation</w:t>
      </w:r>
      <w:r w:rsidR="003174E6">
        <w:t>, which represents the total LCFS credits generated (a zero or positive value) in metric tons of carbon dioxide equivalent (CO</w:t>
      </w:r>
      <w:r w:rsidRPr="00C03C00" w:rsidR="003174E6">
        <w:rPr>
          <w:vertAlign w:val="subscript"/>
        </w:rPr>
        <w:t>2</w:t>
      </w:r>
      <w:r w:rsidRPr="00342B9E" w:rsidR="003174E6">
        <w:t>e)</w:t>
      </w:r>
      <w:r w:rsidR="000070EB">
        <w:t>.</w:t>
      </w:r>
      <w:r w:rsidR="00261BF9">
        <w:rPr>
          <w:rStyle w:val="FootnoteReference"/>
        </w:rPr>
        <w:footnoteReference w:id="5"/>
      </w:r>
      <w:r w:rsidR="00FE51D1">
        <w:t xml:space="preserve"> </w:t>
      </w:r>
      <w:r w:rsidR="00C03C00">
        <w:t xml:space="preserve">Using the Methodology, </w:t>
      </w:r>
      <w:r w:rsidR="007B1F0C">
        <w:t>SoCalGas states that each project will have the following reduction in GHG</w:t>
      </w:r>
      <w:r w:rsidR="004C09FD">
        <w:t xml:space="preserve"> emissions</w:t>
      </w:r>
      <w:r w:rsidR="000A75FA">
        <w:t>:</w:t>
      </w:r>
      <w:r w:rsidR="007B1F0C">
        <w:rPr>
          <w:rStyle w:val="FootnoteReference"/>
        </w:rPr>
        <w:footnoteReference w:id="6"/>
      </w:r>
    </w:p>
    <w:tbl>
      <w:tblPr>
        <w:tblStyle w:val="TableGrid"/>
        <w:tblW w:w="0" w:type="auto"/>
        <w:tblLook w:val="04A0" w:firstRow="1" w:lastRow="0" w:firstColumn="1" w:lastColumn="0" w:noHBand="0" w:noVBand="1"/>
      </w:tblPr>
      <w:tblGrid>
        <w:gridCol w:w="2335"/>
        <w:gridCol w:w="5130"/>
      </w:tblGrid>
      <w:tr w:rsidR="000901EC" w:rsidTr="00950FCB" w14:paraId="088A2AF9" w14:textId="77777777">
        <w:tc>
          <w:tcPr>
            <w:tcW w:w="2335" w:type="dxa"/>
          </w:tcPr>
          <w:p w:rsidR="000901EC" w:rsidP="007D5E8E" w:rsidRDefault="000901EC" w14:paraId="1F59EF54" w14:textId="3EEB07F7">
            <w:pPr>
              <w:pStyle w:val="Standard"/>
              <w:ind w:firstLine="0"/>
            </w:pPr>
            <w:r>
              <w:t>Project Identifier</w:t>
            </w:r>
          </w:p>
        </w:tc>
        <w:tc>
          <w:tcPr>
            <w:tcW w:w="5130" w:type="dxa"/>
          </w:tcPr>
          <w:p w:rsidR="000901EC" w:rsidP="007D5E8E" w:rsidRDefault="000901EC" w14:paraId="583F1EB7" w14:textId="195A00E4">
            <w:pPr>
              <w:pStyle w:val="Standard"/>
              <w:ind w:firstLine="0"/>
            </w:pPr>
            <w:r>
              <w:t>Average Estimated Annual Lifecycle GHG Emissions Reductions (metric tons CO</w:t>
            </w:r>
            <w:r w:rsidRPr="00FC4624">
              <w:rPr>
                <w:vertAlign w:val="subscript"/>
              </w:rPr>
              <w:t>2</w:t>
            </w:r>
            <w:r w:rsidRPr="00944982">
              <w:t>e</w:t>
            </w:r>
            <w:r w:rsidR="00FC4624">
              <w:t>)</w:t>
            </w:r>
          </w:p>
        </w:tc>
      </w:tr>
      <w:tr w:rsidR="000901EC" w:rsidTr="00950FCB" w14:paraId="40E8E022" w14:textId="77777777">
        <w:tc>
          <w:tcPr>
            <w:tcW w:w="2335" w:type="dxa"/>
          </w:tcPr>
          <w:p w:rsidR="000901EC" w:rsidP="00FC4624" w:rsidRDefault="000901EC" w14:paraId="7FF2DDD3" w14:textId="680F8ACE">
            <w:pPr>
              <w:pStyle w:val="Standard"/>
              <w:ind w:firstLine="0"/>
              <w:jc w:val="center"/>
            </w:pPr>
          </w:p>
        </w:tc>
        <w:tc>
          <w:tcPr>
            <w:tcW w:w="5130" w:type="dxa"/>
          </w:tcPr>
          <w:p w:rsidR="000901EC" w:rsidP="00950FCB" w:rsidRDefault="000901EC" w14:paraId="2334F006" w14:textId="374CEA43">
            <w:pPr>
              <w:pStyle w:val="Standard"/>
              <w:ind w:firstLine="0"/>
              <w:jc w:val="center"/>
            </w:pPr>
          </w:p>
        </w:tc>
      </w:tr>
      <w:tr w:rsidR="000901EC" w:rsidTr="00950FCB" w14:paraId="17B8858E" w14:textId="77777777">
        <w:tc>
          <w:tcPr>
            <w:tcW w:w="2335" w:type="dxa"/>
          </w:tcPr>
          <w:p w:rsidR="000901EC" w:rsidP="00FC4624" w:rsidRDefault="00FC4624" w14:paraId="379F59CA" w14:textId="78216E15">
            <w:pPr>
              <w:pStyle w:val="Standard"/>
              <w:ind w:firstLine="0"/>
              <w:jc w:val="center"/>
            </w:pPr>
            <w:r>
              <w:t>B</w:t>
            </w:r>
          </w:p>
        </w:tc>
        <w:tc>
          <w:tcPr>
            <w:tcW w:w="5130" w:type="dxa"/>
          </w:tcPr>
          <w:p w:rsidR="000901EC" w:rsidP="00950FCB" w:rsidRDefault="00950FCB" w14:paraId="77447139" w14:textId="0EC4CE98">
            <w:pPr>
              <w:pStyle w:val="Standard"/>
              <w:ind w:firstLine="0"/>
              <w:jc w:val="center"/>
            </w:pPr>
            <w:r>
              <w:t>3,172</w:t>
            </w:r>
          </w:p>
        </w:tc>
      </w:tr>
      <w:tr w:rsidR="000901EC" w:rsidTr="00950FCB" w14:paraId="59054D41" w14:textId="77777777">
        <w:tc>
          <w:tcPr>
            <w:tcW w:w="2335" w:type="dxa"/>
          </w:tcPr>
          <w:p w:rsidR="000901EC" w:rsidP="00FC4624" w:rsidRDefault="00FC4624" w14:paraId="1CE85727" w14:textId="751FF610">
            <w:pPr>
              <w:pStyle w:val="Standard"/>
              <w:ind w:firstLine="0"/>
              <w:jc w:val="center"/>
            </w:pPr>
            <w:r>
              <w:t>D-1</w:t>
            </w:r>
          </w:p>
        </w:tc>
        <w:tc>
          <w:tcPr>
            <w:tcW w:w="5130" w:type="dxa"/>
          </w:tcPr>
          <w:p w:rsidR="000901EC" w:rsidP="00950FCB" w:rsidRDefault="00950FCB" w14:paraId="18644059" w14:textId="7D6E0554">
            <w:pPr>
              <w:pStyle w:val="Standard"/>
              <w:ind w:firstLine="0"/>
              <w:jc w:val="center"/>
            </w:pPr>
            <w:r>
              <w:t>37,075</w:t>
            </w:r>
          </w:p>
        </w:tc>
      </w:tr>
      <w:tr w:rsidR="000901EC" w:rsidTr="00950FCB" w14:paraId="5644CDF8" w14:textId="77777777">
        <w:tc>
          <w:tcPr>
            <w:tcW w:w="2335" w:type="dxa"/>
          </w:tcPr>
          <w:p w:rsidR="000901EC" w:rsidP="00FC4624" w:rsidRDefault="00FC4624" w14:paraId="3B7195EC" w14:textId="144BB09C">
            <w:pPr>
              <w:pStyle w:val="Standard"/>
              <w:ind w:firstLine="0"/>
              <w:jc w:val="center"/>
            </w:pPr>
            <w:r>
              <w:t>D-2</w:t>
            </w:r>
          </w:p>
        </w:tc>
        <w:tc>
          <w:tcPr>
            <w:tcW w:w="5130" w:type="dxa"/>
          </w:tcPr>
          <w:p w:rsidR="000901EC" w:rsidP="00950FCB" w:rsidRDefault="00950FCB" w14:paraId="0F915A60" w14:textId="14F1F637">
            <w:pPr>
              <w:pStyle w:val="Standard"/>
              <w:ind w:firstLine="0"/>
              <w:jc w:val="center"/>
            </w:pPr>
            <w:r>
              <w:t>13,903</w:t>
            </w:r>
          </w:p>
        </w:tc>
      </w:tr>
      <w:tr w:rsidR="000901EC" w:rsidTr="00950FCB" w14:paraId="1394F492" w14:textId="77777777">
        <w:tc>
          <w:tcPr>
            <w:tcW w:w="2335" w:type="dxa"/>
          </w:tcPr>
          <w:p w:rsidR="000901EC" w:rsidP="00FC4624" w:rsidRDefault="00FC4624" w14:paraId="289E8CAB" w14:textId="36C2FFA7">
            <w:pPr>
              <w:pStyle w:val="Standard"/>
              <w:ind w:firstLine="0"/>
              <w:jc w:val="center"/>
            </w:pPr>
            <w:r>
              <w:t>E</w:t>
            </w:r>
          </w:p>
        </w:tc>
        <w:tc>
          <w:tcPr>
            <w:tcW w:w="5130" w:type="dxa"/>
          </w:tcPr>
          <w:p w:rsidR="000901EC" w:rsidP="00950FCB" w:rsidRDefault="00611759" w14:paraId="65875356" w14:textId="366B6FAC">
            <w:pPr>
              <w:pStyle w:val="Standard"/>
              <w:ind w:firstLine="0"/>
              <w:jc w:val="center"/>
            </w:pPr>
            <w:r>
              <w:t>33,765</w:t>
            </w:r>
          </w:p>
        </w:tc>
      </w:tr>
      <w:tr w:rsidR="000901EC" w:rsidTr="00950FCB" w14:paraId="592A049E" w14:textId="77777777">
        <w:tc>
          <w:tcPr>
            <w:tcW w:w="2335" w:type="dxa"/>
          </w:tcPr>
          <w:p w:rsidR="000901EC" w:rsidP="00FC4624" w:rsidRDefault="00FC4624" w14:paraId="54772ED9" w14:textId="71D67F3C">
            <w:pPr>
              <w:pStyle w:val="Standard"/>
              <w:ind w:firstLine="0"/>
              <w:jc w:val="center"/>
            </w:pPr>
            <w:r>
              <w:t>G</w:t>
            </w:r>
          </w:p>
        </w:tc>
        <w:tc>
          <w:tcPr>
            <w:tcW w:w="5130" w:type="dxa"/>
          </w:tcPr>
          <w:p w:rsidR="000901EC" w:rsidP="00611759" w:rsidRDefault="00611759" w14:paraId="7B4D224E" w14:textId="31FD66D3">
            <w:pPr>
              <w:pStyle w:val="Standard"/>
              <w:ind w:firstLine="0"/>
              <w:jc w:val="center"/>
            </w:pPr>
            <w:r>
              <w:t>6,649</w:t>
            </w:r>
          </w:p>
        </w:tc>
      </w:tr>
      <w:tr w:rsidR="000901EC" w:rsidTr="00950FCB" w14:paraId="6575771A" w14:textId="77777777">
        <w:tc>
          <w:tcPr>
            <w:tcW w:w="2335" w:type="dxa"/>
          </w:tcPr>
          <w:p w:rsidR="000901EC" w:rsidP="00FC4624" w:rsidRDefault="00FC4624" w14:paraId="2B25C246" w14:textId="4CDC0B45">
            <w:pPr>
              <w:pStyle w:val="Standard"/>
              <w:ind w:firstLine="0"/>
              <w:jc w:val="center"/>
            </w:pPr>
            <w:r>
              <w:t>H</w:t>
            </w:r>
          </w:p>
        </w:tc>
        <w:tc>
          <w:tcPr>
            <w:tcW w:w="5130" w:type="dxa"/>
          </w:tcPr>
          <w:p w:rsidR="000901EC" w:rsidP="00611759" w:rsidRDefault="0007354F" w14:paraId="629ABDEF" w14:textId="76BD14C2">
            <w:pPr>
              <w:pStyle w:val="Standard"/>
              <w:ind w:firstLine="0"/>
              <w:jc w:val="center"/>
            </w:pPr>
            <w:r>
              <w:t>7,930</w:t>
            </w:r>
          </w:p>
        </w:tc>
      </w:tr>
    </w:tbl>
    <w:p w:rsidR="000A75FA" w:rsidP="00EF0CE9" w:rsidRDefault="000A75FA" w14:paraId="32DFBEF9" w14:textId="318BCD4C">
      <w:pPr>
        <w:pStyle w:val="Heading3"/>
        <w:spacing w:before="120"/>
      </w:pPr>
      <w:bookmarkStart w:name="_Toc243318780" w:id="23"/>
      <w:bookmarkStart w:name="_Toc243476860" w:id="24"/>
      <w:r>
        <w:t>Intervenor</w:t>
      </w:r>
      <w:r w:rsidR="00603976">
        <w:t>s</w:t>
      </w:r>
      <w:r>
        <w:t>’ Contentions</w:t>
      </w:r>
      <w:bookmarkEnd w:id="23"/>
      <w:bookmarkEnd w:id="24"/>
    </w:p>
    <w:p w:rsidR="00BB5160" w:rsidP="00BB5160" w:rsidRDefault="00D04B10" w14:paraId="3F3E2D27" w14:textId="5A598FF1">
      <w:pPr>
        <w:pStyle w:val="Standard"/>
      </w:pPr>
      <w:r>
        <w:t xml:space="preserve">Cal Advocates argues that </w:t>
      </w:r>
      <w:r w:rsidR="00BB5160">
        <w:t>SoCalGas</w:t>
      </w:r>
      <w:r w:rsidR="00603976">
        <w:t>’ purported GHG reductions</w:t>
      </w:r>
      <w:r w:rsidR="00BB5160">
        <w:t xml:space="preserve"> are unsubstantiated, and therefore that SoCalGas has failed to demonstrate that these projects will lead to GHG </w:t>
      </w:r>
      <w:r w:rsidR="00603976">
        <w:t>reductions</w:t>
      </w:r>
      <w:r w:rsidR="00BB5160">
        <w:t xml:space="preserve">. Specifically, </w:t>
      </w:r>
      <w:r w:rsidR="00A843A4">
        <w:t xml:space="preserve">Cal Advocates argues that </w:t>
      </w:r>
      <w:r w:rsidR="00E84F55">
        <w:t xml:space="preserve">the customer applicants’ estimates of annual RNG consumption are likely </w:t>
      </w:r>
      <w:r w:rsidR="003174E6">
        <w:t>in</w:t>
      </w:r>
      <w:r w:rsidR="00E84F55">
        <w:t xml:space="preserve">accurate, meaning that </w:t>
      </w:r>
      <w:r w:rsidR="00A56FCE">
        <w:t xml:space="preserve">the total GHG emissions reductions from the projects </w:t>
      </w:r>
      <w:r w:rsidR="00A56FCE">
        <w:lastRenderedPageBreak/>
        <w:t>may</w:t>
      </w:r>
      <w:r w:rsidR="00885AC9">
        <w:t xml:space="preserve"> be</w:t>
      </w:r>
      <w:r w:rsidR="00EC3CC1">
        <w:t xml:space="preserve"> less than SoCalGas’ estimates.</w:t>
      </w:r>
      <w:r w:rsidR="00F24AE4">
        <w:rPr>
          <w:rStyle w:val="FootnoteReference"/>
        </w:rPr>
        <w:footnoteReference w:id="7"/>
      </w:r>
      <w:r w:rsidR="00EC3CC1">
        <w:t xml:space="preserve"> </w:t>
      </w:r>
      <w:r w:rsidR="003879C6">
        <w:t xml:space="preserve">Cal Advocates </w:t>
      </w:r>
      <w:r w:rsidR="00C11EF0">
        <w:t>states</w:t>
      </w:r>
      <w:r w:rsidR="003879C6">
        <w:t xml:space="preserve"> that SoCalGas failed to provide </w:t>
      </w:r>
      <w:r w:rsidR="00737FB7">
        <w:t>additional evidence to verify customer estimates.</w:t>
      </w:r>
      <w:r w:rsidR="00EC3CC1">
        <w:t xml:space="preserve"> </w:t>
      </w:r>
      <w:r w:rsidR="00C11EF0">
        <w:t>Additionally, Cal Advocates</w:t>
      </w:r>
      <w:r w:rsidR="00AE4416">
        <w:t xml:space="preserve"> </w:t>
      </w:r>
      <w:r w:rsidR="003174E6">
        <w:t>highlights</w:t>
      </w:r>
      <w:r w:rsidR="00C11EF0">
        <w:t xml:space="preserve"> </w:t>
      </w:r>
      <w:r w:rsidR="00C76CAE">
        <w:t>SoCalGas</w:t>
      </w:r>
      <w:r w:rsidR="00AE4416">
        <w:t>’</w:t>
      </w:r>
      <w:r w:rsidR="00C76CAE">
        <w:t xml:space="preserve"> acknowledge</w:t>
      </w:r>
      <w:r w:rsidR="00AE4416">
        <w:t xml:space="preserve">ment </w:t>
      </w:r>
      <w:r w:rsidR="00C76CAE">
        <w:t>that several of the projects involve public</w:t>
      </w:r>
      <w:r w:rsidR="00BC52CA">
        <w:t xml:space="preserve"> compressed gas refueling stations that possess an “inherent level of uncertainty regarding customer volume and consumption patterns.”</w:t>
      </w:r>
      <w:r w:rsidR="00BC52CA">
        <w:rPr>
          <w:rStyle w:val="FootnoteReference"/>
        </w:rPr>
        <w:footnoteReference w:id="8"/>
      </w:r>
      <w:r w:rsidR="003174E6">
        <w:t xml:space="preserve"> According to Cal Advocates, this means SoCalGas “likely miscalculates RNG usage, and thus, GHG reductions.”</w:t>
      </w:r>
      <w:r w:rsidR="003174E6">
        <w:rPr>
          <w:rStyle w:val="FootnoteReference"/>
        </w:rPr>
        <w:footnoteReference w:id="9"/>
      </w:r>
    </w:p>
    <w:p w:rsidR="00526739" w:rsidP="00BB5160" w:rsidRDefault="00526739" w14:paraId="326D5F99" w14:textId="1CC3D59F">
      <w:pPr>
        <w:pStyle w:val="Standard"/>
      </w:pPr>
      <w:r>
        <w:t xml:space="preserve">Further, Cal Advocates asserts that </w:t>
      </w:r>
      <w:r w:rsidR="006B2A63">
        <w:t>SoCalGas’ GHG reduction calculations are dependent on the customers being able to secure an adequate supply of low-carbon RNG.</w:t>
      </w:r>
      <w:r w:rsidR="00122BA8">
        <w:rPr>
          <w:rStyle w:val="FootnoteReference"/>
        </w:rPr>
        <w:footnoteReference w:id="10"/>
      </w:r>
      <w:r w:rsidR="00122BA8">
        <w:t xml:space="preserve"> Should the customers not be able to secure sufficient low-carbon RNG, then, Cal Advocates argues, “the projects’ emissions will be higher, either because the vehicles may need to use fossil gas or because the procured RNG will have a higher carbon intensity than [SoCalGass</w:t>
      </w:r>
      <w:r w:rsidR="00641070">
        <w:t>’</w:t>
      </w:r>
      <w:r w:rsidR="00122BA8">
        <w:t xml:space="preserve"> estimates].”</w:t>
      </w:r>
      <w:r w:rsidR="00122BA8">
        <w:rPr>
          <w:rStyle w:val="FootnoteReference"/>
        </w:rPr>
        <w:footnoteReference w:id="11"/>
      </w:r>
      <w:r w:rsidR="005C776E">
        <w:t xml:space="preserve"> Cal Advocates argues that because SoCalGas does not provide evidence that the projects</w:t>
      </w:r>
      <w:r w:rsidR="003022DB">
        <w:t xml:space="preserve"> will be able to acquire an adequate amount of RNG, SoCalGas has not substantiated its GHG reduction calculations, and therefore it has not</w:t>
      </w:r>
      <w:r w:rsidR="008A04A1">
        <w:t xml:space="preserve"> demonstrated that the projects will result in GHG emissions reductions.</w:t>
      </w:r>
    </w:p>
    <w:p w:rsidR="006117BB" w:rsidP="00BB5160" w:rsidRDefault="006117BB" w14:paraId="1055548E" w14:textId="083FE7E9">
      <w:pPr>
        <w:pStyle w:val="Standard"/>
      </w:pPr>
      <w:r>
        <w:t xml:space="preserve">Finally, both Cal Advocates and Sierra Club argue that </w:t>
      </w:r>
      <w:r w:rsidR="00095A00">
        <w:t xml:space="preserve">because </w:t>
      </w:r>
      <w:r w:rsidR="006674BA">
        <w:t xml:space="preserve">Projects G and H are public RNG fueling stations “needed to serve the existing market of </w:t>
      </w:r>
      <w:r w:rsidR="00553490">
        <w:t>[compressed natural gas (</w:t>
      </w:r>
      <w:r w:rsidR="006674BA">
        <w:t>CNG</w:t>
      </w:r>
      <w:r w:rsidR="00553490">
        <w:t>)]</w:t>
      </w:r>
      <w:r w:rsidR="006674BA">
        <w:t xml:space="preserve"> vehicles,” that </w:t>
      </w:r>
      <w:r w:rsidR="0046576C">
        <w:t xml:space="preserve">it is not clear how any diesel is </w:t>
      </w:r>
      <w:r w:rsidR="0046576C">
        <w:lastRenderedPageBreak/>
        <w:t>being displaced, nor how SoCalGas’ stated GHG emissions reductions will be achieved.</w:t>
      </w:r>
      <w:r w:rsidR="0046576C">
        <w:rPr>
          <w:rStyle w:val="FootnoteReference"/>
        </w:rPr>
        <w:footnoteReference w:id="12"/>
      </w:r>
    </w:p>
    <w:p w:rsidR="008A04A1" w:rsidP="00890059" w:rsidRDefault="0070302B" w14:paraId="415E27BD" w14:textId="09C52D9D">
      <w:pPr>
        <w:pStyle w:val="Heading3"/>
      </w:pPr>
      <w:bookmarkStart w:name="_Toc243318781" w:id="25"/>
      <w:bookmarkStart w:name="_Toc243476861" w:id="26"/>
      <w:r>
        <w:t>Discussion</w:t>
      </w:r>
      <w:bookmarkEnd w:id="25"/>
      <w:bookmarkEnd w:id="26"/>
    </w:p>
    <w:p w:rsidR="002D7E8B" w:rsidP="002D7E8B" w:rsidRDefault="00420463" w14:paraId="4751C4B8" w14:textId="7C1CD327">
      <w:pPr>
        <w:pStyle w:val="Standard"/>
      </w:pPr>
      <w:r>
        <w:t>We find th</w:t>
      </w:r>
      <w:r w:rsidR="00DF3428">
        <w:t>at SoCalGas has</w:t>
      </w:r>
      <w:r w:rsidR="00D81299">
        <w:t xml:space="preserve"> sufficiently</w:t>
      </w:r>
      <w:r w:rsidR="00DF3428">
        <w:t xml:space="preserve"> demonstrated that the projects will </w:t>
      </w:r>
      <w:r w:rsidR="00F77726">
        <w:t>reduce</w:t>
      </w:r>
      <w:r w:rsidR="00DF3428">
        <w:t xml:space="preserve"> GHG emissions. </w:t>
      </w:r>
      <w:r w:rsidR="004038E0">
        <w:t>SoCalGas’ calculations demonstrate that the projects wi</w:t>
      </w:r>
      <w:r w:rsidR="002245A2">
        <w:t>ll displace diesel, resulting in GHG emissions reductions</w:t>
      </w:r>
      <w:r w:rsidR="007A1B62">
        <w:t xml:space="preserve"> using a methodology aligned with </w:t>
      </w:r>
      <w:r w:rsidR="000E0249">
        <w:t>the</w:t>
      </w:r>
      <w:r w:rsidRPr="002016FD" w:rsidR="007A1B62">
        <w:t xml:space="preserve"> </w:t>
      </w:r>
      <w:r w:rsidRPr="002016FD" w:rsidR="00166C27">
        <w:t>we</w:t>
      </w:r>
      <w:r w:rsidR="00166C27">
        <w:t xml:space="preserve">ll-established </w:t>
      </w:r>
      <w:r w:rsidR="007A1B62">
        <w:t xml:space="preserve">LCFS program. </w:t>
      </w:r>
      <w:r w:rsidR="002245A2">
        <w:t xml:space="preserve">While we acknowledge </w:t>
      </w:r>
      <w:r w:rsidR="009722BD">
        <w:t xml:space="preserve">customers’ estimates of </w:t>
      </w:r>
      <w:r w:rsidR="004E28FF">
        <w:t>their RNG usag</w:t>
      </w:r>
      <w:r w:rsidR="00D04713">
        <w:t>e are just that</w:t>
      </w:r>
      <w:r w:rsidR="00DD2240">
        <w:t xml:space="preserve"> </w:t>
      </w:r>
      <w:r w:rsidR="00BF10DF">
        <w:t>—</w:t>
      </w:r>
      <w:r w:rsidR="00D04713">
        <w:t xml:space="preserve"> estimates</w:t>
      </w:r>
      <w:r w:rsidR="00DD2240">
        <w:t xml:space="preserve"> </w:t>
      </w:r>
      <w:r w:rsidR="00BF10DF">
        <w:t>—</w:t>
      </w:r>
      <w:r w:rsidR="00DD2240">
        <w:t xml:space="preserve"> </w:t>
      </w:r>
      <w:r w:rsidR="00166C27">
        <w:t>we do not believe that this undermines the reasonableness of SoCalGas’ GHG reduction calculations.</w:t>
      </w:r>
      <w:r w:rsidR="00B9386B">
        <w:t xml:space="preserve"> </w:t>
      </w:r>
      <w:r w:rsidR="00A270A2">
        <w:t>We agree with SoCalGas</w:t>
      </w:r>
      <w:r w:rsidR="00166C27">
        <w:t xml:space="preserve"> </w:t>
      </w:r>
      <w:r w:rsidR="00A270A2">
        <w:t xml:space="preserve">that </w:t>
      </w:r>
      <w:r w:rsidR="0099708B">
        <w:t>there is an “inherent level of uncertainty regarding customer volume and consumption patterns.”</w:t>
      </w:r>
      <w:r w:rsidR="0034405F">
        <w:rPr>
          <w:rStyle w:val="FootnoteReference"/>
        </w:rPr>
        <w:footnoteReference w:id="13"/>
      </w:r>
      <w:r w:rsidR="00E91545">
        <w:t xml:space="preserve"> </w:t>
      </w:r>
      <w:r w:rsidR="00BC57D9">
        <w:t>We do not find that it was unreasonable for SoCalGas to rely on the customers</w:t>
      </w:r>
      <w:r w:rsidR="000D68FD">
        <w:t>’</w:t>
      </w:r>
      <w:r w:rsidR="00BC57D9">
        <w:t xml:space="preserve"> estimates of their RNG consumption to generate the GHG reduction estimates; indeed, we do not see how else SoCalGas could have procured that information.</w:t>
      </w:r>
    </w:p>
    <w:p w:rsidR="00BC57D9" w:rsidP="002D7E8B" w:rsidRDefault="008B50AD" w14:paraId="6687AD86" w14:textId="67236384">
      <w:pPr>
        <w:pStyle w:val="Standard"/>
      </w:pPr>
      <w:r>
        <w:t>Moreover, we note that D.</w:t>
      </w:r>
      <w:r w:rsidR="000D68FD">
        <w:t xml:space="preserve">22-09-026 </w:t>
      </w:r>
      <w:r w:rsidR="009645EE">
        <w:t xml:space="preserve">does not </w:t>
      </w:r>
      <w:r w:rsidR="00F77726">
        <w:t>specify an amount by which GHG emissions must be reduced</w:t>
      </w:r>
      <w:r w:rsidR="00976BB5">
        <w:t>, only that the</w:t>
      </w:r>
      <w:r w:rsidR="001D7CE0">
        <w:t xml:space="preserve"> project</w:t>
      </w:r>
      <w:r w:rsidR="00976BB5">
        <w:t xml:space="preserve"> must demons</w:t>
      </w:r>
      <w:r w:rsidR="001A79E3">
        <w:t xml:space="preserve">trate a reduction. Because of this, we are not persuaded by </w:t>
      </w:r>
      <w:r w:rsidR="003C49BC">
        <w:t xml:space="preserve">Cal Advocates’ concerns that </w:t>
      </w:r>
      <w:r w:rsidR="0025204B">
        <w:t xml:space="preserve">SoCalGas’ calculations may be based on inaccurate estimates or on amounts of low carbon RNG that </w:t>
      </w:r>
      <w:r w:rsidR="00E53212">
        <w:t>customers may not be able to sufficiently procure. We find that the record demonstrates that these project</w:t>
      </w:r>
      <w:r w:rsidR="00F84F6C">
        <w:t xml:space="preserve">s, </w:t>
      </w:r>
      <w:r w:rsidR="004022D7">
        <w:t>by displacing diesel</w:t>
      </w:r>
      <w:r w:rsidR="00F84F6C">
        <w:t>, w</w:t>
      </w:r>
      <w:r w:rsidR="00EA3C20">
        <w:t>ill</w:t>
      </w:r>
      <w:r w:rsidR="00F84F6C">
        <w:t xml:space="preserve"> result in </w:t>
      </w:r>
      <w:r w:rsidR="00AA0F06">
        <w:t>GHG emissions reductions</w:t>
      </w:r>
      <w:r w:rsidR="00F84F6C">
        <w:t>.</w:t>
      </w:r>
    </w:p>
    <w:p w:rsidR="00145714" w:rsidP="002D7E8B" w:rsidRDefault="00145714" w14:paraId="3321C6A8" w14:textId="6D8E0324">
      <w:pPr>
        <w:pStyle w:val="Standard"/>
      </w:pPr>
      <w:r>
        <w:t xml:space="preserve">Finally, we are not persuaded by </w:t>
      </w:r>
      <w:r w:rsidR="003842C2">
        <w:t>Cal Advocates’ and Sierra Club’s</w:t>
      </w:r>
      <w:r>
        <w:t xml:space="preserve"> concerns that Projects </w:t>
      </w:r>
      <w:r w:rsidR="002D6C79">
        <w:t xml:space="preserve">G and H will not </w:t>
      </w:r>
      <w:r w:rsidR="00C468EC">
        <w:t xml:space="preserve">displace </w:t>
      </w:r>
      <w:r w:rsidR="00B5237B">
        <w:t xml:space="preserve">diesel because </w:t>
      </w:r>
      <w:r w:rsidR="001F25E3">
        <w:t xml:space="preserve">they are public </w:t>
      </w:r>
      <w:r w:rsidR="001F25E3">
        <w:lastRenderedPageBreak/>
        <w:t xml:space="preserve">RNG fueling stations that will serve existing RNG vehicle users. We </w:t>
      </w:r>
      <w:r w:rsidR="00F77726">
        <w:t>are persuaded that</w:t>
      </w:r>
      <w:r w:rsidR="00E579FF">
        <w:t xml:space="preserve">, generally, building a new </w:t>
      </w:r>
      <w:r w:rsidR="00A96237">
        <w:t xml:space="preserve">public </w:t>
      </w:r>
      <w:r w:rsidR="00E579FF">
        <w:t>RNG fueling station increases the market for RNG vehicles</w:t>
      </w:r>
      <w:r w:rsidR="00DC78A8">
        <w:t xml:space="preserve"> by making refueling those vehicles more accessible</w:t>
      </w:r>
      <w:r w:rsidR="004B3787">
        <w:t>.</w:t>
      </w:r>
      <w:r w:rsidR="00F57A48">
        <w:rPr>
          <w:rStyle w:val="FootnoteReference"/>
        </w:rPr>
        <w:footnoteReference w:id="14"/>
      </w:r>
      <w:r w:rsidR="004042AB">
        <w:t xml:space="preserve"> </w:t>
      </w:r>
      <w:r w:rsidR="008A7E4A">
        <w:t>Therefore</w:t>
      </w:r>
      <w:r w:rsidR="00C1514D">
        <w:t>,</w:t>
      </w:r>
      <w:r w:rsidR="008A7E4A">
        <w:t xml:space="preserve"> we find that while Projects G and H will serve </w:t>
      </w:r>
      <w:r w:rsidR="00195F0B">
        <w:t xml:space="preserve">existing RNG vehicles, they will also </w:t>
      </w:r>
      <w:r w:rsidR="008D3C8F">
        <w:t xml:space="preserve">likely </w:t>
      </w:r>
      <w:r w:rsidR="00195F0B">
        <w:t xml:space="preserve">serve new RNG vehicles that otherwise would have </w:t>
      </w:r>
      <w:r w:rsidR="00E411DA">
        <w:t>relied on</w:t>
      </w:r>
      <w:r w:rsidR="00195F0B">
        <w:t xml:space="preserve"> </w:t>
      </w:r>
      <w:r w:rsidR="00570F13">
        <w:t>diesel</w:t>
      </w:r>
      <w:r w:rsidR="00110FEC">
        <w:t>, resulting in GHG reductions.</w:t>
      </w:r>
    </w:p>
    <w:p w:rsidR="000E270A" w:rsidP="00B17696" w:rsidRDefault="00C1514D" w14:paraId="2C9E8DA5" w14:textId="78DD6DAF">
      <w:pPr>
        <w:pStyle w:val="Standard"/>
      </w:pPr>
      <w:r>
        <w:t xml:space="preserve">For these reasons, we find that the </w:t>
      </w:r>
      <w:r w:rsidR="00E411DA">
        <w:t>s</w:t>
      </w:r>
      <w:r w:rsidR="00BF10DF">
        <w:t>ix</w:t>
      </w:r>
      <w:r>
        <w:t xml:space="preserve"> customer projects meet the requirement to demonstrate GHG reductions. However, we do note that this finding </w:t>
      </w:r>
      <w:r w:rsidR="00C93C51">
        <w:t xml:space="preserve">is underpinned by an </w:t>
      </w:r>
      <w:r>
        <w:t>important assumption: that t</w:t>
      </w:r>
      <w:r w:rsidR="006E5B19">
        <w:t xml:space="preserve">here is no other </w:t>
      </w:r>
      <w:r w:rsidR="00CD1BFA">
        <w:t>feasible</w:t>
      </w:r>
      <w:r w:rsidR="00E00F95">
        <w:t>, less carbon-intensive</w:t>
      </w:r>
      <w:r w:rsidR="00CD1BFA">
        <w:t xml:space="preserve"> alternative to diesel fuel </w:t>
      </w:r>
      <w:r w:rsidR="00E00F95">
        <w:t xml:space="preserve">other than RNG. </w:t>
      </w:r>
      <w:r w:rsidR="002600A8">
        <w:t xml:space="preserve">We discuss </w:t>
      </w:r>
      <w:r w:rsidR="00B17696">
        <w:t>this issue in more detail below in section 3.3.</w:t>
      </w:r>
    </w:p>
    <w:p w:rsidR="00F40BC2" w:rsidP="00F40BC2" w:rsidRDefault="00F40BC2" w14:paraId="57ED5E26" w14:textId="52D95B74">
      <w:pPr>
        <w:pStyle w:val="Heading2"/>
      </w:pPr>
      <w:bookmarkStart w:name="_Toc243318782" w:id="27"/>
      <w:bookmarkStart w:name="_Toc243476862" w:id="28"/>
      <w:r>
        <w:t>Consistency with California Climate Goals</w:t>
      </w:r>
      <w:bookmarkEnd w:id="27"/>
      <w:bookmarkEnd w:id="28"/>
    </w:p>
    <w:p w:rsidR="00B17696" w:rsidP="00F7231F" w:rsidRDefault="004454B9" w14:paraId="6219E017" w14:textId="00C84EF8">
      <w:pPr>
        <w:pStyle w:val="Heading3"/>
      </w:pPr>
      <w:bookmarkStart w:name="_Toc243318783" w:id="29"/>
      <w:bookmarkStart w:name="_Toc243476863" w:id="30"/>
      <w:r>
        <w:t>SoCalGas’ Contentions</w:t>
      </w:r>
      <w:bookmarkEnd w:id="29"/>
      <w:bookmarkEnd w:id="30"/>
    </w:p>
    <w:p w:rsidR="004454B9" w:rsidP="004454B9" w:rsidRDefault="00DB0B7C" w14:paraId="123A0D1D" w14:textId="7CC0F336">
      <w:pPr>
        <w:pStyle w:val="Standard"/>
      </w:pPr>
      <w:r>
        <w:t xml:space="preserve">SoCalGas argues that </w:t>
      </w:r>
      <w:r w:rsidR="00C66C27">
        <w:t xml:space="preserve">the </w:t>
      </w:r>
      <w:r w:rsidR="00EA4F84">
        <w:t>s</w:t>
      </w:r>
      <w:r w:rsidR="00BF10DF">
        <w:t>ix</w:t>
      </w:r>
      <w:r w:rsidR="003C003D">
        <w:t xml:space="preserve"> customer RNG fueling station projects are all consistent with California climate goals</w:t>
      </w:r>
      <w:r w:rsidR="007E46F4">
        <w:t>, including SB 32, which mandates a 40% reduction in GHG emissions below 1990 levels by 20</w:t>
      </w:r>
      <w:r w:rsidR="00A12EE7">
        <w:t>30</w:t>
      </w:r>
      <w:r w:rsidR="007E46F4">
        <w:t xml:space="preserve">, and </w:t>
      </w:r>
      <w:r w:rsidR="00DF260B">
        <w:t xml:space="preserve">the goals articulated in </w:t>
      </w:r>
      <w:r w:rsidR="00F77726">
        <w:t>E</w:t>
      </w:r>
      <w:r w:rsidR="00DF260B">
        <w:t xml:space="preserve">xecutive </w:t>
      </w:r>
      <w:r w:rsidR="00F77726">
        <w:t>O</w:t>
      </w:r>
      <w:r w:rsidR="00DF260B">
        <w:t xml:space="preserve">rders N-79-20 and N-27-25, which </w:t>
      </w:r>
      <w:r w:rsidR="00436E07">
        <w:t xml:space="preserve">aim </w:t>
      </w:r>
      <w:r w:rsidR="00D10FBD">
        <w:t>for 100</w:t>
      </w:r>
      <w:r w:rsidR="00031E69">
        <w:t>%</w:t>
      </w:r>
      <w:r w:rsidR="00D10FBD">
        <w:t xml:space="preserve"> of medium- and heavy-duty vehicles in the state to be zero emission by 2045 for all operations where feasible</w:t>
      </w:r>
      <w:r w:rsidR="003C003D">
        <w:t>.</w:t>
      </w:r>
      <w:r w:rsidR="00B1202E">
        <w:rPr>
          <w:rStyle w:val="FootnoteReference"/>
        </w:rPr>
        <w:footnoteReference w:id="15"/>
      </w:r>
      <w:r w:rsidR="003C003D">
        <w:t xml:space="preserve"> SoCalGas </w:t>
      </w:r>
      <w:r w:rsidR="006F4434">
        <w:t>argues that RNG fueling station projects are consistent with state climate goals because RNG has significant climate benefits, including reducing GHG emissions by up to 80% compared with diesel.</w:t>
      </w:r>
      <w:r w:rsidR="006F4434">
        <w:rPr>
          <w:rStyle w:val="FootnoteReference"/>
        </w:rPr>
        <w:footnoteReference w:id="16"/>
      </w:r>
      <w:r w:rsidR="00C41A64">
        <w:t xml:space="preserve"> SoCalGas further argues that constructing </w:t>
      </w:r>
      <w:r w:rsidR="00F07C36">
        <w:t xml:space="preserve">RNG fueling stations can also </w:t>
      </w:r>
      <w:r w:rsidR="00F07C36">
        <w:lastRenderedPageBreak/>
        <w:t xml:space="preserve">encourage the development of </w:t>
      </w:r>
      <w:r w:rsidR="00EF0E49">
        <w:t>in-state RNG production facilities, in</w:t>
      </w:r>
      <w:r w:rsidR="00EA4F84">
        <w:t xml:space="preserve"> </w:t>
      </w:r>
      <w:r w:rsidR="00EF0E49">
        <w:t xml:space="preserve">line with the goals of SB 1383 and </w:t>
      </w:r>
      <w:r w:rsidR="008D3C8F">
        <w:t xml:space="preserve">the </w:t>
      </w:r>
      <w:r w:rsidRPr="00004C68" w:rsidR="00EF0E49">
        <w:t>C</w:t>
      </w:r>
      <w:r w:rsidRPr="00004C68" w:rsidR="008D3C8F">
        <w:t xml:space="preserve">alifornia </w:t>
      </w:r>
      <w:r w:rsidRPr="00004C68" w:rsidR="00EF0E49">
        <w:t>A</w:t>
      </w:r>
      <w:r w:rsidRPr="00004C68" w:rsidR="008D3C8F">
        <w:t xml:space="preserve">ir </w:t>
      </w:r>
      <w:r w:rsidRPr="00004C68" w:rsidR="00EF0E49">
        <w:t>R</w:t>
      </w:r>
      <w:r w:rsidRPr="00004C68" w:rsidR="008D3C8F">
        <w:t>esources</w:t>
      </w:r>
      <w:r w:rsidR="008D3C8F">
        <w:t xml:space="preserve"> </w:t>
      </w:r>
      <w:r w:rsidRPr="00DE59F6" w:rsidR="00EF0E49">
        <w:t>B</w:t>
      </w:r>
      <w:r w:rsidR="008D3C8F">
        <w:t>oard</w:t>
      </w:r>
      <w:r w:rsidRPr="00DE59F6" w:rsidR="00EF0E49">
        <w:t xml:space="preserve">’s </w:t>
      </w:r>
      <w:r w:rsidR="008D3C8F">
        <w:t xml:space="preserve">(CARB) </w:t>
      </w:r>
      <w:r w:rsidRPr="00DE59F6" w:rsidR="00DE59F6">
        <w:t>Short-Lived</w:t>
      </w:r>
      <w:r w:rsidR="00DE59F6">
        <w:t xml:space="preserve"> Climate Pollutant</w:t>
      </w:r>
      <w:r w:rsidR="00EF0E49">
        <w:t xml:space="preserve"> </w:t>
      </w:r>
      <w:r w:rsidR="00DE59F6">
        <w:t>R</w:t>
      </w:r>
      <w:r w:rsidR="00EF0E49">
        <w:t xml:space="preserve">eduction </w:t>
      </w:r>
      <w:r w:rsidR="00DE59F6">
        <w:t>S</w:t>
      </w:r>
      <w:r w:rsidR="00EF0E49">
        <w:t>trategy.</w:t>
      </w:r>
      <w:r w:rsidR="00EF0E49">
        <w:rPr>
          <w:rStyle w:val="FootnoteReference"/>
        </w:rPr>
        <w:footnoteReference w:id="17"/>
      </w:r>
      <w:r w:rsidR="005C5349">
        <w:t xml:space="preserve"> SoCalGas further states that replacing diesel with RNG can result in air quality improvements, including reducing emissions of</w:t>
      </w:r>
      <w:r w:rsidR="00EB3456">
        <w:t xml:space="preserve"> nitrogen oxides</w:t>
      </w:r>
      <w:r w:rsidR="005C5349">
        <w:t xml:space="preserve"> </w:t>
      </w:r>
      <w:r w:rsidR="00EB3456">
        <w:t>(</w:t>
      </w:r>
      <w:r w:rsidR="005C5349">
        <w:t>N</w:t>
      </w:r>
      <w:r w:rsidR="00EB3456">
        <w:t>O</w:t>
      </w:r>
      <w:r w:rsidR="005C5349">
        <w:t>x</w:t>
      </w:r>
      <w:r w:rsidR="00EB3456">
        <w:t>)</w:t>
      </w:r>
      <w:r w:rsidR="005C5349">
        <w:t xml:space="preserve"> and particulate matter.</w:t>
      </w:r>
      <w:r w:rsidR="009D74A8">
        <w:rPr>
          <w:rStyle w:val="FootnoteReference"/>
        </w:rPr>
        <w:footnoteReference w:id="18"/>
      </w:r>
    </w:p>
    <w:p w:rsidR="009D74A8" w:rsidP="004454B9" w:rsidRDefault="00D73950" w14:paraId="13BCA8F6" w14:textId="3D33F99F">
      <w:pPr>
        <w:pStyle w:val="Standard"/>
      </w:pPr>
      <w:r>
        <w:t xml:space="preserve">SoCalGas argues that </w:t>
      </w:r>
      <w:r w:rsidR="00380729">
        <w:t xml:space="preserve">near-zero emission technologies and renewable fuels, like RNG, are </w:t>
      </w:r>
      <w:r w:rsidR="00482D2E">
        <w:t>integral to California’s decarbonization goals.</w:t>
      </w:r>
      <w:r w:rsidR="00482D2E">
        <w:rPr>
          <w:rStyle w:val="FootnoteReference"/>
        </w:rPr>
        <w:footnoteReference w:id="19"/>
      </w:r>
      <w:r w:rsidR="003A588C">
        <w:t xml:space="preserve"> </w:t>
      </w:r>
      <w:r w:rsidR="001969E6">
        <w:t>As an example, SoCalGas notes</w:t>
      </w:r>
      <w:r w:rsidR="003A588C">
        <w:t xml:space="preserve"> that last year the LCFS program reduced the carbon intensity of California’s fuel mix by almost 13% through the displacement of diesel with cleaner alternatives.</w:t>
      </w:r>
      <w:r w:rsidR="003A588C">
        <w:rPr>
          <w:rStyle w:val="FootnoteReference"/>
        </w:rPr>
        <w:footnoteReference w:id="20"/>
      </w:r>
      <w:r w:rsidR="00B71518">
        <w:t xml:space="preserve"> </w:t>
      </w:r>
      <w:r w:rsidR="00F1569F">
        <w:t>SoCalGas argues that RNG projects enable near-term</w:t>
      </w:r>
      <w:r w:rsidR="00DB20CA">
        <w:t xml:space="preserve"> decarbonization during California’s transition period, especially in sectors </w:t>
      </w:r>
      <w:r w:rsidR="00643E34">
        <w:t>like medium- and heavy-duty transportation, where immediate electrification is impractical.</w:t>
      </w:r>
      <w:r w:rsidR="00643E34">
        <w:rPr>
          <w:rStyle w:val="FootnoteReference"/>
        </w:rPr>
        <w:footnoteReference w:id="21"/>
      </w:r>
    </w:p>
    <w:p w:rsidR="00D03404" w:rsidP="007C45F0" w:rsidRDefault="007C45F0" w14:paraId="3AC3FF80" w14:textId="6314680D">
      <w:pPr>
        <w:pStyle w:val="Heading3"/>
      </w:pPr>
      <w:bookmarkStart w:name="_Toc243318784" w:id="31"/>
      <w:bookmarkStart w:name="_Toc243476864" w:id="32"/>
      <w:r>
        <w:t>Intervenors’ Contentions</w:t>
      </w:r>
      <w:bookmarkEnd w:id="31"/>
      <w:bookmarkEnd w:id="32"/>
    </w:p>
    <w:p w:rsidR="00AF32C9" w:rsidP="007C45F0" w:rsidRDefault="00AF32C9" w14:paraId="7808C516" w14:textId="57234865">
      <w:pPr>
        <w:pStyle w:val="Standard"/>
      </w:pPr>
      <w:r>
        <w:t>Sierra Club</w:t>
      </w:r>
      <w:r w:rsidR="000B1CC9">
        <w:t xml:space="preserve"> argues that long term </w:t>
      </w:r>
      <w:r w:rsidR="00253DCA">
        <w:t xml:space="preserve">investments in </w:t>
      </w:r>
      <w:r w:rsidR="00816C6D">
        <w:t xml:space="preserve">refueling stations for methane-burning vehicles are inconsistent with California’s climate goals, which </w:t>
      </w:r>
      <w:r w:rsidR="00D11010">
        <w:t>require transitioning the transportation sector to zero-emissions vehicles.</w:t>
      </w:r>
      <w:r w:rsidR="00D11010">
        <w:rPr>
          <w:rStyle w:val="FootnoteReference"/>
        </w:rPr>
        <w:footnoteReference w:id="22"/>
      </w:r>
      <w:r w:rsidR="00946183">
        <w:t xml:space="preserve"> In support of this argument, Sierra Club cites to D.</w:t>
      </w:r>
      <w:r w:rsidR="00142548">
        <w:t xml:space="preserve">22-09-026, which rejected a request for a blanket exemption for facilities enabling the use of RNG, stating, </w:t>
      </w:r>
      <w:r w:rsidR="00142548">
        <w:lastRenderedPageBreak/>
        <w:t>“</w:t>
      </w:r>
      <w:r w:rsidR="005D0C75">
        <w:t>[o]ur priority in the long term is to move away from fossil fuels altogether, including in the transportation sector, as opposed to supporting less harmful fossil fuels.”</w:t>
      </w:r>
      <w:r w:rsidR="005D0C75">
        <w:rPr>
          <w:rStyle w:val="FootnoteReference"/>
        </w:rPr>
        <w:footnoteReference w:id="23"/>
      </w:r>
    </w:p>
    <w:p w:rsidRPr="00B7543D" w:rsidR="001E2454" w:rsidP="007C45F0" w:rsidRDefault="001E2454" w14:paraId="56449670" w14:textId="747E2930">
      <w:pPr>
        <w:pStyle w:val="Standard"/>
      </w:pPr>
      <w:r>
        <w:t xml:space="preserve">Sierra Club also argues that </w:t>
      </w:r>
      <w:r w:rsidR="0024218E">
        <w:t xml:space="preserve">investing in RNG fueling stations now risks making those refueling stations stranded assets </w:t>
      </w:r>
      <w:r w:rsidR="00677F61">
        <w:t>as the state does fully transition to zero-emissions vehicles.</w:t>
      </w:r>
      <w:r w:rsidR="00677F61">
        <w:rPr>
          <w:rStyle w:val="FootnoteReference"/>
        </w:rPr>
        <w:footnoteReference w:id="24"/>
      </w:r>
      <w:r w:rsidR="003E0BA8">
        <w:t xml:space="preserve"> Sierra Club </w:t>
      </w:r>
      <w:r w:rsidR="00C83E15">
        <w:t>asserts</w:t>
      </w:r>
      <w:r w:rsidR="003E0BA8">
        <w:t xml:space="preserve"> that concerns about stranded asset risks have formed the basis for </w:t>
      </w:r>
      <w:r w:rsidR="005864D4">
        <w:t>the Commission’s p</w:t>
      </w:r>
      <w:r w:rsidR="00251063">
        <w:t xml:space="preserve">rior rejections of continued ratepayer investment in fossil fuel burning facilities, including the Commission’s rejection </w:t>
      </w:r>
      <w:r w:rsidR="002226E8">
        <w:t>of SoCalGas’ request to recover costs for new RNG refueling stations in</w:t>
      </w:r>
      <w:r w:rsidR="004256C0">
        <w:t xml:space="preserve"> </w:t>
      </w:r>
      <w:r w:rsidRPr="00B7543D" w:rsidR="005870FE">
        <w:t xml:space="preserve">its 2024 </w:t>
      </w:r>
      <w:r w:rsidR="00B7543D">
        <w:t>g</w:t>
      </w:r>
      <w:r w:rsidRPr="00B7543D" w:rsidR="005870FE">
        <w:t xml:space="preserve">eneral </w:t>
      </w:r>
      <w:r w:rsidR="00B7543D">
        <w:t>r</w:t>
      </w:r>
      <w:r w:rsidRPr="00B7543D" w:rsidR="005870FE">
        <w:t xml:space="preserve">ate </w:t>
      </w:r>
      <w:r w:rsidR="00B7543D">
        <w:t>c</w:t>
      </w:r>
      <w:r w:rsidRPr="00B7543D" w:rsidR="005870FE">
        <w:t>ase</w:t>
      </w:r>
      <w:r w:rsidRPr="00B7543D" w:rsidR="00D965C0">
        <w:t xml:space="preserve"> (GRC)</w:t>
      </w:r>
      <w:r w:rsidRPr="00B7543D" w:rsidR="005870FE">
        <w:t xml:space="preserve"> decision</w:t>
      </w:r>
      <w:r w:rsidRPr="00B7543D" w:rsidR="004256C0">
        <w:t>.</w:t>
      </w:r>
      <w:r w:rsidRPr="00B7543D" w:rsidR="004256C0">
        <w:rPr>
          <w:rStyle w:val="FootnoteReference"/>
        </w:rPr>
        <w:footnoteReference w:id="25"/>
      </w:r>
    </w:p>
    <w:p w:rsidR="0061150D" w:rsidP="0061150D" w:rsidRDefault="0061150D" w14:paraId="41DAC863" w14:textId="7B239AE3">
      <w:pPr>
        <w:pStyle w:val="Standard"/>
      </w:pPr>
      <w:r w:rsidRPr="00B7543D">
        <w:t>Cal Advocates argues that all the projects but</w:t>
      </w:r>
      <w:r>
        <w:t xml:space="preserve"> one, </w:t>
      </w:r>
      <w:r w:rsidR="00422494">
        <w:t>P</w:t>
      </w:r>
      <w:r>
        <w:t>roject B, fail to include a timeline or plan to transition away from RNG to electric or other zero-emissions vehicles, and so the projects are not consistent with the state’s climate goal to transition to a zero-emission transportation sector.</w:t>
      </w:r>
      <w:r>
        <w:rPr>
          <w:rStyle w:val="FootnoteReference"/>
        </w:rPr>
        <w:footnoteReference w:id="26"/>
      </w:r>
      <w:r>
        <w:t xml:space="preserve"> Cal Advocates also argues that because SoCalGas did not demonstrate the projects will reduce GHG emissions, the projects cannot be said to be consistent with the state’s broader goal to reduce GHG emissions.</w:t>
      </w:r>
      <w:r>
        <w:rPr>
          <w:rStyle w:val="FootnoteReference"/>
        </w:rPr>
        <w:footnoteReference w:id="27"/>
      </w:r>
      <w:r w:rsidR="00245147">
        <w:t xml:space="preserve"> </w:t>
      </w:r>
    </w:p>
    <w:p w:rsidR="00080A76" w:rsidP="00080A76" w:rsidRDefault="00080A76" w14:paraId="17204418" w14:textId="6706A857">
      <w:pPr>
        <w:pStyle w:val="Heading3"/>
      </w:pPr>
      <w:bookmarkStart w:name="_Toc243318785" w:id="33"/>
      <w:bookmarkStart w:name="_Toc243476865" w:id="34"/>
      <w:r>
        <w:t>Discussion</w:t>
      </w:r>
      <w:bookmarkEnd w:id="33"/>
      <w:bookmarkEnd w:id="34"/>
    </w:p>
    <w:p w:rsidR="00F23EB2" w:rsidP="00080A76" w:rsidRDefault="00544C33" w14:paraId="412648F5" w14:textId="113F4A5E">
      <w:pPr>
        <w:pStyle w:val="Standard"/>
      </w:pPr>
      <w:r>
        <w:t xml:space="preserve">We find that </w:t>
      </w:r>
      <w:r w:rsidR="0062480A">
        <w:t xml:space="preserve">SoCalGas has demonstrated that the </w:t>
      </w:r>
      <w:r w:rsidR="002B5503">
        <w:t>six</w:t>
      </w:r>
      <w:r w:rsidR="0062480A">
        <w:t xml:space="preserve"> customer projects are consistent with California</w:t>
      </w:r>
      <w:r w:rsidR="008D3C8F">
        <w:t>’s</w:t>
      </w:r>
      <w:r w:rsidR="0062480A">
        <w:t xml:space="preserve"> climate goals. </w:t>
      </w:r>
      <w:r w:rsidR="00F23EB2">
        <w:t>B</w:t>
      </w:r>
      <w:r w:rsidR="00D86201">
        <w:t xml:space="preserve">oth </w:t>
      </w:r>
      <w:r w:rsidR="005661EF">
        <w:t xml:space="preserve">the California Air Resources </w:t>
      </w:r>
      <w:r w:rsidR="005661EF">
        <w:lastRenderedPageBreak/>
        <w:t>Board (</w:t>
      </w:r>
      <w:r w:rsidR="00B91AE8">
        <w:t>CARB</w:t>
      </w:r>
      <w:r w:rsidR="005661EF">
        <w:t>)</w:t>
      </w:r>
      <w:r w:rsidR="00B91AE8">
        <w:t xml:space="preserve"> and the </w:t>
      </w:r>
      <w:r w:rsidR="000D1720">
        <w:t>Commission</w:t>
      </w:r>
      <w:r w:rsidR="00B91AE8">
        <w:t xml:space="preserve"> have acknowledged that fuels like RNG provide important GHG reductions in th</w:t>
      </w:r>
      <w:r w:rsidR="004C30FC">
        <w:t>is</w:t>
      </w:r>
      <w:r w:rsidR="00B91AE8">
        <w:t xml:space="preserve"> interim period, where </w:t>
      </w:r>
      <w:r w:rsidR="00796C4D">
        <w:t>full electrification is not yet possible.</w:t>
      </w:r>
      <w:r w:rsidR="001A5547">
        <w:rPr>
          <w:rStyle w:val="FootnoteReference"/>
        </w:rPr>
        <w:footnoteReference w:id="28"/>
      </w:r>
      <w:r w:rsidR="007541C1">
        <w:t xml:space="preserve"> D.</w:t>
      </w:r>
      <w:r w:rsidR="001A5547">
        <w:t>2</w:t>
      </w:r>
      <w:r w:rsidR="00D72532">
        <w:t>2-09-026</w:t>
      </w:r>
      <w:r w:rsidR="00E03A32">
        <w:t xml:space="preserve"> specifically states that “even though electrification is our preferred option, we recognize that for now, RNG plays an important role in reducing GHG emissions.”</w:t>
      </w:r>
      <w:r w:rsidR="008668EE">
        <w:rPr>
          <w:rStyle w:val="FootnoteReference"/>
        </w:rPr>
        <w:footnoteReference w:id="29"/>
      </w:r>
      <w:r w:rsidR="00563FD0">
        <w:t xml:space="preserve"> </w:t>
      </w:r>
    </w:p>
    <w:p w:rsidR="00080A76" w:rsidP="00080A76" w:rsidRDefault="00563FD0" w14:paraId="71C402B9" w14:textId="4414B36B">
      <w:pPr>
        <w:pStyle w:val="Standard"/>
      </w:pPr>
      <w:r>
        <w:t>The s</w:t>
      </w:r>
      <w:r w:rsidR="00BF10DF">
        <w:t>ix</w:t>
      </w:r>
      <w:r>
        <w:t xml:space="preserve"> </w:t>
      </w:r>
      <w:r w:rsidR="00BF10DF">
        <w:t xml:space="preserve">remaining </w:t>
      </w:r>
      <w:r>
        <w:t>projects in this application</w:t>
      </w:r>
      <w:r w:rsidR="00BB3575">
        <w:t xml:space="preserve"> </w:t>
      </w:r>
      <w:r w:rsidR="00DC1A21">
        <w:t xml:space="preserve">are all </w:t>
      </w:r>
      <w:r w:rsidR="00CD620E">
        <w:t xml:space="preserve">CNG refueling stations that </w:t>
      </w:r>
      <w:r w:rsidR="003D286F">
        <w:t>dispense 100</w:t>
      </w:r>
      <w:r w:rsidR="00031E69">
        <w:t>%</w:t>
      </w:r>
      <w:r w:rsidR="003D286F">
        <w:t xml:space="preserve"> RNG</w:t>
      </w:r>
      <w:r w:rsidR="00D62696">
        <w:t xml:space="preserve"> for commercial vehicles</w:t>
      </w:r>
      <w:r w:rsidR="00051B2F">
        <w:t xml:space="preserve"> in the hard-to-decarbonize </w:t>
      </w:r>
      <w:r w:rsidR="00D62696">
        <w:t>medium- and heavy-duty vehicle sector</w:t>
      </w:r>
      <w:r w:rsidR="00C25C09">
        <w:t>, fulfilling the role that D.22-09-026 contemplates</w:t>
      </w:r>
      <w:r w:rsidR="00D62696">
        <w:t>.</w:t>
      </w:r>
      <w:r w:rsidR="00AB22B5">
        <w:rPr>
          <w:rStyle w:val="FootnoteReference"/>
        </w:rPr>
        <w:footnoteReference w:id="30"/>
      </w:r>
      <w:r w:rsidR="00DC1A21">
        <w:t xml:space="preserve"> </w:t>
      </w:r>
      <w:r w:rsidR="00CE16CA">
        <w:t xml:space="preserve">We do note however, that </w:t>
      </w:r>
      <w:r w:rsidR="003A7C24">
        <w:t xml:space="preserve">our finding that these projects are consistent with California climate goals is dependent on </w:t>
      </w:r>
      <w:r w:rsidR="00F42A38">
        <w:t>there being no</w:t>
      </w:r>
      <w:r w:rsidR="003A7C24">
        <w:t xml:space="preserve"> other </w:t>
      </w:r>
      <w:r w:rsidR="00C3711A">
        <w:t>feasible zero emissions alternatives to RNG</w:t>
      </w:r>
      <w:r w:rsidR="00F7282D">
        <w:t xml:space="preserve">, which we discuss </w:t>
      </w:r>
      <w:r w:rsidR="00F42A38">
        <w:t>in section</w:t>
      </w:r>
      <w:r w:rsidR="00F23EB2">
        <w:t xml:space="preserve"> 3.3</w:t>
      </w:r>
      <w:r w:rsidR="00F42A38">
        <w:t xml:space="preserve"> </w:t>
      </w:r>
      <w:r w:rsidR="00F7282D">
        <w:t>below.</w:t>
      </w:r>
    </w:p>
    <w:p w:rsidR="00682803" w:rsidP="00080A76" w:rsidRDefault="00442838" w14:paraId="60F75938" w14:textId="4BAF4F97">
      <w:pPr>
        <w:pStyle w:val="Standard"/>
      </w:pPr>
      <w:r>
        <w:t>We are not persuaded by Cal Advocates</w:t>
      </w:r>
      <w:r w:rsidR="00F23EB2">
        <w:t>’</w:t>
      </w:r>
      <w:r>
        <w:t xml:space="preserve"> </w:t>
      </w:r>
      <w:r w:rsidR="00DD2A35">
        <w:t>argument that SoCalGas must demonstrate a timeline</w:t>
      </w:r>
      <w:r w:rsidR="00254D9E">
        <w:t xml:space="preserve"> or plan for projects to transition to </w:t>
      </w:r>
      <w:r w:rsidR="00015928">
        <w:t>electric or other zero-emissions vehicles to demonstrate consistency with California</w:t>
      </w:r>
      <w:r w:rsidR="00F23EB2">
        <w:t>’s</w:t>
      </w:r>
      <w:r w:rsidR="00015928">
        <w:t xml:space="preserve"> climate goals. </w:t>
      </w:r>
      <w:r w:rsidR="006F1A41">
        <w:t xml:space="preserve">While this demonstration may be a part of </w:t>
      </w:r>
      <w:r w:rsidR="00C426FF">
        <w:t>a project’s discussions on how they are consistent with California</w:t>
      </w:r>
      <w:r w:rsidR="00F23EB2">
        <w:t>’s</w:t>
      </w:r>
      <w:r w:rsidR="00C426FF">
        <w:t xml:space="preserve"> climate goals, </w:t>
      </w:r>
      <w:r w:rsidR="0095461E">
        <w:t xml:space="preserve">D.22-09-026 </w:t>
      </w:r>
      <w:r w:rsidR="00F23EB2">
        <w:t xml:space="preserve">does not </w:t>
      </w:r>
      <w:r w:rsidR="0095461E">
        <w:t xml:space="preserve">mandate </w:t>
      </w:r>
      <w:r w:rsidR="00F23EB2">
        <w:t>it</w:t>
      </w:r>
      <w:r w:rsidR="0095461E">
        <w:t xml:space="preserve"> from every project that applies for this exception. </w:t>
      </w:r>
      <w:r w:rsidR="00FB570E">
        <w:t>Instead, D.22-09-026 clearly mandates that projects must</w:t>
      </w:r>
      <w:r w:rsidR="00145ED5">
        <w:t xml:space="preserve"> demonstrate that there is no other feasible alternative to </w:t>
      </w:r>
      <w:r w:rsidR="00FB570E">
        <w:t>the use of natural gas</w:t>
      </w:r>
      <w:r w:rsidR="00A00BC1">
        <w:t>, which would require consideration of electric or zero-emissions alternatives.</w:t>
      </w:r>
      <w:r w:rsidR="0000081F">
        <w:t xml:space="preserve"> </w:t>
      </w:r>
    </w:p>
    <w:p w:rsidRPr="00080A76" w:rsidR="0000081F" w:rsidP="00080A76" w:rsidRDefault="0078559A" w14:paraId="6DB3A7DE" w14:textId="7B994AB2">
      <w:pPr>
        <w:pStyle w:val="Standard"/>
      </w:pPr>
      <w:r>
        <w:t>We</w:t>
      </w:r>
      <w:r w:rsidR="001F51AA">
        <w:t xml:space="preserve"> acknowledge </w:t>
      </w:r>
      <w:r w:rsidR="00BB0832">
        <w:t>Sierra</w:t>
      </w:r>
      <w:r w:rsidR="00D13FAD">
        <w:t xml:space="preserve"> Club’s concerns that any longer</w:t>
      </w:r>
      <w:r w:rsidR="00BC3AAB">
        <w:t>-</w:t>
      </w:r>
      <w:r w:rsidR="00D13FAD">
        <w:t xml:space="preserve">term </w:t>
      </w:r>
      <w:r w:rsidR="00826522">
        <w:t xml:space="preserve">investment in natural gas could result in a stranded asset before the end of the asset’s life </w:t>
      </w:r>
      <w:r w:rsidR="00826522">
        <w:lastRenderedPageBreak/>
        <w:t xml:space="preserve">because of electrification. </w:t>
      </w:r>
      <w:r w:rsidR="00B73DD2">
        <w:t xml:space="preserve">The Commission in </w:t>
      </w:r>
      <w:r>
        <w:t>D.22-09-026 also expressed concerns over stranded assets and de</w:t>
      </w:r>
      <w:r w:rsidR="009412EA">
        <w:t xml:space="preserve">clined to create a blanket </w:t>
      </w:r>
      <w:r w:rsidR="00300224">
        <w:t>subsidy</w:t>
      </w:r>
      <w:r w:rsidR="009412EA">
        <w:t xml:space="preserve"> for categories of </w:t>
      </w:r>
      <w:r w:rsidR="0042736F">
        <w:t>natural gas projects on that basis.</w:t>
      </w:r>
      <w:r w:rsidR="0042736F">
        <w:rPr>
          <w:rStyle w:val="FootnoteReference"/>
        </w:rPr>
        <w:footnoteReference w:id="31"/>
      </w:r>
      <w:r w:rsidR="00B73DD2">
        <w:t xml:space="preserve"> However, the Commission still acknowledged that</w:t>
      </w:r>
      <w:r w:rsidR="006E4A35">
        <w:t>, despite the stranded asset risks,</w:t>
      </w:r>
      <w:r w:rsidR="00AF2628">
        <w:t xml:space="preserve"> there “may be limited circumstances </w:t>
      </w:r>
      <w:r w:rsidR="00300224">
        <w:t>where gas line extensions for some non-residential project</w:t>
      </w:r>
      <w:r w:rsidR="002B58E4">
        <w:t>s</w:t>
      </w:r>
      <w:r w:rsidR="00300224">
        <w:t xml:space="preserve"> can be beneficial,”</w:t>
      </w:r>
      <w:r w:rsidR="0022711C">
        <w:t xml:space="preserve"> and created </w:t>
      </w:r>
      <w:r w:rsidR="00A008E8">
        <w:t>this</w:t>
      </w:r>
      <w:r w:rsidR="0022711C">
        <w:t xml:space="preserve"> application</w:t>
      </w:r>
      <w:r w:rsidR="00A008E8">
        <w:t xml:space="preserve"> process</w:t>
      </w:r>
      <w:r w:rsidR="0022711C">
        <w:t xml:space="preserve"> for select projects that </w:t>
      </w:r>
      <w:r w:rsidR="00E76CEB">
        <w:t>meet minimum criteria on that basis.</w:t>
      </w:r>
      <w:r w:rsidR="00E76CEB">
        <w:rPr>
          <w:rStyle w:val="FootnoteReference"/>
        </w:rPr>
        <w:footnoteReference w:id="32"/>
      </w:r>
      <w:r w:rsidR="0022711C">
        <w:t xml:space="preserve"> </w:t>
      </w:r>
      <w:r w:rsidR="001E30DF">
        <w:t>Therefore, in line with the findings of D.22-09-026,</w:t>
      </w:r>
      <w:r w:rsidR="0048472A">
        <w:t xml:space="preserve"> </w:t>
      </w:r>
      <w:r w:rsidR="001E30DF">
        <w:t xml:space="preserve">stranded asset </w:t>
      </w:r>
      <w:r w:rsidR="002A626B">
        <w:t xml:space="preserve">concerns </w:t>
      </w:r>
      <w:r w:rsidR="00F23EB2">
        <w:t xml:space="preserve">do not </w:t>
      </w:r>
      <w:r w:rsidR="002A626B">
        <w:t xml:space="preserve">merit </w:t>
      </w:r>
      <w:r w:rsidR="00F23EB2">
        <w:t>denying</w:t>
      </w:r>
      <w:r w:rsidR="002A626B">
        <w:t xml:space="preserve"> the </w:t>
      </w:r>
      <w:r w:rsidR="002B5503">
        <w:t>six</w:t>
      </w:r>
      <w:r w:rsidR="001D7D73">
        <w:t xml:space="preserve"> projects in this applicatio</w:t>
      </w:r>
      <w:r w:rsidR="00F60CD4">
        <w:t>n, if they meet the requirements set forth in D.22-09-026</w:t>
      </w:r>
      <w:r w:rsidR="001D7D73">
        <w:t>.</w:t>
      </w:r>
    </w:p>
    <w:p w:rsidR="009D1352" w:rsidP="009D1352" w:rsidRDefault="00901773" w14:paraId="6E84601A" w14:textId="2BE964E0">
      <w:pPr>
        <w:pStyle w:val="Heading2"/>
      </w:pPr>
      <w:bookmarkStart w:name="_Toc243318786" w:id="35"/>
      <w:bookmarkStart w:name="_Toc243476866" w:id="36"/>
      <w:r>
        <w:t>Demonstrat</w:t>
      </w:r>
      <w:r w:rsidR="00A115EE">
        <w:t xml:space="preserve">ion </w:t>
      </w:r>
      <w:r w:rsidR="003834A1">
        <w:t>of No</w:t>
      </w:r>
      <w:r>
        <w:t xml:space="preserve"> </w:t>
      </w:r>
      <w:r w:rsidR="009D1352">
        <w:t>Feasib</w:t>
      </w:r>
      <w:r w:rsidR="003834A1">
        <w:t>le</w:t>
      </w:r>
      <w:r w:rsidR="009D1352">
        <w:t xml:space="preserve"> Alternative to Natural Gas</w:t>
      </w:r>
      <w:bookmarkEnd w:id="35"/>
      <w:bookmarkEnd w:id="36"/>
    </w:p>
    <w:p w:rsidR="00B801FC" w:rsidP="009A226E" w:rsidRDefault="0045682B" w14:paraId="601B0602" w14:textId="42D38666">
      <w:pPr>
        <w:pStyle w:val="Standard"/>
      </w:pPr>
      <w:r>
        <w:t>W</w:t>
      </w:r>
      <w:r w:rsidR="0050259E">
        <w:t>e examine each of the proposed customer projects separately below.</w:t>
      </w:r>
      <w:r w:rsidR="00526EA8">
        <w:rPr>
          <w:rStyle w:val="FootnoteReference"/>
        </w:rPr>
        <w:footnoteReference w:id="33"/>
      </w:r>
      <w:r w:rsidR="0050259E">
        <w:t xml:space="preserve"> We find that Projects </w:t>
      </w:r>
      <w:r w:rsidR="009A226E">
        <w:t>B, D-1</w:t>
      </w:r>
      <w:r w:rsidR="00DD79DF">
        <w:t>,</w:t>
      </w:r>
      <w:r w:rsidR="009A226E">
        <w:t xml:space="preserve"> D-2</w:t>
      </w:r>
      <w:r w:rsidR="002B5503">
        <w:t>,</w:t>
      </w:r>
      <w:r w:rsidR="0085550C">
        <w:t xml:space="preserve"> and E</w:t>
      </w:r>
      <w:r w:rsidR="0050259E">
        <w:t xml:space="preserve"> </w:t>
      </w:r>
      <w:r w:rsidR="00602684">
        <w:t xml:space="preserve">demonstrate </w:t>
      </w:r>
      <w:r w:rsidR="00833549">
        <w:t xml:space="preserve">that no other alternatives to natural gas are feasible, and therefore successfully meet all requirements </w:t>
      </w:r>
      <w:r w:rsidR="008B7E5E">
        <w:t xml:space="preserve">set forth in D.22-09-026 to receive a gas line extension </w:t>
      </w:r>
      <w:r w:rsidR="009D1138">
        <w:t>allowance</w:t>
      </w:r>
      <w:r w:rsidR="008B7E5E">
        <w:t>.</w:t>
      </w:r>
    </w:p>
    <w:p w:rsidR="0081049A" w:rsidP="0081049A" w:rsidRDefault="0081049A" w14:paraId="5E76A201" w14:textId="56C12A3F">
      <w:pPr>
        <w:pStyle w:val="Heading3"/>
      </w:pPr>
      <w:bookmarkStart w:name="_Toc243318788" w:id="37"/>
      <w:bookmarkStart w:name="_Toc243476868" w:id="38"/>
      <w:r>
        <w:t>Project B</w:t>
      </w:r>
      <w:bookmarkEnd w:id="37"/>
      <w:bookmarkEnd w:id="38"/>
    </w:p>
    <w:p w:rsidR="00A366C1" w:rsidP="00A366C1" w:rsidRDefault="00F035EE" w14:paraId="3828DE07" w14:textId="157752CE">
      <w:pPr>
        <w:pStyle w:val="Standard"/>
      </w:pPr>
      <w:r>
        <w:t xml:space="preserve">Project B would </w:t>
      </w:r>
      <w:r w:rsidR="00E54587">
        <w:t>upgrade and expand the current capacity of</w:t>
      </w:r>
      <w:r>
        <w:t xml:space="preserve"> </w:t>
      </w:r>
      <w:r w:rsidR="004E05B2">
        <w:t>an existing RNG fueling station, which is currently several years beyond its useful life,</w:t>
      </w:r>
      <w:r w:rsidR="00744F37">
        <w:t xml:space="preserve"> to </w:t>
      </w:r>
      <w:r w:rsidR="00744F37">
        <w:lastRenderedPageBreak/>
        <w:t>support the customer’s fleet of RNG-powered buses.</w:t>
      </w:r>
      <w:r w:rsidR="00E54587">
        <w:rPr>
          <w:rStyle w:val="FootnoteReference"/>
        </w:rPr>
        <w:footnoteReference w:id="34"/>
      </w:r>
      <w:r w:rsidR="00D71A70">
        <w:t xml:space="preserve"> </w:t>
      </w:r>
      <w:r w:rsidR="00DF73E0">
        <w:t xml:space="preserve">The customer </w:t>
      </w:r>
      <w:r w:rsidR="002D0E70">
        <w:t>will</w:t>
      </w:r>
      <w:r w:rsidR="00283FCC">
        <w:t xml:space="preserve"> transition to electric or hydrogen by 2040 to meet state mandates, however, the existing </w:t>
      </w:r>
      <w:r w:rsidR="00A964D2">
        <w:t xml:space="preserve">CNG </w:t>
      </w:r>
      <w:r w:rsidR="003E58A6">
        <w:t xml:space="preserve">bus </w:t>
      </w:r>
      <w:r w:rsidR="00A964D2">
        <w:t xml:space="preserve">fleets served by this station </w:t>
      </w:r>
      <w:r w:rsidR="005A4492">
        <w:t>still have significant useful life remaining in the interim.</w:t>
      </w:r>
      <w:r w:rsidR="005A4492">
        <w:rPr>
          <w:rStyle w:val="FootnoteReference"/>
        </w:rPr>
        <w:footnoteReference w:id="35"/>
      </w:r>
      <w:r w:rsidR="005A4492">
        <w:t xml:space="preserve"> Additionally, </w:t>
      </w:r>
      <w:r w:rsidR="00661A25">
        <w:t>even as they transition fleet buses to electric in the years to come,</w:t>
      </w:r>
      <w:r w:rsidR="0099761B">
        <w:t xml:space="preserve"> the customer will still rely on some RNG fleet vehicles in the event of grid-related outages or for longer duration trips that other technologies may not be able to support.</w:t>
      </w:r>
      <w:r w:rsidR="0099761B">
        <w:rPr>
          <w:rStyle w:val="FootnoteReference"/>
        </w:rPr>
        <w:footnoteReference w:id="36"/>
      </w:r>
    </w:p>
    <w:p w:rsidR="006D2869" w:rsidP="006D2869" w:rsidRDefault="00616EFF" w14:paraId="68893677" w14:textId="1F3AD739">
      <w:pPr>
        <w:pStyle w:val="Standard"/>
      </w:pPr>
      <w:r>
        <w:t xml:space="preserve">Sierra Club </w:t>
      </w:r>
      <w:r w:rsidR="00AD0D27">
        <w:t xml:space="preserve">argues that </w:t>
      </w:r>
      <w:r w:rsidR="0063484C">
        <w:t>Project B has not demonstrated the infeasibility of other options because it does not indicate the number of RNG buses in its fleet or their remaining useful life</w:t>
      </w:r>
      <w:r w:rsidRPr="00571B70" w:rsidR="002F59F6">
        <w:t>.</w:t>
      </w:r>
      <w:r w:rsidRPr="00571B70" w:rsidR="002F59F6">
        <w:rPr>
          <w:rStyle w:val="FootnoteReference"/>
        </w:rPr>
        <w:footnoteReference w:id="37"/>
      </w:r>
      <w:r w:rsidRPr="00571B70" w:rsidR="002F59F6">
        <w:t xml:space="preserve"> Sierra Club also </w:t>
      </w:r>
      <w:r w:rsidRPr="00571B70" w:rsidR="001F7029">
        <w:t>reiterates</w:t>
      </w:r>
      <w:r w:rsidR="001F7029">
        <w:t xml:space="preserve"> its concerns about </w:t>
      </w:r>
      <w:r w:rsidR="00601F91">
        <w:t xml:space="preserve">stranded asset risks should Project B be approved for a gas line extension </w:t>
      </w:r>
      <w:r w:rsidR="009D1138">
        <w:t>allowance</w:t>
      </w:r>
      <w:r w:rsidR="00E301B3">
        <w:t>.</w:t>
      </w:r>
      <w:r w:rsidR="00E301B3">
        <w:rPr>
          <w:rStyle w:val="FootnoteReference"/>
        </w:rPr>
        <w:footnoteReference w:id="38"/>
      </w:r>
      <w:r w:rsidR="00BB23AC">
        <w:t xml:space="preserve"> </w:t>
      </w:r>
      <w:r w:rsidR="001F2974">
        <w:t xml:space="preserve">Cal Advocates </w:t>
      </w:r>
      <w:r w:rsidR="00232218">
        <w:t>takes a position that Project B</w:t>
      </w:r>
      <w:r w:rsidR="00226149">
        <w:t xml:space="preserve"> may meet </w:t>
      </w:r>
      <w:r w:rsidR="002778D8">
        <w:t>the requirement to demonstrate the infeasibility of other options</w:t>
      </w:r>
      <w:r w:rsidR="00226149">
        <w:t xml:space="preserve"> based on the supporting evidence provided for this project and </w:t>
      </w:r>
      <w:r w:rsidR="006D2869">
        <w:t xml:space="preserve">does not provide any arguments for why this project </w:t>
      </w:r>
      <w:r w:rsidR="002D334E">
        <w:t xml:space="preserve">specifically </w:t>
      </w:r>
      <w:r w:rsidR="006D2869">
        <w:t>does not demonstrate the infeasibility of alternatives to natural gas.</w:t>
      </w:r>
      <w:r w:rsidR="006D2869">
        <w:rPr>
          <w:rStyle w:val="FootnoteReference"/>
        </w:rPr>
        <w:footnoteReference w:id="39"/>
      </w:r>
    </w:p>
    <w:p w:rsidR="00ED39AC" w:rsidP="00BF6F71" w:rsidRDefault="00CD7E8B" w14:paraId="7142F888" w14:textId="18ED8C3D">
      <w:pPr>
        <w:pStyle w:val="Standard"/>
      </w:pPr>
      <w:r>
        <w:t>We find that Project B</w:t>
      </w:r>
      <w:r w:rsidR="00D45B32">
        <w:t xml:space="preserve"> successfully</w:t>
      </w:r>
      <w:r>
        <w:t xml:space="preserve"> demonstrates that there are no feasible </w:t>
      </w:r>
      <w:r w:rsidR="00D45B32">
        <w:t xml:space="preserve">alternatives </w:t>
      </w:r>
      <w:r>
        <w:t>to natural gas. The</w:t>
      </w:r>
      <w:r w:rsidR="00F83E18">
        <w:t xml:space="preserve"> record reflects that the</w:t>
      </w:r>
      <w:r>
        <w:t xml:space="preserve"> customer considered </w:t>
      </w:r>
      <w:r w:rsidR="004446DA">
        <w:t xml:space="preserve">electricity and hydrogen bus alternatives and has </w:t>
      </w:r>
      <w:r w:rsidR="00F83E18">
        <w:t xml:space="preserve">developed </w:t>
      </w:r>
      <w:r w:rsidR="004446DA">
        <w:t>a plan</w:t>
      </w:r>
      <w:r>
        <w:t xml:space="preserve"> to </w:t>
      </w:r>
      <w:r w:rsidR="00414426">
        <w:t>transition its fleet to</w:t>
      </w:r>
      <w:r w:rsidR="00601A02">
        <w:t xml:space="preserve"> zero-emissions</w:t>
      </w:r>
      <w:r w:rsidR="00414426">
        <w:t xml:space="preserve"> buses by 2040. In the meantime, however, </w:t>
      </w:r>
      <w:r w:rsidR="000849EC">
        <w:t xml:space="preserve">the customer </w:t>
      </w:r>
      <w:r w:rsidR="000849EC">
        <w:lastRenderedPageBreak/>
        <w:t xml:space="preserve">states that </w:t>
      </w:r>
      <w:r w:rsidR="00414426">
        <w:t>Project B still has si</w:t>
      </w:r>
      <w:r w:rsidR="00184095">
        <w:t>gnificant useful life remaining in its current fleet of buses, and a need to continue operating them</w:t>
      </w:r>
      <w:r w:rsidR="004479DE">
        <w:t>.</w:t>
      </w:r>
      <w:r w:rsidR="007B1FD6">
        <w:t xml:space="preserve"> </w:t>
      </w:r>
    </w:p>
    <w:p w:rsidR="00BF6F71" w:rsidP="00BF6F71" w:rsidRDefault="00ED39AC" w14:paraId="7193D2C2" w14:textId="0BD50D07">
      <w:pPr>
        <w:pStyle w:val="Standard"/>
      </w:pPr>
      <w:r>
        <w:t>W</w:t>
      </w:r>
      <w:r w:rsidR="00F5147E">
        <w:t xml:space="preserve">e disagree with Sierra Club that </w:t>
      </w:r>
      <w:r w:rsidR="008167AF">
        <w:t>Project B has not demonstrated the infeasibility of alternative</w:t>
      </w:r>
      <w:r w:rsidR="008F5BAD">
        <w:t xml:space="preserve">s because we do not have specific information about its current RNG fleet. </w:t>
      </w:r>
      <w:r w:rsidR="00671654">
        <w:t>T</w:t>
      </w:r>
      <w:r w:rsidR="0028081A">
        <w:t>he</w:t>
      </w:r>
      <w:r w:rsidR="00B92AE6">
        <w:t xml:space="preserve"> record adequately demonstrates the infeasibility of other options until 2040.</w:t>
      </w:r>
      <w:r w:rsidR="0030282F">
        <w:t xml:space="preserve"> </w:t>
      </w:r>
      <w:r w:rsidR="002E0004">
        <w:t>R</w:t>
      </w:r>
      <w:r w:rsidR="00671654">
        <w:t>egarding</w:t>
      </w:r>
      <w:r w:rsidR="0030282F">
        <w:t xml:space="preserve"> Sierra Club’s </w:t>
      </w:r>
      <w:r w:rsidR="00BF6F71">
        <w:t xml:space="preserve">reiterated </w:t>
      </w:r>
      <w:r w:rsidR="0030282F">
        <w:t xml:space="preserve">stranded asset concerns, we </w:t>
      </w:r>
      <w:r w:rsidR="00FA4868">
        <w:t>refer back to our discussion in the prior section</w:t>
      </w:r>
      <w:r w:rsidR="00B42405">
        <w:t xml:space="preserve"> and note again that </w:t>
      </w:r>
      <w:r w:rsidR="00671654">
        <w:t>this issue was</w:t>
      </w:r>
      <w:r w:rsidR="00B42405">
        <w:t xml:space="preserve"> already addressed and considered by D.</w:t>
      </w:r>
      <w:r w:rsidR="00501134">
        <w:t xml:space="preserve">22-09-026 </w:t>
      </w:r>
      <w:r w:rsidR="00BF6F71">
        <w:t>in establishing this application process.</w:t>
      </w:r>
    </w:p>
    <w:p w:rsidR="00DE3D4C" w:rsidP="00BF6F71" w:rsidRDefault="00DE3D4C" w14:paraId="658F3BCA" w14:textId="537B7DD7">
      <w:pPr>
        <w:pStyle w:val="Standard"/>
      </w:pPr>
      <w:r>
        <w:t>W</w:t>
      </w:r>
      <w:r w:rsidR="00DF533C">
        <w:t>e</w:t>
      </w:r>
      <w:r>
        <w:t xml:space="preserve"> therefore find that Project B has successfully demonstrated that </w:t>
      </w:r>
      <w:r w:rsidR="002B788A">
        <w:t>it has no other feasible alternatives to natural gas.</w:t>
      </w:r>
    </w:p>
    <w:p w:rsidR="0081049A" w:rsidP="0081049A" w:rsidRDefault="00761240" w14:paraId="507F3207" w14:textId="7D4DD23E">
      <w:pPr>
        <w:pStyle w:val="Heading3"/>
      </w:pPr>
      <w:bookmarkStart w:name="_Toc243318789" w:id="39"/>
      <w:bookmarkStart w:name="_Toc243476869" w:id="40"/>
      <w:r>
        <w:t>Projects D-1 and D-2</w:t>
      </w:r>
      <w:bookmarkEnd w:id="39"/>
      <w:bookmarkEnd w:id="40"/>
    </w:p>
    <w:p w:rsidR="000474BB" w:rsidP="002B788A" w:rsidRDefault="00E763E7" w14:paraId="21181018" w14:textId="1E71EE86">
      <w:pPr>
        <w:pStyle w:val="Standard"/>
      </w:pPr>
      <w:r>
        <w:t>Projects D-1 and D-2 are submitted by the same customer, a recycling collecti</w:t>
      </w:r>
      <w:r w:rsidR="00582A32">
        <w:t>on</w:t>
      </w:r>
      <w:r>
        <w:t xml:space="preserve"> company.</w:t>
      </w:r>
      <w:r w:rsidR="00671A74">
        <w:rPr>
          <w:rStyle w:val="FootnoteReference"/>
        </w:rPr>
        <w:footnoteReference w:id="40"/>
      </w:r>
      <w:r w:rsidR="00295C42">
        <w:t xml:space="preserve"> Both projects are RNG refueling stations that would serve </w:t>
      </w:r>
      <w:r w:rsidR="0052390A">
        <w:t xml:space="preserve">the customer’s </w:t>
      </w:r>
      <w:r w:rsidR="00A3468E">
        <w:t>refuse-collecting trucks.</w:t>
      </w:r>
      <w:r w:rsidR="00A3468E">
        <w:rPr>
          <w:rStyle w:val="FootnoteReference"/>
        </w:rPr>
        <w:footnoteReference w:id="41"/>
      </w:r>
      <w:r w:rsidR="00A3468E">
        <w:t xml:space="preserve"> </w:t>
      </w:r>
      <w:r w:rsidR="00E63E4D">
        <w:t xml:space="preserve">The </w:t>
      </w:r>
      <w:r w:rsidR="007144E7">
        <w:t xml:space="preserve">testimony provided by SoCalGas </w:t>
      </w:r>
      <w:r w:rsidR="00E63E4D">
        <w:t xml:space="preserve">states that </w:t>
      </w:r>
      <w:r w:rsidR="007144E7">
        <w:t>the customer</w:t>
      </w:r>
      <w:r w:rsidR="007B1318">
        <w:t xml:space="preserve"> considered alternatives to RNG and ruled them out because 1) there are no hydrogen fuel cell refuse collection trucks currently on the market, and 2) </w:t>
      </w:r>
      <w:r w:rsidR="00CD1172">
        <w:t>“</w:t>
      </w:r>
      <w:r w:rsidR="00242F02">
        <w:t xml:space="preserve">the </w:t>
      </w:r>
      <w:r w:rsidR="002F2629">
        <w:t>[electric vehicle (EV)]</w:t>
      </w:r>
      <w:r w:rsidR="00242F02">
        <w:t xml:space="preserve"> options offer limited range stemming from high ancillary hydraulic loads required to lift and compact refuse.</w:t>
      </w:r>
      <w:r w:rsidR="00122B49">
        <w:t>”</w:t>
      </w:r>
      <w:r w:rsidR="00242F02">
        <w:rPr>
          <w:rStyle w:val="FootnoteReference"/>
        </w:rPr>
        <w:footnoteReference w:id="42"/>
      </w:r>
      <w:r w:rsidR="008929F2">
        <w:t xml:space="preserve"> </w:t>
      </w:r>
    </w:p>
    <w:p w:rsidR="00E21B78" w:rsidP="0020461B" w:rsidRDefault="00C36A13" w14:paraId="6AE1FA83" w14:textId="4D9B8A96">
      <w:pPr>
        <w:pStyle w:val="Standard"/>
      </w:pPr>
      <w:r>
        <w:lastRenderedPageBreak/>
        <w:t>In supplemental testimony provided by SoCalGas,</w:t>
      </w:r>
      <w:r w:rsidR="00E7299C">
        <w:rPr>
          <w:rStyle w:val="FootnoteReference"/>
        </w:rPr>
        <w:footnoteReference w:id="43"/>
      </w:r>
      <w:r>
        <w:t xml:space="preserve"> </w:t>
      </w:r>
      <w:r w:rsidR="00E01810">
        <w:t xml:space="preserve">the customer </w:t>
      </w:r>
      <w:r w:rsidR="00BE2972">
        <w:t xml:space="preserve">elaborates </w:t>
      </w:r>
      <w:r w:rsidR="00E01810">
        <w:t xml:space="preserve">that </w:t>
      </w:r>
      <w:r w:rsidR="0038674D">
        <w:t xml:space="preserve">for Project D-1, the average refuse truck travels about 104 miles per day, and that for D-2, the average refuse truck travels </w:t>
      </w:r>
      <w:r w:rsidR="00E77068">
        <w:t>about 170 miles per day.</w:t>
      </w:r>
      <w:r w:rsidR="00E77068">
        <w:rPr>
          <w:rStyle w:val="FootnoteReference"/>
        </w:rPr>
        <w:footnoteReference w:id="44"/>
      </w:r>
      <w:r w:rsidR="00E77068">
        <w:t xml:space="preserve"> The customer explains that </w:t>
      </w:r>
      <w:r w:rsidR="00014D75">
        <w:t>after evaluating battery electric vehicle</w:t>
      </w:r>
      <w:r w:rsidR="008E2639">
        <w:t xml:space="preserve"> (BEV)</w:t>
      </w:r>
      <w:r w:rsidR="00014D75">
        <w:t xml:space="preserve"> refuse truck models from Battle, Mack, OshKosh</w:t>
      </w:r>
      <w:r w:rsidR="00B93FB4">
        <w:t>,</w:t>
      </w:r>
      <w:r w:rsidR="00014D75">
        <w:t xml:space="preserve"> and Peterbilt</w:t>
      </w:r>
      <w:r w:rsidR="008E2639">
        <w:t>, and consulting with agencies and competitors, the customer found that BEV refuse truck ranges are limited to 80-120 miles per charge.</w:t>
      </w:r>
      <w:r w:rsidR="009B50B5">
        <w:rPr>
          <w:rStyle w:val="FootnoteReference"/>
        </w:rPr>
        <w:footnoteReference w:id="45"/>
      </w:r>
      <w:r w:rsidR="009B50B5">
        <w:t xml:space="preserve"> The cu</w:t>
      </w:r>
      <w:r w:rsidR="00304228">
        <w:t>stomer states that for Project D-1, this range falls short of daily route requirements and for Project D-2, these ranges are not sufficient to provide enough buffer to accommodate route demands and operational needs.</w:t>
      </w:r>
      <w:r w:rsidR="00304228">
        <w:rPr>
          <w:rStyle w:val="FootnoteReference"/>
        </w:rPr>
        <w:footnoteReference w:id="46"/>
      </w:r>
      <w:r w:rsidR="00011F02">
        <w:t xml:space="preserve"> The customer states that these route limitations are compounded by </w:t>
      </w:r>
      <w:r w:rsidR="003219C8">
        <w:t>limitations in payload. The customer states that BEV refuse trucks are limited to approximately 8 tons of payload, whereas RNG-fueled trucks can carry up to 12 tons.</w:t>
      </w:r>
      <w:r w:rsidR="003219C8">
        <w:rPr>
          <w:rStyle w:val="FootnoteReference"/>
        </w:rPr>
        <w:footnoteReference w:id="47"/>
      </w:r>
      <w:r w:rsidR="00C843CB">
        <w:t xml:space="preserve"> </w:t>
      </w:r>
    </w:p>
    <w:p w:rsidR="00481B4A" w:rsidP="00C01537" w:rsidRDefault="00EA1D98" w14:paraId="060E7578" w14:textId="2B5BDE19">
      <w:pPr>
        <w:pStyle w:val="Standard"/>
      </w:pPr>
      <w:r>
        <w:t xml:space="preserve">Cal Advocates argues that Projects D-1 and D-2 did not provide sufficient data or evidence on the </w:t>
      </w:r>
      <w:r w:rsidR="00D25183">
        <w:t>B</w:t>
      </w:r>
      <w:r>
        <w:t>EV trucks that were explored/tested or on the range necessary for business operations.</w:t>
      </w:r>
      <w:r>
        <w:rPr>
          <w:rStyle w:val="FootnoteReference"/>
        </w:rPr>
        <w:footnoteReference w:id="48"/>
      </w:r>
      <w:r>
        <w:t xml:space="preserve"> </w:t>
      </w:r>
      <w:r w:rsidR="00D078A5">
        <w:t xml:space="preserve">Sierra Club </w:t>
      </w:r>
      <w:r w:rsidR="00901C80">
        <w:t xml:space="preserve">further </w:t>
      </w:r>
      <w:r w:rsidR="00D078A5">
        <w:t>disputes</w:t>
      </w:r>
      <w:r w:rsidR="00A26A9D">
        <w:t xml:space="preserve"> </w:t>
      </w:r>
      <w:r w:rsidR="00932DA5">
        <w:t xml:space="preserve">that </w:t>
      </w:r>
      <w:r w:rsidR="00D25183">
        <w:t>B</w:t>
      </w:r>
      <w:r w:rsidR="00932B3E">
        <w:t xml:space="preserve">EV alternatives would be infeasible for </w:t>
      </w:r>
      <w:r w:rsidR="00932DA5">
        <w:t>Projects D-1 and D-2</w:t>
      </w:r>
      <w:r w:rsidR="003579ED">
        <w:t xml:space="preserve">, providing examples of </w:t>
      </w:r>
      <w:r w:rsidR="003579ED">
        <w:lastRenderedPageBreak/>
        <w:t xml:space="preserve">electric refuse trucks on the market with </w:t>
      </w:r>
      <w:r w:rsidR="009128A1">
        <w:t>larger maximum payload capacities and higher daily ranges that it argues would meet Projects D-1 and D-2’s needs.</w:t>
      </w:r>
      <w:r w:rsidR="009128A1">
        <w:rPr>
          <w:rStyle w:val="FootnoteReference"/>
        </w:rPr>
        <w:footnoteReference w:id="49"/>
      </w:r>
      <w:r w:rsidR="00932DA5">
        <w:t xml:space="preserve"> </w:t>
      </w:r>
    </w:p>
    <w:p w:rsidR="000B11BC" w:rsidP="00C01537" w:rsidRDefault="004E0F01" w14:paraId="6A59FB4A" w14:textId="341A76A8">
      <w:pPr>
        <w:pStyle w:val="Standard"/>
      </w:pPr>
      <w:r w:rsidRPr="00DC7240">
        <w:t xml:space="preserve">After reviewing the </w:t>
      </w:r>
      <w:r w:rsidRPr="00DC7240" w:rsidR="004D5DC2">
        <w:t>record, we find that Projects D-1 and D-2 have sufficiently demonstrated</w:t>
      </w:r>
      <w:r w:rsidR="00031A7F">
        <w:t xml:space="preserve"> </w:t>
      </w:r>
      <w:r w:rsidRPr="00DC7240" w:rsidR="004D5DC2">
        <w:t>that the</w:t>
      </w:r>
      <w:r w:rsidRPr="00DC7240" w:rsidR="00CB5C29">
        <w:t xml:space="preserve">re are no </w:t>
      </w:r>
      <w:r w:rsidRPr="00DC7240" w:rsidR="008117C9">
        <w:t xml:space="preserve">feasible alternatives to natural gas. </w:t>
      </w:r>
      <w:r w:rsidR="004D21B6">
        <w:t>The record reflects that</w:t>
      </w:r>
      <w:r w:rsidRPr="00DC7240" w:rsidR="00BB3D43">
        <w:t xml:space="preserve"> </w:t>
      </w:r>
      <w:r w:rsidR="00E7299C">
        <w:t xml:space="preserve">the </w:t>
      </w:r>
      <w:r w:rsidRPr="00DC7240" w:rsidR="00BB3D43">
        <w:t>customer considered</w:t>
      </w:r>
      <w:r w:rsidR="000B72ED">
        <w:t xml:space="preserve"> the ranges and hydraulic load requirements</w:t>
      </w:r>
      <w:r w:rsidRPr="00DC7240" w:rsidR="00BB3D43">
        <w:t xml:space="preserve"> </w:t>
      </w:r>
      <w:r w:rsidR="000B72ED">
        <w:t>of several</w:t>
      </w:r>
      <w:r w:rsidRPr="00DC7240" w:rsidR="000B72ED">
        <w:t xml:space="preserve"> </w:t>
      </w:r>
      <w:r w:rsidRPr="00DC7240" w:rsidR="00BB3D43">
        <w:t>models of refuse electric trucks</w:t>
      </w:r>
      <w:r w:rsidR="00E7299C">
        <w:t xml:space="preserve"> and</w:t>
      </w:r>
      <w:r w:rsidRPr="00DC7240" w:rsidR="00BB3D43">
        <w:t xml:space="preserve"> </w:t>
      </w:r>
      <w:r w:rsidRPr="00DC7240" w:rsidR="00286ADD">
        <w:t>consulted with agencies and competitors that have used</w:t>
      </w:r>
      <w:r w:rsidRPr="00DC7240" w:rsidR="00F12E61">
        <w:t xml:space="preserve"> electric refuse </w:t>
      </w:r>
      <w:r w:rsidRPr="00DC7240" w:rsidR="00286ADD">
        <w:t>trucks</w:t>
      </w:r>
      <w:r w:rsidR="00E7299C">
        <w:t xml:space="preserve"> to inform a</w:t>
      </w:r>
      <w:r w:rsidR="004D21B6">
        <w:t xml:space="preserve"> conclu</w:t>
      </w:r>
      <w:r w:rsidR="00E7299C">
        <w:t>sion</w:t>
      </w:r>
      <w:r w:rsidR="004D21B6">
        <w:t xml:space="preserve"> that </w:t>
      </w:r>
      <w:r w:rsidR="000B11BC">
        <w:t xml:space="preserve">electric trucks cannot meet </w:t>
      </w:r>
      <w:r w:rsidR="00271D82">
        <w:t>the customer’s</w:t>
      </w:r>
      <w:r w:rsidR="000B11BC">
        <w:t xml:space="preserve"> daily range</w:t>
      </w:r>
      <w:r w:rsidR="000C6C3D">
        <w:t xml:space="preserve"> or payload</w:t>
      </w:r>
      <w:r w:rsidR="000B11BC">
        <w:t xml:space="preserve"> needs</w:t>
      </w:r>
      <w:r w:rsidRPr="00DC7240" w:rsidR="00286ADD">
        <w:t xml:space="preserve">. </w:t>
      </w:r>
    </w:p>
    <w:p w:rsidR="00EF0522" w:rsidP="00C01537" w:rsidRDefault="00EF0522" w14:paraId="0C77FAED" w14:textId="1176F115">
      <w:pPr>
        <w:pStyle w:val="Standard"/>
      </w:pPr>
      <w:r>
        <w:t xml:space="preserve">We are not persuaded by Sierra Club’s </w:t>
      </w:r>
      <w:r w:rsidR="00B5746B">
        <w:t xml:space="preserve">arguments that </w:t>
      </w:r>
      <w:r w:rsidR="00577AA9">
        <w:t>certain electric</w:t>
      </w:r>
      <w:r w:rsidR="003A1539">
        <w:t xml:space="preserve"> refuse trucks could meet Project D-1 and D-2’s range and </w:t>
      </w:r>
      <w:r w:rsidR="00DF2812">
        <w:t xml:space="preserve">payload capacity needs. The record reflects that </w:t>
      </w:r>
      <w:r w:rsidR="00F23F90">
        <w:t xml:space="preserve">the customer considered a reasonable range of </w:t>
      </w:r>
      <w:r w:rsidR="00D56880">
        <w:t>B</w:t>
      </w:r>
      <w:r w:rsidR="00F23F90">
        <w:t xml:space="preserve">EV models and </w:t>
      </w:r>
      <w:r w:rsidR="002D0383">
        <w:t>that evidence</w:t>
      </w:r>
      <w:r w:rsidR="00A00315">
        <w:t>, as well as the customer’s expertise in its own business</w:t>
      </w:r>
      <w:r w:rsidR="00061DCA">
        <w:t>,</w:t>
      </w:r>
      <w:r w:rsidR="002D0383">
        <w:t xml:space="preserve"> supports that </w:t>
      </w:r>
      <w:r w:rsidR="006C7085">
        <w:t>these models are not sufficient to meet the Projects</w:t>
      </w:r>
      <w:r w:rsidR="00A00315">
        <w:t>’</w:t>
      </w:r>
      <w:r w:rsidR="006C7085">
        <w:t xml:space="preserve"> need</w:t>
      </w:r>
      <w:r w:rsidR="00AC5E7C">
        <w:t xml:space="preserve">s. Moreover, we note that the </w:t>
      </w:r>
      <w:r w:rsidR="008E3874">
        <w:t>range estimates for the</w:t>
      </w:r>
      <w:r w:rsidR="00061DCA">
        <w:t xml:space="preserve"> </w:t>
      </w:r>
      <w:r w:rsidR="002106A0">
        <w:t>B</w:t>
      </w:r>
      <w:r w:rsidR="00061DCA">
        <w:t>EV truck</w:t>
      </w:r>
      <w:r w:rsidR="008E3874">
        <w:t xml:space="preserve"> models that </w:t>
      </w:r>
      <w:r w:rsidR="00061DCA">
        <w:t xml:space="preserve">Sierra Club cites are essentially the same as the </w:t>
      </w:r>
      <w:r w:rsidR="002106A0">
        <w:t>B</w:t>
      </w:r>
      <w:r w:rsidR="00061DCA">
        <w:t>EV truck range estimates provided by the customer.</w:t>
      </w:r>
    </w:p>
    <w:p w:rsidR="00E413A9" w:rsidP="009A226E" w:rsidRDefault="009A226E" w14:paraId="0707C3C9" w14:textId="564B8EC2">
      <w:pPr>
        <w:pStyle w:val="Standard"/>
      </w:pPr>
      <w:r>
        <w:t>Therefore, we find that SoCalGas has</w:t>
      </w:r>
      <w:r w:rsidR="00BD0210">
        <w:t xml:space="preserve"> successfully</w:t>
      </w:r>
      <w:r>
        <w:t xml:space="preserve"> demonstrated that Projects D-1 and D-2 have no feasible alternative to natural gas.</w:t>
      </w:r>
    </w:p>
    <w:p w:rsidR="00761240" w:rsidP="00761240" w:rsidRDefault="008207A3" w14:paraId="4541D6AA" w14:textId="4BFC9269">
      <w:pPr>
        <w:pStyle w:val="Heading3"/>
      </w:pPr>
      <w:bookmarkStart w:name="_Toc243318790" w:id="41"/>
      <w:bookmarkStart w:name="_Toc243476870" w:id="42"/>
      <w:r>
        <w:t>Project E</w:t>
      </w:r>
      <w:bookmarkEnd w:id="41"/>
      <w:bookmarkEnd w:id="42"/>
    </w:p>
    <w:p w:rsidR="00B92140" w:rsidP="008E0BCC" w:rsidRDefault="008C5929" w14:paraId="077A4E47" w14:textId="255E7DA6">
      <w:pPr>
        <w:pStyle w:val="Standard"/>
      </w:pPr>
      <w:r>
        <w:t xml:space="preserve">The customer proponent of Project E hauls millions of pounds of metal, equipment, and solid waste materials </w:t>
      </w:r>
      <w:r w:rsidR="000649FE">
        <w:t xml:space="preserve">annually, including biodegradable waste </w:t>
      </w:r>
      <w:r w:rsidR="000649FE">
        <w:lastRenderedPageBreak/>
        <w:t>that is diverted from landfills.</w:t>
      </w:r>
      <w:r w:rsidR="000649FE">
        <w:rPr>
          <w:rStyle w:val="FootnoteReference"/>
        </w:rPr>
        <w:footnoteReference w:id="50"/>
      </w:r>
      <w:r w:rsidR="00166895">
        <w:t xml:space="preserve"> </w:t>
      </w:r>
      <w:r w:rsidR="008F2032">
        <w:t>Project E is a fueling station that will serve the customer’s existing fleet of CNG ve</w:t>
      </w:r>
      <w:r w:rsidR="00996856">
        <w:t>hicles.</w:t>
      </w:r>
      <w:r w:rsidR="00BF2FE0">
        <w:rPr>
          <w:rStyle w:val="FootnoteReference"/>
        </w:rPr>
        <w:footnoteReference w:id="51"/>
      </w:r>
      <w:r w:rsidR="00407A96">
        <w:t xml:space="preserve"> The customer states that </w:t>
      </w:r>
      <w:r w:rsidR="005B414F">
        <w:t>B</w:t>
      </w:r>
      <w:r w:rsidR="00407A96">
        <w:t>EVs and fuel cell EVs are not yet feasible for heavy duty trucking due to high upfront costs, limited infrastructure, restricted range and extended refueling times.</w:t>
      </w:r>
      <w:r w:rsidR="00407A96">
        <w:rPr>
          <w:rStyle w:val="FootnoteReference"/>
        </w:rPr>
        <w:footnoteReference w:id="52"/>
      </w:r>
      <w:r w:rsidR="003D382B">
        <w:t xml:space="preserve"> </w:t>
      </w:r>
    </w:p>
    <w:p w:rsidR="008E0BCC" w:rsidP="008E0BCC" w:rsidRDefault="003D382B" w14:paraId="77E92C55" w14:textId="1B0B7804">
      <w:pPr>
        <w:pStyle w:val="Standard"/>
      </w:pPr>
      <w:r>
        <w:t xml:space="preserve">In SoCalGas’ supplemental testimony, the customer elaborates that </w:t>
      </w:r>
      <w:r w:rsidR="00BC1FBE">
        <w:t xml:space="preserve">its daily trucking routes range from 280 to 550 miles, but that BEV trucks have a </w:t>
      </w:r>
      <w:r w:rsidR="005B414F">
        <w:t xml:space="preserve">limited reported range of 150 to 250 miles when operating at the </w:t>
      </w:r>
      <w:r w:rsidR="00EC1A0B">
        <w:t>gross vehicle weight rating required by their operations.</w:t>
      </w:r>
      <w:r w:rsidR="00EC1A0B">
        <w:rPr>
          <w:rStyle w:val="FootnoteReference"/>
        </w:rPr>
        <w:footnoteReference w:id="53"/>
      </w:r>
      <w:r w:rsidR="0080160E">
        <w:t xml:space="preserve"> The customer </w:t>
      </w:r>
      <w:r w:rsidR="001A2B94">
        <w:t>states</w:t>
      </w:r>
      <w:r w:rsidR="0080160E">
        <w:t xml:space="preserve"> that the Peterbilt 579EV has a maximum range of 200 miles with a 500-kWh battery</w:t>
      </w:r>
      <w:r w:rsidR="001A2B94">
        <w:t>, but notes</w:t>
      </w:r>
      <w:r w:rsidR="005142C1">
        <w:t xml:space="preserve"> that under real-world conditions,</w:t>
      </w:r>
      <w:r w:rsidR="00097A2C">
        <w:t xml:space="preserve"> the range of heavy-duty BEV trucks is between 100 and 150 miles considering terrain, payload, weather conditions</w:t>
      </w:r>
      <w:r w:rsidR="00B92140">
        <w:t>,</w:t>
      </w:r>
      <w:r w:rsidR="00097A2C">
        <w:t xml:space="preserve"> and driver behavior.</w:t>
      </w:r>
      <w:r w:rsidR="006428E7">
        <w:rPr>
          <w:rStyle w:val="FootnoteReference"/>
        </w:rPr>
        <w:footnoteReference w:id="54"/>
      </w:r>
      <w:r w:rsidR="00531455">
        <w:t xml:space="preserve"> </w:t>
      </w:r>
      <w:r w:rsidR="001A106F">
        <w:t>The customer also states that</w:t>
      </w:r>
      <w:r w:rsidR="00C20F10">
        <w:t xml:space="preserve"> increased upfront purchase costs,</w:t>
      </w:r>
      <w:r w:rsidR="001A106F">
        <w:t xml:space="preserve"> the limited availability of </w:t>
      </w:r>
      <w:r w:rsidR="002106A0">
        <w:t>B</w:t>
      </w:r>
      <w:r w:rsidR="001A106F">
        <w:t>EV charging infrastructure</w:t>
      </w:r>
      <w:r w:rsidR="00BB0653">
        <w:t>,</w:t>
      </w:r>
      <w:r w:rsidR="001A106F">
        <w:t xml:space="preserve"> and constraints on on-site vehicle storage present additional barriers to fleet adoption.</w:t>
      </w:r>
      <w:r w:rsidR="001A106F">
        <w:rPr>
          <w:rStyle w:val="FootnoteReference"/>
        </w:rPr>
        <w:footnoteReference w:id="55"/>
      </w:r>
    </w:p>
    <w:p w:rsidR="00DC0947" w:rsidP="00DC0947" w:rsidRDefault="003E7AE7" w14:paraId="1F4DA803" w14:textId="2207EC93">
      <w:pPr>
        <w:pStyle w:val="Standard"/>
      </w:pPr>
      <w:r>
        <w:t>Sierra Club disputes</w:t>
      </w:r>
      <w:r w:rsidR="00822D6E">
        <w:t xml:space="preserve"> that BEV trucks have too limited a range for the customer’s needs, </w:t>
      </w:r>
      <w:r w:rsidR="00066215">
        <w:t>quoting BEV truck models with</w:t>
      </w:r>
      <w:r w:rsidR="00737621">
        <w:t xml:space="preserve"> a range of 400 to 500 miles</w:t>
      </w:r>
      <w:r w:rsidR="00D33FF8">
        <w:t xml:space="preserve"> based on speed, </w:t>
      </w:r>
      <w:r w:rsidR="00AD001C">
        <w:t>and charging times under an hour</w:t>
      </w:r>
      <w:r w:rsidR="0055122F">
        <w:t>.</w:t>
      </w:r>
      <w:r w:rsidR="0055122F">
        <w:rPr>
          <w:rStyle w:val="FootnoteReference"/>
        </w:rPr>
        <w:footnoteReference w:id="56"/>
      </w:r>
      <w:r w:rsidR="0055122F">
        <w:t xml:space="preserve"> </w:t>
      </w:r>
      <w:r w:rsidR="00143F7D">
        <w:t xml:space="preserve">Sierra Club also disputes that </w:t>
      </w:r>
      <w:r w:rsidR="00216580">
        <w:t>BEV heavy duty trucks are cost prohibitive. Sierra Club notes that there are numerous</w:t>
      </w:r>
      <w:r w:rsidR="006613C6">
        <w:t xml:space="preserve"> purchase incentives in California for zero-emission medium- and </w:t>
      </w:r>
      <w:r w:rsidR="006613C6">
        <w:lastRenderedPageBreak/>
        <w:t>heavy-duty vehicles</w:t>
      </w:r>
      <w:r w:rsidR="004649F5">
        <w:t>, including the Clean Truck and Bus Voucher Incentive Project.</w:t>
      </w:r>
      <w:r w:rsidR="004649F5">
        <w:rPr>
          <w:rStyle w:val="FootnoteReference"/>
        </w:rPr>
        <w:footnoteReference w:id="57"/>
      </w:r>
      <w:r w:rsidR="008100E4">
        <w:t xml:space="preserve"> Sierra Club further argues that while upfront costs of zero-emissions trucks are currently higher than diesel alternatives,</w:t>
      </w:r>
      <w:r w:rsidR="00176593">
        <w:t xml:space="preserve"> CARB </w:t>
      </w:r>
      <w:r w:rsidR="00BB0653">
        <w:t xml:space="preserve">has </w:t>
      </w:r>
      <w:r w:rsidR="00176593">
        <w:t>f</w:t>
      </w:r>
      <w:r w:rsidR="00BB0653">
        <w:t>ound</w:t>
      </w:r>
      <w:r w:rsidR="00176593">
        <w:t xml:space="preserve"> that the overall </w:t>
      </w:r>
      <w:r w:rsidR="00525223">
        <w:t>total cost of ownership is lower for zero emissions vehicles</w:t>
      </w:r>
      <w:r w:rsidR="003241E6">
        <w:t>, due in part to lower fuel costs and reduced maintenance costs.</w:t>
      </w:r>
      <w:r w:rsidR="003241E6">
        <w:rPr>
          <w:rStyle w:val="FootnoteReference"/>
        </w:rPr>
        <w:footnoteReference w:id="58"/>
      </w:r>
      <w:r w:rsidR="00DC0947">
        <w:t xml:space="preserve"> Both intervenors argue that SoCalGas fails to provide adequate </w:t>
      </w:r>
      <w:r w:rsidR="00174CC3">
        <w:t>evidence or</w:t>
      </w:r>
      <w:r w:rsidR="00426D8C">
        <w:t xml:space="preserve"> information to support that </w:t>
      </w:r>
      <w:r w:rsidR="002106A0">
        <w:t>B</w:t>
      </w:r>
      <w:r w:rsidR="00426D8C">
        <w:t xml:space="preserve">EV trucking options are </w:t>
      </w:r>
      <w:r w:rsidR="00C94D31">
        <w:t>infeasible.</w:t>
      </w:r>
      <w:r w:rsidR="00C94D31">
        <w:rPr>
          <w:rStyle w:val="FootnoteReference"/>
        </w:rPr>
        <w:footnoteReference w:id="59"/>
      </w:r>
    </w:p>
    <w:p w:rsidR="00AF7578" w:rsidP="00DC0947" w:rsidRDefault="00AF7578" w14:paraId="496EC4DE" w14:textId="55B97C8B">
      <w:pPr>
        <w:pStyle w:val="Standard"/>
      </w:pPr>
      <w:r>
        <w:t xml:space="preserve">We find that SoCalGas has adequately demonstrated that Project E </w:t>
      </w:r>
      <w:r w:rsidR="00B26E08">
        <w:t>has no</w:t>
      </w:r>
      <w:r w:rsidR="00BE266A">
        <w:t xml:space="preserve"> feasible alternative to natural gas. The record reflects </w:t>
      </w:r>
      <w:r w:rsidR="003109AE">
        <w:t>that the customer compared its own range requirements with t</w:t>
      </w:r>
      <w:r w:rsidR="00AD1DDB">
        <w:t>he range</w:t>
      </w:r>
      <w:r w:rsidR="003333A7">
        <w:t xml:space="preserve">s of </w:t>
      </w:r>
      <w:r w:rsidR="005B3CB7">
        <w:t>B</w:t>
      </w:r>
      <w:r w:rsidR="003333A7">
        <w:t xml:space="preserve">EV trucks and found that </w:t>
      </w:r>
      <w:r w:rsidR="005B3CB7">
        <w:t xml:space="preserve">the ranges of BEV trucks fall short of its needs. </w:t>
      </w:r>
      <w:r w:rsidR="004F2022">
        <w:t xml:space="preserve">Moreover, the customer </w:t>
      </w:r>
      <w:r w:rsidR="00461671">
        <w:t>also noted several additional barriers to the adoption of BEV trucks for its needs, including upfront costs,</w:t>
      </w:r>
      <w:r w:rsidR="00BF12A9">
        <w:t xml:space="preserve"> limited availability of charging infrastructure, and</w:t>
      </w:r>
      <w:r w:rsidR="00F510EE">
        <w:t xml:space="preserve"> vehicle storage constraints.</w:t>
      </w:r>
    </w:p>
    <w:p w:rsidR="00F510EE" w:rsidP="0045643F" w:rsidRDefault="00F510EE" w14:paraId="178F917C" w14:textId="40856463">
      <w:pPr>
        <w:pStyle w:val="Standard"/>
      </w:pPr>
      <w:r>
        <w:t>We are not persuaded by Sierra</w:t>
      </w:r>
      <w:r w:rsidR="00DD343C">
        <w:t xml:space="preserve"> Club’s </w:t>
      </w:r>
      <w:r w:rsidR="007948AC">
        <w:t>arguments</w:t>
      </w:r>
      <w:r w:rsidR="009461B0">
        <w:t xml:space="preserve"> that there are</w:t>
      </w:r>
      <w:r w:rsidR="007948AC">
        <w:t xml:space="preserve"> other</w:t>
      </w:r>
      <w:r w:rsidR="009461B0">
        <w:t xml:space="preserve"> </w:t>
      </w:r>
      <w:r w:rsidR="00217A19">
        <w:t>B</w:t>
      </w:r>
      <w:r w:rsidR="009461B0">
        <w:t>EV</w:t>
      </w:r>
      <w:r w:rsidR="00AB7F22">
        <w:t xml:space="preserve"> truck</w:t>
      </w:r>
      <w:r w:rsidR="009461B0">
        <w:t xml:space="preserve"> models </w:t>
      </w:r>
      <w:r w:rsidR="00AB7F22">
        <w:t xml:space="preserve">that advertise higher range maximums that could </w:t>
      </w:r>
      <w:r w:rsidR="007948AC">
        <w:t>accommodate the customer’s needs. As the customer describes,</w:t>
      </w:r>
      <w:r w:rsidR="003E758E">
        <w:t xml:space="preserve"> when operating at the gross vehicle weight rating that </w:t>
      </w:r>
      <w:r w:rsidR="00271C41">
        <w:t xml:space="preserve">its operations require, </w:t>
      </w:r>
      <w:r w:rsidR="00217A19">
        <w:t>B</w:t>
      </w:r>
      <w:r w:rsidR="00271C41">
        <w:t xml:space="preserve">EV </w:t>
      </w:r>
      <w:r w:rsidR="00B00D27">
        <w:t>trucks have a much lower reported range than their maximums.</w:t>
      </w:r>
      <w:r w:rsidRPr="007B305F" w:rsidR="007B305F">
        <w:rPr>
          <w:rStyle w:val="FootnoteReference"/>
        </w:rPr>
        <w:t xml:space="preserve"> </w:t>
      </w:r>
      <w:r w:rsidR="007B305F">
        <w:rPr>
          <w:rStyle w:val="FootnoteReference"/>
        </w:rPr>
        <w:footnoteReference w:id="60"/>
      </w:r>
      <w:r w:rsidR="00B00D27">
        <w:t xml:space="preserve"> </w:t>
      </w:r>
      <w:r w:rsidR="00831B9B">
        <w:t xml:space="preserve">The record reflects that </w:t>
      </w:r>
      <w:r w:rsidR="00217A19">
        <w:t>B</w:t>
      </w:r>
      <w:r w:rsidR="00831B9B">
        <w:t>EV truck ranges are further reduced by other variables such as terrain, weather conditions and driver behavior.</w:t>
      </w:r>
      <w:r w:rsidRPr="00831B9B" w:rsidR="00831B9B">
        <w:rPr>
          <w:rStyle w:val="FootnoteReference"/>
        </w:rPr>
        <w:t xml:space="preserve"> </w:t>
      </w:r>
      <w:r w:rsidR="00831B9B">
        <w:rPr>
          <w:rStyle w:val="FootnoteReference"/>
        </w:rPr>
        <w:footnoteReference w:id="61"/>
      </w:r>
      <w:r w:rsidR="00831B9B">
        <w:t xml:space="preserve"> </w:t>
      </w:r>
      <w:r w:rsidR="00F95A70">
        <w:t xml:space="preserve">Nor are we persuaded by Sierra Club’s </w:t>
      </w:r>
      <w:r w:rsidR="005A6F39">
        <w:t xml:space="preserve">arguments that </w:t>
      </w:r>
      <w:r w:rsidR="00F34AE8">
        <w:lastRenderedPageBreak/>
        <w:t>purchase incentives and lower maintenance costs would make BEVs feasible fo</w:t>
      </w:r>
      <w:r w:rsidR="00715815">
        <w:t xml:space="preserve">r Project E. While these incentives and reduced costs may make BEVs more affordable than they would be otherwise, they do not necessarily mean that </w:t>
      </w:r>
      <w:r w:rsidR="00840E59">
        <w:t xml:space="preserve">they make utilizing BEVs feasible for Project E’s operations. </w:t>
      </w:r>
    </w:p>
    <w:p w:rsidR="00840E59" w:rsidP="0045643F" w:rsidRDefault="00840E59" w14:paraId="6A489DC7" w14:textId="3C12656D">
      <w:pPr>
        <w:pStyle w:val="Standard"/>
      </w:pPr>
      <w:r>
        <w:t xml:space="preserve">We therefore find that SoCalGas has sufficiently demonstrated that </w:t>
      </w:r>
      <w:r w:rsidR="00D16B2F">
        <w:t>Project E has no feasible alternatives to natural gas.</w:t>
      </w:r>
    </w:p>
    <w:p w:rsidR="008207A3" w:rsidP="008207A3" w:rsidRDefault="008207A3" w14:paraId="4482F8EC" w14:textId="6FACA8F7">
      <w:pPr>
        <w:pStyle w:val="Heading3"/>
      </w:pPr>
      <w:bookmarkStart w:name="_Toc243318791" w:id="43"/>
      <w:bookmarkStart w:name="_Toc243476871" w:id="44"/>
      <w:r>
        <w:t>Projects G and H</w:t>
      </w:r>
      <w:bookmarkEnd w:id="43"/>
      <w:bookmarkEnd w:id="44"/>
    </w:p>
    <w:p w:rsidR="003B2265" w:rsidP="003B2265" w:rsidRDefault="00923BB1" w14:paraId="69DAE586" w14:textId="72959A70">
      <w:pPr>
        <w:pStyle w:val="Standard"/>
      </w:pPr>
      <w:r>
        <w:t xml:space="preserve">Projects G and H are both public </w:t>
      </w:r>
      <w:r w:rsidR="00103D6C">
        <w:t xml:space="preserve">fueling stations. Project G </w:t>
      </w:r>
      <w:r w:rsidR="00D55D4E">
        <w:t>will offer several fueling options, including hydrogen, renewable biodiesel, RNG</w:t>
      </w:r>
      <w:r w:rsidR="001164AC">
        <w:t>,</w:t>
      </w:r>
      <w:r w:rsidR="00D55D4E">
        <w:t xml:space="preserve"> and </w:t>
      </w:r>
      <w:r w:rsidR="00217A19">
        <w:t>B</w:t>
      </w:r>
      <w:r w:rsidR="00D55D4E">
        <w:t>EV charging stations.</w:t>
      </w:r>
      <w:r w:rsidR="00D55D4E">
        <w:rPr>
          <w:rStyle w:val="FootnoteReference"/>
        </w:rPr>
        <w:footnoteReference w:id="62"/>
      </w:r>
      <w:r w:rsidR="00B755BD">
        <w:t xml:space="preserve"> Project H</w:t>
      </w:r>
      <w:r w:rsidR="006B304C">
        <w:t xml:space="preserve"> will serve exclusively heavy duty RNG vehicles.</w:t>
      </w:r>
      <w:r w:rsidR="006B304C">
        <w:rPr>
          <w:rStyle w:val="FootnoteReference"/>
        </w:rPr>
        <w:footnoteReference w:id="63"/>
      </w:r>
      <w:r w:rsidR="00002727">
        <w:t xml:space="preserve"> We consider them both together because </w:t>
      </w:r>
      <w:r w:rsidR="00C938F1">
        <w:t>SoCalGas offers the same</w:t>
      </w:r>
      <w:r w:rsidR="00431533">
        <w:t xml:space="preserve"> </w:t>
      </w:r>
      <w:r w:rsidR="007A2229">
        <w:t>basis</w:t>
      </w:r>
      <w:r w:rsidR="00431533">
        <w:t xml:space="preserve"> </w:t>
      </w:r>
      <w:r w:rsidR="00515EA3">
        <w:t>for both projects as to</w:t>
      </w:r>
      <w:r w:rsidR="00431533">
        <w:t xml:space="preserve"> why </w:t>
      </w:r>
      <w:r w:rsidR="00EB7811">
        <w:t xml:space="preserve">no other alternative to natural gas is feasible. </w:t>
      </w:r>
      <w:r w:rsidR="001164AC">
        <w:t xml:space="preserve">Specifically, </w:t>
      </w:r>
      <w:r w:rsidR="005A64A5">
        <w:t>SoCalGas</w:t>
      </w:r>
      <w:r w:rsidR="00210323">
        <w:t>’ testimony</w:t>
      </w:r>
      <w:r w:rsidR="005A64A5">
        <w:t xml:space="preserve"> states that because both projects </w:t>
      </w:r>
      <w:r w:rsidR="002720DF">
        <w:t xml:space="preserve">are designed to serve as a fueling station for RNG vehicles, no other </w:t>
      </w:r>
      <w:r w:rsidR="00C938F1">
        <w:t>solution or fuel could serve this purpose.</w:t>
      </w:r>
      <w:r w:rsidR="00515EA3">
        <w:rPr>
          <w:rStyle w:val="FootnoteReference"/>
        </w:rPr>
        <w:footnoteReference w:id="64"/>
      </w:r>
      <w:r w:rsidR="00134133">
        <w:t xml:space="preserve"> In its rebuttal testimony, SoCalGas also </w:t>
      </w:r>
      <w:r w:rsidR="007E7503">
        <w:t>states</w:t>
      </w:r>
      <w:r w:rsidR="009E3C4B">
        <w:t xml:space="preserve"> that “</w:t>
      </w:r>
      <w:r w:rsidRPr="009E3C4B" w:rsidR="009E3C4B">
        <w:t>Projects G and H are public RNG fueling stations needed to serve the existing market of CNG vehicles on the road today</w:t>
      </w:r>
      <w:r w:rsidR="00852254">
        <w:t>….”</w:t>
      </w:r>
      <w:r w:rsidR="00852254">
        <w:rPr>
          <w:rStyle w:val="FootnoteReference"/>
        </w:rPr>
        <w:footnoteReference w:id="65"/>
      </w:r>
    </w:p>
    <w:p w:rsidR="00C17ED0" w:rsidP="00C17ED0" w:rsidRDefault="00443A72" w14:paraId="659681D6" w14:textId="0142AB3F">
      <w:pPr>
        <w:pStyle w:val="Standard"/>
      </w:pPr>
      <w:r>
        <w:t>As with other projects, the i</w:t>
      </w:r>
      <w:r w:rsidR="0056456C">
        <w:t>ntervenors dispute that</w:t>
      </w:r>
      <w:r w:rsidR="007E7503">
        <w:t xml:space="preserve"> SoCalGas has </w:t>
      </w:r>
      <w:r w:rsidR="007E5815">
        <w:t>successfully demonstrated that</w:t>
      </w:r>
      <w:r w:rsidR="0056456C">
        <w:t xml:space="preserve"> </w:t>
      </w:r>
      <w:r>
        <w:t>other options</w:t>
      </w:r>
      <w:r w:rsidR="001164AC">
        <w:t xml:space="preserve"> are infeasible</w:t>
      </w:r>
      <w:r>
        <w:t>.</w:t>
      </w:r>
      <w:r w:rsidR="008633C3">
        <w:t xml:space="preserve"> Cal Advocates</w:t>
      </w:r>
      <w:r w:rsidR="006640A6">
        <w:t xml:space="preserve"> argues</w:t>
      </w:r>
      <w:r w:rsidR="007E5815">
        <w:t xml:space="preserve"> that SoCalGas provides no evidence that other alternatives were considered</w:t>
      </w:r>
      <w:r w:rsidR="00251334">
        <w:t>,</w:t>
      </w:r>
      <w:r w:rsidR="006640A6">
        <w:t xml:space="preserve"> that th</w:t>
      </w:r>
      <w:r w:rsidR="001164AC">
        <w:t>e</w:t>
      </w:r>
      <w:r w:rsidR="006640A6">
        <w:t xml:space="preserve"> exemption </w:t>
      </w:r>
      <w:r w:rsidR="001164AC">
        <w:t xml:space="preserve">authorized in D.22-09-026 </w:t>
      </w:r>
      <w:r w:rsidR="006640A6">
        <w:t xml:space="preserve">is meant to be limited </w:t>
      </w:r>
      <w:r w:rsidR="006640A6">
        <w:lastRenderedPageBreak/>
        <w:t>to “specific, unique non-residential” projects</w:t>
      </w:r>
      <w:r w:rsidR="00EB3940">
        <w:t>,</w:t>
      </w:r>
      <w:r w:rsidR="006640A6">
        <w:t xml:space="preserve"> and </w:t>
      </w:r>
      <w:r w:rsidR="00FA47DF">
        <w:t>that Projects G and H are not entitled to a subsidy simply because their business centers around natural gas.</w:t>
      </w:r>
      <w:r w:rsidR="00FA47DF">
        <w:rPr>
          <w:rStyle w:val="FootnoteReference"/>
        </w:rPr>
        <w:footnoteReference w:id="66"/>
      </w:r>
    </w:p>
    <w:p w:rsidR="002E0CE8" w:rsidP="00E7299C" w:rsidRDefault="00FA47DF" w14:paraId="2DC0791A" w14:textId="6D561F28">
      <w:pPr>
        <w:pStyle w:val="Standard"/>
      </w:pPr>
      <w:r>
        <w:t xml:space="preserve">We </w:t>
      </w:r>
      <w:r w:rsidR="00C455DC">
        <w:t xml:space="preserve">find </w:t>
      </w:r>
      <w:r w:rsidR="00875E33">
        <w:t>that SoCalGas</w:t>
      </w:r>
      <w:r w:rsidR="00C73407">
        <w:t xml:space="preserve"> fails to demonstrate that </w:t>
      </w:r>
      <w:r w:rsidR="00C455DC">
        <w:t xml:space="preserve">Projects G and H </w:t>
      </w:r>
      <w:r w:rsidR="00C73407">
        <w:t>have no</w:t>
      </w:r>
      <w:r w:rsidR="005530FD">
        <w:t xml:space="preserve"> feasible alternatives to </w:t>
      </w:r>
      <w:r w:rsidR="001261CD">
        <w:t xml:space="preserve">natural gas. </w:t>
      </w:r>
      <w:r w:rsidR="00907699">
        <w:t xml:space="preserve">The record reflects that no evidence was provided to support that alternatives to </w:t>
      </w:r>
      <w:r w:rsidR="00875E33">
        <w:t>renewa</w:t>
      </w:r>
      <w:r w:rsidR="009A7149">
        <w:t xml:space="preserve">ble </w:t>
      </w:r>
      <w:r w:rsidR="00907699">
        <w:t xml:space="preserve">natural gas were infeasible. </w:t>
      </w:r>
      <w:r w:rsidR="00B3499D">
        <w:t xml:space="preserve">While SoCalGas does state </w:t>
      </w:r>
      <w:r w:rsidR="005906F6">
        <w:t xml:space="preserve">that the </w:t>
      </w:r>
      <w:r w:rsidR="00E962EC">
        <w:t>Projects G and H</w:t>
      </w:r>
      <w:r w:rsidR="0046755B">
        <w:t xml:space="preserve"> are needed to serve the existing market of CNG vehicles</w:t>
      </w:r>
      <w:r w:rsidR="00B3499D">
        <w:t xml:space="preserve">, </w:t>
      </w:r>
      <w:r w:rsidR="009A3EF2">
        <w:t>t</w:t>
      </w:r>
      <w:r w:rsidR="0046755B">
        <w:t>he record provides no evidence to support that there is</w:t>
      </w:r>
      <w:r w:rsidR="002D0603">
        <w:t xml:space="preserve"> a</w:t>
      </w:r>
      <w:r w:rsidR="00583DBA">
        <w:t xml:space="preserve"> particular</w:t>
      </w:r>
      <w:r w:rsidR="002D0603">
        <w:t xml:space="preserve"> market demand for RNG in the area of Projects G and H, especially given that Project G is also providing hydrogen fuel and </w:t>
      </w:r>
      <w:r w:rsidR="00217A19">
        <w:t>B</w:t>
      </w:r>
      <w:r w:rsidR="002D0603">
        <w:t xml:space="preserve">EV charging options. Accordingly, we </w:t>
      </w:r>
      <w:r w:rsidR="002729F1">
        <w:t xml:space="preserve">are not persuaded </w:t>
      </w:r>
      <w:r w:rsidR="00513E37">
        <w:t xml:space="preserve">by </w:t>
      </w:r>
      <w:r w:rsidR="002D0603">
        <w:t>SoCalGas’ claim of infeasibility.</w:t>
      </w:r>
      <w:r w:rsidR="00427B12">
        <w:t xml:space="preserve"> </w:t>
      </w:r>
    </w:p>
    <w:p w:rsidRPr="003B2265" w:rsidR="00211E73" w:rsidP="00FE14A8" w:rsidRDefault="009008A9" w14:paraId="63684FE2" w14:textId="68BEC182">
      <w:pPr>
        <w:pStyle w:val="Standard"/>
      </w:pPr>
      <w:r>
        <w:t>W</w:t>
      </w:r>
      <w:r w:rsidRPr="009008A9">
        <w:t xml:space="preserve">e emphasize that our decision today is limited to finding that Projects G and H failed to adequately </w:t>
      </w:r>
      <w:r w:rsidRPr="009008A9">
        <w:rPr>
          <w:i/>
          <w:iCs/>
        </w:rPr>
        <w:t>demonstrate</w:t>
      </w:r>
      <w:r w:rsidRPr="009008A9">
        <w:t xml:space="preserve"> that alternatives were infeasible, and makes no finding as to whether alternative fuels are in fact, feasible for the projects</w:t>
      </w:r>
      <w:r>
        <w:t xml:space="preserve">. </w:t>
      </w:r>
      <w:r w:rsidR="00714004">
        <w:t>Further, o</w:t>
      </w:r>
      <w:r w:rsidR="00271D82">
        <w:t>ur decision does not preclude the proponents of Projects G and H from reapplying for the subsidy</w:t>
      </w:r>
      <w:r w:rsidR="00BB3522">
        <w:t>. Should</w:t>
      </w:r>
      <w:r w:rsidR="00305E47">
        <w:t xml:space="preserve"> Projects G and H reapply, they should provide</w:t>
      </w:r>
      <w:r w:rsidR="009400BA">
        <w:t xml:space="preserve"> a demonstration of infeasibility</w:t>
      </w:r>
      <w:r w:rsidR="00B5055D">
        <w:t>,</w:t>
      </w:r>
      <w:r w:rsidR="00A51405">
        <w:t xml:space="preserve"> such as</w:t>
      </w:r>
      <w:r w:rsidR="00A961AD">
        <w:t xml:space="preserve"> evidence to support </w:t>
      </w:r>
      <w:r w:rsidR="00F919CD">
        <w:t>the</w:t>
      </w:r>
      <w:r w:rsidR="00E218F8">
        <w:t xml:space="preserve"> claim</w:t>
      </w:r>
      <w:r w:rsidR="00A961AD">
        <w:t xml:space="preserve"> that the stations are needed to serve the existing </w:t>
      </w:r>
      <w:r w:rsidR="007F3D64">
        <w:t>market</w:t>
      </w:r>
      <w:r w:rsidR="00A961AD">
        <w:t xml:space="preserve"> of CNG vehicles</w:t>
      </w:r>
      <w:r w:rsidR="007F3D64">
        <w:t>.</w:t>
      </w:r>
      <w:r w:rsidR="008B6E75">
        <w:t xml:space="preserve"> </w:t>
      </w:r>
      <w:r w:rsidR="00FA617B">
        <w:t xml:space="preserve">This </w:t>
      </w:r>
      <w:r w:rsidR="002447F8">
        <w:t>evidence</w:t>
      </w:r>
      <w:r w:rsidR="00FA617B">
        <w:t xml:space="preserve"> could include</w:t>
      </w:r>
      <w:r w:rsidR="008B6E75">
        <w:t>, for example,</w:t>
      </w:r>
      <w:r w:rsidR="00FA617B">
        <w:t xml:space="preserve"> information on the </w:t>
      </w:r>
      <w:r w:rsidR="003828F4">
        <w:t>nature of the</w:t>
      </w:r>
      <w:r w:rsidR="004A68C6">
        <w:t xml:space="preserve"> </w:t>
      </w:r>
      <w:r w:rsidR="00BE6417">
        <w:t>demand</w:t>
      </w:r>
      <w:r w:rsidR="004A68C6">
        <w:t xml:space="preserve"> </w:t>
      </w:r>
      <w:r w:rsidR="003828F4">
        <w:t>for natural</w:t>
      </w:r>
      <w:r w:rsidR="004A68C6">
        <w:t xml:space="preserve"> gas</w:t>
      </w:r>
      <w:r w:rsidR="00FF7864">
        <w:t>-</w:t>
      </w:r>
      <w:r w:rsidR="004A68C6">
        <w:t xml:space="preserve">powered vehicles </w:t>
      </w:r>
      <w:r w:rsidR="008C10AE">
        <w:t xml:space="preserve">traveling in the area of the public fueling station, the </w:t>
      </w:r>
      <w:r w:rsidR="00C744E6">
        <w:t xml:space="preserve">availability of nearby </w:t>
      </w:r>
      <w:r w:rsidR="007A52B2">
        <w:t xml:space="preserve">natural gas fueling stations, </w:t>
      </w:r>
      <w:r w:rsidR="0082505B">
        <w:t>or</w:t>
      </w:r>
      <w:r w:rsidR="007A52B2">
        <w:t xml:space="preserve"> </w:t>
      </w:r>
      <w:r w:rsidR="00F00C0F">
        <w:t xml:space="preserve">an assessment or declaration from the customer, based on its business expertise, </w:t>
      </w:r>
      <w:r w:rsidR="00757CA4">
        <w:t xml:space="preserve">of the market need for the proposed </w:t>
      </w:r>
      <w:r w:rsidR="007E01CB">
        <w:t>RNG</w:t>
      </w:r>
      <w:r w:rsidR="00757CA4">
        <w:t xml:space="preserve"> fueling station. </w:t>
      </w:r>
    </w:p>
    <w:p w:rsidR="00E70DAF" w:rsidP="00FA1B4F" w:rsidRDefault="00F3775E" w14:paraId="1F050CFF" w14:textId="0410B31F">
      <w:pPr>
        <w:pStyle w:val="Heading1"/>
      </w:pPr>
      <w:bookmarkStart w:name="_Toc243318792" w:id="45"/>
      <w:bookmarkStart w:name="_Toc243476872" w:id="46"/>
      <w:bookmarkStart w:name="_Toc8123721" w:id="47"/>
      <w:r>
        <w:lastRenderedPageBreak/>
        <w:t xml:space="preserve">Compliance with All Requirements in D.22-09-026, Including an </w:t>
      </w:r>
      <w:r w:rsidR="00E70DAF">
        <w:t>Update to Non-Residential Gas Line Extension Allowance Calculations</w:t>
      </w:r>
      <w:bookmarkEnd w:id="45"/>
      <w:bookmarkEnd w:id="46"/>
    </w:p>
    <w:p w:rsidR="00096F78" w:rsidP="00096F78" w:rsidRDefault="00BD5373" w14:paraId="0D2BAD8A" w14:textId="3025D72F">
      <w:pPr>
        <w:pStyle w:val="Standard"/>
      </w:pPr>
      <w:r>
        <w:t xml:space="preserve">D.22-09-026 directs each </w:t>
      </w:r>
      <w:r w:rsidR="005A460E">
        <w:t>investor</w:t>
      </w:r>
      <w:r w:rsidR="00AC3931">
        <w:t>-</w:t>
      </w:r>
      <w:r w:rsidR="005A460E">
        <w:t>owned utility (</w:t>
      </w:r>
      <w:r w:rsidR="003E7D28">
        <w:t>IOU</w:t>
      </w:r>
      <w:r w:rsidR="005A460E">
        <w:t>)</w:t>
      </w:r>
      <w:r w:rsidR="003E7D28">
        <w:t xml:space="preserve"> </w:t>
      </w:r>
      <w:r w:rsidR="00120050">
        <w:t xml:space="preserve">to </w:t>
      </w:r>
      <w:r w:rsidR="00F473A0">
        <w:t xml:space="preserve">include an update to the non-residential gas line extension allowance calculations based on the </w:t>
      </w:r>
      <w:r w:rsidR="00CC5642">
        <w:t>existing methodology for the calculation of gas line subsidies.</w:t>
      </w:r>
      <w:r w:rsidR="00CC5642">
        <w:rPr>
          <w:rStyle w:val="FootnoteReference"/>
        </w:rPr>
        <w:footnoteReference w:id="67"/>
      </w:r>
      <w:r w:rsidR="00974A84">
        <w:t xml:space="preserve"> </w:t>
      </w:r>
      <w:r w:rsidR="00B93FD2">
        <w:t>SoCalGas states that it reviewed the factors used to determine non-residential allowances and identified changes that exceeded the five</w:t>
      </w:r>
      <w:r w:rsidR="00031E69">
        <w:t xml:space="preserve"> percent</w:t>
      </w:r>
      <w:r w:rsidR="00B93FD2">
        <w:t xml:space="preserve"> threshold for adjustment according to the methodology authorized by the Commission in D.07-07-</w:t>
      </w:r>
      <w:r w:rsidR="00870A8E">
        <w:t>019 and SoCalGas Rule No. 20, Section H.2.</w:t>
      </w:r>
      <w:r w:rsidR="002E4C02">
        <w:rPr>
          <w:rStyle w:val="FootnoteReference"/>
        </w:rPr>
        <w:footnoteReference w:id="68"/>
      </w:r>
      <w:r w:rsidR="005D0445">
        <w:t xml:space="preserve"> These updates included revised values for both the </w:t>
      </w:r>
      <w:r w:rsidR="00C77334">
        <w:t>m</w:t>
      </w:r>
      <w:r w:rsidR="005D0445">
        <w:t xml:space="preserve">ultiplier and the Cost-of-Service factor, the latter of which </w:t>
      </w:r>
      <w:r w:rsidR="00DD5504">
        <w:t>was approved</w:t>
      </w:r>
      <w:r w:rsidR="005D0445">
        <w:t xml:space="preserve"> in SoCalGas Advice Letter 64</w:t>
      </w:r>
      <w:r w:rsidR="00F858E1">
        <w:t>83-G</w:t>
      </w:r>
      <w:r w:rsidR="00CC6D67">
        <w:t>.</w:t>
      </w:r>
      <w:r w:rsidR="00EB4853">
        <w:rPr>
          <w:rStyle w:val="FootnoteReference"/>
        </w:rPr>
        <w:footnoteReference w:id="69"/>
      </w:r>
    </w:p>
    <w:p w:rsidR="004653B7" w:rsidP="00A440DA" w:rsidRDefault="00EB4853" w14:paraId="20B285BB" w14:textId="0E225A17">
      <w:pPr>
        <w:pStyle w:val="Standard"/>
      </w:pPr>
      <w:r>
        <w:t xml:space="preserve">The </w:t>
      </w:r>
      <w:r w:rsidR="00C77334">
        <w:t>m</w:t>
      </w:r>
      <w:r>
        <w:t xml:space="preserve">ultiplier, as defined in SoCalGas Rule No. 20, Section I, is used to determine non-residential allowances by applying </w:t>
      </w:r>
      <w:r w:rsidR="0080760E">
        <w:t>a net revenue-based factor to net revenues from non-residential customers.</w:t>
      </w:r>
      <w:r w:rsidR="0080760E">
        <w:rPr>
          <w:rStyle w:val="FootnoteReference"/>
        </w:rPr>
        <w:footnoteReference w:id="70"/>
      </w:r>
      <w:r w:rsidR="00B270E1">
        <w:t xml:space="preserve"> The net revenues exclude costs related to fuel, transmission, storage and other non-extension expenses.</w:t>
      </w:r>
      <w:r w:rsidR="00B270E1">
        <w:rPr>
          <w:rStyle w:val="FootnoteReference"/>
        </w:rPr>
        <w:footnoteReference w:id="71"/>
      </w:r>
      <w:r w:rsidR="008B0513">
        <w:t xml:space="preserve"> The </w:t>
      </w:r>
      <w:r w:rsidR="00C77334">
        <w:t>m</w:t>
      </w:r>
      <w:r w:rsidR="008B0513">
        <w:t>ultiplier is determined by dividing the total of average allowances per rate class by the total revenue re</w:t>
      </w:r>
      <w:r w:rsidR="003A3948">
        <w:t>quirement per rate class.</w:t>
      </w:r>
      <w:r w:rsidR="003A3948">
        <w:rPr>
          <w:rStyle w:val="FootnoteReference"/>
        </w:rPr>
        <w:footnoteReference w:id="72"/>
      </w:r>
      <w:r w:rsidR="00690433">
        <w:t xml:space="preserve"> </w:t>
      </w:r>
      <w:r w:rsidR="00205308">
        <w:t>According to SoCalGas, using updated data from SoCalGas’ 2024 GRC and Cost Allocation Proceeding</w:t>
      </w:r>
      <w:r w:rsidR="00007042">
        <w:t xml:space="preserve">, </w:t>
      </w:r>
      <w:r w:rsidR="00007042">
        <w:lastRenderedPageBreak/>
        <w:t xml:space="preserve">in conjunction with the approved </w:t>
      </w:r>
      <w:r w:rsidR="00A440DA">
        <w:t xml:space="preserve">Cost-of-Service factor, SoCalGas calculated an updated </w:t>
      </w:r>
      <w:r w:rsidR="00C77334">
        <w:t>m</w:t>
      </w:r>
      <w:r w:rsidR="00A440DA">
        <w:t>ultiplier of 3.1.</w:t>
      </w:r>
      <w:r w:rsidR="00C77334">
        <w:rPr>
          <w:rStyle w:val="FootnoteReference"/>
        </w:rPr>
        <w:footnoteReference w:id="73"/>
      </w:r>
    </w:p>
    <w:p w:rsidR="00A440DA" w:rsidP="00A440DA" w:rsidRDefault="00A440DA" w14:paraId="44990585" w14:textId="49B5200A">
      <w:pPr>
        <w:pStyle w:val="Standard"/>
      </w:pPr>
      <w:r>
        <w:t xml:space="preserve">The parties </w:t>
      </w:r>
      <w:r w:rsidR="004653B7">
        <w:t xml:space="preserve">stipulate that if the Commission approves the projects presented in the </w:t>
      </w:r>
      <w:r w:rsidR="00192E30">
        <w:t>a</w:t>
      </w:r>
      <w:r w:rsidR="004653B7">
        <w:t xml:space="preserve">pplication, the proposed </w:t>
      </w:r>
      <w:r w:rsidR="00C77334">
        <w:t>multiplier</w:t>
      </w:r>
      <w:r w:rsidR="00921FE3">
        <w:t xml:space="preserve"> of 3.1 </w:t>
      </w:r>
      <w:r w:rsidRPr="00C46D9A" w:rsidR="00921FE3">
        <w:t xml:space="preserve">is appropriate. After reviewing the materials in the record, we find that SoCalGas </w:t>
      </w:r>
      <w:r w:rsidRPr="00C46D9A" w:rsidR="003A4C69">
        <w:t>complied with D.22-09-026’s directive to update the non-residential gas line extension allowance calculations</w:t>
      </w:r>
      <w:r w:rsidRPr="00C46D9A" w:rsidR="007D65BB">
        <w:t xml:space="preserve"> and approve </w:t>
      </w:r>
      <w:r w:rsidRPr="00C46D9A" w:rsidR="00334A02">
        <w:t>the proposed updated multiplier of 3.1.</w:t>
      </w:r>
    </w:p>
    <w:p w:rsidR="003A4C69" w:rsidP="00A440DA" w:rsidRDefault="003A4C69" w14:paraId="409419C6" w14:textId="75EC1A4C">
      <w:pPr>
        <w:pStyle w:val="Standard"/>
      </w:pPr>
      <w:r>
        <w:t xml:space="preserve">SoCalGas </w:t>
      </w:r>
      <w:r w:rsidR="00B379E8">
        <w:t xml:space="preserve">argues that its application complies with all other applicable requirements </w:t>
      </w:r>
      <w:r w:rsidR="00EE5601">
        <w:t xml:space="preserve">established in D.22-09-026. SoCalGas states that the application presents </w:t>
      </w:r>
      <w:r w:rsidR="00044A65">
        <w:t>individualized requests subject to strict cost caps, post-installation verification</w:t>
      </w:r>
      <w:r w:rsidR="00192E30">
        <w:t>,</w:t>
      </w:r>
      <w:r w:rsidR="00044A65">
        <w:t xml:space="preserve"> and recovery limited to actual Commission-approved amounts, and does not seek categorical exemptions or blanket treatment.</w:t>
      </w:r>
      <w:r w:rsidR="00044A65">
        <w:rPr>
          <w:rStyle w:val="FootnoteReference"/>
        </w:rPr>
        <w:footnoteReference w:id="74"/>
      </w:r>
    </w:p>
    <w:p w:rsidR="006159F0" w:rsidP="006159F0" w:rsidRDefault="001714B8" w14:paraId="3CF73B09" w14:textId="682DB609">
      <w:pPr>
        <w:pStyle w:val="Standard"/>
      </w:pPr>
      <w:r>
        <w:t xml:space="preserve">Sierra Club argues that </w:t>
      </w:r>
      <w:r w:rsidR="00E93F14">
        <w:t>SoCalGas’ application is an improper effort to apply a blanket exemption to CNG refueling station projects that the Commission rejected in D.22-09-026.</w:t>
      </w:r>
      <w:r w:rsidR="006159F0">
        <w:rPr>
          <w:rStyle w:val="FootnoteReference"/>
        </w:rPr>
        <w:footnoteReference w:id="75"/>
      </w:r>
      <w:r w:rsidR="00FF64EC">
        <w:t xml:space="preserve"> Sierra Club asserts that rather than presenting “specific unique” circumstances as required by D.22-09-026, SoCalGas presents one unified explanation of the alleged climate benefits of RNG</w:t>
      </w:r>
      <w:r w:rsidR="00522042">
        <w:t>, as well as a universal explanation for the no feasible alternative requirements.</w:t>
      </w:r>
      <w:r w:rsidR="00AD7ABC">
        <w:rPr>
          <w:rStyle w:val="FootnoteReference"/>
        </w:rPr>
        <w:footnoteReference w:id="76"/>
      </w:r>
      <w:r w:rsidR="00522042">
        <w:t xml:space="preserve"> </w:t>
      </w:r>
    </w:p>
    <w:p w:rsidR="006159F0" w:rsidP="006159F0" w:rsidRDefault="006159F0" w14:paraId="5F2C71B1" w14:textId="58B2BB6D">
      <w:pPr>
        <w:pStyle w:val="Standard"/>
      </w:pPr>
      <w:r>
        <w:t xml:space="preserve">We do not </w:t>
      </w:r>
      <w:r w:rsidR="00192E30">
        <w:t>find Sierra Club’s assertions persuasive</w:t>
      </w:r>
      <w:r w:rsidR="00AD7ABC">
        <w:t xml:space="preserve">. We find that the application </w:t>
      </w:r>
      <w:r w:rsidR="00205624">
        <w:t xml:space="preserve">presents evidence for each application on an individual basis. </w:t>
      </w:r>
      <w:r w:rsidR="00192E30">
        <w:t>T</w:t>
      </w:r>
      <w:r w:rsidR="003A558B">
        <w:t>he fact that all of the projects happen to be RNG fueling stations</w:t>
      </w:r>
      <w:r w:rsidR="0057306E">
        <w:t>, without more,</w:t>
      </w:r>
      <w:r w:rsidR="00192E30">
        <w:t xml:space="preserve"> does not</w:t>
      </w:r>
      <w:r w:rsidR="003A558B">
        <w:t xml:space="preserve"> contraven</w:t>
      </w:r>
      <w:r w:rsidR="00192E30">
        <w:t>e</w:t>
      </w:r>
      <w:r w:rsidR="003A558B">
        <w:t xml:space="preserve"> </w:t>
      </w:r>
      <w:r w:rsidR="002D3C7A">
        <w:t>D.22-09-026’s requirements.</w:t>
      </w:r>
    </w:p>
    <w:p w:rsidRPr="00096F78" w:rsidR="002D3C7A" w:rsidP="006159F0" w:rsidRDefault="002D3C7A" w14:paraId="6F346AE5" w14:textId="53B89609">
      <w:pPr>
        <w:pStyle w:val="Standard"/>
      </w:pPr>
      <w:r>
        <w:lastRenderedPageBreak/>
        <w:t>We therefore find that</w:t>
      </w:r>
      <w:r w:rsidR="00192E30">
        <w:t xml:space="preserve"> SoCalGas’ application complies with all applicable requirements in D.22-09-026 for </w:t>
      </w:r>
      <w:r>
        <w:t xml:space="preserve">the projects that meet </w:t>
      </w:r>
      <w:r w:rsidR="00710A58">
        <w:t xml:space="preserve">the </w:t>
      </w:r>
      <w:r w:rsidR="00192E30">
        <w:t>criteria set forth in</w:t>
      </w:r>
      <w:r w:rsidR="00710A58">
        <w:t xml:space="preserve"> </w:t>
      </w:r>
      <w:r w:rsidR="00192E30">
        <w:t>that decision</w:t>
      </w:r>
      <w:r w:rsidR="006D28FE">
        <w:t xml:space="preserve"> (projects B, D-1</w:t>
      </w:r>
      <w:r w:rsidR="00F51A37">
        <w:t>,</w:t>
      </w:r>
      <w:r w:rsidR="006D28FE">
        <w:t xml:space="preserve"> D-2</w:t>
      </w:r>
      <w:r w:rsidR="00E218F8">
        <w:t>,</w:t>
      </w:r>
      <w:r w:rsidR="009F5DA3">
        <w:t xml:space="preserve"> and E</w:t>
      </w:r>
      <w:r w:rsidR="006D28FE">
        <w:t>)</w:t>
      </w:r>
      <w:r w:rsidR="00371941">
        <w:t>.</w:t>
      </w:r>
    </w:p>
    <w:p w:rsidR="00CC23BF" w:rsidP="00CC23BF" w:rsidRDefault="00E426A1" w14:paraId="1D53B943" w14:textId="40BF08F8">
      <w:pPr>
        <w:pStyle w:val="Heading1"/>
      </w:pPr>
      <w:bookmarkStart w:name="_Toc243318793" w:id="48"/>
      <w:bookmarkStart w:name="_Toc243476873" w:id="49"/>
      <w:r>
        <w:t>Proposed Clarifications to Tariff Rule Nos. 20 and 21</w:t>
      </w:r>
      <w:bookmarkEnd w:id="48"/>
      <w:bookmarkEnd w:id="49"/>
    </w:p>
    <w:p w:rsidR="002D315E" w:rsidP="00371941" w:rsidRDefault="003A51FA" w14:paraId="59CEDEDD" w14:textId="689CB24D">
      <w:pPr>
        <w:pStyle w:val="Standard"/>
      </w:pPr>
      <w:r>
        <w:t xml:space="preserve">SoCalGas proposes to </w:t>
      </w:r>
      <w:r w:rsidR="001170BC">
        <w:t>revise Tariff Rule Nos. 20 and 21</w:t>
      </w:r>
      <w:r w:rsidR="00542CBE">
        <w:t>, which govern</w:t>
      </w:r>
      <w:r w:rsidR="00573E3C">
        <w:t xml:space="preserve"> gas main and gas service extensions,</w:t>
      </w:r>
      <w:r w:rsidR="001170BC">
        <w:t xml:space="preserve"> to require advance payment of actual project costs for all customers, including those granted gas line extension allowances.</w:t>
      </w:r>
      <w:r w:rsidR="00E609FE">
        <w:t xml:space="preserve"> </w:t>
      </w:r>
    </w:p>
    <w:p w:rsidR="00371941" w:rsidP="00371941" w:rsidRDefault="00E609FE" w14:paraId="3F5D11D5" w14:textId="66060EF3">
      <w:pPr>
        <w:pStyle w:val="Standard"/>
      </w:pPr>
      <w:r>
        <w:t xml:space="preserve">Prior to </w:t>
      </w:r>
      <w:r w:rsidR="003F11C0">
        <w:t xml:space="preserve">the Commission’s elimination of gas line extension allowances in D.22-09-026, </w:t>
      </w:r>
      <w:r w:rsidR="000B51EF">
        <w:t>any approved allowance was deducted from the customer’s total project cost.</w:t>
      </w:r>
      <w:r w:rsidR="000B51EF">
        <w:rPr>
          <w:rStyle w:val="FootnoteReference"/>
        </w:rPr>
        <w:footnoteReference w:id="77"/>
      </w:r>
      <w:r w:rsidR="000B51EF">
        <w:t xml:space="preserve"> </w:t>
      </w:r>
      <w:r w:rsidR="00A80D6E">
        <w:t xml:space="preserve">If the </w:t>
      </w:r>
      <w:r w:rsidR="00CA253C">
        <w:t>est</w:t>
      </w:r>
      <w:r w:rsidR="00EB246F">
        <w:t>imated costs exceeded the estimated allo</w:t>
      </w:r>
      <w:r w:rsidR="002A1725">
        <w:t>wance, the customer was responsible for the remaining balance at the time of contract execution.</w:t>
      </w:r>
      <w:r w:rsidR="0051159E">
        <w:rPr>
          <w:rStyle w:val="FootnoteReference"/>
        </w:rPr>
        <w:footnoteReference w:id="78"/>
      </w:r>
      <w:r w:rsidR="002A1725">
        <w:t xml:space="preserve"> </w:t>
      </w:r>
      <w:r w:rsidR="0056062D">
        <w:t>I</w:t>
      </w:r>
      <w:r w:rsidR="002A1725">
        <w:t>f a customer fail</w:t>
      </w:r>
      <w:r w:rsidR="00793EF9">
        <w:t>ed</w:t>
      </w:r>
      <w:r w:rsidR="002A1725">
        <w:t xml:space="preserve"> to take service or utilize the contracted load within three years of the ready-to-serve date, a reconciliation bill was issued based on actual revenues </w:t>
      </w:r>
      <w:r w:rsidR="0051159E">
        <w:t>generated from the installed equipment.</w:t>
      </w:r>
      <w:r w:rsidR="0051159E">
        <w:rPr>
          <w:rStyle w:val="FootnoteReference"/>
        </w:rPr>
        <w:footnoteReference w:id="79"/>
      </w:r>
    </w:p>
    <w:p w:rsidR="0051159E" w:rsidP="00371941" w:rsidRDefault="005327E3" w14:paraId="45F5B996" w14:textId="1F1DA334">
      <w:pPr>
        <w:pStyle w:val="Standard"/>
      </w:pPr>
      <w:r>
        <w:t>With the implementation of D.22-09-026,</w:t>
      </w:r>
      <w:r w:rsidR="00AE6D2D">
        <w:t xml:space="preserve"> SoCalGas states that it </w:t>
      </w:r>
      <w:r w:rsidR="00AA238C">
        <w:t xml:space="preserve">contractually </w:t>
      </w:r>
      <w:r w:rsidR="00AE6D2D">
        <w:t>requires</w:t>
      </w:r>
      <w:r>
        <w:t xml:space="preserve"> </w:t>
      </w:r>
      <w:r w:rsidR="00AA238C">
        <w:t xml:space="preserve">customers </w:t>
      </w:r>
      <w:r>
        <w:t>submitting new gas line extension</w:t>
      </w:r>
      <w:r w:rsidR="00AA238C">
        <w:t xml:space="preserve"> applications</w:t>
      </w:r>
      <w:r>
        <w:t xml:space="preserve"> to pay the full estimated cost of the project in advance.</w:t>
      </w:r>
      <w:r>
        <w:rPr>
          <w:rStyle w:val="FootnoteReference"/>
        </w:rPr>
        <w:footnoteReference w:id="80"/>
      </w:r>
      <w:r w:rsidR="00AE6D2D">
        <w:t xml:space="preserve"> </w:t>
      </w:r>
      <w:r w:rsidR="0062121B">
        <w:t xml:space="preserve">With the </w:t>
      </w:r>
      <w:r w:rsidR="00491C94">
        <w:t xml:space="preserve">changes </w:t>
      </w:r>
      <w:r w:rsidR="00594356">
        <w:t xml:space="preserve">SoCalGas proposes, Tariff Rule Nos. 20 and 21 would be updated to </w:t>
      </w:r>
      <w:r w:rsidR="00BA5A88">
        <w:t xml:space="preserve">incorporate this requirement into SoCalGas’ tariffs. </w:t>
      </w:r>
      <w:r w:rsidR="0058398A">
        <w:t xml:space="preserve">SoCalGas </w:t>
      </w:r>
      <w:r w:rsidR="00C83F05">
        <w:t xml:space="preserve">proposes that </w:t>
      </w:r>
      <w:r w:rsidR="0058398A">
        <w:t>any allowance approved by the Commission</w:t>
      </w:r>
      <w:r w:rsidR="00C83F05">
        <w:t xml:space="preserve">—up to the actual project cost—should </w:t>
      </w:r>
      <w:r w:rsidR="00645E0B">
        <w:t xml:space="preserve">be applied after a </w:t>
      </w:r>
      <w:r w:rsidR="004F6A6E">
        <w:t>three-year</w:t>
      </w:r>
      <w:r w:rsidR="00645E0B">
        <w:t xml:space="preserve"> period</w:t>
      </w:r>
      <w:r w:rsidR="006944AA">
        <w:t xml:space="preserve"> post-installation</w:t>
      </w:r>
      <w:r w:rsidR="00731EE7">
        <w:t xml:space="preserve"> true up period</w:t>
      </w:r>
      <w:r w:rsidR="00645E0B">
        <w:t xml:space="preserve">, </w:t>
      </w:r>
      <w:r w:rsidR="00FD099A">
        <w:t>consistent with</w:t>
      </w:r>
      <w:r w:rsidR="00645E0B">
        <w:t xml:space="preserve"> its </w:t>
      </w:r>
      <w:r w:rsidR="00645E0B">
        <w:lastRenderedPageBreak/>
        <w:t>practices prior to D.22-09-026.</w:t>
      </w:r>
      <w:r w:rsidR="00645E0B">
        <w:rPr>
          <w:rStyle w:val="FootnoteReference"/>
        </w:rPr>
        <w:footnoteReference w:id="81"/>
      </w:r>
      <w:r w:rsidR="00645E0B">
        <w:t xml:space="preserve"> </w:t>
      </w:r>
      <w:r w:rsidR="00BB3AC9">
        <w:t>During the three-year true up, SoCalGas would measure actual customer usage, allo</w:t>
      </w:r>
      <w:r w:rsidR="00134CAE">
        <w:t>wing the final gas line extension allowance amount to be finalized.</w:t>
      </w:r>
      <w:r w:rsidR="00134CAE">
        <w:rPr>
          <w:rStyle w:val="FootnoteReference"/>
        </w:rPr>
        <w:footnoteReference w:id="82"/>
      </w:r>
    </w:p>
    <w:p w:rsidR="006949FC" w:rsidP="00371941" w:rsidRDefault="006949FC" w14:paraId="396F3951" w14:textId="6D8E8D14">
      <w:pPr>
        <w:pStyle w:val="Standard"/>
      </w:pPr>
      <w:r>
        <w:t>SoCalGas argues that</w:t>
      </w:r>
      <w:r w:rsidR="00211EF4">
        <w:t xml:space="preserve"> amending Tariff Rule Nos. 20 and 21 to</w:t>
      </w:r>
      <w:r>
        <w:t xml:space="preserve"> </w:t>
      </w:r>
      <w:r w:rsidR="00100A2C">
        <w:t>requir</w:t>
      </w:r>
      <w:r w:rsidR="00211EF4">
        <w:t>e</w:t>
      </w:r>
      <w:r w:rsidR="00100A2C">
        <w:t xml:space="preserve"> </w:t>
      </w:r>
      <w:r w:rsidR="0058398A">
        <w:t xml:space="preserve">advance payment of actual project costs for all customers, including those </w:t>
      </w:r>
      <w:r w:rsidR="00211EF4">
        <w:t>seeking allowance exceptions</w:t>
      </w:r>
      <w:r w:rsidR="0075685D">
        <w:t>,</w:t>
      </w:r>
      <w:r w:rsidR="00211EF4">
        <w:t xml:space="preserve"> </w:t>
      </w:r>
      <w:r w:rsidR="006171FF">
        <w:t xml:space="preserve">mitigates the risk of over- or under- charging customers and </w:t>
      </w:r>
      <w:r w:rsidR="00AD0091">
        <w:t xml:space="preserve">aligns with the Commission’s </w:t>
      </w:r>
      <w:r w:rsidR="000B1645">
        <w:t>determination in D.22-09-026 that new gas line extensions must not expose ratepayers to upfront cost risk.</w:t>
      </w:r>
      <w:r w:rsidR="000B1645">
        <w:rPr>
          <w:rStyle w:val="FootnoteReference"/>
        </w:rPr>
        <w:footnoteReference w:id="83"/>
      </w:r>
      <w:r w:rsidR="00A707E3">
        <w:t xml:space="preserve"> </w:t>
      </w:r>
      <w:r w:rsidR="005E5F8C">
        <w:t>The parties stipulate that if the Commission approves the projects presented in the application</w:t>
      </w:r>
      <w:r w:rsidR="0075685D">
        <w:t>,</w:t>
      </w:r>
      <w:r w:rsidR="005E5F8C">
        <w:t xml:space="preserve"> the clarifications sought to Tariff Rule Nos. 20 and 21 are reasonable.</w:t>
      </w:r>
      <w:r w:rsidR="005E5F8C">
        <w:rPr>
          <w:rStyle w:val="FootnoteReference"/>
        </w:rPr>
        <w:footnoteReference w:id="84"/>
      </w:r>
    </w:p>
    <w:p w:rsidRPr="00371941" w:rsidR="009246BC" w:rsidP="00371941" w:rsidRDefault="009246BC" w14:paraId="3D2A07F1" w14:textId="5B4B4724">
      <w:pPr>
        <w:pStyle w:val="Standard"/>
      </w:pPr>
      <w:r>
        <w:t>We</w:t>
      </w:r>
      <w:r w:rsidR="007D1473">
        <w:t xml:space="preserve"> agree that requiring customers seeking a gas line extension to bear the entire up</w:t>
      </w:r>
      <w:r w:rsidR="00763BFC">
        <w:t>-</w:t>
      </w:r>
      <w:r w:rsidR="007D1473">
        <w:t>front costs of the extension</w:t>
      </w:r>
      <w:r w:rsidR="004E6E6E">
        <w:t xml:space="preserve"> and only applying the refund for a</w:t>
      </w:r>
      <w:r w:rsidR="00710419">
        <w:t xml:space="preserve">ny approved allowances after the allowance has been finalized post-installation period will </w:t>
      </w:r>
      <w:r w:rsidR="00DD5CEF">
        <w:t>reduce possible risks</w:t>
      </w:r>
      <w:r w:rsidR="00710419">
        <w:t xml:space="preserve"> to ratepayers</w:t>
      </w:r>
      <w:r w:rsidR="00C6742A">
        <w:t xml:space="preserve"> and therefore find SoCalGas’ proposal to be reasonable.</w:t>
      </w:r>
      <w:r>
        <w:t xml:space="preserve"> </w:t>
      </w:r>
      <w:r w:rsidR="00962F29">
        <w:t xml:space="preserve">We </w:t>
      </w:r>
      <w:r w:rsidR="00C34648">
        <w:t xml:space="preserve">authorize </w:t>
      </w:r>
      <w:r w:rsidR="008E29BB">
        <w:t>SoCalGas</w:t>
      </w:r>
      <w:r w:rsidR="00A16E1D">
        <w:t xml:space="preserve"> to revise</w:t>
      </w:r>
      <w:r w:rsidR="008E29BB">
        <w:t xml:space="preserve"> Tariff Rule Nos. 20 and 21</w:t>
      </w:r>
      <w:r w:rsidR="00A16E1D">
        <w:t xml:space="preserve"> to </w:t>
      </w:r>
      <w:r w:rsidR="00D81572">
        <w:t>require</w:t>
      </w:r>
      <w:r w:rsidR="008E29BB">
        <w:t xml:space="preserve"> </w:t>
      </w:r>
      <w:r w:rsidR="00775374">
        <w:t xml:space="preserve">advance payment of actual project costs for all customers </w:t>
      </w:r>
      <w:r w:rsidR="008E29BB">
        <w:t xml:space="preserve">and </w:t>
      </w:r>
      <w:r w:rsidR="00775374">
        <w:t xml:space="preserve">to </w:t>
      </w:r>
      <w:r w:rsidR="000F6A12">
        <w:t>clarify that any approved allowances</w:t>
      </w:r>
      <w:r w:rsidR="003214E4">
        <w:t xml:space="preserve"> – up to actual project costs –</w:t>
      </w:r>
      <w:r w:rsidR="000F6A12">
        <w:t xml:space="preserve"> will only be applied to customers following a </w:t>
      </w:r>
      <w:r w:rsidR="00320B35">
        <w:t xml:space="preserve">three-year post-installation true up period. </w:t>
      </w:r>
      <w:r w:rsidR="008E29BB">
        <w:t xml:space="preserve">SoCalGas </w:t>
      </w:r>
      <w:r w:rsidR="00320B35">
        <w:t>shall</w:t>
      </w:r>
      <w:r w:rsidR="008E29BB">
        <w:t xml:space="preserve"> file </w:t>
      </w:r>
      <w:r w:rsidRPr="00E3354C" w:rsidR="008E29BB">
        <w:t xml:space="preserve">a Tier 2 </w:t>
      </w:r>
      <w:r w:rsidRPr="00E3354C" w:rsidR="0073516B">
        <w:t>a</w:t>
      </w:r>
      <w:r w:rsidRPr="00E3354C" w:rsidR="008E29BB">
        <w:t xml:space="preserve">dvice </w:t>
      </w:r>
      <w:r w:rsidRPr="00E3354C" w:rsidR="0073516B">
        <w:t>l</w:t>
      </w:r>
      <w:r w:rsidRPr="00E3354C" w:rsidR="008E29BB">
        <w:t>etter</w:t>
      </w:r>
      <w:r w:rsidR="008E29BB">
        <w:t xml:space="preserve"> within 30 days to </w:t>
      </w:r>
      <w:r w:rsidR="00C86EDA">
        <w:t xml:space="preserve">implement </w:t>
      </w:r>
      <w:r w:rsidR="00320B35">
        <w:t xml:space="preserve">the revisions consistent with this decision. The advice letter shall </w:t>
      </w:r>
      <w:r w:rsidR="00590980">
        <w:t xml:space="preserve">clearly identify the </w:t>
      </w:r>
      <w:r w:rsidR="00590980">
        <w:lastRenderedPageBreak/>
        <w:t>specific changes to</w:t>
      </w:r>
      <w:r w:rsidR="00217884">
        <w:t xml:space="preserve"> the language of</w:t>
      </w:r>
      <w:r w:rsidR="00590980">
        <w:t xml:space="preserve"> </w:t>
      </w:r>
      <w:r w:rsidR="00217884">
        <w:t>Tariff Rule Nos. 20 and 21</w:t>
      </w:r>
      <w:r w:rsidR="00CE6F76">
        <w:t xml:space="preserve">, and shall </w:t>
      </w:r>
      <w:r w:rsidR="00BD7582">
        <w:t>explain how the specific changes are consistent with this decision.</w:t>
      </w:r>
    </w:p>
    <w:p w:rsidR="00E426A1" w:rsidP="00E426A1" w:rsidRDefault="00E426A1" w14:paraId="40EF3345" w14:textId="106884DD">
      <w:pPr>
        <w:pStyle w:val="Heading1"/>
      </w:pPr>
      <w:bookmarkStart w:name="_Toc243318794" w:id="50"/>
      <w:bookmarkStart w:name="_Toc243476874" w:id="51"/>
      <w:r>
        <w:t>Creation of Balancing Account</w:t>
      </w:r>
      <w:bookmarkEnd w:id="50"/>
      <w:bookmarkEnd w:id="51"/>
    </w:p>
    <w:p w:rsidRPr="00EA0F6E" w:rsidR="00EA0F6E" w:rsidP="00AA14E4" w:rsidRDefault="00AA14E4" w14:paraId="0A77757F" w14:textId="255016DE">
      <w:pPr>
        <w:pStyle w:val="Heading2"/>
      </w:pPr>
      <w:bookmarkStart w:name="_Toc243318795" w:id="52"/>
      <w:bookmarkStart w:name="_Toc243476875" w:id="53"/>
      <w:r>
        <w:t>Parties</w:t>
      </w:r>
      <w:r w:rsidR="004C0B59">
        <w:t>’</w:t>
      </w:r>
      <w:r>
        <w:t xml:space="preserve"> Contentions</w:t>
      </w:r>
      <w:bookmarkEnd w:id="52"/>
      <w:bookmarkEnd w:id="53"/>
    </w:p>
    <w:p w:rsidR="00EA149F" w:rsidP="007851D4" w:rsidRDefault="00E50E3D" w14:paraId="0EFC10F7" w14:textId="32DBFF64">
      <w:pPr>
        <w:pStyle w:val="Standard"/>
      </w:pPr>
      <w:r>
        <w:t xml:space="preserve">SoCalGas proposes </w:t>
      </w:r>
      <w:r w:rsidR="00B020DF">
        <w:t>to establish the G</w:t>
      </w:r>
      <w:r w:rsidR="004F3D7A">
        <w:t xml:space="preserve">as Line Extension Allowance Balancing Account (GLEABA). SoCalGas states that the GLEABA will be an interest-bearing two-way balancing account </w:t>
      </w:r>
      <w:r w:rsidR="00C702C5">
        <w:t>that will</w:t>
      </w:r>
      <w:r w:rsidR="004F3D7A">
        <w:t xml:space="preserve"> </w:t>
      </w:r>
      <w:r w:rsidR="00EC1CCF">
        <w:t xml:space="preserve">record the incremental revenue requirement associated with any gas line extension allowances </w:t>
      </w:r>
      <w:r w:rsidR="003344DF">
        <w:t>the Commission approves through this application.</w:t>
      </w:r>
      <w:r w:rsidR="004F3D7A">
        <w:rPr>
          <w:rStyle w:val="FootnoteReference"/>
        </w:rPr>
        <w:footnoteReference w:id="85"/>
      </w:r>
      <w:r w:rsidR="00097F87">
        <w:t xml:space="preserve"> </w:t>
      </w:r>
      <w:r w:rsidR="00A93FCE">
        <w:t>According to SoCalGas’ proposal, t</w:t>
      </w:r>
      <w:r w:rsidR="00CB2E50">
        <w:t xml:space="preserve">he </w:t>
      </w:r>
      <w:r w:rsidR="00305723">
        <w:t xml:space="preserve">actual </w:t>
      </w:r>
      <w:r w:rsidR="00CB2E50">
        <w:t xml:space="preserve">revenue requirement will be recorded to the GLEABA </w:t>
      </w:r>
      <w:r w:rsidR="00766E51">
        <w:t xml:space="preserve">following </w:t>
      </w:r>
      <w:r w:rsidR="00305723">
        <w:t xml:space="preserve">a </w:t>
      </w:r>
      <w:r w:rsidR="00B47DF6">
        <w:t>three-year post installation true up period</w:t>
      </w:r>
      <w:r w:rsidR="00DE6737">
        <w:t xml:space="preserve"> for recovery in rates using the Equal Percentage of Authorized Margin cost allocation methodology</w:t>
      </w:r>
      <w:r w:rsidR="007851D4">
        <w:t xml:space="preserve">, </w:t>
      </w:r>
      <w:r w:rsidRPr="007851D4" w:rsidR="007851D4">
        <w:t>consistent with the allocation of current base margin pursuant to D.24-07-009</w:t>
      </w:r>
      <w:r w:rsidR="00CB2E50">
        <w:t>.</w:t>
      </w:r>
      <w:r w:rsidR="003414E0">
        <w:rPr>
          <w:rStyle w:val="FootnoteReference"/>
        </w:rPr>
        <w:footnoteReference w:id="86"/>
      </w:r>
      <w:r w:rsidR="003414E0">
        <w:t xml:space="preserve"> </w:t>
      </w:r>
    </w:p>
    <w:p w:rsidR="003B5733" w:rsidP="00EA149F" w:rsidRDefault="003B5733" w14:paraId="410F04FC" w14:textId="331D1BAC">
      <w:pPr>
        <w:pStyle w:val="Standard"/>
      </w:pPr>
      <w:r>
        <w:t xml:space="preserve">SoCalGas argues that the creation of the GLEABA is reasonable because it </w:t>
      </w:r>
      <w:r w:rsidR="00A12E11">
        <w:t>will fully reconcile any differences between the forecasted and actual revenue requirements associated with the approved gas line extension allowances</w:t>
      </w:r>
      <w:r w:rsidR="0006677E">
        <w:t>.</w:t>
      </w:r>
      <w:r w:rsidR="0006677E">
        <w:rPr>
          <w:rStyle w:val="FootnoteReference"/>
        </w:rPr>
        <w:footnoteReference w:id="87"/>
      </w:r>
      <w:r w:rsidR="0006677E">
        <w:t xml:space="preserve"> SoCalGas further argues that a two</w:t>
      </w:r>
      <w:r w:rsidR="00E211BB">
        <w:t>-</w:t>
      </w:r>
      <w:r w:rsidR="0006677E">
        <w:t xml:space="preserve">way balancing account is particularly appropriate here because </w:t>
      </w:r>
      <w:r w:rsidR="007A3E36">
        <w:t>allowance-related costs are contingent, project-specific, and subject to a three-year post-installation true-up before any allowance amount is determined.</w:t>
      </w:r>
      <w:r w:rsidR="00302DA1">
        <w:rPr>
          <w:rStyle w:val="FootnoteReference"/>
        </w:rPr>
        <w:footnoteReference w:id="88"/>
      </w:r>
    </w:p>
    <w:p w:rsidR="008333A6" w:rsidP="00920678" w:rsidRDefault="00D63137" w14:paraId="3E886433" w14:textId="79F85400">
      <w:pPr>
        <w:pStyle w:val="Standard"/>
      </w:pPr>
      <w:r>
        <w:t>Cal Advocates argue</w:t>
      </w:r>
      <w:r w:rsidR="00920678">
        <w:t>s</w:t>
      </w:r>
      <w:r>
        <w:t xml:space="preserve"> that </w:t>
      </w:r>
      <w:r w:rsidR="00A611E4">
        <w:t xml:space="preserve">the Commission should require that SoCalGas </w:t>
      </w:r>
      <w:r w:rsidR="00116EC7">
        <w:t xml:space="preserve">record costs associated with any approved gas line extension allowances in an </w:t>
      </w:r>
      <w:r w:rsidR="00116EC7">
        <w:lastRenderedPageBreak/>
        <w:t>existing account, rather than creating a new balancing account</w:t>
      </w:r>
      <w:r w:rsidR="00193BC5">
        <w:t>.</w:t>
      </w:r>
      <w:r w:rsidR="00193BC5">
        <w:rPr>
          <w:rStyle w:val="FootnoteReference"/>
        </w:rPr>
        <w:footnoteReference w:id="89"/>
      </w:r>
      <w:r w:rsidR="00D3768B">
        <w:t xml:space="preserve"> </w:t>
      </w:r>
      <w:r w:rsidR="00DD4F9B">
        <w:t>Specifically, Cal Advocates notes that</w:t>
      </w:r>
      <w:r w:rsidR="004B27A6">
        <w:t xml:space="preserve">, pursuant to the most recent SoCalGas </w:t>
      </w:r>
      <w:r w:rsidR="00D965C0">
        <w:t>GRC</w:t>
      </w:r>
      <w:r w:rsidR="00B7543D">
        <w:t>,</w:t>
      </w:r>
      <w:r w:rsidR="00DD4F9B">
        <w:t xml:space="preserve"> SoCalGas</w:t>
      </w:r>
      <w:r w:rsidR="004B7D74">
        <w:t xml:space="preserve"> has already created </w:t>
      </w:r>
      <w:r w:rsidR="004B27A6">
        <w:t>the Gas Line Extension Balancing Account (GLEBA)</w:t>
      </w:r>
      <w:r w:rsidR="00DD4F9B">
        <w:t xml:space="preserve"> to track savings from the elimination of line extension subsidies </w:t>
      </w:r>
      <w:r w:rsidR="00422BCD">
        <w:t>ordered in D.22-09-026.</w:t>
      </w:r>
      <w:r w:rsidR="00422BCD">
        <w:rPr>
          <w:rStyle w:val="FootnoteReference"/>
        </w:rPr>
        <w:footnoteReference w:id="90"/>
      </w:r>
      <w:r w:rsidR="007B35D2">
        <w:t xml:space="preserve"> Cal Advocates argues that </w:t>
      </w:r>
      <w:r w:rsidR="009F57FF">
        <w:t xml:space="preserve">utilizing an existing account, such as the </w:t>
      </w:r>
      <w:r w:rsidR="00212D12">
        <w:t>GLEBA</w:t>
      </w:r>
      <w:r w:rsidR="00D35633">
        <w:t>,</w:t>
      </w:r>
      <w:r w:rsidR="00212D12">
        <w:t xml:space="preserve"> is more efficient and </w:t>
      </w:r>
      <w:r w:rsidR="00F43127">
        <w:t>avoids the proliferation of balancing accounts that can make tracking a utility's recorded costs more difficult.</w:t>
      </w:r>
      <w:r w:rsidR="00B70021">
        <w:rPr>
          <w:rStyle w:val="FootnoteReference"/>
        </w:rPr>
        <w:footnoteReference w:id="91"/>
      </w:r>
      <w:r w:rsidR="00920678">
        <w:t xml:space="preserve"> </w:t>
      </w:r>
    </w:p>
    <w:p w:rsidR="00920678" w:rsidP="00920678" w:rsidRDefault="00920678" w14:paraId="1CD7AC49" w14:textId="18FE2FAF">
      <w:pPr>
        <w:pStyle w:val="Standard"/>
      </w:pPr>
      <w:r>
        <w:t xml:space="preserve">SoCalGas disputes </w:t>
      </w:r>
      <w:r w:rsidR="008333A6">
        <w:t>t</w:t>
      </w:r>
      <w:r w:rsidR="00016BFE">
        <w:t xml:space="preserve">hat the </w:t>
      </w:r>
      <w:r w:rsidR="00DD6C08">
        <w:t xml:space="preserve">existing </w:t>
      </w:r>
      <w:r w:rsidR="00016BFE">
        <w:t>GLEBA</w:t>
      </w:r>
      <w:r w:rsidR="00DD6C08">
        <w:t xml:space="preserve"> account is appropriate for tracking the incremental costs associated with the allowances approved by this proceeding.</w:t>
      </w:r>
      <w:r w:rsidR="00592EA9">
        <w:t xml:space="preserve"> </w:t>
      </w:r>
      <w:r w:rsidR="00587572">
        <w:t xml:space="preserve">SoCalGas argues that </w:t>
      </w:r>
      <w:r w:rsidR="009A7436">
        <w:t>the GLEBA is structured to record refunds tied to previously authorized revenue requirements, and</w:t>
      </w:r>
      <w:r w:rsidR="00C1070D">
        <w:t xml:space="preserve"> that it is not designed </w:t>
      </w:r>
      <w:r w:rsidR="0073516B">
        <w:t>—</w:t>
      </w:r>
      <w:r w:rsidR="00C1070D">
        <w:t xml:space="preserve"> as the new </w:t>
      </w:r>
      <w:r w:rsidR="00815D6E">
        <w:t xml:space="preserve">proposed </w:t>
      </w:r>
      <w:r w:rsidR="00C1070D">
        <w:t>G</w:t>
      </w:r>
      <w:r w:rsidR="00891CB5">
        <w:t xml:space="preserve">LEABA </w:t>
      </w:r>
      <w:r w:rsidR="00815D6E">
        <w:t>would be</w:t>
      </w:r>
      <w:r w:rsidR="00891CB5">
        <w:t xml:space="preserve"> </w:t>
      </w:r>
      <w:r w:rsidR="0073516B">
        <w:t>—</w:t>
      </w:r>
      <w:r w:rsidR="00891CB5">
        <w:t xml:space="preserve"> to track new, incremental costs arising from Commission-approved allowances authorized outside of a </w:t>
      </w:r>
      <w:r w:rsidR="00B7543D">
        <w:t>GRC</w:t>
      </w:r>
      <w:r w:rsidR="00891CB5">
        <w:t>.</w:t>
      </w:r>
      <w:r w:rsidR="00F423A0">
        <w:rPr>
          <w:rStyle w:val="FootnoteReference"/>
        </w:rPr>
        <w:footnoteReference w:id="92"/>
      </w:r>
      <w:r w:rsidR="00124CCC">
        <w:t xml:space="preserve"> SoCalGas contends that using the GLEBA to record costs arising from </w:t>
      </w:r>
      <w:r w:rsidR="00FA3694">
        <w:t xml:space="preserve">approved allowances would </w:t>
      </w:r>
      <w:r w:rsidR="005E245C">
        <w:t xml:space="preserve">undermine transparency and obscure the accounting treatment of </w:t>
      </w:r>
      <w:r w:rsidR="00142DB3">
        <w:t>these costs.</w:t>
      </w:r>
      <w:r w:rsidR="00F423A0">
        <w:rPr>
          <w:rStyle w:val="FootnoteReference"/>
        </w:rPr>
        <w:footnoteReference w:id="93"/>
      </w:r>
    </w:p>
    <w:p w:rsidR="00CE7440" w:rsidP="00AA14E4" w:rsidRDefault="00AA14E4" w14:paraId="581C0CF9" w14:textId="73FDCA9D">
      <w:pPr>
        <w:pStyle w:val="Heading2"/>
      </w:pPr>
      <w:bookmarkStart w:name="_Toc243318796" w:id="54"/>
      <w:bookmarkStart w:name="_Toc243476876" w:id="55"/>
      <w:r>
        <w:t>Discussion</w:t>
      </w:r>
      <w:bookmarkEnd w:id="54"/>
      <w:bookmarkEnd w:id="55"/>
    </w:p>
    <w:p w:rsidR="00AA14E4" w:rsidP="00AA14E4" w:rsidRDefault="00C3798C" w14:paraId="094660DC" w14:textId="33ECC713">
      <w:pPr>
        <w:pStyle w:val="Standard"/>
      </w:pPr>
      <w:r>
        <w:t xml:space="preserve">We agree with SoCalGas that establishing a </w:t>
      </w:r>
      <w:r w:rsidR="00D825D3">
        <w:t xml:space="preserve">balancing account to track the costs associated with Commission-approved allowances is </w:t>
      </w:r>
      <w:r w:rsidR="009A7053">
        <w:t>reasonable</w:t>
      </w:r>
      <w:r w:rsidR="00D825D3">
        <w:t xml:space="preserve">. Balancing accounts are </w:t>
      </w:r>
      <w:r w:rsidR="009A7053">
        <w:t>appropriate for new, incremental costs that have been pre-</w:t>
      </w:r>
      <w:r w:rsidR="009A7053">
        <w:lastRenderedPageBreak/>
        <w:t>authorized for recovery.</w:t>
      </w:r>
      <w:r w:rsidR="00394AFC">
        <w:rPr>
          <w:rStyle w:val="FootnoteReference"/>
        </w:rPr>
        <w:footnoteReference w:id="94"/>
      </w:r>
      <w:r w:rsidR="00847B77">
        <w:t xml:space="preserve"> Additionally, we find that establishing a two-way balancing account here is reasonable as well. </w:t>
      </w:r>
      <w:r w:rsidR="00C330DF">
        <w:t xml:space="preserve">Two-way balancing accounts authorize a utility to collect more or less than the authorized revenue requirement for a given program depending </w:t>
      </w:r>
      <w:r w:rsidR="00136B67">
        <w:t>on actual costs, and are intended to ensure that the utility does not make or lose money due to uncertainties</w:t>
      </w:r>
      <w:r w:rsidR="000F1E79">
        <w:t>.</w:t>
      </w:r>
      <w:r w:rsidR="000F1E79">
        <w:rPr>
          <w:rStyle w:val="FootnoteReference"/>
        </w:rPr>
        <w:footnoteReference w:id="95"/>
      </w:r>
      <w:r w:rsidR="001547DE">
        <w:t xml:space="preserve"> Here, </w:t>
      </w:r>
      <w:r w:rsidR="00743CC7">
        <w:t>allowances are calculated based on anticipated revenue from the applicant, which is determined by factors</w:t>
      </w:r>
      <w:r w:rsidR="00957FB7">
        <w:t xml:space="preserve"> </w:t>
      </w:r>
      <w:r w:rsidR="00743CC7">
        <w:t>such as equipment load</w:t>
      </w:r>
      <w:r w:rsidR="007C0CE2">
        <w:t xml:space="preserve">, </w:t>
      </w:r>
      <w:r w:rsidR="00447D64">
        <w:t>operating schedule</w:t>
      </w:r>
      <w:r w:rsidR="00FD30FB">
        <w:t>, and the tariff under which the applicant is served</w:t>
      </w:r>
      <w:r w:rsidR="00447D64">
        <w:t>.</w:t>
      </w:r>
      <w:r w:rsidR="00447D64">
        <w:rPr>
          <w:rStyle w:val="FootnoteReference"/>
        </w:rPr>
        <w:footnoteReference w:id="96"/>
      </w:r>
      <w:r w:rsidR="00FD30FB">
        <w:t xml:space="preserve"> Variations between estimated and actual equipment</w:t>
      </w:r>
      <w:r w:rsidR="00D677AC">
        <w:t xml:space="preserve"> usage and other factors </w:t>
      </w:r>
      <w:r w:rsidR="00A86C29">
        <w:t xml:space="preserve">may result in changes to the final </w:t>
      </w:r>
      <w:r w:rsidR="00705882">
        <w:t>allowance amount that will be accounted for using a two-way balancing account.</w:t>
      </w:r>
      <w:r w:rsidR="003D7922">
        <w:t xml:space="preserve"> </w:t>
      </w:r>
      <w:r w:rsidR="00892E86">
        <w:t xml:space="preserve">Moreover, we note that the </w:t>
      </w:r>
      <w:r w:rsidR="00C96853">
        <w:t xml:space="preserve">final allowance </w:t>
      </w:r>
      <w:r w:rsidR="00254F84">
        <w:t>amount</w:t>
      </w:r>
      <w:r w:rsidR="00C96853">
        <w:t xml:space="preserve"> is capped and cannot exceed the </w:t>
      </w:r>
      <w:r w:rsidR="00254F84">
        <w:t xml:space="preserve">actual </w:t>
      </w:r>
      <w:r w:rsidR="00C96853">
        <w:t>cost of the gas line extension.</w:t>
      </w:r>
    </w:p>
    <w:p w:rsidRPr="00042AA1" w:rsidR="00705882" w:rsidP="00AA14E4" w:rsidRDefault="00705882" w14:paraId="39C21C03" w14:textId="5F4AB570">
      <w:pPr>
        <w:pStyle w:val="Standard"/>
      </w:pPr>
      <w:r>
        <w:t xml:space="preserve">Additionally, we are not persuaded </w:t>
      </w:r>
      <w:r w:rsidR="00556280">
        <w:t xml:space="preserve">that </w:t>
      </w:r>
      <w:r w:rsidR="00C64616">
        <w:t xml:space="preserve">an existing balancing account is appropriate for recording new costs associated with approved </w:t>
      </w:r>
      <w:r w:rsidR="001F4DD5">
        <w:t xml:space="preserve">allowances. </w:t>
      </w:r>
      <w:r w:rsidR="0046168A">
        <w:t xml:space="preserve">The GLEBA established following the Commission’s Test Year 2024 GRC </w:t>
      </w:r>
      <w:r w:rsidR="00EE4DCE">
        <w:t>is</w:t>
      </w:r>
      <w:r w:rsidR="00CC3301">
        <w:t xml:space="preserve"> a one-way balancing account</w:t>
      </w:r>
      <w:r w:rsidR="00EE4DCE">
        <w:t xml:space="preserve"> designed to track</w:t>
      </w:r>
      <w:r w:rsidR="00D37F17">
        <w:t xml:space="preserve"> refunds </w:t>
      </w:r>
      <w:r w:rsidRPr="00AB0DFD" w:rsidR="00D37F17">
        <w:t>from previously authorized</w:t>
      </w:r>
      <w:r w:rsidR="00D37F17">
        <w:t xml:space="preserve"> revenue requirements</w:t>
      </w:r>
      <w:r w:rsidR="00B5237A">
        <w:t xml:space="preserve"> following the elimination of </w:t>
      </w:r>
      <w:r w:rsidR="00DD4B8B">
        <w:t>gas line extension allowances</w:t>
      </w:r>
      <w:r w:rsidR="00CE04D7">
        <w:t xml:space="preserve">. In contrast, the new balancing account that </w:t>
      </w:r>
      <w:r w:rsidR="00633761">
        <w:t xml:space="preserve">SoCalGas proposes would track new </w:t>
      </w:r>
      <w:r w:rsidRPr="00042AA1" w:rsidR="00633761">
        <w:t xml:space="preserve">costs authorized outside of a </w:t>
      </w:r>
      <w:r w:rsidRPr="00042AA1" w:rsidR="00B7543D">
        <w:t>GRC</w:t>
      </w:r>
      <w:r w:rsidRPr="00042AA1" w:rsidR="00633761">
        <w:t xml:space="preserve">. </w:t>
      </w:r>
    </w:p>
    <w:p w:rsidRPr="00042AA1" w:rsidR="004A0F1B" w:rsidP="00854B5C" w:rsidRDefault="00D13295" w14:paraId="6BF92C89" w14:textId="27062859">
      <w:pPr>
        <w:pStyle w:val="Standard"/>
      </w:pPr>
      <w:r w:rsidRPr="00042AA1">
        <w:t xml:space="preserve">Therefore, </w:t>
      </w:r>
      <w:r w:rsidRPr="00042AA1" w:rsidR="00465FE9">
        <w:t>we authorize SoCalGas to establish a two-way balancing account to record the incremental revenue requirement associated with the gas line extension allowances approved by this decision. W</w:t>
      </w:r>
      <w:r w:rsidRPr="00042AA1" w:rsidR="00CC563F">
        <w:t xml:space="preserve">ithin </w:t>
      </w:r>
      <w:r w:rsidRPr="00042AA1" w:rsidR="005E2D6D">
        <w:t xml:space="preserve">30 days of this </w:t>
      </w:r>
      <w:r w:rsidRPr="00042AA1" w:rsidR="005E2D6D">
        <w:lastRenderedPageBreak/>
        <w:t xml:space="preserve">decision, SoCalGas shall file a Tier 1 </w:t>
      </w:r>
      <w:r w:rsidRPr="00042AA1" w:rsidR="0073516B">
        <w:t>a</w:t>
      </w:r>
      <w:r w:rsidRPr="00042AA1" w:rsidR="007851D4">
        <w:t xml:space="preserve">dvice </w:t>
      </w:r>
      <w:r w:rsidRPr="00042AA1" w:rsidR="0073516B">
        <w:t>l</w:t>
      </w:r>
      <w:r w:rsidRPr="00042AA1" w:rsidR="007851D4">
        <w:t>etter</w:t>
      </w:r>
      <w:r w:rsidRPr="00042AA1" w:rsidR="005E2D6D">
        <w:t xml:space="preserve"> </w:t>
      </w:r>
      <w:r w:rsidRPr="00042AA1" w:rsidR="00465FE9">
        <w:t>to establish this two-way balancing account</w:t>
      </w:r>
      <w:r w:rsidRPr="00042AA1" w:rsidR="00DE6737">
        <w:t xml:space="preserve"> for recovery in rates </w:t>
      </w:r>
      <w:r w:rsidRPr="00042AA1" w:rsidR="00195F8A">
        <w:t>as set forth in this decision.</w:t>
      </w:r>
    </w:p>
    <w:p w:rsidR="00232023" w:rsidP="00854B5C" w:rsidRDefault="00D42D60" w14:paraId="53B3DEC5" w14:textId="1EB53033">
      <w:pPr>
        <w:pStyle w:val="Standard"/>
      </w:pPr>
      <w:r w:rsidRPr="00042AA1">
        <w:t xml:space="preserve">Following </w:t>
      </w:r>
      <w:r w:rsidRPr="00042AA1" w:rsidR="00096EC9">
        <w:t>the three</w:t>
      </w:r>
      <w:r w:rsidR="00586F81">
        <w:t>-</w:t>
      </w:r>
      <w:r w:rsidRPr="00042AA1" w:rsidR="00096EC9">
        <w:t>year post-installation period</w:t>
      </w:r>
      <w:r w:rsidRPr="00042AA1" w:rsidR="00AB43A6">
        <w:t>, SoCalGas shall calculate and finalize the actual gas line extension allowance for each approved project</w:t>
      </w:r>
      <w:r w:rsidRPr="00042AA1" w:rsidR="001C0471">
        <w:t>, to be capped at actual project costs</w:t>
      </w:r>
      <w:r w:rsidRPr="00042AA1" w:rsidR="00B4742B">
        <w:t xml:space="preserve">, and record the resulting revenue requirement in the </w:t>
      </w:r>
      <w:r w:rsidRPr="00042AA1" w:rsidR="00E91E7C">
        <w:t>GLEABA</w:t>
      </w:r>
      <w:r w:rsidRPr="00042AA1" w:rsidR="00B4742B">
        <w:t>.</w:t>
      </w:r>
      <w:r w:rsidRPr="00042AA1" w:rsidR="00E91E7C">
        <w:t xml:space="preserve"> SoCalGas shall seek recovery</w:t>
      </w:r>
      <w:r w:rsidRPr="00042AA1" w:rsidR="00DB6829">
        <w:t xml:space="preserve"> of recorded costs in the GLEABA</w:t>
      </w:r>
      <w:r w:rsidRPr="00042AA1" w:rsidR="00E91E7C">
        <w:t xml:space="preserve"> </w:t>
      </w:r>
      <w:r w:rsidRPr="00042AA1" w:rsidR="00E12CD1">
        <w:t>via</w:t>
      </w:r>
      <w:r w:rsidRPr="00042AA1" w:rsidR="00E54F89">
        <w:t xml:space="preserve"> an</w:t>
      </w:r>
      <w:r w:rsidRPr="00042AA1" w:rsidR="00E12CD1">
        <w:t xml:space="preserve"> annual </w:t>
      </w:r>
      <w:r w:rsidR="00586F81">
        <w:t xml:space="preserve">Tier 2 </w:t>
      </w:r>
      <w:r w:rsidRPr="00042AA1" w:rsidR="00E12CD1">
        <w:t>advice letter filing</w:t>
      </w:r>
      <w:r w:rsidRPr="00042AA1" w:rsidR="003C0452">
        <w:t xml:space="preserve"> using Commission-authorized cost allocation and revenue requirement methodologies applicable at the time of recovery</w:t>
      </w:r>
      <w:r w:rsidRPr="00042AA1" w:rsidR="00DA3192">
        <w:t>, unti</w:t>
      </w:r>
      <w:r w:rsidR="00DA3192">
        <w:t xml:space="preserve">l the capital assets are included in SoCalGas’ </w:t>
      </w:r>
      <w:r w:rsidR="00CA2BCB">
        <w:t xml:space="preserve">next </w:t>
      </w:r>
      <w:r w:rsidR="00DA3192">
        <w:t>GRC</w:t>
      </w:r>
      <w:r w:rsidR="003C0452">
        <w:t xml:space="preserve">. </w:t>
      </w:r>
      <w:r w:rsidR="00DA1B9A">
        <w:t>In its advice letter</w:t>
      </w:r>
      <w:r w:rsidR="00BC22D6">
        <w:t xml:space="preserve"> filing,</w:t>
      </w:r>
      <w:r w:rsidR="0057319E">
        <w:t xml:space="preserve"> SoCalGas</w:t>
      </w:r>
      <w:r w:rsidR="00BC22D6">
        <w:t xml:space="preserve"> </w:t>
      </w:r>
      <w:r w:rsidR="003B516D">
        <w:t xml:space="preserve">shall explain in detail </w:t>
      </w:r>
      <w:r w:rsidR="006F29AA">
        <w:t>any</w:t>
      </w:r>
      <w:r w:rsidR="003B516D">
        <w:t xml:space="preserve"> differences between the </w:t>
      </w:r>
      <w:r w:rsidR="0057319E">
        <w:t>estimated and final revenue requirement</w:t>
      </w:r>
      <w:r w:rsidR="00047905">
        <w:t>, including any differences between</w:t>
      </w:r>
      <w:r w:rsidR="00B94054">
        <w:t xml:space="preserve"> the calculation of the customer’s estimated and actual re</w:t>
      </w:r>
      <w:r w:rsidR="00F515BC">
        <w:t>venue.</w:t>
      </w:r>
      <w:r w:rsidR="006221AB">
        <w:t xml:space="preserve"> </w:t>
      </w:r>
    </w:p>
    <w:p w:rsidR="00E426A1" w:rsidP="00E426A1" w:rsidRDefault="003A6C1D" w14:paraId="52E212C6" w14:textId="35F0161B">
      <w:pPr>
        <w:pStyle w:val="Heading1"/>
      </w:pPr>
      <w:bookmarkStart w:name="_Toc243318797" w:id="56"/>
      <w:bookmarkStart w:name="_Toc243476877" w:id="57"/>
      <w:r>
        <w:t>Revenue Requirement</w:t>
      </w:r>
      <w:bookmarkEnd w:id="56"/>
      <w:bookmarkEnd w:id="57"/>
    </w:p>
    <w:p w:rsidR="0084154F" w:rsidP="00A87206" w:rsidRDefault="00C2299D" w14:paraId="3BE62834" w14:textId="7F7FD5C8">
      <w:pPr>
        <w:pStyle w:val="Standard"/>
      </w:pPr>
      <w:r>
        <w:t xml:space="preserve">SoCalGas </w:t>
      </w:r>
      <w:r w:rsidR="00FC5A99">
        <w:t>states that the estimated gas line extension allowances for the nine projects that it included in the original application total approximately $6.656 million.</w:t>
      </w:r>
      <w:r w:rsidR="00FC5A99">
        <w:rPr>
          <w:rStyle w:val="FootnoteReference"/>
        </w:rPr>
        <w:footnoteReference w:id="97"/>
      </w:r>
      <w:r w:rsidR="005005C3">
        <w:t xml:space="preserve"> </w:t>
      </w:r>
      <w:r w:rsidR="00431D9F">
        <w:t>The total illustrative revenue requirement associated with the nine projects is $14.9 million over the useful lives of the assets</w:t>
      </w:r>
      <w:r w:rsidR="00F375AA">
        <w:t>.</w:t>
      </w:r>
      <w:r w:rsidR="00F375AA">
        <w:rPr>
          <w:rStyle w:val="FootnoteReference"/>
        </w:rPr>
        <w:footnoteReference w:id="98"/>
      </w:r>
      <w:r w:rsidR="00F375AA">
        <w:t xml:space="preserve"> </w:t>
      </w:r>
      <w:r w:rsidR="00E91538">
        <w:t>The illustrative revenue requirement accounts for the incremental capital expenditures for these nine projects up to the estimated gas line extension allowance for each project.</w:t>
      </w:r>
      <w:r w:rsidR="003862BD">
        <w:rPr>
          <w:rStyle w:val="FootnoteReference"/>
        </w:rPr>
        <w:footnoteReference w:id="99"/>
      </w:r>
      <w:r w:rsidR="00E91538">
        <w:t xml:space="preserve"> In addition to incremental capital </w:t>
      </w:r>
      <w:r w:rsidR="00FB5E29">
        <w:t>expenditures, the revenue requirement also includes other costs require</w:t>
      </w:r>
      <w:r w:rsidR="0073516B">
        <w:t>d</w:t>
      </w:r>
      <w:r w:rsidR="00FB5E29">
        <w:t xml:space="preserve"> to support the investment, including taxes and franchise fees </w:t>
      </w:r>
      <w:r w:rsidR="007E01CB">
        <w:t>and</w:t>
      </w:r>
      <w:r w:rsidR="00FB5E29">
        <w:t xml:space="preserve"> uncollectibles (FF&amp;U).</w:t>
      </w:r>
      <w:r w:rsidR="00D07789">
        <w:rPr>
          <w:rStyle w:val="FootnoteReference"/>
        </w:rPr>
        <w:footnoteReference w:id="100"/>
      </w:r>
      <w:r w:rsidR="008A45ED">
        <w:t xml:space="preserve"> </w:t>
      </w:r>
      <w:r w:rsidR="00E52FB1">
        <w:t>The</w:t>
      </w:r>
      <w:r w:rsidR="000312DA">
        <w:t xml:space="preserve"> forecasted</w:t>
      </w:r>
      <w:r w:rsidR="00E52FB1">
        <w:t xml:space="preserve"> </w:t>
      </w:r>
      <w:r w:rsidR="003D25D4">
        <w:t xml:space="preserve">revenue requirement </w:t>
      </w:r>
      <w:r w:rsidR="003D25D4">
        <w:lastRenderedPageBreak/>
        <w:t xml:space="preserve">was calculated using </w:t>
      </w:r>
      <w:r w:rsidR="00717B17">
        <w:t xml:space="preserve">current, Commission-approved </w:t>
      </w:r>
      <w:r w:rsidR="008E7321">
        <w:t>assumptions</w:t>
      </w:r>
      <w:r w:rsidR="002D6D82">
        <w:t xml:space="preserve"> and methodologies set forth in SoCalGas’ </w:t>
      </w:r>
      <w:r w:rsidR="00760141">
        <w:t>opening testimony.</w:t>
      </w:r>
      <w:r w:rsidR="00760141">
        <w:rPr>
          <w:rStyle w:val="FootnoteReference"/>
        </w:rPr>
        <w:footnoteReference w:id="101"/>
      </w:r>
    </w:p>
    <w:p w:rsidR="00A87206" w:rsidP="00A87206" w:rsidRDefault="00F16F5A" w14:paraId="55CF7314" w14:textId="33F004EC">
      <w:pPr>
        <w:pStyle w:val="Standard"/>
      </w:pPr>
      <w:r>
        <w:t xml:space="preserve">No party objected to the </w:t>
      </w:r>
      <w:r w:rsidR="00C06E56">
        <w:t>calculation of the forecasted revenue requirement, and</w:t>
      </w:r>
      <w:r w:rsidR="00A34AAC">
        <w:t xml:space="preserve"> intervenors stipulated that if the Commission approves the projects presented in the </w:t>
      </w:r>
      <w:r w:rsidR="0073516B">
        <w:t>a</w:t>
      </w:r>
      <w:r w:rsidR="00A34AAC">
        <w:t>pplication, then the proposed revenue requirement is reasonable and justified for rate recovery.</w:t>
      </w:r>
      <w:r w:rsidR="00A34AAC">
        <w:rPr>
          <w:rStyle w:val="FootnoteReference"/>
        </w:rPr>
        <w:footnoteReference w:id="102"/>
      </w:r>
    </w:p>
    <w:p w:rsidRPr="00E13A16" w:rsidR="00292827" w:rsidP="00A87206" w:rsidRDefault="00A34AAC" w14:paraId="5CB0E056" w14:textId="376C0F9B">
      <w:pPr>
        <w:pStyle w:val="Standard"/>
      </w:pPr>
      <w:r>
        <w:t xml:space="preserve">We find that SoCalGas’ calculation of the original revenue </w:t>
      </w:r>
      <w:r w:rsidR="005E0F51">
        <w:t>requirement</w:t>
      </w:r>
      <w:r w:rsidR="00E647BC">
        <w:t xml:space="preserve"> and the methodology it uses</w:t>
      </w:r>
      <w:r>
        <w:t xml:space="preserve"> </w:t>
      </w:r>
      <w:r w:rsidR="0082266B">
        <w:t>are</w:t>
      </w:r>
      <w:r>
        <w:t xml:space="preserve"> reasonable</w:t>
      </w:r>
      <w:r w:rsidR="0073516B">
        <w:t>.</w:t>
      </w:r>
      <w:r>
        <w:t xml:space="preserve"> </w:t>
      </w:r>
      <w:r w:rsidR="0073516B">
        <w:t>H</w:t>
      </w:r>
      <w:r>
        <w:t>owever</w:t>
      </w:r>
      <w:r w:rsidR="00F9630E">
        <w:t xml:space="preserve">, </w:t>
      </w:r>
      <w:r w:rsidR="0073516B">
        <w:t>because</w:t>
      </w:r>
      <w:r w:rsidR="00F9630E">
        <w:t xml:space="preserve"> this decision only approves </w:t>
      </w:r>
      <w:r w:rsidR="00286E6B">
        <w:t xml:space="preserve">allowances for </w:t>
      </w:r>
      <w:r w:rsidR="00F9630E">
        <w:t>projects B, D-1</w:t>
      </w:r>
      <w:r w:rsidR="0073516B">
        <w:t>,</w:t>
      </w:r>
      <w:r w:rsidR="00F9630E">
        <w:t xml:space="preserve"> D-2,</w:t>
      </w:r>
      <w:r w:rsidR="007F0377">
        <w:t xml:space="preserve"> and E,</w:t>
      </w:r>
      <w:r w:rsidR="00F9630E">
        <w:t xml:space="preserve"> t</w:t>
      </w:r>
      <w:r w:rsidR="00DC3125">
        <w:t xml:space="preserve">he </w:t>
      </w:r>
      <w:r w:rsidR="00522BC7">
        <w:t xml:space="preserve">calculations </w:t>
      </w:r>
      <w:r w:rsidR="007F2F2B">
        <w:t>need to be updated.</w:t>
      </w:r>
      <w:r w:rsidR="00292827">
        <w:t xml:space="preserve"> The total for the </w:t>
      </w:r>
      <w:r w:rsidR="0013162F">
        <w:t xml:space="preserve">four </w:t>
      </w:r>
      <w:r w:rsidR="00292827">
        <w:t xml:space="preserve">approved </w:t>
      </w:r>
      <w:r w:rsidR="00B269F8">
        <w:t xml:space="preserve">allowances in this decision is approximately </w:t>
      </w:r>
      <w:r w:rsidR="002B46A5">
        <w:t>$</w:t>
      </w:r>
      <w:r w:rsidR="00BC3873">
        <w:t>2.791</w:t>
      </w:r>
      <w:r w:rsidR="002B46A5">
        <w:t xml:space="preserve"> million dollars</w:t>
      </w:r>
      <w:r w:rsidR="00241679">
        <w:t>, as opposed to the</w:t>
      </w:r>
      <w:r w:rsidR="001A5FD0">
        <w:t xml:space="preserve"> approximately $6.656 million originally calculated for all nine </w:t>
      </w:r>
      <w:r w:rsidRPr="00E13A16" w:rsidR="001A5FD0">
        <w:t>allowances</w:t>
      </w:r>
      <w:r w:rsidRPr="00E13A16" w:rsidR="002B46A5">
        <w:t>.</w:t>
      </w:r>
      <w:r w:rsidRPr="00E13A16" w:rsidR="002B46A5">
        <w:rPr>
          <w:rStyle w:val="FootnoteReference"/>
        </w:rPr>
        <w:footnoteReference w:id="103"/>
      </w:r>
    </w:p>
    <w:p w:rsidR="00D07789" w:rsidP="00A87206" w:rsidRDefault="009A39FB" w14:paraId="43B5AEA3" w14:textId="27679735">
      <w:pPr>
        <w:pStyle w:val="Standard"/>
      </w:pPr>
      <w:r w:rsidRPr="00E13A16">
        <w:t>Within 30 days of this decision,</w:t>
      </w:r>
      <w:r w:rsidRPr="00E13A16" w:rsidR="007F2F2B">
        <w:t xml:space="preserve"> SoCalGas </w:t>
      </w:r>
      <w:r w:rsidRPr="00E13A16" w:rsidR="00720C5D">
        <w:t>shall</w:t>
      </w:r>
      <w:r w:rsidRPr="00E13A16" w:rsidR="007F2F2B">
        <w:t xml:space="preserve"> file a Tier 2 </w:t>
      </w:r>
      <w:r w:rsidRPr="00E13A16" w:rsidR="00EA006F">
        <w:t>a</w:t>
      </w:r>
      <w:r w:rsidRPr="00E13A16" w:rsidR="007F2F2B">
        <w:t xml:space="preserve">dvice </w:t>
      </w:r>
      <w:r w:rsidRPr="00E13A16" w:rsidR="00EA006F">
        <w:t>l</w:t>
      </w:r>
      <w:r w:rsidRPr="00E13A16" w:rsidR="007F2F2B">
        <w:t xml:space="preserve">etter </w:t>
      </w:r>
      <w:r w:rsidRPr="00E13A16" w:rsidR="00DB44FE">
        <w:t>re-calculating</w:t>
      </w:r>
      <w:r w:rsidRPr="00E13A16" w:rsidR="007F2F2B">
        <w:t xml:space="preserve"> its forecasted revenue requirement</w:t>
      </w:r>
      <w:r w:rsidRPr="00E13A16" w:rsidR="00987128">
        <w:t xml:space="preserve"> for </w:t>
      </w:r>
      <w:r w:rsidRPr="00E13A16" w:rsidR="00884120">
        <w:t xml:space="preserve">only </w:t>
      </w:r>
      <w:r w:rsidRPr="00E13A16" w:rsidR="00987128">
        <w:t>the gas line extension allowances</w:t>
      </w:r>
      <w:r w:rsidRPr="00E13A16" w:rsidR="00884120">
        <w:t xml:space="preserve"> approved by this decision</w:t>
      </w:r>
      <w:r w:rsidRPr="00E13A16" w:rsidR="000D05B1">
        <w:t>, using the same</w:t>
      </w:r>
      <w:r w:rsidRPr="00E13A16" w:rsidR="007F2F2B">
        <w:t xml:space="preserve"> </w:t>
      </w:r>
      <w:r w:rsidRPr="00E13A16" w:rsidR="00052A5E">
        <w:t>methodology as it used to calculate the original forecasted revenue requirement</w:t>
      </w:r>
      <w:r w:rsidR="0085300C">
        <w:t xml:space="preserve"> for the nine original projects</w:t>
      </w:r>
      <w:r w:rsidRPr="00E13A16" w:rsidR="00052A5E">
        <w:t>. The advice letter shall</w:t>
      </w:r>
      <w:r w:rsidRPr="00E13A16" w:rsidR="0002543F">
        <w:t xml:space="preserve"> </w:t>
      </w:r>
      <w:r w:rsidRPr="00E13A16" w:rsidR="00995234">
        <w:t xml:space="preserve">describe its original calculation of the forecasted revenue requirement, as well as </w:t>
      </w:r>
      <w:r w:rsidRPr="00E13A16" w:rsidR="00603445">
        <w:t>how it updated that calculation using the same methodology.</w:t>
      </w:r>
    </w:p>
    <w:p w:rsidR="003A6C1D" w:rsidP="003A6C1D" w:rsidRDefault="003A6C1D" w14:paraId="75BB6C56" w14:textId="4845340C">
      <w:pPr>
        <w:pStyle w:val="Heading1"/>
      </w:pPr>
      <w:bookmarkStart w:name="_Toc243318798" w:id="58"/>
      <w:bookmarkStart w:name="_Toc243476878" w:id="59"/>
      <w:r>
        <w:lastRenderedPageBreak/>
        <w:t>Alignment with Commission’s Environmental and Social Justice Action Plan</w:t>
      </w:r>
      <w:bookmarkEnd w:id="58"/>
      <w:bookmarkEnd w:id="59"/>
    </w:p>
    <w:p w:rsidR="001F6E8E" w:rsidP="00D05C4B" w:rsidRDefault="00241056" w14:paraId="3E1E56F9" w14:textId="3A540F71">
      <w:pPr>
        <w:pStyle w:val="Heading2"/>
      </w:pPr>
      <w:bookmarkStart w:name="_Toc243318799" w:id="60"/>
      <w:bookmarkStart w:name="_Toc243476879" w:id="61"/>
      <w:r>
        <w:t>Parties’ Contentions</w:t>
      </w:r>
      <w:bookmarkEnd w:id="60"/>
      <w:bookmarkEnd w:id="61"/>
    </w:p>
    <w:p w:rsidR="00241056" w:rsidP="00241056" w:rsidRDefault="00D062F1" w14:paraId="6CFCE8E9" w14:textId="479F7E28">
      <w:pPr>
        <w:pStyle w:val="Standard"/>
      </w:pPr>
      <w:r>
        <w:t xml:space="preserve">SoCalGas argues that </w:t>
      </w:r>
      <w:r w:rsidR="00B238E2">
        <w:t xml:space="preserve">the proposed projects align with the objectives of the </w:t>
      </w:r>
      <w:r w:rsidR="00EA006F">
        <w:t xml:space="preserve">Commission’s </w:t>
      </w:r>
      <w:r w:rsidR="00B238E2">
        <w:t>E</w:t>
      </w:r>
      <w:r w:rsidR="00EA006F">
        <w:t xml:space="preserve">nvironmental and </w:t>
      </w:r>
      <w:r w:rsidR="00B238E2">
        <w:t>S</w:t>
      </w:r>
      <w:r w:rsidR="00EA006F">
        <w:t xml:space="preserve">ocial </w:t>
      </w:r>
      <w:r w:rsidR="00B238E2">
        <w:t>J</w:t>
      </w:r>
      <w:r w:rsidR="00EA006F">
        <w:t>ustice (ESJ)</w:t>
      </w:r>
      <w:r w:rsidR="00B238E2">
        <w:t xml:space="preserve"> Action Plan by enabling the use of RNG in non-residential transportation</w:t>
      </w:r>
      <w:r w:rsidR="00AA7C40">
        <w:t xml:space="preserve"> applications that are difficult to electrify in the near term.</w:t>
      </w:r>
      <w:r w:rsidR="00AA7C40">
        <w:rPr>
          <w:rStyle w:val="FootnoteReference"/>
        </w:rPr>
        <w:footnoteReference w:id="104"/>
      </w:r>
      <w:r w:rsidR="00AA7C40">
        <w:t xml:space="preserve"> SoCalGas elaborates that </w:t>
      </w:r>
      <w:r w:rsidR="0086418A">
        <w:t>relative to diesel, RNG provides substantial and immediate reductions in NOx, particulate matter</w:t>
      </w:r>
      <w:r w:rsidR="00EB3456">
        <w:t>,</w:t>
      </w:r>
      <w:r w:rsidR="0086418A">
        <w:t xml:space="preserve"> and </w:t>
      </w:r>
      <w:r w:rsidR="00DB0E9A">
        <w:t>climate forcing emissions</w:t>
      </w:r>
      <w:r w:rsidR="00EA006F">
        <w:t xml:space="preserve"> —</w:t>
      </w:r>
      <w:r w:rsidR="00DB0E9A">
        <w:t xml:space="preserve"> benefits that are critically import</w:t>
      </w:r>
      <w:r w:rsidR="00FB25EC">
        <w:t>ant in ESJ communities that face disproportionate air pollution burdens.</w:t>
      </w:r>
      <w:r w:rsidR="00FB25EC">
        <w:rPr>
          <w:rStyle w:val="FootnoteReference"/>
        </w:rPr>
        <w:footnoteReference w:id="105"/>
      </w:r>
      <w:r w:rsidR="00FB25EC">
        <w:t xml:space="preserve"> Specifically, SoCalGas states that </w:t>
      </w:r>
      <w:r w:rsidR="006C3BE8">
        <w:t>by reducing air pollution and GHG emissions, the projects</w:t>
      </w:r>
      <w:r w:rsidR="00FB25EC">
        <w:t xml:space="preserve"> </w:t>
      </w:r>
      <w:r w:rsidR="006C3BE8">
        <w:t>advance ESJ</w:t>
      </w:r>
      <w:r w:rsidR="003A64E7">
        <w:t xml:space="preserve"> Action Plan</w:t>
      </w:r>
      <w:r w:rsidR="006C3BE8">
        <w:t xml:space="preserve"> Goal 2, related to improving </w:t>
      </w:r>
      <w:r w:rsidR="00A33A1E">
        <w:t>local air quality and public hea</w:t>
      </w:r>
      <w:r w:rsidR="00275917">
        <w:t>l</w:t>
      </w:r>
      <w:r w:rsidR="00A33A1E">
        <w:t xml:space="preserve">th, and ESJ </w:t>
      </w:r>
      <w:r w:rsidR="003A64E7">
        <w:t xml:space="preserve">Action Plan </w:t>
      </w:r>
      <w:r w:rsidR="00A33A1E">
        <w:t>Goal 4, related to increasing climate resiliency in ESJ communities.</w:t>
      </w:r>
      <w:r w:rsidR="00A33A1E">
        <w:rPr>
          <w:rStyle w:val="FootnoteReference"/>
        </w:rPr>
        <w:footnoteReference w:id="106"/>
      </w:r>
      <w:r w:rsidR="00A33A1E">
        <w:t xml:space="preserve"> </w:t>
      </w:r>
    </w:p>
    <w:p w:rsidR="0096000E" w:rsidP="00241056" w:rsidRDefault="0096000E" w14:paraId="192E2F97" w14:textId="41AB679C">
      <w:pPr>
        <w:pStyle w:val="Standard"/>
      </w:pPr>
      <w:r>
        <w:t xml:space="preserve">Sierra Club argues that </w:t>
      </w:r>
      <w:r w:rsidR="00F37ABC">
        <w:t>approv</w:t>
      </w:r>
      <w:r w:rsidR="005A51FB">
        <w:t xml:space="preserve">ing </w:t>
      </w:r>
      <w:r w:rsidR="006560F2">
        <w:t xml:space="preserve">the gas line extension allowances for </w:t>
      </w:r>
      <w:r w:rsidR="00256EC3">
        <w:t xml:space="preserve">the projects proposed by SoCalGas would contravene the Commission’s ESJ Action Plan by increasing air pollution in </w:t>
      </w:r>
      <w:r w:rsidR="00051823">
        <w:t>disadvantaged communities.</w:t>
      </w:r>
      <w:r w:rsidR="00051823">
        <w:rPr>
          <w:rStyle w:val="FootnoteReference"/>
        </w:rPr>
        <w:footnoteReference w:id="107"/>
      </w:r>
      <w:r w:rsidR="00051823">
        <w:t xml:space="preserve"> Sierra Club states that </w:t>
      </w:r>
      <w:r w:rsidR="001D35D3">
        <w:t xml:space="preserve">five of the remaining </w:t>
      </w:r>
      <w:r w:rsidR="00E44562">
        <w:t xml:space="preserve">projects </w:t>
      </w:r>
      <w:r w:rsidR="00603976">
        <w:t>—</w:t>
      </w:r>
      <w:r w:rsidR="00E44562">
        <w:t xml:space="preserve"> Projects B, D</w:t>
      </w:r>
      <w:r w:rsidR="00913A06">
        <w:t>-</w:t>
      </w:r>
      <w:r w:rsidR="00E44562">
        <w:t>1, E, G</w:t>
      </w:r>
      <w:r w:rsidR="00603976">
        <w:t>,</w:t>
      </w:r>
      <w:r w:rsidR="00E44562">
        <w:t xml:space="preserve"> and H are all located in disadvantaged communities.</w:t>
      </w:r>
      <w:r w:rsidR="00E44562">
        <w:rPr>
          <w:rStyle w:val="FootnoteReference"/>
        </w:rPr>
        <w:footnoteReference w:id="108"/>
      </w:r>
      <w:r w:rsidR="006F2E35">
        <w:t xml:space="preserve"> Sierra Club argues that </w:t>
      </w:r>
      <w:r w:rsidR="0037010F">
        <w:t xml:space="preserve">the air quality impacts of methane-burning vehicle refueling stations are </w:t>
      </w:r>
      <w:r w:rsidR="003A64E7">
        <w:t>inconsistent</w:t>
      </w:r>
      <w:r w:rsidR="0037010F">
        <w:t xml:space="preserve"> with ESJ </w:t>
      </w:r>
      <w:r w:rsidR="003A64E7">
        <w:t xml:space="preserve">Action Plan </w:t>
      </w:r>
      <w:r w:rsidR="0037010F">
        <w:t>Goal 2</w:t>
      </w:r>
      <w:r w:rsidR="004F7D65">
        <w:t>, which aims to improve local air quality.</w:t>
      </w:r>
      <w:r w:rsidR="004F7D65">
        <w:rPr>
          <w:rStyle w:val="FootnoteReference"/>
        </w:rPr>
        <w:footnoteReference w:id="109"/>
      </w:r>
      <w:r w:rsidR="00A60929">
        <w:t xml:space="preserve"> </w:t>
      </w:r>
      <w:r w:rsidR="001D5942">
        <w:t xml:space="preserve">Sierra Club also </w:t>
      </w:r>
      <w:r w:rsidR="00C85BDD">
        <w:lastRenderedPageBreak/>
        <w:t xml:space="preserve">argues that while particle mass emitted from </w:t>
      </w:r>
      <w:r w:rsidR="00F20865">
        <w:t>natural gas engines can be lower, they can emit more “ultrafine particles” that are harmful to human health.</w:t>
      </w:r>
      <w:r w:rsidR="00F20865">
        <w:rPr>
          <w:rStyle w:val="FootnoteReference"/>
        </w:rPr>
        <w:footnoteReference w:id="110"/>
      </w:r>
      <w:r w:rsidR="00C85BDD">
        <w:t xml:space="preserve"> </w:t>
      </w:r>
      <w:r w:rsidR="00CA56D4">
        <w:t xml:space="preserve">Sierra Club </w:t>
      </w:r>
      <w:r w:rsidR="00512AA0">
        <w:t xml:space="preserve">further argues that the Commission has previously made findings that locating methane-burning vehicle refueling stations in </w:t>
      </w:r>
      <w:r w:rsidR="008F457E">
        <w:t>disadvantaged communities is not consistent with the ESJ Plan.</w:t>
      </w:r>
      <w:r w:rsidR="00B52F2C">
        <w:rPr>
          <w:rStyle w:val="FootnoteReference"/>
        </w:rPr>
        <w:footnoteReference w:id="111"/>
      </w:r>
    </w:p>
    <w:p w:rsidR="00241056" w:rsidP="00241056" w:rsidRDefault="00241056" w14:paraId="1F62A317" w14:textId="4B36E29D">
      <w:pPr>
        <w:pStyle w:val="Heading2"/>
      </w:pPr>
      <w:bookmarkStart w:name="_Toc243318800" w:id="62"/>
      <w:bookmarkStart w:name="_Toc243476880" w:id="63"/>
      <w:r>
        <w:t>Discussion</w:t>
      </w:r>
      <w:bookmarkEnd w:id="62"/>
      <w:bookmarkEnd w:id="63"/>
    </w:p>
    <w:p w:rsidR="009A04AB" w:rsidP="009A04AB" w:rsidRDefault="009A04AB" w14:paraId="19B8C98C" w14:textId="4CB79DFF">
      <w:pPr>
        <w:pStyle w:val="Standard"/>
      </w:pPr>
      <w:r>
        <w:t>We find that for the projects that meet the criteria set forth in D.22-09-026, (Projects B, D-1</w:t>
      </w:r>
      <w:r w:rsidR="00603976">
        <w:t>,</w:t>
      </w:r>
      <w:r>
        <w:t xml:space="preserve"> D-2</w:t>
      </w:r>
      <w:r w:rsidR="00E218F8">
        <w:t>,</w:t>
      </w:r>
      <w:r w:rsidR="00C914F3">
        <w:t xml:space="preserve"> and E</w:t>
      </w:r>
      <w:r>
        <w:t xml:space="preserve">), approval of gas </w:t>
      </w:r>
      <w:r w:rsidR="00FE3418">
        <w:t xml:space="preserve">line extension allowances is consistent with the Commission’s ESJ Action Plan. </w:t>
      </w:r>
      <w:r w:rsidR="00603976">
        <w:t>T</w:t>
      </w:r>
      <w:r w:rsidR="00663860">
        <w:t>hese</w:t>
      </w:r>
      <w:r w:rsidR="009F0221">
        <w:t xml:space="preserve"> projects</w:t>
      </w:r>
      <w:r w:rsidR="009B766F">
        <w:t xml:space="preserve"> 1) </w:t>
      </w:r>
      <w:r w:rsidR="00D51F82">
        <w:t xml:space="preserve">have demonstrated that they will </w:t>
      </w:r>
      <w:r w:rsidR="009B766F">
        <w:t>decrease GHG emissions, 2)</w:t>
      </w:r>
      <w:r w:rsidR="00D51F82">
        <w:t xml:space="preserve"> are</w:t>
      </w:r>
      <w:r w:rsidR="009B766F">
        <w:t xml:space="preserve"> consistent with state climate goals, and 3) have demonstrated that there is no feasible alternative to natural gas. Therefore, we find that they will </w:t>
      </w:r>
      <w:r w:rsidR="00F94F42">
        <w:t>decrease air pollution and GHG emissions</w:t>
      </w:r>
      <w:r w:rsidR="00603976">
        <w:t>,</w:t>
      </w:r>
      <w:r w:rsidR="00F94F42">
        <w:t xml:space="preserve"> as compared with diesel</w:t>
      </w:r>
      <w:r w:rsidR="00603976">
        <w:t>,</w:t>
      </w:r>
      <w:r w:rsidR="000A6380">
        <w:t xml:space="preserve"> and are</w:t>
      </w:r>
      <w:r w:rsidR="00603976">
        <w:t xml:space="preserve"> thereby</w:t>
      </w:r>
      <w:r w:rsidR="000A6380">
        <w:t xml:space="preserve"> consistent with ESJ Action Plan Goals 2 and 4. </w:t>
      </w:r>
    </w:p>
    <w:p w:rsidR="000A6380" w:rsidP="009A04AB" w:rsidRDefault="00603976" w14:paraId="6A9FC99E" w14:textId="44D6649D">
      <w:pPr>
        <w:pStyle w:val="Standard"/>
      </w:pPr>
      <w:r>
        <w:t>Crucial to our finding is that</w:t>
      </w:r>
      <w:r w:rsidR="00AD34C6">
        <w:t xml:space="preserve"> these projects have demonstrated that there is no feasible alternative to natural gas. This distinguishes this </w:t>
      </w:r>
      <w:r w:rsidR="005509AA">
        <w:t xml:space="preserve">proceeding from other instances </w:t>
      </w:r>
      <w:r w:rsidR="007E4EC3">
        <w:t>where the Commission has found that RNG</w:t>
      </w:r>
      <w:r w:rsidR="0034371D">
        <w:t xml:space="preserve"> refueling station projects in disadvantaged communities do run counter to the ESJ Action Plan. In those cases, there was no finding that </w:t>
      </w:r>
      <w:r w:rsidR="00B1187E">
        <w:t>there was no feasible alternative to natural gas, and therefore, building RNG refueling stations</w:t>
      </w:r>
      <w:r w:rsidR="0061489B">
        <w:t xml:space="preserve"> could increase air pollution and GHG emissions relative to </w:t>
      </w:r>
      <w:r w:rsidR="0013190C">
        <w:t>cleaner alternatives, like electricity.</w:t>
      </w:r>
      <w:r w:rsidR="0013190C">
        <w:rPr>
          <w:rStyle w:val="FootnoteReference"/>
        </w:rPr>
        <w:footnoteReference w:id="112"/>
      </w:r>
      <w:r w:rsidR="00BF4CB9">
        <w:t xml:space="preserve"> </w:t>
      </w:r>
    </w:p>
    <w:p w:rsidR="00BF4CB9" w:rsidP="009A04AB" w:rsidRDefault="00BF4CB9" w14:paraId="768C3FD0" w14:textId="0CB9D7D8">
      <w:pPr>
        <w:pStyle w:val="Standard"/>
      </w:pPr>
      <w:r>
        <w:t>Moreover</w:t>
      </w:r>
      <w:r w:rsidR="009056F7">
        <w:t>,</w:t>
      </w:r>
      <w:r>
        <w:t xml:space="preserve"> we </w:t>
      </w:r>
      <w:r w:rsidR="00825B48">
        <w:t xml:space="preserve">find that when compared to diesel, the record reflects that RNG has overall better air quality impacts </w:t>
      </w:r>
      <w:r w:rsidR="00A61C8D">
        <w:t xml:space="preserve">and GHG reduction benefits. While </w:t>
      </w:r>
      <w:r w:rsidR="00A61C8D">
        <w:lastRenderedPageBreak/>
        <w:t xml:space="preserve">we acknowledge that Sierra Club has identified instances where certain </w:t>
      </w:r>
      <w:r w:rsidR="00B22539">
        <w:t xml:space="preserve">pollutants </w:t>
      </w:r>
      <w:r w:rsidR="00F121B4">
        <w:t>may be</w:t>
      </w:r>
      <w:r w:rsidR="00B22539">
        <w:t xml:space="preserve"> higher for natural gas, we find that the record establishes </w:t>
      </w:r>
      <w:r w:rsidR="00204E7B">
        <w:t xml:space="preserve">overwhelmingly </w:t>
      </w:r>
      <w:r w:rsidR="00B22539">
        <w:t>that RNG</w:t>
      </w:r>
      <w:r w:rsidR="001C6696">
        <w:t xml:space="preserve"> fuel</w:t>
      </w:r>
      <w:r w:rsidR="00B22539">
        <w:t xml:space="preserve"> reduces numerous air pollutants compared with diesel, and </w:t>
      </w:r>
      <w:r w:rsidR="00CA1331">
        <w:t xml:space="preserve">has </w:t>
      </w:r>
      <w:r w:rsidR="00610792">
        <w:t xml:space="preserve">been a </w:t>
      </w:r>
      <w:r w:rsidR="001C6696">
        <w:t xml:space="preserve">part of the state’s strategy to </w:t>
      </w:r>
      <w:r w:rsidR="005A58DC">
        <w:t>achieving emissions reductions in the transportation sector on the way to reaching zero emissions.</w:t>
      </w:r>
      <w:r w:rsidR="005A58DC">
        <w:rPr>
          <w:rStyle w:val="FootnoteReference"/>
        </w:rPr>
        <w:footnoteReference w:id="113"/>
      </w:r>
    </w:p>
    <w:p w:rsidRPr="009A04AB" w:rsidR="00B85843" w:rsidP="009A04AB" w:rsidRDefault="00B85843" w14:paraId="2A994C39" w14:textId="3B3514D5">
      <w:pPr>
        <w:pStyle w:val="Standard"/>
      </w:pPr>
      <w:r>
        <w:t xml:space="preserve">We therefore </w:t>
      </w:r>
      <w:r w:rsidR="001E39DA">
        <w:t>find that approval of gas line extension allowances for Projects B, D-1</w:t>
      </w:r>
      <w:r w:rsidR="00603976">
        <w:t>,</w:t>
      </w:r>
      <w:r w:rsidR="002729F1">
        <w:t xml:space="preserve"> </w:t>
      </w:r>
      <w:r w:rsidR="001E39DA">
        <w:t>D-2</w:t>
      </w:r>
      <w:r w:rsidR="00E218F8">
        <w:t>,</w:t>
      </w:r>
      <w:r w:rsidR="00BC0FCA">
        <w:t xml:space="preserve"> and E</w:t>
      </w:r>
      <w:r w:rsidR="001E39DA">
        <w:t xml:space="preserve"> is consistent with the Commission’s ESJ Action Plan.</w:t>
      </w:r>
    </w:p>
    <w:p w:rsidR="00603238" w:rsidP="00FA1B4F" w:rsidRDefault="00603238" w14:paraId="59ACC91C" w14:textId="22332451">
      <w:pPr>
        <w:pStyle w:val="Heading1"/>
      </w:pPr>
      <w:bookmarkStart w:name="_Toc243318801" w:id="64"/>
      <w:bookmarkStart w:name="_Toc243476881" w:id="65"/>
      <w:r>
        <w:t>Summary of Public Comment</w:t>
      </w:r>
      <w:bookmarkEnd w:id="64"/>
      <w:bookmarkEnd w:id="65"/>
    </w:p>
    <w:p w:rsidR="001E39DA" w:rsidP="00AB19D5" w:rsidRDefault="00DF156D" w14:paraId="39182B96" w14:textId="009348ED">
      <w:r w:rsidRPr="001E39DA">
        <w:t>Rule 1.18 allows any member of the public to submit written comment in any Commission proceeding using the “Public Comment” tab of the online Docket Card for that proceeding on the Commission’s website. Rule 1.18(a) requires that all written public comment submitted prior to the submission of the proceeding are part of the administrative record of the proceeding. Rule 1.18(b) requires that relevant written comment submitted in a proceeding be summarized in the final decision issued in that proceeding.</w:t>
      </w:r>
    </w:p>
    <w:p w:rsidRPr="00AB19D5" w:rsidR="00AB19D5" w:rsidP="00AB19D5" w:rsidRDefault="00AB19D5" w14:paraId="090CF991" w14:textId="09B4E2BA">
      <w:r>
        <w:t xml:space="preserve">The Commission received 11 written comments on the Docket Card for this proceeding. </w:t>
      </w:r>
      <w:r w:rsidR="004A4033">
        <w:t xml:space="preserve">Most of the comments </w:t>
      </w:r>
      <w:r w:rsidR="00C27AF2">
        <w:t xml:space="preserve">asked the Commission to </w:t>
      </w:r>
      <w:r w:rsidR="00603976">
        <w:t>deny</w:t>
      </w:r>
      <w:r w:rsidR="00C27AF2">
        <w:t xml:space="preserve"> any rate increase. </w:t>
      </w:r>
      <w:r w:rsidR="00A344A2">
        <w:t xml:space="preserve">One </w:t>
      </w:r>
      <w:r w:rsidR="003461C1">
        <w:t>comment emp</w:t>
      </w:r>
      <w:r w:rsidR="006A3806">
        <w:t>hasized the importance of embracing electrification.</w:t>
      </w:r>
    </w:p>
    <w:p w:rsidR="00FA1B4F" w:rsidP="00FA1B4F" w:rsidRDefault="005939A5" w14:paraId="5502BCE6" w14:textId="77777777">
      <w:pPr>
        <w:pStyle w:val="Heading1"/>
      </w:pPr>
      <w:bookmarkStart w:name="_Toc243318802" w:id="66"/>
      <w:bookmarkStart w:name="_Toc243476882" w:id="67"/>
      <w:r>
        <w:t>Conclusion</w:t>
      </w:r>
      <w:bookmarkEnd w:id="47"/>
      <w:bookmarkEnd w:id="66"/>
      <w:bookmarkEnd w:id="67"/>
    </w:p>
    <w:p w:rsidRPr="00343E5C" w:rsidR="00343E5C" w:rsidP="00447D10" w:rsidRDefault="00C914A4" w14:paraId="65159BBE" w14:textId="153CE84C">
      <w:pPr>
        <w:pStyle w:val="Standard"/>
      </w:pPr>
      <w:r>
        <w:t xml:space="preserve">This </w:t>
      </w:r>
      <w:r w:rsidRPr="002E3F7B" w:rsidR="003A1473">
        <w:t>decision</w:t>
      </w:r>
      <w:r w:rsidR="00212840">
        <w:t xml:space="preserve"> finds that Projects B, D-1</w:t>
      </w:r>
      <w:r w:rsidR="00603976">
        <w:t>,</w:t>
      </w:r>
      <w:r w:rsidR="00212840">
        <w:t xml:space="preserve"> D-2</w:t>
      </w:r>
      <w:r w:rsidR="00E218F8">
        <w:t>,</w:t>
      </w:r>
      <w:r w:rsidR="00BC0FCA">
        <w:t xml:space="preserve"> and E</w:t>
      </w:r>
      <w:r w:rsidR="00212840">
        <w:t xml:space="preserve"> </w:t>
      </w:r>
      <w:r w:rsidR="0081019B">
        <w:t>meet the requirements set forth in D.22-09-026, and</w:t>
      </w:r>
      <w:r w:rsidRPr="002E3F7B" w:rsidR="003A1473">
        <w:t xml:space="preserve"> grants </w:t>
      </w:r>
      <w:r>
        <w:t xml:space="preserve">SoCalGas’ application </w:t>
      </w:r>
      <w:r w:rsidR="002B788E">
        <w:t xml:space="preserve">on behalf of its customers for gas line extension allowances for </w:t>
      </w:r>
      <w:r w:rsidR="0081019B">
        <w:t>those projects</w:t>
      </w:r>
      <w:r w:rsidR="003A1473">
        <w:t>.</w:t>
      </w:r>
      <w:r w:rsidR="002B788E">
        <w:t xml:space="preserve"> The remaining </w:t>
      </w:r>
      <w:r w:rsidR="00212840">
        <w:t xml:space="preserve">requests for gas line extensions </w:t>
      </w:r>
      <w:r w:rsidR="00447D10">
        <w:t xml:space="preserve">do not </w:t>
      </w:r>
      <w:r w:rsidRPr="00D14986" w:rsidR="00447D10">
        <w:t xml:space="preserve">meet the minimum requirements for gas line extension allowances and are denied. </w:t>
      </w:r>
      <w:r w:rsidRPr="00D14986" w:rsidR="003A1473">
        <w:t xml:space="preserve">This decision also approves SoCalGas’ </w:t>
      </w:r>
      <w:r w:rsidRPr="00D14986" w:rsidR="003A1473">
        <w:lastRenderedPageBreak/>
        <w:t>request to revise Tariff Rule Nos. 20 and 21, SoCalGas’ update to the non-residential gas line extension allowance multiplier of 3.1, and SoCalGas’ request to establish a two-way balancing account to track costs associated with approved gas line extension allowances.</w:t>
      </w:r>
      <w:r w:rsidR="00D14986">
        <w:t xml:space="preserve"> Finally, this decision approves </w:t>
      </w:r>
      <w:r w:rsidR="00E74481">
        <w:t xml:space="preserve">the calculation of SoCalGas’ forecasted revenue requirement, but directs SoCalGas to </w:t>
      </w:r>
      <w:r w:rsidR="003E5EE2">
        <w:t xml:space="preserve">update its revenue requirement calculations </w:t>
      </w:r>
      <w:r w:rsidR="00D3641B">
        <w:t xml:space="preserve">to account for the fact that only </w:t>
      </w:r>
      <w:r w:rsidR="00F72280">
        <w:t xml:space="preserve">four </w:t>
      </w:r>
      <w:r w:rsidR="00D3641B">
        <w:t>of the original nine projects are approved by this decision.</w:t>
      </w:r>
    </w:p>
    <w:p w:rsidR="004A1EAD" w:rsidP="004A1EAD" w:rsidRDefault="004A1EAD" w14:paraId="0904C036" w14:textId="77777777">
      <w:pPr>
        <w:pStyle w:val="Heading1"/>
      </w:pPr>
      <w:bookmarkStart w:name="_Toc243318803" w:id="68"/>
      <w:bookmarkStart w:name="_Toc243476883" w:id="69"/>
      <w:bookmarkStart w:name="_Toc8123723" w:id="70"/>
      <w:r>
        <w:t>Procedural Matters</w:t>
      </w:r>
      <w:bookmarkEnd w:id="68"/>
      <w:bookmarkEnd w:id="69"/>
    </w:p>
    <w:p w:rsidRPr="008B175A" w:rsidR="004A1EAD" w:rsidP="004A1EAD" w:rsidRDefault="004A1EAD" w14:paraId="164E9895" w14:textId="656D0F2E">
      <w:pPr>
        <w:pStyle w:val="Standard"/>
      </w:pPr>
      <w:r w:rsidRPr="008B175A">
        <w:t xml:space="preserve">This decision affirms all rulings made by the </w:t>
      </w:r>
      <w:r w:rsidR="00F62E4A">
        <w:t>ALJ</w:t>
      </w:r>
      <w:r w:rsidRPr="008B175A">
        <w:t xml:space="preserve"> and assigned Commissioner in this proceeding. All motions not ruled on are deemed denied.</w:t>
      </w:r>
    </w:p>
    <w:p w:rsidR="005939A5" w:rsidP="005939A5" w:rsidRDefault="005939A5" w14:paraId="6040521C" w14:textId="77777777">
      <w:pPr>
        <w:pStyle w:val="Heading1"/>
      </w:pPr>
      <w:bookmarkStart w:name="_Toc243318804" w:id="71"/>
      <w:bookmarkStart w:name="_Toc243476884" w:id="72"/>
      <w:r>
        <w:t>Comments on Proposed Decision</w:t>
      </w:r>
      <w:bookmarkEnd w:id="70"/>
      <w:bookmarkEnd w:id="71"/>
      <w:bookmarkEnd w:id="72"/>
    </w:p>
    <w:p w:rsidR="005939A5" w:rsidP="00B813F2" w:rsidRDefault="005C58FA" w14:paraId="38D11791" w14:textId="1AFE83FC">
      <w:pPr>
        <w:pStyle w:val="Standard"/>
      </w:pPr>
      <w:r w:rsidRPr="002A526C">
        <w:t xml:space="preserve">The proposed decision of ALJ </w:t>
      </w:r>
      <w:r w:rsidR="002A526C">
        <w:t xml:space="preserve">Shannon Clark </w:t>
      </w:r>
      <w:r>
        <w:t xml:space="preserve">in this matter was mailed to the parties in accordance with Section 311 of the Public Utilities Code and comments were allowed under Rule 14.3 of the Commission’s Rules of Practice and Procedure. </w:t>
      </w:r>
      <w:r w:rsidR="0050171B">
        <w:t>SoCalGas, Cal Advocates</w:t>
      </w:r>
      <w:r w:rsidR="004B6411">
        <w:t>,</w:t>
      </w:r>
      <w:r w:rsidR="0050171B">
        <w:t xml:space="preserve"> and Sierra Club filed </w:t>
      </w:r>
      <w:r w:rsidR="003A6A7B">
        <w:t>c</w:t>
      </w:r>
      <w:r>
        <w:t xml:space="preserve">omments on </w:t>
      </w:r>
      <w:r w:rsidR="003A6A7B">
        <w:t>October 14, 2026</w:t>
      </w:r>
      <w:r>
        <w:t>, and</w:t>
      </w:r>
      <w:r w:rsidR="00F67124">
        <w:t xml:space="preserve"> SoCalGas</w:t>
      </w:r>
      <w:r w:rsidR="002F4009">
        <w:t xml:space="preserve"> filed</w:t>
      </w:r>
      <w:r>
        <w:t xml:space="preserve"> reply comments on </w:t>
      </w:r>
      <w:r w:rsidR="006B067A">
        <w:t>October 19, 2026</w:t>
      </w:r>
      <w:r>
        <w:t>.</w:t>
      </w:r>
      <w:r w:rsidRPr="00C878D5" w:rsidR="00C878D5">
        <w:t xml:space="preserve"> </w:t>
      </w:r>
    </w:p>
    <w:p w:rsidR="00070C53" w:rsidP="00B813F2" w:rsidRDefault="00070C53" w14:paraId="167FF29E" w14:textId="195BBF60">
      <w:pPr>
        <w:pStyle w:val="Standard"/>
      </w:pPr>
      <w:r>
        <w:t>In its reply comments, SoCalGas inform</w:t>
      </w:r>
      <w:r w:rsidR="003B6506">
        <w:t>ed the Commission that the customer sponsoring Project A is no longer moving forward with its project</w:t>
      </w:r>
      <w:r w:rsidR="00D93AAB">
        <w:t xml:space="preserve"> and therefore its application for a gas line extension allowance is moot</w:t>
      </w:r>
      <w:r w:rsidR="003B6506">
        <w:t xml:space="preserve">. </w:t>
      </w:r>
      <w:r w:rsidR="00CE7202">
        <w:t xml:space="preserve">SoCalGas requests that the decision be modified to reflect this development and to update the total estimated allowances from approximately </w:t>
      </w:r>
      <w:r w:rsidR="006F7C23">
        <w:t>$</w:t>
      </w:r>
      <w:r w:rsidR="00CE7202">
        <w:t>2.</w:t>
      </w:r>
      <w:r w:rsidR="0001448B">
        <w:t>89</w:t>
      </w:r>
      <w:r w:rsidR="006F7C23">
        <w:t xml:space="preserve">4 million to approximately $2.791 million. We </w:t>
      </w:r>
      <w:r w:rsidR="00CF4EFE">
        <w:t xml:space="preserve">adjust the decision </w:t>
      </w:r>
      <w:r w:rsidR="00E66D1A">
        <w:t>to reflect that Project A’s application was withdrawn</w:t>
      </w:r>
      <w:r w:rsidR="005B1246">
        <w:t xml:space="preserve"> </w:t>
      </w:r>
      <w:r w:rsidR="00CF4EFE">
        <w:t xml:space="preserve">and </w:t>
      </w:r>
      <w:r w:rsidR="005B1246">
        <w:t xml:space="preserve">accordingly </w:t>
      </w:r>
      <w:r w:rsidR="00CF4EFE">
        <w:t xml:space="preserve">do not address </w:t>
      </w:r>
      <w:r w:rsidR="007D6E08">
        <w:t>comments from the other parties regarding Project</w:t>
      </w:r>
      <w:r w:rsidR="00A02BB9">
        <w:t xml:space="preserve"> A.</w:t>
      </w:r>
    </w:p>
    <w:p w:rsidRPr="004A0BC7" w:rsidR="006B067A" w:rsidP="00B813F2" w:rsidRDefault="00A02BB9" w14:paraId="7B36C052" w14:textId="616D922C">
      <w:pPr>
        <w:pStyle w:val="Standard"/>
      </w:pPr>
      <w:r>
        <w:t>Additionally,</w:t>
      </w:r>
      <w:r w:rsidRPr="00087058" w:rsidR="0027755E">
        <w:t xml:space="preserve"> we adopt </w:t>
      </w:r>
      <w:r w:rsidRPr="00087058" w:rsidR="00F50CE9">
        <w:t>SoCalGas</w:t>
      </w:r>
      <w:r w:rsidR="00641070">
        <w:t>’</w:t>
      </w:r>
      <w:r w:rsidRPr="00087058" w:rsidR="005D3092">
        <w:t xml:space="preserve"> </w:t>
      </w:r>
      <w:r w:rsidRPr="00087058" w:rsidR="00DB6634">
        <w:t>recommendation</w:t>
      </w:r>
      <w:r w:rsidRPr="00087058" w:rsidR="002F34D4">
        <w:t>s t</w:t>
      </w:r>
      <w:r w:rsidRPr="00087058" w:rsidR="00B260CE">
        <w:t>o revise</w:t>
      </w:r>
      <w:r w:rsidRPr="00087058" w:rsidR="002F34D4">
        <w:t xml:space="preserve"> footnote 76 to cite the disposition of Advice Letter 6483-G</w:t>
      </w:r>
      <w:r w:rsidRPr="00087058" w:rsidR="00B260CE">
        <w:t xml:space="preserve">, to correct the </w:t>
      </w:r>
      <w:r w:rsidRPr="00087058" w:rsidR="00F1493E">
        <w:t>target year of S</w:t>
      </w:r>
      <w:r w:rsidR="00684155">
        <w:t>B</w:t>
      </w:r>
      <w:r w:rsidRPr="00087058" w:rsidR="00F1493E">
        <w:t xml:space="preserve"> </w:t>
      </w:r>
      <w:r w:rsidRPr="00087058" w:rsidR="00F1493E">
        <w:lastRenderedPageBreak/>
        <w:t>32’s emissions reduction mandate</w:t>
      </w:r>
      <w:r w:rsidRPr="00087058" w:rsidR="00D557BC">
        <w:t xml:space="preserve">, and to </w:t>
      </w:r>
      <w:r w:rsidRPr="007A2E09" w:rsidR="00D557BC">
        <w:t xml:space="preserve">make </w:t>
      </w:r>
      <w:r w:rsidRPr="007A2E09" w:rsidR="00087058">
        <w:t xml:space="preserve">corrections to </w:t>
      </w:r>
      <w:r w:rsidRPr="007A2E09" w:rsidR="00D557BC">
        <w:t xml:space="preserve">non-substantive typographical and grammatical </w:t>
      </w:r>
      <w:r w:rsidRPr="007A2E09" w:rsidR="00087058">
        <w:t xml:space="preserve">errors. </w:t>
      </w:r>
      <w:r w:rsidRPr="00684155" w:rsidR="005D3092">
        <w:t xml:space="preserve">We also make corrections to </w:t>
      </w:r>
      <w:r w:rsidRPr="00684155" w:rsidR="00640C98">
        <w:t xml:space="preserve">other </w:t>
      </w:r>
      <w:r w:rsidRPr="00684155" w:rsidR="005D3092">
        <w:t>non-substantive typographical errors</w:t>
      </w:r>
      <w:r w:rsidR="008D3A79">
        <w:t xml:space="preserve"> </w:t>
      </w:r>
      <w:r w:rsidR="00501F7F">
        <w:t>in addition to</w:t>
      </w:r>
      <w:r w:rsidR="008D3A79">
        <w:t xml:space="preserve"> those recommended by SoCalGas</w:t>
      </w:r>
      <w:r w:rsidRPr="00684155" w:rsidR="005D3092">
        <w:t xml:space="preserve">. </w:t>
      </w:r>
      <w:r w:rsidRPr="007A2E09" w:rsidR="005D3092">
        <w:t>We decline</w:t>
      </w:r>
      <w:r w:rsidRPr="004A0BC7" w:rsidR="005D3092">
        <w:t xml:space="preserve"> to adopt all other recommendations. Per Rule 14.3(c), we give no weight to comments that fail to focus on factual, legal</w:t>
      </w:r>
      <w:r w:rsidR="00E02837">
        <w:t>,</w:t>
      </w:r>
      <w:r w:rsidRPr="004A0BC7" w:rsidR="005D3092">
        <w:t xml:space="preserve"> or technical errors, or merely re-argue a party’s position.</w:t>
      </w:r>
    </w:p>
    <w:p w:rsidR="000E4571" w:rsidP="00B813F2" w:rsidRDefault="00A810DB" w14:paraId="4E9926F3" w14:textId="0B62F699">
      <w:pPr>
        <w:pStyle w:val="Standard"/>
      </w:pPr>
      <w:r>
        <w:t xml:space="preserve">SoCalGas </w:t>
      </w:r>
      <w:r w:rsidR="009A3A30">
        <w:t xml:space="preserve">states that Findings of Fact 4 and 8 should </w:t>
      </w:r>
      <w:r w:rsidR="00E7781E">
        <w:t xml:space="preserve">be amended to reflect that </w:t>
      </w:r>
      <w:r w:rsidR="00FB6496">
        <w:t>Projects G and H</w:t>
      </w:r>
      <w:r w:rsidR="00E7781E">
        <w:t xml:space="preserve"> demonstrate GHG emissions reductions and are consistent with climate goals, rather than just projects B, </w:t>
      </w:r>
      <w:r w:rsidR="00E25F2F">
        <w:t>D-1, D-2</w:t>
      </w:r>
      <w:r w:rsidR="00E02837">
        <w:t>,</w:t>
      </w:r>
      <w:r w:rsidR="00E25F2F">
        <w:t xml:space="preserve"> and E. We decline</w:t>
      </w:r>
      <w:r w:rsidR="002C1727">
        <w:t xml:space="preserve"> to make this change. As the decision </w:t>
      </w:r>
      <w:r w:rsidR="00774DBE">
        <w:t>states</w:t>
      </w:r>
      <w:r w:rsidR="00E957B1">
        <w:t xml:space="preserve">, </w:t>
      </w:r>
      <w:r w:rsidR="005358CF">
        <w:t xml:space="preserve">whether a project demonstrates GHG emissions reductions and consistency with climate goals </w:t>
      </w:r>
      <w:r w:rsidR="002B468B">
        <w:t xml:space="preserve">is dependent on </w:t>
      </w:r>
      <w:r w:rsidR="00774DBE">
        <w:t>the</w:t>
      </w:r>
      <w:r w:rsidR="002B468B">
        <w:t xml:space="preserve"> finding that the project </w:t>
      </w:r>
      <w:r w:rsidR="00CB2C66">
        <w:t xml:space="preserve">also </w:t>
      </w:r>
      <w:r w:rsidR="002B468B">
        <w:t xml:space="preserve">demonstrates that there are no feasible alternatives to natural gas. </w:t>
      </w:r>
      <w:r w:rsidR="001E6F85">
        <w:t>P</w:t>
      </w:r>
      <w:r w:rsidR="002B468B">
        <w:t xml:space="preserve">rojects </w:t>
      </w:r>
      <w:r w:rsidR="00F831FA">
        <w:t xml:space="preserve">G and H failed to demonstrate </w:t>
      </w:r>
      <w:r w:rsidR="002C0965">
        <w:t>that there are no feasible alternatives to natural gas,</w:t>
      </w:r>
      <w:r w:rsidR="00191FC5">
        <w:t xml:space="preserve"> </w:t>
      </w:r>
      <w:r w:rsidR="001E6F85">
        <w:t xml:space="preserve">and therefore </w:t>
      </w:r>
      <w:r w:rsidR="00E749A6">
        <w:t>Findings of Fact 4 and 8</w:t>
      </w:r>
      <w:r w:rsidR="007D7E2D">
        <w:t xml:space="preserve">, </w:t>
      </w:r>
      <w:r w:rsidR="00DB6634">
        <w:t>are accurate</w:t>
      </w:r>
      <w:r w:rsidR="00763947">
        <w:t xml:space="preserve"> as written</w:t>
      </w:r>
      <w:r w:rsidR="00E749A6">
        <w:t>.</w:t>
      </w:r>
    </w:p>
    <w:p w:rsidR="00E749A6" w:rsidP="00B813F2" w:rsidRDefault="001D668A" w14:paraId="1C52A29B" w14:textId="62CA7256">
      <w:pPr>
        <w:pStyle w:val="Standard"/>
      </w:pPr>
      <w:r>
        <w:t xml:space="preserve">Cal Advocates </w:t>
      </w:r>
      <w:r w:rsidR="008A599A">
        <w:t xml:space="preserve">argues that </w:t>
      </w:r>
      <w:r w:rsidR="00A24022">
        <w:t>the decision errs by finding that Projects B, D-1, D-2</w:t>
      </w:r>
      <w:r w:rsidR="0013795B">
        <w:t>,</w:t>
      </w:r>
      <w:r w:rsidR="00A24022">
        <w:t xml:space="preserve"> and E meet the criteria to </w:t>
      </w:r>
      <w:r w:rsidRPr="00580BEF" w:rsidR="00052526">
        <w:rPr>
          <w:i/>
          <w:iCs/>
        </w:rPr>
        <w:t>receive</w:t>
      </w:r>
      <w:r w:rsidR="00052526">
        <w:t xml:space="preserve"> a gas line extension allowance per D.2</w:t>
      </w:r>
      <w:r w:rsidR="00D57C95">
        <w:t xml:space="preserve">2-09-026 and should be revised to state that the projects meet the minimum requirements to </w:t>
      </w:r>
      <w:r w:rsidRPr="00580BEF" w:rsidR="00D57C95">
        <w:rPr>
          <w:i/>
          <w:iCs/>
        </w:rPr>
        <w:t>apply for</w:t>
      </w:r>
      <w:r w:rsidR="00D57C95">
        <w:t xml:space="preserve"> an </w:t>
      </w:r>
      <w:r w:rsidR="003B51E3">
        <w:t xml:space="preserve">allowance. We decline to make this change. </w:t>
      </w:r>
      <w:r w:rsidR="002E6465">
        <w:t xml:space="preserve">D.22-09-026 </w:t>
      </w:r>
      <w:r w:rsidR="000855A1">
        <w:t xml:space="preserve">sets forth a process by which </w:t>
      </w:r>
      <w:r w:rsidR="005A460E">
        <w:t xml:space="preserve">the </w:t>
      </w:r>
      <w:r w:rsidR="004B20EF">
        <w:t>IOUs shall evaluate projects based</w:t>
      </w:r>
      <w:r w:rsidR="00F358B1">
        <w:t xml:space="preserve"> on minimum criteria it establishes</w:t>
      </w:r>
      <w:r w:rsidR="00E663C0">
        <w:t xml:space="preserve">, and file an </w:t>
      </w:r>
      <w:r w:rsidR="00EF526D">
        <w:t xml:space="preserve">annual </w:t>
      </w:r>
      <w:r w:rsidR="00E663C0">
        <w:t>application with the Commis</w:t>
      </w:r>
      <w:r w:rsidR="0034670D">
        <w:t xml:space="preserve">sion for </w:t>
      </w:r>
      <w:r w:rsidR="00FF0501">
        <w:t>“</w:t>
      </w:r>
      <w:r w:rsidR="0034670D">
        <w:t>approval</w:t>
      </w:r>
      <w:r w:rsidR="00FF0501">
        <w:t>”</w:t>
      </w:r>
      <w:r w:rsidR="0034670D">
        <w:t xml:space="preserve"> of gas line extension allowances for those projects.</w:t>
      </w:r>
      <w:r w:rsidR="008D4DF6">
        <w:rPr>
          <w:rStyle w:val="FootnoteReference"/>
        </w:rPr>
        <w:footnoteReference w:id="114"/>
      </w:r>
      <w:r w:rsidR="00BD31DA">
        <w:t xml:space="preserve"> </w:t>
      </w:r>
      <w:r w:rsidR="00F96601">
        <w:t>Th</w:t>
      </w:r>
      <w:r w:rsidR="00232254">
        <w:t>is</w:t>
      </w:r>
      <w:r w:rsidR="00F96601">
        <w:t xml:space="preserve"> decision approves gas line extension allowances for </w:t>
      </w:r>
      <w:r w:rsidR="00232254">
        <w:t>Projects</w:t>
      </w:r>
      <w:r w:rsidR="00D97E4D">
        <w:t xml:space="preserve"> </w:t>
      </w:r>
      <w:r w:rsidR="00232254">
        <w:t>B, D-1, D-2</w:t>
      </w:r>
      <w:r w:rsidR="0013795B">
        <w:t>,</w:t>
      </w:r>
      <w:r w:rsidR="00232254">
        <w:t xml:space="preserve"> and E in line with this process. </w:t>
      </w:r>
    </w:p>
    <w:p w:rsidR="009441C4" w:rsidP="00B813F2" w:rsidRDefault="009441C4" w14:paraId="4BD2AE0D" w14:textId="09CCA573">
      <w:pPr>
        <w:pStyle w:val="Standard"/>
      </w:pPr>
      <w:r>
        <w:lastRenderedPageBreak/>
        <w:t xml:space="preserve">Sierra Club makes many arguments disputing </w:t>
      </w:r>
      <w:r w:rsidR="00F21C0E">
        <w:t>th</w:t>
      </w:r>
      <w:r w:rsidR="00166D9F">
        <w:t xml:space="preserve">e decision. </w:t>
      </w:r>
      <w:r w:rsidR="0069078C">
        <w:t>We decline to address any</w:t>
      </w:r>
      <w:r w:rsidR="00166D9F">
        <w:t xml:space="preserve"> arguments</w:t>
      </w:r>
      <w:r w:rsidR="0069078C">
        <w:t xml:space="preserve"> that</w:t>
      </w:r>
      <w:r w:rsidR="00166D9F">
        <w:t xml:space="preserve"> </w:t>
      </w:r>
      <w:r w:rsidR="00EF7200">
        <w:t>fail to identify</w:t>
      </w:r>
      <w:r w:rsidRPr="00EF7200" w:rsidR="00EF7200">
        <w:t xml:space="preserve"> </w:t>
      </w:r>
      <w:r w:rsidRPr="004A0BC7" w:rsidR="00EF7200">
        <w:t>factual, legal</w:t>
      </w:r>
      <w:r w:rsidR="00EF7200">
        <w:t>,</w:t>
      </w:r>
      <w:r w:rsidRPr="004A0BC7" w:rsidR="00EF7200">
        <w:t xml:space="preserve"> or technical errors, or merely re-argue</w:t>
      </w:r>
      <w:r w:rsidR="00EF7200">
        <w:t xml:space="preserve"> its position, per Rule 14.3(c)</w:t>
      </w:r>
      <w:r w:rsidR="00DF5A8B">
        <w:t>.</w:t>
      </w:r>
    </w:p>
    <w:p w:rsidR="005B038D" w:rsidP="00B813F2" w:rsidRDefault="00955238" w14:paraId="2AA06896" w14:textId="533C912F">
      <w:pPr>
        <w:pStyle w:val="Standard"/>
      </w:pPr>
      <w:r>
        <w:t xml:space="preserve">Sierra Club </w:t>
      </w:r>
      <w:r w:rsidR="00BE1E49">
        <w:t xml:space="preserve">disputes the </w:t>
      </w:r>
      <w:r>
        <w:t>decision</w:t>
      </w:r>
      <w:r w:rsidR="00A32D4A">
        <w:t xml:space="preserve">’s </w:t>
      </w:r>
      <w:r w:rsidR="008E2A4F">
        <w:t>finding that</w:t>
      </w:r>
      <w:r w:rsidR="0095636B">
        <w:t xml:space="preserve"> Projects B, D-1, D-2</w:t>
      </w:r>
      <w:r w:rsidR="00A32D4A">
        <w:t>,</w:t>
      </w:r>
      <w:r w:rsidR="0095636B">
        <w:t xml:space="preserve"> and E demonstrate </w:t>
      </w:r>
      <w:r w:rsidR="00BA1387">
        <w:t>no feasible alternatives to natural gas</w:t>
      </w:r>
      <w:r w:rsidR="00A32D4A">
        <w:t>, arguing</w:t>
      </w:r>
      <w:r w:rsidR="008337C6">
        <w:t xml:space="preserve"> that </w:t>
      </w:r>
      <w:r w:rsidR="00A32D4A">
        <w:t>a project</w:t>
      </w:r>
      <w:r w:rsidR="00CD5C6E">
        <w:t>’s</w:t>
      </w:r>
      <w:r w:rsidR="008337C6">
        <w:t xml:space="preserve"> feasibility analysis should be based on </w:t>
      </w:r>
      <w:r w:rsidR="00E246C4">
        <w:t xml:space="preserve">possible </w:t>
      </w:r>
      <w:r w:rsidR="008337C6">
        <w:t>near</w:t>
      </w:r>
      <w:r w:rsidR="00CD5C6E">
        <w:t>-</w:t>
      </w:r>
      <w:r w:rsidR="008337C6">
        <w:t xml:space="preserve">future feasibility rather than </w:t>
      </w:r>
      <w:r w:rsidR="00793015">
        <w:t>an analysis of current feasibility</w:t>
      </w:r>
      <w:r w:rsidR="00341773">
        <w:t>.</w:t>
      </w:r>
      <w:r w:rsidR="008054D1">
        <w:t xml:space="preserve"> </w:t>
      </w:r>
      <w:r w:rsidR="003F486B">
        <w:t>W</w:t>
      </w:r>
      <w:r w:rsidR="00A10E82">
        <w:t>e find no such direction in D.22-09-026, nor does</w:t>
      </w:r>
      <w:r w:rsidR="00F37E36">
        <w:t xml:space="preserve"> Sierra Club provi</w:t>
      </w:r>
      <w:r w:rsidR="00827893">
        <w:t>de</w:t>
      </w:r>
      <w:r w:rsidR="00A10E82">
        <w:t xml:space="preserve"> any</w:t>
      </w:r>
      <w:r w:rsidR="00E57DB1">
        <w:t xml:space="preserve"> </w:t>
      </w:r>
      <w:r w:rsidR="006657CA">
        <w:t xml:space="preserve">basis for this interpretation </w:t>
      </w:r>
      <w:r w:rsidR="00E57DB1">
        <w:t>other than a general statement of its goals to protect ratepayers and discourage reliance on gas.</w:t>
      </w:r>
      <w:r w:rsidR="003F486B">
        <w:t xml:space="preserve"> We therefore decline to change the decision in response to this comment.</w:t>
      </w:r>
    </w:p>
    <w:p w:rsidRPr="000E4571" w:rsidR="001E4198" w:rsidP="00B813F2" w:rsidRDefault="001927A2" w14:paraId="3D2063C1" w14:textId="7E57843B">
      <w:pPr>
        <w:pStyle w:val="Standard"/>
      </w:pPr>
      <w:r>
        <w:t xml:space="preserve">Sierra Club also </w:t>
      </w:r>
      <w:r w:rsidR="006A317D">
        <w:t>argues</w:t>
      </w:r>
      <w:r w:rsidR="008E45C6">
        <w:t xml:space="preserve"> that Projects G and H</w:t>
      </w:r>
      <w:r w:rsidR="00C07C2B">
        <w:t xml:space="preserve"> should</w:t>
      </w:r>
      <w:r w:rsidR="007951CC">
        <w:t xml:space="preserve"> be</w:t>
      </w:r>
      <w:r w:rsidR="00C07C2B">
        <w:t xml:space="preserve"> denied with prejudic</w:t>
      </w:r>
      <w:r w:rsidR="005A34F7">
        <w:t xml:space="preserve">e, arguing that </w:t>
      </w:r>
      <w:r w:rsidR="00E02F9D">
        <w:t xml:space="preserve">the decision’s findings with regard to these projects </w:t>
      </w:r>
      <w:r w:rsidR="00A96490">
        <w:t xml:space="preserve">undermine the intent of D.22-09-026 and </w:t>
      </w:r>
      <w:r w:rsidR="004C74F3">
        <w:t xml:space="preserve">would allow any gas developer to meet the feasibility prong. </w:t>
      </w:r>
      <w:r w:rsidR="002930A8">
        <w:t>We are not persuaded</w:t>
      </w:r>
      <w:r w:rsidR="006B4E6F">
        <w:t xml:space="preserve"> by these arguments</w:t>
      </w:r>
      <w:r w:rsidR="00640F03">
        <w:t>.</w:t>
      </w:r>
      <w:r w:rsidR="005B6AB6">
        <w:t xml:space="preserve"> </w:t>
      </w:r>
      <w:r w:rsidR="004B063B">
        <w:t xml:space="preserve">The decision addresses the evidence or lack of evidence that supports each project’s finding of </w:t>
      </w:r>
      <w:r w:rsidR="008C23F0">
        <w:t>infeasibility,</w:t>
      </w:r>
      <w:r w:rsidR="004B063B">
        <w:t xml:space="preserve"> </w:t>
      </w:r>
      <w:r w:rsidR="00387163">
        <w:t>consistent with the minimum requirements set forth in D.22-09-026</w:t>
      </w:r>
      <w:r w:rsidR="008C23F0">
        <w:t xml:space="preserve">. </w:t>
      </w:r>
      <w:r w:rsidR="00FD619E">
        <w:t xml:space="preserve"> </w:t>
      </w:r>
    </w:p>
    <w:p w:rsidR="005939A5" w:rsidP="005939A5" w:rsidRDefault="005939A5" w14:paraId="4881F3B6" w14:textId="77777777">
      <w:pPr>
        <w:pStyle w:val="Heading1"/>
      </w:pPr>
      <w:bookmarkStart w:name="_Toc8123724" w:id="73"/>
      <w:bookmarkStart w:name="_Toc243318805" w:id="74"/>
      <w:bookmarkStart w:name="_Toc243476885" w:id="75"/>
      <w:r>
        <w:t>Assignment of Proceeding</w:t>
      </w:r>
      <w:bookmarkEnd w:id="73"/>
      <w:bookmarkEnd w:id="74"/>
      <w:bookmarkEnd w:id="75"/>
    </w:p>
    <w:p w:rsidR="005939A5" w:rsidP="006E6574" w:rsidRDefault="005F01ED" w14:paraId="3C6F6562" w14:textId="70CC0FDD">
      <w:pPr>
        <w:pStyle w:val="Standard"/>
      </w:pPr>
      <w:r>
        <w:t>Karen Douglas</w:t>
      </w:r>
      <w:r w:rsidR="005939A5">
        <w:t xml:space="preserve"> is the assigned Commissioner and </w:t>
      </w:r>
      <w:r w:rsidR="002B07AC">
        <w:t>Shannon Clark</w:t>
      </w:r>
      <w:r w:rsidR="005939A5">
        <w:t xml:space="preserve"> is the assigned </w:t>
      </w:r>
      <w:r w:rsidR="005010EE">
        <w:t>ALJ</w:t>
      </w:r>
      <w:r w:rsidR="005939A5">
        <w:t xml:space="preserve"> in this proceeding.</w:t>
      </w:r>
    </w:p>
    <w:p w:rsidR="005939A5" w:rsidP="005939A5" w:rsidRDefault="005939A5" w14:paraId="18913965" w14:textId="77777777">
      <w:pPr>
        <w:pStyle w:val="Dummy"/>
      </w:pPr>
      <w:bookmarkStart w:name="_Toc8123725" w:id="76"/>
      <w:bookmarkStart w:name="_Toc243318806" w:id="77"/>
      <w:bookmarkStart w:name="_Toc243476886" w:id="78"/>
      <w:r>
        <w:t>Findings of Fact</w:t>
      </w:r>
      <w:bookmarkEnd w:id="76"/>
      <w:bookmarkEnd w:id="77"/>
      <w:bookmarkEnd w:id="78"/>
    </w:p>
    <w:p w:rsidR="00D80BBC" w:rsidP="004E3F5C" w:rsidRDefault="003F05A9" w14:paraId="00B6AF16" w14:textId="7EAE7E12">
      <w:pPr>
        <w:pStyle w:val="OP"/>
      </w:pPr>
      <w:r>
        <w:t xml:space="preserve">SoCalGas </w:t>
      </w:r>
      <w:r w:rsidR="008E573B">
        <w:t xml:space="preserve">submitted this application </w:t>
      </w:r>
      <w:r w:rsidR="00061A97">
        <w:t xml:space="preserve">requesting 1) </w:t>
      </w:r>
      <w:r w:rsidR="00EB44B5">
        <w:t>approval for nine customer projects to receive gas line extension allowances, 2)</w:t>
      </w:r>
      <w:r w:rsidR="00D80BBC">
        <w:t xml:space="preserve"> approval for</w:t>
      </w:r>
      <w:r w:rsidR="00EB44B5">
        <w:t xml:space="preserve"> the update to the non-residential gas line extension allowance multiplier of 3.1, </w:t>
      </w:r>
      <w:r w:rsidR="007D3468">
        <w:t xml:space="preserve">3) to establish a balancing account </w:t>
      </w:r>
      <w:r w:rsidR="00E57E80">
        <w:t xml:space="preserve">to track costs associated with approved customer gas line extension allowances, and 4) </w:t>
      </w:r>
      <w:r w:rsidR="00D80BBC">
        <w:t>approval of updates to SoCalGas’ Tariff Rule Nos. 20 and 21.</w:t>
      </w:r>
    </w:p>
    <w:p w:rsidR="00816D5D" w:rsidP="006C0268" w:rsidRDefault="00816D5D" w14:paraId="402E772E" w14:textId="7D3833BA">
      <w:pPr>
        <w:pStyle w:val="OP"/>
      </w:pPr>
      <w:r>
        <w:lastRenderedPageBreak/>
        <w:t>Projects</w:t>
      </w:r>
      <w:r w:rsidR="00BB5B29">
        <w:t xml:space="preserve"> A,</w:t>
      </w:r>
      <w:r>
        <w:t xml:space="preserve"> C and F withdrew their applications after SoCalGas submitted its application.</w:t>
      </w:r>
    </w:p>
    <w:p w:rsidR="004F3A16" w:rsidP="006C0268" w:rsidRDefault="004F3A16" w14:paraId="0C8DE9E9" w14:textId="1649FC1C">
      <w:pPr>
        <w:pStyle w:val="OP"/>
      </w:pPr>
      <w:r>
        <w:t>RNG has a lower carbon intensity than traditional diesel</w:t>
      </w:r>
      <w:r w:rsidR="00CE7CD0">
        <w:t xml:space="preserve"> fuel.</w:t>
      </w:r>
    </w:p>
    <w:p w:rsidR="00357355" w:rsidP="006C0268" w:rsidRDefault="00F2760B" w14:paraId="162A6C2B" w14:textId="311A16B7">
      <w:pPr>
        <w:pStyle w:val="OP"/>
      </w:pPr>
      <w:r>
        <w:t xml:space="preserve">Using the Standard Lifecycle GHG Emission Reduction Methodology, </w:t>
      </w:r>
      <w:r w:rsidR="004F3A16">
        <w:t xml:space="preserve">SoCalGas demonstrates that </w:t>
      </w:r>
      <w:r w:rsidR="00065811">
        <w:t>Projects B, D-1</w:t>
      </w:r>
      <w:r w:rsidR="005911AC">
        <w:t>,</w:t>
      </w:r>
      <w:r w:rsidR="006C0268">
        <w:t xml:space="preserve"> </w:t>
      </w:r>
      <w:r w:rsidR="00065811">
        <w:t>D-2</w:t>
      </w:r>
      <w:r w:rsidR="00E218F8">
        <w:t>,</w:t>
      </w:r>
      <w:r w:rsidR="002B4578">
        <w:t xml:space="preserve"> and E</w:t>
      </w:r>
      <w:r w:rsidR="00CE7CD0">
        <w:t xml:space="preserve"> will reduce GHG emissions </w:t>
      </w:r>
      <w:r w:rsidR="00065811">
        <w:t>by replacing</w:t>
      </w:r>
      <w:r w:rsidR="00CE7CD0">
        <w:t xml:space="preserve"> </w:t>
      </w:r>
      <w:r w:rsidR="0083737A">
        <w:t>diesel fuel with RNG fuel.</w:t>
      </w:r>
    </w:p>
    <w:p w:rsidR="00CA0F54" w:rsidP="006C0268" w:rsidRDefault="00BD588A" w14:paraId="6C1553E4" w14:textId="6F1F74EB">
      <w:pPr>
        <w:pStyle w:val="OP"/>
      </w:pPr>
      <w:r>
        <w:t xml:space="preserve">RNG </w:t>
      </w:r>
      <w:r w:rsidR="004D766F">
        <w:t>has</w:t>
      </w:r>
      <w:r w:rsidR="005A42E3">
        <w:t xml:space="preserve"> air quality benefits when compared to diesel, including</w:t>
      </w:r>
      <w:r w:rsidR="004D766F">
        <w:t xml:space="preserve"> reducing emissions of NOx and particulate matter.</w:t>
      </w:r>
    </w:p>
    <w:p w:rsidR="004D766F" w:rsidP="006C0268" w:rsidRDefault="009148A5" w14:paraId="2743D24B" w14:textId="4352EB48">
      <w:pPr>
        <w:pStyle w:val="OP"/>
      </w:pPr>
      <w:r>
        <w:t>RNG provides important GHG reductions</w:t>
      </w:r>
      <w:r w:rsidR="00FC6068">
        <w:t xml:space="preserve"> in the current interim period, where full electrification is not possible.</w:t>
      </w:r>
    </w:p>
    <w:p w:rsidR="005911AC" w:rsidP="006C0268" w:rsidRDefault="005911AC" w14:paraId="3F58BA06" w14:textId="6D3BD81E">
      <w:pPr>
        <w:pStyle w:val="OP"/>
      </w:pPr>
      <w:r>
        <w:t>D.22-09-026 does not specify an amount by which GHG emissions must be reduced.</w:t>
      </w:r>
    </w:p>
    <w:p w:rsidR="00FC6068" w:rsidP="006C0268" w:rsidRDefault="0054653B" w14:paraId="195226C6" w14:textId="50E63ED9">
      <w:pPr>
        <w:pStyle w:val="OP"/>
      </w:pPr>
      <w:r>
        <w:t>SoCalGas demonstrate</w:t>
      </w:r>
      <w:r w:rsidR="001319FD">
        <w:t>s</w:t>
      </w:r>
      <w:r>
        <w:t xml:space="preserve"> that </w:t>
      </w:r>
      <w:r w:rsidR="001319FD">
        <w:t>Projects B, D-1 D-2</w:t>
      </w:r>
      <w:r w:rsidR="00E218F8">
        <w:t>,</w:t>
      </w:r>
      <w:r w:rsidR="002B4578">
        <w:t xml:space="preserve"> and E</w:t>
      </w:r>
      <w:r>
        <w:t xml:space="preserve"> are consistent with California</w:t>
      </w:r>
      <w:r w:rsidR="005911AC">
        <w:t>’s</w:t>
      </w:r>
      <w:r>
        <w:t xml:space="preserve"> climate goals</w:t>
      </w:r>
      <w:r w:rsidR="001319FD">
        <w:t>.</w:t>
      </w:r>
    </w:p>
    <w:p w:rsidR="005142FF" w:rsidP="006C0268" w:rsidRDefault="00E51840" w14:paraId="4C89DA16" w14:textId="77777777">
      <w:pPr>
        <w:pStyle w:val="OP"/>
      </w:pPr>
      <w:r>
        <w:t xml:space="preserve">Project B </w:t>
      </w:r>
      <w:r w:rsidR="00E17CC5">
        <w:t>has a plan in place to transition its fleet t</w:t>
      </w:r>
      <w:r w:rsidR="00CE7D29">
        <w:t>o zero-emissions buses by 2040.</w:t>
      </w:r>
    </w:p>
    <w:p w:rsidR="00CE7D29" w:rsidP="006C0268" w:rsidRDefault="00CE7D29" w14:paraId="71CF111B" w14:textId="18AD545B">
      <w:pPr>
        <w:pStyle w:val="OP"/>
      </w:pPr>
      <w:r>
        <w:t>Project B has significant useful life remaining in its current fleet of RNG buses and will need to continue operating them until it transitions its fleet to zero-emissions buses.</w:t>
      </w:r>
    </w:p>
    <w:p w:rsidR="00CE7D29" w:rsidP="006C0268" w:rsidRDefault="005911AC" w14:paraId="089B6EEE" w14:textId="2945B5CC">
      <w:pPr>
        <w:pStyle w:val="OP"/>
      </w:pPr>
      <w:r>
        <w:t xml:space="preserve">Projects D-1 and D-2 are RNG refueling stations that would serve refuse-collecting trucks that travel </w:t>
      </w:r>
      <w:r w:rsidR="004169BE">
        <w:t>about 104 miles per day and about 170 miles per day</w:t>
      </w:r>
      <w:r>
        <w:t xml:space="preserve"> respectively</w:t>
      </w:r>
      <w:r w:rsidR="004169BE">
        <w:t>.</w:t>
      </w:r>
    </w:p>
    <w:p w:rsidR="00FA532F" w:rsidP="006C0268" w:rsidRDefault="00840961" w14:paraId="34F155C4" w14:textId="0B247B20">
      <w:pPr>
        <w:pStyle w:val="OP"/>
      </w:pPr>
      <w:r>
        <w:t xml:space="preserve">Given the hydraulic load and operational demands of the customer proponent of Projects D-1 and D-2, </w:t>
      </w:r>
      <w:r w:rsidR="002C636A">
        <w:t xml:space="preserve">the record demonstrates that </w:t>
      </w:r>
      <w:r>
        <w:t xml:space="preserve">the current </w:t>
      </w:r>
      <w:r w:rsidR="00217A19">
        <w:t>BEV</w:t>
      </w:r>
      <w:r>
        <w:t xml:space="preserve"> refuse truck ranges are no</w:t>
      </w:r>
      <w:r w:rsidR="00FD7AB1">
        <w:t>t sufficient for the customer’s daily route requirements.</w:t>
      </w:r>
    </w:p>
    <w:p w:rsidR="005911AC" w:rsidP="006C0268" w:rsidRDefault="005911AC" w14:paraId="6C5DA3ED" w14:textId="77777777">
      <w:pPr>
        <w:pStyle w:val="OP"/>
      </w:pPr>
      <w:r>
        <w:lastRenderedPageBreak/>
        <w:t>Project E is a fueling station that will serve the customer’s existing fleet of CNG vehicles that haul metal, equipment, and solid waste materials.</w:t>
      </w:r>
    </w:p>
    <w:p w:rsidR="00616223" w:rsidP="006C0268" w:rsidRDefault="00010230" w14:paraId="2B5E1A38" w14:textId="38933548">
      <w:pPr>
        <w:pStyle w:val="OP"/>
      </w:pPr>
      <w:r>
        <w:t>Given the needs of the customer proponent of Project E, the record demonstrates that the current BEV truck ranges are insufficient</w:t>
      </w:r>
      <w:r w:rsidRPr="00F72DF0" w:rsidR="00F72DF0">
        <w:t xml:space="preserve">. </w:t>
      </w:r>
    </w:p>
    <w:p w:rsidR="008D5769" w:rsidP="006C0268" w:rsidRDefault="00D14CB1" w14:paraId="6E7F76F9" w14:textId="6B343EF6">
      <w:pPr>
        <w:pStyle w:val="OP"/>
      </w:pPr>
      <w:r>
        <w:t xml:space="preserve">The record </w:t>
      </w:r>
      <w:r w:rsidR="00910461">
        <w:t xml:space="preserve">does </w:t>
      </w:r>
      <w:r w:rsidR="00010230">
        <w:t>not</w:t>
      </w:r>
      <w:r w:rsidR="00AB0197">
        <w:t xml:space="preserve"> support a finding that </w:t>
      </w:r>
      <w:r>
        <w:t xml:space="preserve">alternatives to natural gas </w:t>
      </w:r>
      <w:r w:rsidR="00010230">
        <w:t>a</w:t>
      </w:r>
      <w:r>
        <w:t>re infeasible</w:t>
      </w:r>
      <w:r w:rsidR="005B33C7">
        <w:t xml:space="preserve"> for Projects G and H.</w:t>
      </w:r>
    </w:p>
    <w:p w:rsidR="00702D1A" w:rsidP="006C0268" w:rsidRDefault="004573E7" w14:paraId="14583542" w14:textId="5B291BFE">
      <w:pPr>
        <w:pStyle w:val="OP"/>
      </w:pPr>
      <w:r>
        <w:t>Projects B, D-1</w:t>
      </w:r>
      <w:r w:rsidR="005911AC">
        <w:t>,</w:t>
      </w:r>
      <w:r>
        <w:t xml:space="preserve"> D-2</w:t>
      </w:r>
      <w:r w:rsidR="00AB0197">
        <w:t>,</w:t>
      </w:r>
      <w:r w:rsidR="005B33C7">
        <w:t xml:space="preserve"> and E</w:t>
      </w:r>
      <w:r>
        <w:t xml:space="preserve"> successfully demonstrate that there are no feasible alternatives to natural gas.</w:t>
      </w:r>
    </w:p>
    <w:p w:rsidR="00A07CD0" w:rsidP="00A07CD0" w:rsidRDefault="00604000" w14:paraId="5973904A" w14:textId="5323BECE">
      <w:pPr>
        <w:pStyle w:val="OP"/>
      </w:pPr>
      <w:r>
        <w:t>Projects B, D-1</w:t>
      </w:r>
      <w:r w:rsidR="0031414D">
        <w:t>,</w:t>
      </w:r>
      <w:r>
        <w:t xml:space="preserve"> D-2</w:t>
      </w:r>
      <w:r w:rsidR="00AB0197">
        <w:t xml:space="preserve">, </w:t>
      </w:r>
      <w:r w:rsidR="005B33C7">
        <w:t>and E</w:t>
      </w:r>
      <w:r>
        <w:t xml:space="preserve"> meet the criteria set forth in D.22-09-026 to receive a gas line extension allowance.</w:t>
      </w:r>
    </w:p>
    <w:p w:rsidR="00B729CF" w:rsidP="00B729CF" w:rsidRDefault="006D6CFC" w14:paraId="0763B34E" w14:textId="77777777">
      <w:pPr>
        <w:pStyle w:val="OP"/>
      </w:pPr>
      <w:r>
        <w:t>Projects G and H do not meet the criteria set forth in D.22-09-026 to receive a gas line extension allowance</w:t>
      </w:r>
      <w:r w:rsidR="0031414D">
        <w:t xml:space="preserve"> because SoCalGas has not sufficiently demonstrated that these projects have no feasible alternative to natural gas</w:t>
      </w:r>
      <w:r>
        <w:t>.</w:t>
      </w:r>
    </w:p>
    <w:p w:rsidRPr="00A56FA9" w:rsidR="0027599B" w:rsidP="00B729CF" w:rsidRDefault="008C4F65" w14:paraId="4C3DB2A9" w14:textId="69C00A9A">
      <w:pPr>
        <w:pStyle w:val="OP"/>
      </w:pPr>
      <w:r w:rsidRPr="00A56FA9">
        <w:t>SoCalGas updated the non-residential gas line extension allowance calculations</w:t>
      </w:r>
      <w:r w:rsidRPr="00A56FA9" w:rsidR="0082637F">
        <w:t xml:space="preserve">, </w:t>
      </w:r>
      <w:r w:rsidRPr="00A56FA9" w:rsidR="00BD4D95">
        <w:t>including the update to the non-residential gas line extension allowance multiplier of 3.1,</w:t>
      </w:r>
      <w:r w:rsidRPr="00A56FA9">
        <w:t xml:space="preserve"> in compliance with D.22-09-026.</w:t>
      </w:r>
    </w:p>
    <w:p w:rsidR="008C4F65" w:rsidP="00B729CF" w:rsidRDefault="0026283F" w14:paraId="6DBCD340" w14:textId="1D5BD561">
      <w:pPr>
        <w:pStyle w:val="OP"/>
      </w:pPr>
      <w:r>
        <w:t>For Projects B, D-1</w:t>
      </w:r>
      <w:r w:rsidR="00E55B8A">
        <w:t>,</w:t>
      </w:r>
      <w:r>
        <w:t xml:space="preserve"> D-2,</w:t>
      </w:r>
      <w:r w:rsidR="00181867">
        <w:t xml:space="preserve"> and E,</w:t>
      </w:r>
      <w:r>
        <w:t xml:space="preserve"> SoCalGas’ application complies with all applicable requirements in D.22-09-026.</w:t>
      </w:r>
    </w:p>
    <w:p w:rsidR="0031414D" w:rsidP="00B729CF" w:rsidRDefault="0031414D" w14:paraId="04A3949F" w14:textId="4FE8F0DA">
      <w:pPr>
        <w:pStyle w:val="OP"/>
      </w:pPr>
      <w:r>
        <w:t>SoCalGas Rule No</w:t>
      </w:r>
      <w:r w:rsidR="00234AFF">
        <w:t xml:space="preserve">s. 20 and 21 </w:t>
      </w:r>
      <w:r w:rsidR="00D23A56">
        <w:t>govern gas main and gas line extensions</w:t>
      </w:r>
      <w:r>
        <w:t>.</w:t>
      </w:r>
    </w:p>
    <w:p w:rsidR="001B546A" w:rsidP="00B729CF" w:rsidRDefault="00E31A0D" w14:paraId="3AA7F857" w14:textId="1A8E84EF">
      <w:pPr>
        <w:pStyle w:val="OP"/>
      </w:pPr>
      <w:r>
        <w:t>Requiring</w:t>
      </w:r>
      <w:r w:rsidR="00AD2DD5">
        <w:t xml:space="preserve"> customers seeking a gas line extension to bear the entire up-front costs of the extension and only applying the refund for any approved allowances after the allowance has been finalized post-installation period will minimize risks to ratepayers.</w:t>
      </w:r>
    </w:p>
    <w:p w:rsidR="007C31AA" w:rsidP="00B729CF" w:rsidRDefault="0031414D" w14:paraId="34241E9B" w14:textId="186689C3">
      <w:pPr>
        <w:pStyle w:val="OP"/>
      </w:pPr>
      <w:r>
        <w:t xml:space="preserve">Balancing accounts are appropriate for new, incremental costs that have generally been pre-authorized for recovery. </w:t>
      </w:r>
    </w:p>
    <w:p w:rsidR="0031414D" w:rsidP="00B729CF" w:rsidRDefault="0031414D" w14:paraId="22996850" w14:textId="71384A35">
      <w:pPr>
        <w:pStyle w:val="OP"/>
      </w:pPr>
      <w:r>
        <w:lastRenderedPageBreak/>
        <w:t>Two-way balancing accounts authorize a utility to collect more or less than the authorized revenue requirement for a given program depending on actual costs, and are intended to ensure that the utility does not make or lose money due to uncertainties.</w:t>
      </w:r>
    </w:p>
    <w:p w:rsidR="0031414D" w:rsidP="00B729CF" w:rsidRDefault="0031414D" w14:paraId="1B1EB8F5" w14:textId="77777777">
      <w:pPr>
        <w:pStyle w:val="OP"/>
      </w:pPr>
      <w:r>
        <w:t>Allowances are calculated based on anticipated revenue from the applicant, which is determined by factors such as equipment load, operating schedule, and the tariff under which the applicant is served.</w:t>
      </w:r>
    </w:p>
    <w:p w:rsidR="0031414D" w:rsidP="00B729CF" w:rsidRDefault="0031414D" w14:paraId="15842860" w14:textId="77777777">
      <w:pPr>
        <w:pStyle w:val="OP"/>
      </w:pPr>
      <w:r>
        <w:t>Variations between estimated and actual equipment usage and other factors may result in changes to the final allowance amount that will be accounted for using a two-way balancing account.</w:t>
      </w:r>
    </w:p>
    <w:p w:rsidR="00DB50C4" w:rsidP="00B729CF" w:rsidRDefault="0031414D" w14:paraId="4DDE6603" w14:textId="77777777">
      <w:pPr>
        <w:pStyle w:val="OP"/>
      </w:pPr>
      <w:r>
        <w:t xml:space="preserve">The GLEBA established following the Commission’s Test Year 2024 GRC is a one-way balancing account designed to track refunds </w:t>
      </w:r>
      <w:r w:rsidRPr="00AB0DFD">
        <w:t>from previously authorized</w:t>
      </w:r>
      <w:r>
        <w:t xml:space="preserve"> revenue requirements following the elimination of gas line extension allowances. </w:t>
      </w:r>
    </w:p>
    <w:p w:rsidR="001B546A" w:rsidP="00B729CF" w:rsidRDefault="0031414D" w14:paraId="608F17F9" w14:textId="6E42060A">
      <w:pPr>
        <w:pStyle w:val="OP"/>
      </w:pPr>
      <w:r>
        <w:t xml:space="preserve">The total illustrative revenue requirement associated with the nine projects is $14.9 million over the useful lives of the assets, which accounts for </w:t>
      </w:r>
      <w:r w:rsidR="003D2091">
        <w:t xml:space="preserve">$6.656 million in estimated allowances </w:t>
      </w:r>
      <w:r>
        <w:t xml:space="preserve">for the nine projects and includes other costs required to support the investment, including taxes and FF&amp;U. </w:t>
      </w:r>
    </w:p>
    <w:p w:rsidR="00DB50C4" w:rsidP="00B729CF" w:rsidRDefault="003D2440" w14:paraId="5619BB10" w14:textId="480D5094">
      <w:pPr>
        <w:pStyle w:val="OP"/>
      </w:pPr>
      <w:r>
        <w:t>The total estimated allowances for only the approved projects in this decision (Projects B, D-1</w:t>
      </w:r>
      <w:r w:rsidR="00CC6B15">
        <w:t>,</w:t>
      </w:r>
      <w:r>
        <w:t xml:space="preserve"> D-2</w:t>
      </w:r>
      <w:r w:rsidR="00AB0197">
        <w:t>,</w:t>
      </w:r>
      <w:r w:rsidR="00170B4D">
        <w:t xml:space="preserve"> and E</w:t>
      </w:r>
      <w:r>
        <w:t>) is approximately $</w:t>
      </w:r>
      <w:r w:rsidR="002E008A">
        <w:t>2.</w:t>
      </w:r>
      <w:r w:rsidR="00912D25">
        <w:t>791</w:t>
      </w:r>
      <w:r>
        <w:t xml:space="preserve"> million.</w:t>
      </w:r>
    </w:p>
    <w:p w:rsidR="00087984" w:rsidP="00B729CF" w:rsidRDefault="00087984" w14:paraId="01EC75D2" w14:textId="41D90A6B">
      <w:pPr>
        <w:pStyle w:val="OP"/>
      </w:pPr>
      <w:r>
        <w:t>Because Projects B, D-1</w:t>
      </w:r>
      <w:r w:rsidR="00CC6B15">
        <w:t>,</w:t>
      </w:r>
      <w:r>
        <w:t xml:space="preserve"> D-2</w:t>
      </w:r>
      <w:r w:rsidR="00AB0197">
        <w:t>,</w:t>
      </w:r>
      <w:r w:rsidR="00C84BF0">
        <w:t xml:space="preserve"> and E</w:t>
      </w:r>
      <w:r>
        <w:t xml:space="preserve"> will</w:t>
      </w:r>
      <w:r w:rsidR="00486912">
        <w:t xml:space="preserve"> decrease GHG emissions, be consistent with state climate goals, and have no feasible alternative to natural gas, </w:t>
      </w:r>
      <w:r w:rsidR="00C4736B">
        <w:t>approval of gas line extension allowances for these projects</w:t>
      </w:r>
      <w:r w:rsidR="00486912">
        <w:t xml:space="preserve"> </w:t>
      </w:r>
      <w:r w:rsidR="00C4736B">
        <w:t>is</w:t>
      </w:r>
      <w:r w:rsidR="00486912">
        <w:t xml:space="preserve"> consistent with ESJ Action Plan Goals 2 and 4.</w:t>
      </w:r>
    </w:p>
    <w:p w:rsidR="005939A5" w:rsidP="005939A5" w:rsidRDefault="005939A5" w14:paraId="5F3CB4C9" w14:textId="77777777">
      <w:pPr>
        <w:pStyle w:val="Dummy"/>
      </w:pPr>
      <w:bookmarkStart w:name="_Toc8123726" w:id="79"/>
      <w:bookmarkStart w:name="_Toc243318807" w:id="80"/>
      <w:bookmarkStart w:name="_Toc243476887" w:id="81"/>
      <w:r>
        <w:lastRenderedPageBreak/>
        <w:t>Conclusions of Law</w:t>
      </w:r>
      <w:bookmarkEnd w:id="79"/>
      <w:bookmarkEnd w:id="80"/>
      <w:bookmarkEnd w:id="81"/>
    </w:p>
    <w:p w:rsidR="00932865" w:rsidP="001E2A62" w:rsidRDefault="008F4D30" w14:paraId="36F062EE" w14:textId="3E717DBE">
      <w:pPr>
        <w:pStyle w:val="CoL"/>
      </w:pPr>
      <w:r>
        <w:t xml:space="preserve">SoCalGas’ </w:t>
      </w:r>
      <w:r w:rsidR="00E14FE8">
        <w:t>request for Projects B, D-1</w:t>
      </w:r>
      <w:r w:rsidR="005D4AE6">
        <w:t>,</w:t>
      </w:r>
      <w:r w:rsidR="00E14FE8">
        <w:t xml:space="preserve"> D-2</w:t>
      </w:r>
      <w:r w:rsidR="00AB0197">
        <w:t>,</w:t>
      </w:r>
      <w:r w:rsidR="00C84BF0">
        <w:t xml:space="preserve"> and E</w:t>
      </w:r>
      <w:r w:rsidR="00E14FE8">
        <w:t xml:space="preserve"> to receive gas line extension allowances should be approved.</w:t>
      </w:r>
    </w:p>
    <w:p w:rsidR="00E14FE8" w:rsidP="001E2A62" w:rsidRDefault="00E14FE8" w14:paraId="26603DCE" w14:textId="06F8B941">
      <w:pPr>
        <w:pStyle w:val="CoL"/>
      </w:pPr>
      <w:r>
        <w:t>SoCalGas’ request for Projects G and H to receive gas line extension allowances should be denied</w:t>
      </w:r>
      <w:r w:rsidR="00AB0197">
        <w:t xml:space="preserve"> without prejudice</w:t>
      </w:r>
      <w:r w:rsidR="00522F01">
        <w:t xml:space="preserve">, allowing </w:t>
      </w:r>
      <w:r w:rsidR="00AC1FEF">
        <w:t>these projects to reapply if they choose</w:t>
      </w:r>
      <w:r>
        <w:t>.</w:t>
      </w:r>
    </w:p>
    <w:p w:rsidR="00E14FE8" w:rsidP="001E2A62" w:rsidRDefault="00F01454" w14:paraId="3B1D2C8C" w14:textId="2E25A5F1">
      <w:pPr>
        <w:pStyle w:val="CoL"/>
      </w:pPr>
      <w:r>
        <w:t xml:space="preserve">SoCalGas’ </w:t>
      </w:r>
      <w:r w:rsidR="4A6127E6">
        <w:t>request</w:t>
      </w:r>
      <w:r>
        <w:t xml:space="preserve"> to </w:t>
      </w:r>
      <w:r w:rsidRPr="001221A2" w:rsidR="005D2E55">
        <w:t xml:space="preserve">update the non-residential gas line extension allowance multiplier </w:t>
      </w:r>
      <w:r w:rsidR="00F65855">
        <w:t>to</w:t>
      </w:r>
      <w:r w:rsidRPr="001221A2" w:rsidR="005D2E55">
        <w:t xml:space="preserve"> 3.1 should be approved.</w:t>
      </w:r>
    </w:p>
    <w:p w:rsidR="005D2E55" w:rsidP="001E2A62" w:rsidRDefault="006A342B" w14:paraId="0B5AC4C4" w14:textId="755BE04B">
      <w:pPr>
        <w:pStyle w:val="CoL"/>
      </w:pPr>
      <w:r>
        <w:t>SoCalGas’ proposed revisions to Tariff Rule Nos. 20 and 21 to require advance payment of actual project costs of gas line extensions for all customers, includ</w:t>
      </w:r>
      <w:r w:rsidR="00F65855">
        <w:t>ing</w:t>
      </w:r>
      <w:r>
        <w:t xml:space="preserve"> those granted gas line extension allowances</w:t>
      </w:r>
      <w:r w:rsidR="008067B8">
        <w:t>,</w:t>
      </w:r>
      <w:r w:rsidR="00F4677A">
        <w:t xml:space="preserve"> are reasonable</w:t>
      </w:r>
      <w:r>
        <w:t>.</w:t>
      </w:r>
    </w:p>
    <w:p w:rsidR="006A342B" w:rsidP="001E2A62" w:rsidRDefault="006A342B" w14:paraId="0D7A713E" w14:textId="26772B59">
      <w:pPr>
        <w:pStyle w:val="CoL"/>
      </w:pPr>
      <w:r>
        <w:t xml:space="preserve">SoCalGas should </w:t>
      </w:r>
      <w:r w:rsidRPr="00D82A75">
        <w:t xml:space="preserve">file a </w:t>
      </w:r>
      <w:r w:rsidRPr="00D82A75" w:rsidR="007F2109">
        <w:t xml:space="preserve">Tier 2 </w:t>
      </w:r>
      <w:r w:rsidRPr="00D82A75" w:rsidR="00F4677A">
        <w:t>a</w:t>
      </w:r>
      <w:r w:rsidRPr="00D82A75" w:rsidR="007F2109">
        <w:t xml:space="preserve">dvice </w:t>
      </w:r>
      <w:r w:rsidRPr="00D82A75" w:rsidR="00F4677A">
        <w:t>l</w:t>
      </w:r>
      <w:r w:rsidRPr="00D82A75" w:rsidR="007F2109">
        <w:t>etter within</w:t>
      </w:r>
      <w:r w:rsidR="007F2109">
        <w:t xml:space="preserve"> 30 days</w:t>
      </w:r>
      <w:r w:rsidR="007A25C4">
        <w:t xml:space="preserve"> of the effective date of this decision</w:t>
      </w:r>
      <w:r w:rsidR="007F2109">
        <w:t xml:space="preserve"> </w:t>
      </w:r>
      <w:r w:rsidR="00382FFC">
        <w:t xml:space="preserve">to revise Tariff Rule Nos. 20 and 21 </w:t>
      </w:r>
      <w:r w:rsidR="001F0327">
        <w:t xml:space="preserve">to require advance payment of actual project costs for all customers and to clarify that any approved allowances </w:t>
      </w:r>
      <w:r w:rsidR="000A0BB3">
        <w:t>—</w:t>
      </w:r>
      <w:r w:rsidR="001F0327">
        <w:t xml:space="preserve"> up to actual project costs </w:t>
      </w:r>
      <w:r w:rsidR="000A0BB3">
        <w:t>—</w:t>
      </w:r>
      <w:r w:rsidR="001F0327">
        <w:t xml:space="preserve"> will only be applied to customers following a three-year post-installation true up period.</w:t>
      </w:r>
    </w:p>
    <w:p w:rsidR="002B30E2" w:rsidP="001E2A62" w:rsidRDefault="00F4677A" w14:paraId="3A83AA15" w14:textId="51E25501">
      <w:pPr>
        <w:pStyle w:val="CoL"/>
      </w:pPr>
      <w:r>
        <w:t>SoCalGas’ request to establish a</w:t>
      </w:r>
      <w:r w:rsidRPr="00643BAA" w:rsidR="004C4E10">
        <w:t xml:space="preserve"> two-way balancing account to track costs associated with Commission-approved gas line extension allowances</w:t>
      </w:r>
      <w:r w:rsidR="004C4E10">
        <w:t xml:space="preserve"> </w:t>
      </w:r>
      <w:r>
        <w:t>is reasonable</w:t>
      </w:r>
      <w:r w:rsidR="004C4E10">
        <w:t>.</w:t>
      </w:r>
    </w:p>
    <w:p w:rsidR="00D82A75" w:rsidP="00D82A75" w:rsidRDefault="004C4E10" w14:paraId="0D55114A" w14:textId="4E6048E5">
      <w:pPr>
        <w:pStyle w:val="CoL"/>
      </w:pPr>
      <w:r>
        <w:t xml:space="preserve">SoCalGas </w:t>
      </w:r>
      <w:r w:rsidRPr="00D82A75">
        <w:t xml:space="preserve">should file </w:t>
      </w:r>
      <w:r w:rsidRPr="00D82A75" w:rsidR="006E7382">
        <w:t xml:space="preserve">a Tier 1 </w:t>
      </w:r>
      <w:r w:rsidRPr="00D82A75" w:rsidR="00F4677A">
        <w:t>a</w:t>
      </w:r>
      <w:r w:rsidRPr="00D82A75" w:rsidR="006E7382">
        <w:t xml:space="preserve">dvice </w:t>
      </w:r>
      <w:r w:rsidRPr="00D82A75" w:rsidR="00F4677A">
        <w:t>l</w:t>
      </w:r>
      <w:r w:rsidRPr="00D82A75" w:rsidR="006E7382">
        <w:t>etter</w:t>
      </w:r>
      <w:r w:rsidRPr="00D82A75" w:rsidR="00E932B8">
        <w:t xml:space="preserve"> within 30 days of the effective date of this decision</w:t>
      </w:r>
      <w:r w:rsidRPr="00D82A75" w:rsidR="006E7382">
        <w:t xml:space="preserve"> to establish </w:t>
      </w:r>
      <w:r w:rsidRPr="00D82A75" w:rsidR="00DE0405">
        <w:t>a</w:t>
      </w:r>
      <w:r w:rsidRPr="00D82A75" w:rsidR="006E7382">
        <w:t xml:space="preserve"> two-way balancing account </w:t>
      </w:r>
      <w:r w:rsidRPr="00D82A75" w:rsidR="00945B21">
        <w:t>to track costs associated with Commission-approved gas line extension allowances</w:t>
      </w:r>
      <w:r w:rsidRPr="00D82A75" w:rsidR="00DD53AD">
        <w:t>.</w:t>
      </w:r>
    </w:p>
    <w:p w:rsidRPr="00D82A75" w:rsidR="00382FFC" w:rsidP="00D82A75" w:rsidRDefault="00E46265" w14:paraId="123907B5" w14:textId="097CA695">
      <w:pPr>
        <w:pStyle w:val="CoL"/>
      </w:pPr>
      <w:r>
        <w:t xml:space="preserve">SoCalGas should file a </w:t>
      </w:r>
      <w:r w:rsidR="000C0BDB">
        <w:t xml:space="preserve">Tier 2 </w:t>
      </w:r>
      <w:r w:rsidR="008A4793">
        <w:t>a</w:t>
      </w:r>
      <w:r w:rsidR="000C0BDB">
        <w:t xml:space="preserve">dvice </w:t>
      </w:r>
      <w:r w:rsidR="008A4793">
        <w:t>l</w:t>
      </w:r>
      <w:r w:rsidR="000C0BDB">
        <w:t xml:space="preserve">etter within </w:t>
      </w:r>
      <w:r w:rsidR="00171957">
        <w:t>30</w:t>
      </w:r>
      <w:r w:rsidR="000C0BDB">
        <w:t xml:space="preserve"> days</w:t>
      </w:r>
      <w:r w:rsidR="007A25C4">
        <w:t xml:space="preserve"> of the effective date of this decision</w:t>
      </w:r>
      <w:r w:rsidR="000C0BDB">
        <w:t xml:space="preserve"> </w:t>
      </w:r>
      <w:r w:rsidRPr="00D82A75" w:rsidR="000C0BDB">
        <w:t xml:space="preserve">to update its revenue requirement </w:t>
      </w:r>
      <w:r w:rsidRPr="00D82A75" w:rsidR="001A0E9C">
        <w:t xml:space="preserve">to reflect </w:t>
      </w:r>
      <w:r w:rsidRPr="00D82A75" w:rsidR="00192DC6">
        <w:t>only the customer projects approved in this decision</w:t>
      </w:r>
      <w:r w:rsidRPr="00D82A75" w:rsidR="00171957">
        <w:t xml:space="preserve">, using the same methodology as it used to calculate the original forecasted revenue requirement. The advice letter </w:t>
      </w:r>
      <w:r w:rsidRPr="00D82A75" w:rsidR="00171957">
        <w:lastRenderedPageBreak/>
        <w:t>should describe its original calculation of the forecasted revenue requirement, as well as how it updated that calculation using the same methodology.</w:t>
      </w:r>
    </w:p>
    <w:p w:rsidRPr="00D82A75" w:rsidR="007D14EC" w:rsidP="001E2A62" w:rsidRDefault="00F1725F" w14:paraId="1E3A80E6" w14:textId="1466EFDA">
      <w:pPr>
        <w:pStyle w:val="CoL"/>
      </w:pPr>
      <w:r w:rsidRPr="00D82A75">
        <w:t>Following the recording of the actual revenue requirement in the GLEABA, So</w:t>
      </w:r>
      <w:r w:rsidR="00A7264B">
        <w:t>CalGas</w:t>
      </w:r>
      <w:r w:rsidRPr="00D82A75">
        <w:t xml:space="preserve"> should seek recovery via </w:t>
      </w:r>
      <w:r w:rsidR="00B63F71">
        <w:t>an</w:t>
      </w:r>
      <w:r w:rsidRPr="00D82A75">
        <w:t xml:space="preserve"> annual </w:t>
      </w:r>
      <w:r w:rsidR="00B63F71">
        <w:t>Tier 2</w:t>
      </w:r>
      <w:r w:rsidRPr="00D82A75">
        <w:t xml:space="preserve"> advice letter filing using Commission-authorized cost allocation and revenue requirement methodologies applicable at the time of recovery</w:t>
      </w:r>
      <w:r w:rsidRPr="00D82A75" w:rsidR="005F6644">
        <w:t>, until the capital assets are included in SoCalGas’ future GRC</w:t>
      </w:r>
      <w:r w:rsidRPr="00A7264B" w:rsidR="005F6644">
        <w:t>.</w:t>
      </w:r>
      <w:r w:rsidRPr="00A7264B" w:rsidR="00F136B0">
        <w:t xml:space="preserve"> </w:t>
      </w:r>
      <w:r w:rsidRPr="00A7264B" w:rsidR="00A7264B">
        <w:t>In its advice letter filing, SoCalGas should explain in detail any differences between the estimated and final revenue requirement, including any differences between the calculation of the customer’s estimated and actual revenue.</w:t>
      </w:r>
    </w:p>
    <w:p w:rsidR="00932865" w:rsidP="001E2A62" w:rsidRDefault="00805A6E" w14:paraId="3F100B1E" w14:textId="2E672DE4">
      <w:pPr>
        <w:pStyle w:val="CoL"/>
      </w:pPr>
      <w:r>
        <w:t>All rulings made by the ALJ and assigned Commissioner in this proceeding should be affirmed.</w:t>
      </w:r>
    </w:p>
    <w:p w:rsidRPr="001E2A62" w:rsidR="00805A6E" w:rsidP="001E2A62" w:rsidRDefault="00805A6E" w14:paraId="1F87CEEA" w14:textId="7F6DFCA2">
      <w:pPr>
        <w:pStyle w:val="CoL"/>
      </w:pPr>
      <w:r>
        <w:t>All motions not ruled on should be denied.</w:t>
      </w:r>
    </w:p>
    <w:p w:rsidRPr="001E2A62" w:rsidR="008F143D" w:rsidP="00D44DB6" w:rsidRDefault="00903AD3" w14:paraId="658762C0" w14:textId="3A8543D1">
      <w:pPr>
        <w:pStyle w:val="CoL"/>
      </w:pPr>
      <w:r>
        <w:t>A.25-07-001 should be closed.</w:t>
      </w:r>
    </w:p>
    <w:p w:rsidR="00BB0243" w:rsidP="000A6E05" w:rsidRDefault="005939A5" w14:paraId="15E44C53" w14:textId="77777777">
      <w:pPr>
        <w:pStyle w:val="Mainex"/>
      </w:pPr>
      <w:bookmarkStart w:name="_Toc243318808" w:id="82"/>
      <w:bookmarkStart w:name="_Toc243476888" w:id="83"/>
      <w:r>
        <w:t>O</w:t>
      </w:r>
      <w:r w:rsidR="00722850">
        <w:t>RDER</w:t>
      </w:r>
      <w:bookmarkEnd w:id="82"/>
      <w:bookmarkEnd w:id="83"/>
    </w:p>
    <w:p w:rsidR="00BB0243" w:rsidP="000A6E05" w:rsidRDefault="00BB0243" w14:paraId="7250C731" w14:textId="77777777">
      <w:pPr>
        <w:keepNext/>
      </w:pPr>
      <w:r w:rsidRPr="00BB0243">
        <w:rPr>
          <w:b/>
        </w:rPr>
        <w:t>IT IS ORDERED</w:t>
      </w:r>
      <w:r>
        <w:t xml:space="preserve"> that:</w:t>
      </w:r>
    </w:p>
    <w:p w:rsidR="005B3879" w:rsidP="00FC0286" w:rsidRDefault="005B3879" w14:paraId="49452567" w14:textId="44C6CF65">
      <w:pPr>
        <w:pStyle w:val="OP"/>
        <w:numPr>
          <w:ilvl w:val="0"/>
          <w:numId w:val="21"/>
        </w:numPr>
      </w:pPr>
      <w:r>
        <w:t>So</w:t>
      </w:r>
      <w:r w:rsidR="00E14A50">
        <w:t xml:space="preserve">uthern California Gas Company’s </w:t>
      </w:r>
      <w:r>
        <w:t>request for Projects B, D-1</w:t>
      </w:r>
      <w:r w:rsidR="00F4677A">
        <w:t>,</w:t>
      </w:r>
      <w:r>
        <w:t xml:space="preserve"> D-2</w:t>
      </w:r>
      <w:r w:rsidR="00AB0197">
        <w:t>,</w:t>
      </w:r>
      <w:r>
        <w:t xml:space="preserve"> </w:t>
      </w:r>
      <w:r w:rsidR="00507BE1">
        <w:t xml:space="preserve">and E </w:t>
      </w:r>
      <w:r>
        <w:t>to receive gas line extension allowances is approved.</w:t>
      </w:r>
    </w:p>
    <w:p w:rsidR="00AB0197" w:rsidP="005B3879" w:rsidRDefault="00AB0197" w14:paraId="655B868F" w14:textId="765BD53E">
      <w:pPr>
        <w:pStyle w:val="OP"/>
      </w:pPr>
      <w:r>
        <w:t>Southern California Gas Company’s request for Projects G and H to receive gas line extension allowances is denied without prejudice.</w:t>
      </w:r>
    </w:p>
    <w:p w:rsidR="003D0282" w:rsidP="003D0282" w:rsidRDefault="00F4677A" w14:paraId="05AB5772" w14:textId="77777777">
      <w:pPr>
        <w:pStyle w:val="OP"/>
      </w:pPr>
      <w:r>
        <w:t xml:space="preserve">Southern California Gas Company’s </w:t>
      </w:r>
      <w:r w:rsidRPr="001D0111" w:rsidR="00FE7D5F">
        <w:t>update to the non-residential gas line extension allowance multiplier of 3.1 is approved.</w:t>
      </w:r>
    </w:p>
    <w:p w:rsidR="00F4677A" w:rsidP="00AB4B1A" w:rsidRDefault="00F4677A" w14:paraId="5CFBBF37" w14:textId="5587F017">
      <w:pPr>
        <w:pStyle w:val="OP"/>
      </w:pPr>
      <w:r>
        <w:t xml:space="preserve">Southern California Gas Company shall file a Tier 2 advice letter within 30 days of the </w:t>
      </w:r>
      <w:r w:rsidR="00413F5B">
        <w:t>effective date</w:t>
      </w:r>
      <w:r>
        <w:t xml:space="preserve"> of this decision to update </w:t>
      </w:r>
      <w:r w:rsidR="0038564F">
        <w:t xml:space="preserve">Tariff Rule Nos. 20 and 21 </w:t>
      </w:r>
      <w:r w:rsidR="001D0111">
        <w:t xml:space="preserve">to require advance payment of actual project costs for all customers and to clarify that any approved allowances </w:t>
      </w:r>
      <w:r w:rsidR="000A0BB3">
        <w:t>—</w:t>
      </w:r>
      <w:r w:rsidR="001D0111">
        <w:t xml:space="preserve"> up to actual project costs </w:t>
      </w:r>
      <w:r w:rsidR="000A0BB3">
        <w:t>—</w:t>
      </w:r>
      <w:r w:rsidR="001D0111">
        <w:t xml:space="preserve"> will only be </w:t>
      </w:r>
      <w:r w:rsidR="001D0111">
        <w:lastRenderedPageBreak/>
        <w:t>applied to customers following a three-year post-installation true up period. The advice letter shall clearly identify the specific changes to the language of Tariff Rule Nos. 20 and 21, and shall explain how the specific changes are consistent with this decision.</w:t>
      </w:r>
    </w:p>
    <w:p w:rsidRPr="00574BE1" w:rsidR="008005BF" w:rsidP="008005BF" w:rsidRDefault="0038564F" w14:paraId="1A412520" w14:textId="389D774B">
      <w:pPr>
        <w:pStyle w:val="OP"/>
      </w:pPr>
      <w:r>
        <w:t>So</w:t>
      </w:r>
      <w:r w:rsidR="00413F5B">
        <w:t xml:space="preserve">uthern </w:t>
      </w:r>
      <w:r>
        <w:t>Cal</w:t>
      </w:r>
      <w:r w:rsidR="00413F5B">
        <w:t xml:space="preserve">ifornia </w:t>
      </w:r>
      <w:r>
        <w:t>Gas</w:t>
      </w:r>
      <w:r w:rsidR="00413F5B">
        <w:t xml:space="preserve"> Company</w:t>
      </w:r>
      <w:r>
        <w:t xml:space="preserve"> </w:t>
      </w:r>
      <w:r w:rsidRPr="00574BE1">
        <w:t xml:space="preserve">shall file a Tier 1 </w:t>
      </w:r>
      <w:r w:rsidRPr="00574BE1" w:rsidR="00413F5B">
        <w:t>a</w:t>
      </w:r>
      <w:r w:rsidRPr="00574BE1">
        <w:t xml:space="preserve">dvice </w:t>
      </w:r>
      <w:r w:rsidRPr="00574BE1" w:rsidR="00413F5B">
        <w:t>l</w:t>
      </w:r>
      <w:r w:rsidRPr="00574BE1">
        <w:t xml:space="preserve">etter </w:t>
      </w:r>
      <w:r w:rsidRPr="00574BE1" w:rsidR="00E932B8">
        <w:t xml:space="preserve">within 30 days of the effective date of this decision </w:t>
      </w:r>
      <w:r w:rsidRPr="00574BE1">
        <w:t xml:space="preserve">to establish </w:t>
      </w:r>
      <w:r w:rsidRPr="00574BE1" w:rsidR="00E932B8">
        <w:t>a</w:t>
      </w:r>
      <w:r w:rsidRPr="00574BE1">
        <w:t xml:space="preserve"> two-way balancing account to track costs associated with Commission-approved gas line extension allowances</w:t>
      </w:r>
      <w:r w:rsidRPr="00574BE1" w:rsidR="00E254A3">
        <w:t>.</w:t>
      </w:r>
    </w:p>
    <w:p w:rsidRPr="00A7264B" w:rsidR="00E254A3" w:rsidP="00D905D3" w:rsidRDefault="008A7AD1" w14:paraId="5A49CDE0" w14:textId="597A3F4B">
      <w:pPr>
        <w:pStyle w:val="OP"/>
      </w:pPr>
      <w:r>
        <w:t>So</w:t>
      </w:r>
      <w:r w:rsidR="00413F5B">
        <w:t xml:space="preserve">uthern </w:t>
      </w:r>
      <w:r>
        <w:t>Cal</w:t>
      </w:r>
      <w:r w:rsidR="00413F5B">
        <w:t xml:space="preserve">ifornia </w:t>
      </w:r>
      <w:r>
        <w:t>Gas</w:t>
      </w:r>
      <w:r w:rsidR="00413F5B">
        <w:t xml:space="preserve"> </w:t>
      </w:r>
      <w:r w:rsidRPr="00574BE1" w:rsidR="00413F5B">
        <w:t>Company</w:t>
      </w:r>
      <w:r w:rsidRPr="00574BE1">
        <w:t xml:space="preserve"> shall file a Tier 2 </w:t>
      </w:r>
      <w:r w:rsidRPr="00574BE1" w:rsidR="00413F5B">
        <w:t>a</w:t>
      </w:r>
      <w:r w:rsidRPr="00574BE1">
        <w:t xml:space="preserve">dvice </w:t>
      </w:r>
      <w:r w:rsidRPr="00574BE1" w:rsidR="00413F5B">
        <w:t>l</w:t>
      </w:r>
      <w:r w:rsidRPr="00574BE1">
        <w:t xml:space="preserve">etter within </w:t>
      </w:r>
      <w:r w:rsidRPr="00574BE1" w:rsidR="006554C6">
        <w:t>3</w:t>
      </w:r>
      <w:r w:rsidRPr="00574BE1">
        <w:t>0 days of the effective date of this decision to update its revenue requirement to reflect only the customer projects approved in this decision</w:t>
      </w:r>
      <w:r w:rsidRPr="00574BE1" w:rsidR="006554C6">
        <w:t xml:space="preserve">, using the same methodology as it used to calculate the original forecasted revenue requirement. The advice letter shall describe its original calculation of the forecasted revenue requirement, as well as how it updated that calculation using the same </w:t>
      </w:r>
      <w:r w:rsidRPr="00A7264B" w:rsidR="006554C6">
        <w:t>methodology.</w:t>
      </w:r>
    </w:p>
    <w:p w:rsidRPr="00A7264B" w:rsidR="008A7AD1" w:rsidP="00D905D3" w:rsidRDefault="005F6644" w14:paraId="0C9191F9" w14:textId="019EFF5E">
      <w:pPr>
        <w:pStyle w:val="OP"/>
      </w:pPr>
      <w:r w:rsidRPr="00A7264B">
        <w:t>Following the recording of the actual revenue requirement in the G</w:t>
      </w:r>
      <w:r w:rsidRPr="00A7264B" w:rsidR="00413F5B">
        <w:t xml:space="preserve">as </w:t>
      </w:r>
      <w:r w:rsidRPr="00A7264B">
        <w:t>L</w:t>
      </w:r>
      <w:r w:rsidRPr="00A7264B" w:rsidR="00413F5B">
        <w:t xml:space="preserve">ine </w:t>
      </w:r>
      <w:r w:rsidRPr="00A7264B">
        <w:t>E</w:t>
      </w:r>
      <w:r w:rsidRPr="00A7264B" w:rsidR="00413F5B">
        <w:t xml:space="preserve">xtension </w:t>
      </w:r>
      <w:r w:rsidRPr="00A7264B">
        <w:t>A</w:t>
      </w:r>
      <w:r w:rsidRPr="00A7264B" w:rsidR="00413F5B">
        <w:t xml:space="preserve">llowance </w:t>
      </w:r>
      <w:r w:rsidRPr="00A7264B">
        <w:t>B</w:t>
      </w:r>
      <w:r w:rsidRPr="00A7264B" w:rsidR="00413F5B">
        <w:t xml:space="preserve">alancing </w:t>
      </w:r>
      <w:r w:rsidRPr="00A7264B">
        <w:t>A</w:t>
      </w:r>
      <w:r w:rsidRPr="00A7264B" w:rsidR="00413F5B">
        <w:t>ccount</w:t>
      </w:r>
      <w:r w:rsidRPr="00A7264B">
        <w:t>, So</w:t>
      </w:r>
      <w:r w:rsidRPr="00A7264B" w:rsidR="00413F5B">
        <w:t xml:space="preserve">uthern </w:t>
      </w:r>
      <w:r w:rsidRPr="00A7264B">
        <w:t>Cal</w:t>
      </w:r>
      <w:r w:rsidRPr="00A7264B" w:rsidR="00413F5B">
        <w:t xml:space="preserve">ifornia </w:t>
      </w:r>
      <w:r w:rsidRPr="00A7264B">
        <w:t xml:space="preserve">Gas </w:t>
      </w:r>
      <w:r w:rsidRPr="00A7264B" w:rsidR="00413F5B">
        <w:t xml:space="preserve">Company </w:t>
      </w:r>
      <w:r w:rsidRPr="00A7264B">
        <w:t xml:space="preserve">shall seek recovery via </w:t>
      </w:r>
      <w:r w:rsidRPr="00A7264B" w:rsidR="00574BE1">
        <w:t xml:space="preserve">an </w:t>
      </w:r>
      <w:r w:rsidRPr="00A7264B">
        <w:t xml:space="preserve">annual </w:t>
      </w:r>
      <w:r w:rsidRPr="00A7264B" w:rsidR="00574BE1">
        <w:t>Tier 2</w:t>
      </w:r>
      <w:r w:rsidRPr="00A7264B">
        <w:t xml:space="preserve"> advice letter filing using Commission-authorized cost allocation and revenue requirement methodologies applicable at the time of recovery, until the capital assets are included in </w:t>
      </w:r>
      <w:r w:rsidRPr="00A7264B" w:rsidR="00D155F5">
        <w:t>Southern California Gas Company’s</w:t>
      </w:r>
      <w:r w:rsidRPr="00A7264B">
        <w:t xml:space="preserve"> </w:t>
      </w:r>
      <w:r w:rsidRPr="00A7264B" w:rsidR="00413F5B">
        <w:t>next</w:t>
      </w:r>
      <w:r w:rsidRPr="00A7264B">
        <w:t xml:space="preserve"> </w:t>
      </w:r>
      <w:r w:rsidRPr="00A7264B" w:rsidR="00413F5B">
        <w:t>general rate case application</w:t>
      </w:r>
      <w:r w:rsidRPr="00A7264B">
        <w:t>.</w:t>
      </w:r>
      <w:r w:rsidRPr="00A7264B" w:rsidR="00D155F5">
        <w:t xml:space="preserve"> In its advice letter filing, Southern California Gas Company shall explain in detail any differences between the estimated and final revenue requirement, including any differences between the calculation of the customer’s estimated and actual revenue.</w:t>
      </w:r>
    </w:p>
    <w:p w:rsidR="00CC2392" w:rsidP="00B3087D" w:rsidRDefault="006D39EE" w14:paraId="292780E4" w14:textId="4892C4FD">
      <w:pPr>
        <w:pStyle w:val="OP"/>
      </w:pPr>
      <w:r>
        <w:t>All rulings made by the Administrative Law Judge and assigned Commissioner in this proceeding are affirmed.</w:t>
      </w:r>
    </w:p>
    <w:p w:rsidR="00CC2392" w:rsidP="00B3087D" w:rsidRDefault="00CC2392" w14:paraId="62E2B2A3" w14:textId="51D66683">
      <w:pPr>
        <w:pStyle w:val="OP"/>
      </w:pPr>
      <w:r>
        <w:lastRenderedPageBreak/>
        <w:t>All motions not ruled on are denied.</w:t>
      </w:r>
    </w:p>
    <w:p w:rsidR="00F6397D" w:rsidP="00B3087D" w:rsidRDefault="00E23CBB" w14:paraId="549BA651" w14:textId="45C648C6">
      <w:pPr>
        <w:pStyle w:val="OP"/>
      </w:pPr>
      <w:r w:rsidRPr="001E2A62">
        <w:t>Applicatio</w:t>
      </w:r>
      <w:r w:rsidR="00CC2392">
        <w:t>n</w:t>
      </w:r>
      <w:r w:rsidRPr="001E2A62">
        <w:t xml:space="preserve"> </w:t>
      </w:r>
      <w:r w:rsidR="00CC2392">
        <w:t>25-07-001</w:t>
      </w:r>
      <w:r w:rsidRPr="001E2A62">
        <w:t xml:space="preserve"> is closed.</w:t>
      </w:r>
    </w:p>
    <w:p w:rsidR="008F0116" w:rsidP="008F0116" w:rsidRDefault="008F0116" w14:paraId="72484618" w14:textId="77777777">
      <w:r>
        <w:t>This order is effective today.</w:t>
      </w:r>
    </w:p>
    <w:p w:rsidRPr="00714CF2" w:rsidR="00714CF2" w:rsidP="00816E05" w:rsidRDefault="008F0116" w14:paraId="59B5EA4C" w14:textId="12018C14">
      <w:r>
        <w:t xml:space="preserve">Dated </w:t>
      </w:r>
      <w:r>
        <w:rPr>
          <w:u w:val="single"/>
        </w:rPr>
        <w:tab/>
      </w:r>
      <w:r>
        <w:rPr>
          <w:u w:val="single"/>
        </w:rPr>
        <w:tab/>
      </w:r>
      <w:r>
        <w:rPr>
          <w:u w:val="single"/>
        </w:rPr>
        <w:tab/>
      </w:r>
      <w:r>
        <w:rPr>
          <w:u w:val="single"/>
        </w:rPr>
        <w:tab/>
      </w:r>
      <w:r>
        <w:rPr>
          <w:u w:val="single"/>
        </w:rPr>
        <w:tab/>
      </w:r>
      <w:r>
        <w:t>, at S</w:t>
      </w:r>
      <w:r w:rsidR="00017C64">
        <w:t>a</w:t>
      </w:r>
      <w:r w:rsidR="0093058A">
        <w:t>n Francisco</w:t>
      </w:r>
      <w:r>
        <w:t>, California</w:t>
      </w:r>
    </w:p>
    <w:sectPr w:rsidRPr="00714CF2" w:rsidR="00714CF2" w:rsidSect="00C500AB">
      <w:headerReference w:type="default" r:id="rId19"/>
      <w:footerReference w:type="default" r:id="rId20"/>
      <w:pgSz w:w="12240" w:h="15840"/>
      <w:pgMar w:top="1728" w:right="1440" w:bottom="1440" w:left="1440" w:header="720" w:footer="720" w:gutter="0"/>
      <w:pgNumType w:start="2"/>
      <w:cols w:space="720"/>
      <w:docGrid w:linePitch="360"/>
    </w:sectPr>
    <w:p>
      <w:r>
        <w:t xml:space="preserve"/>
      </w:r>
    </w:p>
    <w:p>
      <w:r>
        <w:t xml:space="preserve">Attachment 1: </w:t>
      </w:r>
    </w:p>
    <w:p>
      <w:hyperlink w:history="true" r:id="R42d71a5ac478431e">
        <w:r w:rsidRPr="00CB1292">
          <w:rPr>
            <w:rStyle w:val="Hyperlink"/>
            <w:color w:val="2E74B5" w:themeColor="accent1" w:themeShade="BF"/>
            <w:u w:val="single"/>
          </w:rPr>
          <w:t>REDLINE A.25-07-001 GRANTING APPLICATION IN PART PD SCD 10-29 Agenda COM.pdf</w:t>
        </w:r>
      </w:hyperlink>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681F47" w14:textId="77777777" w:rsidR="0068006C" w:rsidRDefault="0068006C" w:rsidP="0098138E">
      <w:pPr>
        <w:spacing w:line="240" w:lineRule="auto"/>
      </w:pPr>
      <w:r>
        <w:separator/>
      </w:r>
    </w:p>
  </w:endnote>
  <w:endnote w:type="continuationSeparator" w:id="0">
    <w:p w14:paraId="5C6DB881" w14:textId="77777777" w:rsidR="0068006C" w:rsidRDefault="0068006C" w:rsidP="0098138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C1269" w14:textId="77777777" w:rsidR="000E4A71" w:rsidRDefault="000E4A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D9D05" w14:textId="77777777" w:rsidR="000E4A71" w:rsidRDefault="000E4A7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4B55E" w14:textId="65ECD530" w:rsidR="00CC3357" w:rsidRPr="00CC3357" w:rsidRDefault="00000000" w:rsidP="00CC3357">
    <w:pPr>
      <w:tabs>
        <w:tab w:val="center" w:pos="4680"/>
      </w:tabs>
      <w:ind w:firstLine="0"/>
      <w:rPr>
        <w:noProof/>
      </w:rPr>
    </w:pPr>
    <w:sdt>
      <w:sdtPr>
        <w:id w:val="-1199779674"/>
        <w:docPartObj>
          <w:docPartGallery w:val="Page Numbers (Bottom of Page)"/>
          <w:docPartUnique/>
        </w:docPartObj>
      </w:sdtPr>
      <w:sdtEndPr>
        <w:rPr>
          <w:noProof/>
        </w:rPr>
      </w:sdtEndPr>
      <w:sdtContent>
        <w:r w:rsidR="00865916" w:rsidRPr="00580BEF">
          <w:rPr>
            <w:sz w:val="16"/>
            <w:szCs w:val="16"/>
          </w:rPr>
          <w:t>626476315</w:t>
        </w:r>
        <w:r w:rsidR="00865916" w:rsidRPr="00580BEF" w:rsidDel="00865916">
          <w:rPr>
            <w:sz w:val="16"/>
            <w:szCs w:val="16"/>
          </w:rPr>
          <w:t xml:space="preserve"> </w:t>
        </w:r>
        <w:r w:rsidR="00CC3357">
          <w:rPr>
            <w:rFonts w:ascii="Arial" w:hAnsi="Arial" w:cs="Arial"/>
            <w:sz w:val="16"/>
            <w:szCs w:val="16"/>
          </w:rPr>
          <w:tab/>
        </w:r>
        <w:r w:rsidR="00CC3357">
          <w:t xml:space="preserve"> </w:t>
        </w:r>
        <w:r w:rsidR="00CC3357">
          <w:fldChar w:fldCharType="begin"/>
        </w:r>
        <w:r w:rsidR="00CC3357">
          <w:instrText xml:space="preserve"> PAGE   \* MERGEFORMAT </w:instrText>
        </w:r>
        <w:r w:rsidR="00CC3357">
          <w:fldChar w:fldCharType="separate"/>
        </w:r>
        <w:r w:rsidR="00CC3357">
          <w:t>1</w:t>
        </w:r>
        <w:r w:rsidR="00CC3357">
          <w:rPr>
            <w:noProof/>
          </w:rPr>
          <w:fldChar w:fldCharType="end"/>
        </w:r>
      </w:sdtContent>
    </w:sdt>
    <w:r w:rsidR="00CC3357">
      <w:rPr>
        <w:noProof/>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71FA2" w14:textId="77777777" w:rsidR="00E23CBB" w:rsidRDefault="00E23CBB" w:rsidP="007E0FEE">
    <w:pPr>
      <w:ind w:firstLine="0"/>
      <w:jc w:val="center"/>
    </w:pPr>
    <w:r>
      <w:t>-</w:t>
    </w:r>
    <w:r w:rsidR="00EE4315">
      <w:t xml:space="preserve"> </w:t>
    </w:r>
    <w:sdt>
      <w:sdtPr>
        <w:id w:val="1793169647"/>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r w:rsidR="00EE4315">
          <w:rPr>
            <w:noProof/>
          </w:rPr>
          <w:t xml:space="preserve"> </w:t>
        </w:r>
        <w:r>
          <w:rPr>
            <w:noProof/>
          </w:rPr>
          <w:t>-</w:t>
        </w: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B2D2A" w14:textId="77777777" w:rsidR="00E23CBB" w:rsidRDefault="00E23CBB" w:rsidP="007E0FEE">
    <w:pPr>
      <w:ind w:firstLine="0"/>
      <w:jc w:val="center"/>
    </w:pPr>
    <w:r>
      <w:t>-</w:t>
    </w:r>
    <w:sdt>
      <w:sdtPr>
        <w:id w:val="-1034043401"/>
        <w:docPartObj>
          <w:docPartGallery w:val="Page Numbers (Bottom of Page)"/>
          <w:docPartUnique/>
        </w:docPartObj>
      </w:sdtPr>
      <w:sdtEndPr>
        <w:rPr>
          <w:noProof/>
        </w:rPr>
      </w:sdtEndPr>
      <w:sdtContent>
        <w:r w:rsidR="00EE4315">
          <w:t xml:space="preserve"> </w:t>
        </w:r>
        <w:r>
          <w:fldChar w:fldCharType="begin"/>
        </w:r>
        <w:r>
          <w:instrText xml:space="preserve"> PAGE   \* MERGEFORMAT </w:instrText>
        </w:r>
        <w:r>
          <w:fldChar w:fldCharType="separate"/>
        </w:r>
        <w:r>
          <w:rPr>
            <w:noProof/>
          </w:rPr>
          <w:t>2</w:t>
        </w:r>
        <w:r>
          <w:rPr>
            <w:noProof/>
          </w:rPr>
          <w:fldChar w:fldCharType="end"/>
        </w:r>
        <w:r w:rsidR="00EE4315">
          <w:rPr>
            <w:noProof/>
          </w:rPr>
          <w:t xml:space="preserve"> </w:t>
        </w:r>
        <w:r>
          <w:rPr>
            <w:noProof/>
          </w:rPr>
          <w:t>-</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67E364" w14:textId="77777777" w:rsidR="0068006C" w:rsidRDefault="0068006C" w:rsidP="00DF58E7">
      <w:pPr>
        <w:spacing w:line="240" w:lineRule="auto"/>
        <w:ind w:firstLine="0"/>
      </w:pPr>
      <w:r>
        <w:separator/>
      </w:r>
    </w:p>
  </w:footnote>
  <w:footnote w:type="continuationSeparator" w:id="0">
    <w:p w14:paraId="6E01E663" w14:textId="77777777" w:rsidR="0068006C" w:rsidRDefault="0068006C" w:rsidP="00DF58E7">
      <w:pPr>
        <w:spacing w:line="240" w:lineRule="auto"/>
        <w:ind w:firstLine="0"/>
      </w:pPr>
      <w:r>
        <w:continuationSeparator/>
      </w:r>
    </w:p>
  </w:footnote>
  <w:footnote w:type="continuationNotice" w:id="1">
    <w:p w14:paraId="769E7306" w14:textId="77777777" w:rsidR="0068006C" w:rsidRPr="00DF58E7" w:rsidRDefault="0068006C" w:rsidP="00DF58E7">
      <w:pPr>
        <w:spacing w:line="240" w:lineRule="auto"/>
        <w:ind w:firstLine="0"/>
        <w:jc w:val="right"/>
        <w:rPr>
          <w:i/>
          <w:sz w:val="22"/>
        </w:rPr>
      </w:pPr>
      <w:r w:rsidRPr="00DF58E7">
        <w:rPr>
          <w:i/>
          <w:sz w:val="22"/>
        </w:rPr>
        <w:t>Footnote continued on next page.</w:t>
      </w:r>
    </w:p>
  </w:footnote>
  <w:footnote w:id="2">
    <w:p w14:paraId="5D4EA2E8" w14:textId="531AAFF0" w:rsidR="003D5DD2" w:rsidRPr="0025268E" w:rsidRDefault="003D5DD2" w:rsidP="0025268E">
      <w:pPr>
        <w:pStyle w:val="FootnoteText"/>
        <w:rPr>
          <w:szCs w:val="22"/>
        </w:rPr>
      </w:pPr>
      <w:r w:rsidRPr="0025268E">
        <w:rPr>
          <w:rStyle w:val="FootnoteReference"/>
          <w:szCs w:val="22"/>
        </w:rPr>
        <w:footnoteRef/>
      </w:r>
      <w:r w:rsidRPr="0025268E">
        <w:rPr>
          <w:szCs w:val="22"/>
        </w:rPr>
        <w:t xml:space="preserve"> </w:t>
      </w:r>
      <w:r w:rsidR="00435FD0" w:rsidRPr="0025268E">
        <w:rPr>
          <w:szCs w:val="22"/>
        </w:rPr>
        <w:t>D.22-09-026 at 56.</w:t>
      </w:r>
    </w:p>
  </w:footnote>
  <w:footnote w:id="3">
    <w:p w14:paraId="581EF10E" w14:textId="2CAEC1D9" w:rsidR="00234102" w:rsidRDefault="00234102">
      <w:pPr>
        <w:pStyle w:val="FootnoteText"/>
      </w:pPr>
      <w:r>
        <w:rPr>
          <w:rStyle w:val="FootnoteReference"/>
        </w:rPr>
        <w:footnoteRef/>
      </w:r>
      <w:r>
        <w:t xml:space="preserve"> </w:t>
      </w:r>
      <w:r w:rsidR="00F54C09">
        <w:t xml:space="preserve">SoCalGas Exhibit </w:t>
      </w:r>
      <w:r w:rsidR="004B7A9F">
        <w:t>SCG-04 at JM-1; SoCalGas Exhibit SCG</w:t>
      </w:r>
      <w:r w:rsidR="001B2A52">
        <w:t xml:space="preserve">-02S at </w:t>
      </w:r>
      <w:r w:rsidR="0044422C">
        <w:t>JL-1-JL-2</w:t>
      </w:r>
      <w:r w:rsidR="008A2BE9">
        <w:t>; Reply Comments of SoCalGas on Proposed Decision Granting Application in Part and Denying Application in Part</w:t>
      </w:r>
      <w:r w:rsidR="00BF1007">
        <w:t xml:space="preserve"> at 1</w:t>
      </w:r>
      <w:r w:rsidR="0044422C">
        <w:t>.</w:t>
      </w:r>
    </w:p>
  </w:footnote>
  <w:footnote w:id="4">
    <w:p w14:paraId="55605CDE" w14:textId="460D05BC" w:rsidR="00324601" w:rsidRPr="0025268E" w:rsidRDefault="00324601" w:rsidP="0025268E">
      <w:pPr>
        <w:pStyle w:val="FootnoteText"/>
        <w:rPr>
          <w:szCs w:val="22"/>
        </w:rPr>
      </w:pPr>
      <w:r w:rsidRPr="0025268E">
        <w:rPr>
          <w:rStyle w:val="FootnoteReference"/>
          <w:szCs w:val="22"/>
        </w:rPr>
        <w:footnoteRef/>
      </w:r>
      <w:r w:rsidRPr="0025268E">
        <w:rPr>
          <w:szCs w:val="22"/>
        </w:rPr>
        <w:t xml:space="preserve"> </w:t>
      </w:r>
      <w:r w:rsidR="0093019C" w:rsidRPr="0025268E">
        <w:rPr>
          <w:szCs w:val="22"/>
        </w:rPr>
        <w:t>S</w:t>
      </w:r>
      <w:r w:rsidR="00B62554" w:rsidRPr="0025268E">
        <w:rPr>
          <w:szCs w:val="22"/>
        </w:rPr>
        <w:t>oCalGas</w:t>
      </w:r>
      <w:r w:rsidR="00E6791F" w:rsidRPr="0025268E">
        <w:rPr>
          <w:szCs w:val="22"/>
        </w:rPr>
        <w:t xml:space="preserve"> Exhibit SCG-02</w:t>
      </w:r>
      <w:r w:rsidR="00CC0F56" w:rsidRPr="0025268E">
        <w:rPr>
          <w:szCs w:val="22"/>
        </w:rPr>
        <w:t xml:space="preserve"> at JL-2.</w:t>
      </w:r>
    </w:p>
  </w:footnote>
  <w:footnote w:id="5">
    <w:p w14:paraId="0C4A2ADE" w14:textId="775186A2" w:rsidR="00261BF9" w:rsidRPr="0025268E" w:rsidRDefault="00261BF9" w:rsidP="0025268E">
      <w:pPr>
        <w:pStyle w:val="FootnoteText"/>
        <w:rPr>
          <w:szCs w:val="22"/>
        </w:rPr>
      </w:pPr>
      <w:r w:rsidRPr="0025268E">
        <w:rPr>
          <w:rStyle w:val="FootnoteReference"/>
          <w:szCs w:val="22"/>
        </w:rPr>
        <w:footnoteRef/>
      </w:r>
      <w:r w:rsidRPr="0025268E">
        <w:rPr>
          <w:szCs w:val="22"/>
        </w:rPr>
        <w:t xml:space="preserve"> The LCF</w:t>
      </w:r>
      <w:r w:rsidR="008B4017">
        <w:rPr>
          <w:szCs w:val="22"/>
        </w:rPr>
        <w:t>S</w:t>
      </w:r>
      <w:r w:rsidRPr="0025268E">
        <w:rPr>
          <w:szCs w:val="22"/>
        </w:rPr>
        <w:t xml:space="preserve"> is one of California’s key programs identified in the Assembly Bill 32 Scoping Plan to reduce GHG emissions and is designed to decrease the carbon intensity of California’s transportation fuel pool. The LCFS operates by assessing the GHG emissions associated with the production, transportation, and use of a given fuel over its lifetime. The carbon intensity scores for each fuel are compared to a benchmark that declines each year; low carbon fuels below the benchmark generate credits, higher intensity fuels generate deficits. (</w:t>
      </w:r>
      <w:r w:rsidR="00B5462B" w:rsidRPr="00B5462B">
        <w:rPr>
          <w:i/>
          <w:iCs/>
          <w:szCs w:val="22"/>
        </w:rPr>
        <w:t>See</w:t>
      </w:r>
      <w:r w:rsidRPr="0025268E">
        <w:rPr>
          <w:szCs w:val="22"/>
        </w:rPr>
        <w:t xml:space="preserve"> California Air Resources Board, </w:t>
      </w:r>
      <w:r w:rsidRPr="0025268E">
        <w:rPr>
          <w:i/>
          <w:iCs/>
          <w:szCs w:val="22"/>
        </w:rPr>
        <w:t>Low Carbon Fuel Standard</w:t>
      </w:r>
      <w:r w:rsidRPr="0025268E">
        <w:rPr>
          <w:szCs w:val="22"/>
        </w:rPr>
        <w:t xml:space="preserve">, </w:t>
      </w:r>
      <w:r w:rsidRPr="0025268E">
        <w:rPr>
          <w:i/>
          <w:iCs/>
          <w:szCs w:val="22"/>
        </w:rPr>
        <w:t>available at</w:t>
      </w:r>
      <w:r w:rsidRPr="0025268E">
        <w:rPr>
          <w:szCs w:val="22"/>
        </w:rPr>
        <w:t xml:space="preserve"> </w:t>
      </w:r>
      <w:hyperlink r:id="rId1" w:history="1">
        <w:r w:rsidRPr="0025268E">
          <w:rPr>
            <w:rStyle w:val="Hyperlink"/>
            <w:szCs w:val="22"/>
          </w:rPr>
          <w:t>https://ww2.arb.ca.gov/our-work/programs/low-carbon-fuel-standard/about</w:t>
        </w:r>
      </w:hyperlink>
      <w:r w:rsidRPr="0025268E">
        <w:rPr>
          <w:szCs w:val="22"/>
        </w:rPr>
        <w:t xml:space="preserve">; </w:t>
      </w:r>
      <w:r w:rsidR="00B5462B" w:rsidRPr="00B5462B">
        <w:rPr>
          <w:i/>
          <w:iCs/>
          <w:szCs w:val="22"/>
        </w:rPr>
        <w:t>See</w:t>
      </w:r>
      <w:r w:rsidRPr="0025268E">
        <w:rPr>
          <w:szCs w:val="22"/>
        </w:rPr>
        <w:t xml:space="preserve"> also Cal. Code Regs., tit. 17 § 95486.1.)</w:t>
      </w:r>
    </w:p>
  </w:footnote>
  <w:footnote w:id="6">
    <w:p w14:paraId="11C5C91A" w14:textId="24F211E7" w:rsidR="007B1F0C" w:rsidRPr="0025268E" w:rsidRDefault="007B1F0C" w:rsidP="0025268E">
      <w:pPr>
        <w:pStyle w:val="FootnoteText"/>
        <w:rPr>
          <w:szCs w:val="22"/>
        </w:rPr>
      </w:pPr>
      <w:r w:rsidRPr="0025268E">
        <w:rPr>
          <w:rStyle w:val="FootnoteReference"/>
          <w:szCs w:val="22"/>
        </w:rPr>
        <w:footnoteRef/>
      </w:r>
      <w:r w:rsidRPr="0025268E">
        <w:rPr>
          <w:szCs w:val="22"/>
        </w:rPr>
        <w:t xml:space="preserve"> </w:t>
      </w:r>
      <w:r w:rsidR="00603976" w:rsidRPr="0025268E">
        <w:rPr>
          <w:szCs w:val="22"/>
        </w:rPr>
        <w:t>SoCalGas Exhibit SCG-02</w:t>
      </w:r>
      <w:r w:rsidRPr="0025268E">
        <w:rPr>
          <w:szCs w:val="22"/>
        </w:rPr>
        <w:t xml:space="preserve"> at JL-4.</w:t>
      </w:r>
    </w:p>
  </w:footnote>
  <w:footnote w:id="7">
    <w:p w14:paraId="55E66AB7" w14:textId="1740A077" w:rsidR="00F24AE4" w:rsidRPr="0025268E" w:rsidRDefault="00F24AE4" w:rsidP="0025268E">
      <w:pPr>
        <w:pStyle w:val="FootnoteText"/>
        <w:rPr>
          <w:szCs w:val="22"/>
        </w:rPr>
      </w:pPr>
      <w:r w:rsidRPr="0025268E">
        <w:rPr>
          <w:rStyle w:val="FootnoteReference"/>
          <w:szCs w:val="22"/>
        </w:rPr>
        <w:footnoteRef/>
      </w:r>
      <w:r w:rsidRPr="0025268E">
        <w:rPr>
          <w:szCs w:val="22"/>
        </w:rPr>
        <w:t xml:space="preserve"> Cal Advocates Exhibit</w:t>
      </w:r>
      <w:r w:rsidR="00081424" w:rsidRPr="0025268E">
        <w:rPr>
          <w:szCs w:val="22"/>
        </w:rPr>
        <w:t xml:space="preserve"> CalAdv-01 at </w:t>
      </w:r>
      <w:r w:rsidR="00C11EF0" w:rsidRPr="0025268E">
        <w:rPr>
          <w:szCs w:val="22"/>
        </w:rPr>
        <w:t>1-3-1-4.</w:t>
      </w:r>
    </w:p>
  </w:footnote>
  <w:footnote w:id="8">
    <w:p w14:paraId="6BEB7867" w14:textId="5EC18063" w:rsidR="00BC52CA" w:rsidRPr="0025268E" w:rsidRDefault="00BC52CA" w:rsidP="0025268E">
      <w:pPr>
        <w:pStyle w:val="FootnoteText"/>
        <w:rPr>
          <w:szCs w:val="22"/>
        </w:rPr>
      </w:pPr>
      <w:r w:rsidRPr="0025268E">
        <w:rPr>
          <w:rStyle w:val="FootnoteReference"/>
          <w:szCs w:val="22"/>
        </w:rPr>
        <w:footnoteRef/>
      </w:r>
      <w:r w:rsidRPr="0025268E">
        <w:rPr>
          <w:szCs w:val="22"/>
        </w:rPr>
        <w:t xml:space="preserve"> </w:t>
      </w:r>
      <w:r w:rsidRPr="0025268E">
        <w:rPr>
          <w:i/>
          <w:iCs/>
          <w:szCs w:val="22"/>
        </w:rPr>
        <w:t>Id</w:t>
      </w:r>
      <w:r w:rsidRPr="0025268E">
        <w:rPr>
          <w:szCs w:val="22"/>
        </w:rPr>
        <w:t>. at 1-4</w:t>
      </w:r>
      <w:r w:rsidR="006E5B1D" w:rsidRPr="0025268E">
        <w:rPr>
          <w:szCs w:val="22"/>
        </w:rPr>
        <w:t>.</w:t>
      </w:r>
    </w:p>
  </w:footnote>
  <w:footnote w:id="9">
    <w:p w14:paraId="7F90F78A" w14:textId="646BB50B" w:rsidR="003174E6" w:rsidRPr="0025268E" w:rsidRDefault="003174E6" w:rsidP="0025268E">
      <w:pPr>
        <w:pStyle w:val="FootnoteText"/>
        <w:rPr>
          <w:szCs w:val="22"/>
        </w:rPr>
      </w:pPr>
      <w:r w:rsidRPr="0025268E">
        <w:rPr>
          <w:rStyle w:val="FootnoteReference"/>
          <w:szCs w:val="22"/>
        </w:rPr>
        <w:footnoteRef/>
      </w:r>
      <w:r w:rsidRPr="0025268E">
        <w:rPr>
          <w:szCs w:val="22"/>
        </w:rPr>
        <w:t xml:space="preserve"> </w:t>
      </w:r>
      <w:r w:rsidRPr="0025268E">
        <w:rPr>
          <w:i/>
          <w:iCs/>
          <w:szCs w:val="22"/>
        </w:rPr>
        <w:t>Ibid</w:t>
      </w:r>
      <w:r w:rsidRPr="0025268E">
        <w:rPr>
          <w:szCs w:val="22"/>
        </w:rPr>
        <w:t>.</w:t>
      </w:r>
    </w:p>
  </w:footnote>
  <w:footnote w:id="10">
    <w:p w14:paraId="39929D0B" w14:textId="430FD16A" w:rsidR="00122BA8" w:rsidRPr="0025268E" w:rsidRDefault="00122BA8" w:rsidP="0025268E">
      <w:pPr>
        <w:pStyle w:val="FootnoteText"/>
        <w:rPr>
          <w:szCs w:val="22"/>
        </w:rPr>
      </w:pPr>
      <w:r w:rsidRPr="0025268E">
        <w:rPr>
          <w:rStyle w:val="FootnoteReference"/>
          <w:szCs w:val="22"/>
        </w:rPr>
        <w:footnoteRef/>
      </w:r>
      <w:r w:rsidRPr="0025268E">
        <w:rPr>
          <w:szCs w:val="22"/>
        </w:rPr>
        <w:t xml:space="preserve"> </w:t>
      </w:r>
      <w:r w:rsidRPr="0025268E">
        <w:rPr>
          <w:i/>
          <w:iCs/>
          <w:szCs w:val="22"/>
        </w:rPr>
        <w:t>Id</w:t>
      </w:r>
      <w:r w:rsidRPr="0025268E">
        <w:rPr>
          <w:szCs w:val="22"/>
        </w:rPr>
        <w:t>. at 1-4-1-5.</w:t>
      </w:r>
    </w:p>
  </w:footnote>
  <w:footnote w:id="11">
    <w:p w14:paraId="69FF5129" w14:textId="4DC49F01" w:rsidR="00122BA8" w:rsidRPr="0025268E" w:rsidRDefault="00122BA8" w:rsidP="0025268E">
      <w:pPr>
        <w:pStyle w:val="FootnoteText"/>
        <w:rPr>
          <w:szCs w:val="22"/>
        </w:rPr>
      </w:pPr>
      <w:r w:rsidRPr="0025268E">
        <w:rPr>
          <w:rStyle w:val="FootnoteReference"/>
          <w:szCs w:val="22"/>
        </w:rPr>
        <w:footnoteRef/>
      </w:r>
      <w:r w:rsidRPr="0025268E">
        <w:rPr>
          <w:szCs w:val="22"/>
        </w:rPr>
        <w:t xml:space="preserve"> </w:t>
      </w:r>
      <w:r w:rsidRPr="0025268E">
        <w:rPr>
          <w:i/>
          <w:iCs/>
          <w:szCs w:val="22"/>
        </w:rPr>
        <w:t>Id</w:t>
      </w:r>
      <w:r w:rsidRPr="0025268E">
        <w:rPr>
          <w:szCs w:val="22"/>
        </w:rPr>
        <w:t>. at 1-5.</w:t>
      </w:r>
    </w:p>
  </w:footnote>
  <w:footnote w:id="12">
    <w:p w14:paraId="01248D20" w14:textId="001773A7" w:rsidR="0046576C" w:rsidRPr="0025268E" w:rsidRDefault="0046576C" w:rsidP="0025268E">
      <w:pPr>
        <w:pStyle w:val="FootnoteText"/>
        <w:rPr>
          <w:szCs w:val="22"/>
        </w:rPr>
      </w:pPr>
      <w:r w:rsidRPr="0025268E">
        <w:rPr>
          <w:rStyle w:val="FootnoteReference"/>
          <w:szCs w:val="22"/>
        </w:rPr>
        <w:footnoteRef/>
      </w:r>
      <w:r w:rsidRPr="0025268E">
        <w:rPr>
          <w:szCs w:val="22"/>
        </w:rPr>
        <w:t xml:space="preserve"> </w:t>
      </w:r>
      <w:r w:rsidR="00B5462B" w:rsidRPr="00B5462B">
        <w:rPr>
          <w:i/>
          <w:iCs/>
          <w:szCs w:val="22"/>
        </w:rPr>
        <w:t>See</w:t>
      </w:r>
      <w:r w:rsidR="00CA675A" w:rsidRPr="0025268E">
        <w:rPr>
          <w:szCs w:val="22"/>
        </w:rPr>
        <w:t xml:space="preserve"> Cal Advocates Opening Brief at 9 (citing SoCa</w:t>
      </w:r>
      <w:r w:rsidR="0008112E">
        <w:rPr>
          <w:szCs w:val="22"/>
        </w:rPr>
        <w:t>l</w:t>
      </w:r>
      <w:r w:rsidR="00CA675A" w:rsidRPr="0025268E">
        <w:rPr>
          <w:szCs w:val="22"/>
        </w:rPr>
        <w:t xml:space="preserve">Gas Exhibit SCG-05 at JL-110); Sierra Club Reply Brief at </w:t>
      </w:r>
      <w:r w:rsidR="00D709B2" w:rsidRPr="0025268E">
        <w:rPr>
          <w:szCs w:val="22"/>
        </w:rPr>
        <w:t>5.</w:t>
      </w:r>
    </w:p>
  </w:footnote>
  <w:footnote w:id="13">
    <w:p w14:paraId="062710FF" w14:textId="74B883A1" w:rsidR="0034405F" w:rsidRPr="0025268E" w:rsidRDefault="0034405F" w:rsidP="0025268E">
      <w:pPr>
        <w:pStyle w:val="FootnoteText"/>
        <w:rPr>
          <w:szCs w:val="22"/>
        </w:rPr>
      </w:pPr>
      <w:r w:rsidRPr="0025268E">
        <w:rPr>
          <w:rStyle w:val="FootnoteReference"/>
          <w:szCs w:val="22"/>
        </w:rPr>
        <w:footnoteRef/>
      </w:r>
      <w:r w:rsidRPr="0025268E">
        <w:rPr>
          <w:szCs w:val="22"/>
        </w:rPr>
        <w:t xml:space="preserve"> </w:t>
      </w:r>
      <w:r w:rsidR="00060F95" w:rsidRPr="0025268E">
        <w:rPr>
          <w:szCs w:val="22"/>
        </w:rPr>
        <w:t>Cal Advocates Exhibit CalAdv-01 at 1-4.</w:t>
      </w:r>
    </w:p>
  </w:footnote>
  <w:footnote w:id="14">
    <w:p w14:paraId="5965018F" w14:textId="747689BC" w:rsidR="00F57A48" w:rsidRPr="0025268E" w:rsidRDefault="00F57A48" w:rsidP="0025268E">
      <w:pPr>
        <w:pStyle w:val="FootnoteText"/>
        <w:rPr>
          <w:szCs w:val="22"/>
        </w:rPr>
      </w:pPr>
      <w:r w:rsidRPr="0025268E">
        <w:rPr>
          <w:rStyle w:val="FootnoteReference"/>
          <w:szCs w:val="22"/>
        </w:rPr>
        <w:footnoteRef/>
      </w:r>
      <w:r w:rsidRPr="0025268E">
        <w:rPr>
          <w:szCs w:val="22"/>
        </w:rPr>
        <w:t xml:space="preserve"> </w:t>
      </w:r>
      <w:r w:rsidR="00652443" w:rsidRPr="0025268E">
        <w:rPr>
          <w:szCs w:val="22"/>
        </w:rPr>
        <w:t>SoCalGas Exhibit SCG-02</w:t>
      </w:r>
      <w:r w:rsidR="00F63DA1" w:rsidRPr="0025268E">
        <w:rPr>
          <w:szCs w:val="22"/>
        </w:rPr>
        <w:t xml:space="preserve"> at JL-16-JL-18.</w:t>
      </w:r>
    </w:p>
  </w:footnote>
  <w:footnote w:id="15">
    <w:p w14:paraId="66F8B02A" w14:textId="6DFB05C9" w:rsidR="00B1202E" w:rsidRPr="0025268E" w:rsidRDefault="00B1202E" w:rsidP="0025268E">
      <w:pPr>
        <w:pStyle w:val="FootnoteText"/>
        <w:rPr>
          <w:szCs w:val="22"/>
        </w:rPr>
      </w:pPr>
      <w:r w:rsidRPr="0025268E">
        <w:rPr>
          <w:rStyle w:val="FootnoteReference"/>
          <w:szCs w:val="22"/>
        </w:rPr>
        <w:footnoteRef/>
      </w:r>
      <w:r w:rsidRPr="0025268E">
        <w:rPr>
          <w:szCs w:val="22"/>
        </w:rPr>
        <w:t xml:space="preserve"> </w:t>
      </w:r>
      <w:r w:rsidRPr="0025268E">
        <w:rPr>
          <w:i/>
          <w:iCs/>
          <w:szCs w:val="22"/>
        </w:rPr>
        <w:t>Id</w:t>
      </w:r>
      <w:r w:rsidRPr="0025268E">
        <w:rPr>
          <w:szCs w:val="22"/>
        </w:rPr>
        <w:t xml:space="preserve">. at </w:t>
      </w:r>
      <w:r w:rsidR="00A73795" w:rsidRPr="0025268E">
        <w:rPr>
          <w:szCs w:val="22"/>
        </w:rPr>
        <w:t>JL-4; So</w:t>
      </w:r>
      <w:r w:rsidR="002A0E1B" w:rsidRPr="0025268E">
        <w:rPr>
          <w:szCs w:val="22"/>
        </w:rPr>
        <w:t xml:space="preserve">CalGas Exhibit SCG-05 at JL-9; </w:t>
      </w:r>
      <w:r w:rsidR="0008112E">
        <w:rPr>
          <w:i/>
          <w:iCs/>
          <w:szCs w:val="22"/>
        </w:rPr>
        <w:t>s</w:t>
      </w:r>
      <w:r w:rsidR="00B5462B" w:rsidRPr="00B5462B">
        <w:rPr>
          <w:i/>
          <w:iCs/>
          <w:szCs w:val="22"/>
        </w:rPr>
        <w:t>ee</w:t>
      </w:r>
      <w:r w:rsidR="002A0E1B" w:rsidRPr="0025268E">
        <w:rPr>
          <w:szCs w:val="22"/>
        </w:rPr>
        <w:t xml:space="preserve"> also</w:t>
      </w:r>
      <w:r w:rsidR="001E6656" w:rsidRPr="0025268E">
        <w:rPr>
          <w:szCs w:val="22"/>
        </w:rPr>
        <w:t xml:space="preserve"> E</w:t>
      </w:r>
      <w:r w:rsidR="00F77726" w:rsidRPr="0025268E">
        <w:rPr>
          <w:szCs w:val="22"/>
        </w:rPr>
        <w:t xml:space="preserve">xecutive </w:t>
      </w:r>
      <w:r w:rsidR="001E6656" w:rsidRPr="0025268E">
        <w:rPr>
          <w:szCs w:val="22"/>
        </w:rPr>
        <w:t>O</w:t>
      </w:r>
      <w:r w:rsidR="00F77726" w:rsidRPr="0025268E">
        <w:rPr>
          <w:szCs w:val="22"/>
        </w:rPr>
        <w:t>rder (EO)</w:t>
      </w:r>
      <w:r w:rsidR="001E6656" w:rsidRPr="0025268E">
        <w:rPr>
          <w:szCs w:val="22"/>
        </w:rPr>
        <w:t xml:space="preserve"> N-79-20 at 2; EO N-27-25 at</w:t>
      </w:r>
      <w:r w:rsidR="009B7039" w:rsidRPr="0025268E">
        <w:rPr>
          <w:szCs w:val="22"/>
        </w:rPr>
        <w:t xml:space="preserve"> 2.</w:t>
      </w:r>
    </w:p>
  </w:footnote>
  <w:footnote w:id="16">
    <w:p w14:paraId="31F6D10C" w14:textId="08BE5EC4" w:rsidR="006F4434" w:rsidRPr="0025268E" w:rsidRDefault="006F4434" w:rsidP="0025268E">
      <w:pPr>
        <w:pStyle w:val="FootnoteText"/>
        <w:rPr>
          <w:szCs w:val="22"/>
        </w:rPr>
      </w:pPr>
      <w:r w:rsidRPr="0025268E">
        <w:rPr>
          <w:rStyle w:val="FootnoteReference"/>
          <w:szCs w:val="22"/>
        </w:rPr>
        <w:footnoteRef/>
      </w:r>
      <w:r w:rsidRPr="0025268E">
        <w:rPr>
          <w:szCs w:val="22"/>
        </w:rPr>
        <w:t xml:space="preserve"> </w:t>
      </w:r>
      <w:r w:rsidR="00C41A64" w:rsidRPr="0025268E">
        <w:rPr>
          <w:szCs w:val="22"/>
        </w:rPr>
        <w:t>SoCalGas Exhibit SCG-02 at JL-5.</w:t>
      </w:r>
    </w:p>
  </w:footnote>
  <w:footnote w:id="17">
    <w:p w14:paraId="5400D8BC" w14:textId="0F112B7F" w:rsidR="00EF0E49" w:rsidRPr="0025268E" w:rsidRDefault="00EF0E49" w:rsidP="0025268E">
      <w:pPr>
        <w:pStyle w:val="FootnoteText"/>
        <w:rPr>
          <w:szCs w:val="22"/>
        </w:rPr>
      </w:pPr>
      <w:r w:rsidRPr="0025268E">
        <w:rPr>
          <w:rStyle w:val="FootnoteReference"/>
          <w:szCs w:val="22"/>
        </w:rPr>
        <w:footnoteRef/>
      </w:r>
      <w:r w:rsidRPr="0025268E">
        <w:rPr>
          <w:szCs w:val="22"/>
        </w:rPr>
        <w:t xml:space="preserve"> </w:t>
      </w:r>
      <w:r w:rsidRPr="0025268E">
        <w:rPr>
          <w:i/>
          <w:iCs/>
          <w:szCs w:val="22"/>
        </w:rPr>
        <w:t>I</w:t>
      </w:r>
      <w:r w:rsidR="005C5349" w:rsidRPr="0025268E">
        <w:rPr>
          <w:i/>
          <w:iCs/>
          <w:szCs w:val="22"/>
        </w:rPr>
        <w:t>bid</w:t>
      </w:r>
      <w:r w:rsidR="005C5349" w:rsidRPr="0025268E">
        <w:rPr>
          <w:szCs w:val="22"/>
        </w:rPr>
        <w:t>.</w:t>
      </w:r>
    </w:p>
  </w:footnote>
  <w:footnote w:id="18">
    <w:p w14:paraId="5EE59C93" w14:textId="14FEFD7B" w:rsidR="009D74A8" w:rsidRPr="0025268E" w:rsidRDefault="009D74A8" w:rsidP="0025268E">
      <w:pPr>
        <w:pStyle w:val="FootnoteText"/>
        <w:rPr>
          <w:szCs w:val="22"/>
        </w:rPr>
      </w:pPr>
      <w:r w:rsidRPr="0025268E">
        <w:rPr>
          <w:rStyle w:val="FootnoteReference"/>
          <w:szCs w:val="22"/>
        </w:rPr>
        <w:footnoteRef/>
      </w:r>
      <w:r w:rsidRPr="0025268E">
        <w:rPr>
          <w:szCs w:val="22"/>
        </w:rPr>
        <w:t xml:space="preserve"> </w:t>
      </w:r>
      <w:r w:rsidRPr="0025268E">
        <w:rPr>
          <w:i/>
          <w:iCs/>
          <w:szCs w:val="22"/>
        </w:rPr>
        <w:t>Id</w:t>
      </w:r>
      <w:r w:rsidRPr="0025268E">
        <w:rPr>
          <w:szCs w:val="22"/>
        </w:rPr>
        <w:t>. at JL-6.</w:t>
      </w:r>
    </w:p>
  </w:footnote>
  <w:footnote w:id="19">
    <w:p w14:paraId="00A6EC1F" w14:textId="63B65BC1" w:rsidR="00482D2E" w:rsidRPr="0025268E" w:rsidRDefault="00482D2E" w:rsidP="0025268E">
      <w:pPr>
        <w:pStyle w:val="FootnoteText"/>
        <w:rPr>
          <w:szCs w:val="22"/>
        </w:rPr>
      </w:pPr>
      <w:r w:rsidRPr="0025268E">
        <w:rPr>
          <w:rStyle w:val="FootnoteReference"/>
          <w:szCs w:val="22"/>
        </w:rPr>
        <w:footnoteRef/>
      </w:r>
      <w:r w:rsidRPr="0025268E">
        <w:rPr>
          <w:szCs w:val="22"/>
        </w:rPr>
        <w:t xml:space="preserve"> </w:t>
      </w:r>
      <w:r w:rsidR="00285249" w:rsidRPr="0025268E">
        <w:rPr>
          <w:szCs w:val="22"/>
        </w:rPr>
        <w:t>SoCalGas Exhibit SCG-05 at JL-10.</w:t>
      </w:r>
    </w:p>
  </w:footnote>
  <w:footnote w:id="20">
    <w:p w14:paraId="09BA4559" w14:textId="6BEE349F" w:rsidR="003A588C" w:rsidRPr="0025268E" w:rsidRDefault="003A588C" w:rsidP="0025268E">
      <w:pPr>
        <w:pStyle w:val="FootnoteText"/>
        <w:rPr>
          <w:szCs w:val="22"/>
        </w:rPr>
      </w:pPr>
      <w:r w:rsidRPr="0025268E">
        <w:rPr>
          <w:rStyle w:val="FootnoteReference"/>
          <w:szCs w:val="22"/>
        </w:rPr>
        <w:footnoteRef/>
      </w:r>
      <w:r w:rsidRPr="0025268E">
        <w:rPr>
          <w:szCs w:val="22"/>
        </w:rPr>
        <w:t xml:space="preserve"> </w:t>
      </w:r>
      <w:r w:rsidRPr="0025268E">
        <w:rPr>
          <w:i/>
          <w:iCs/>
          <w:szCs w:val="22"/>
        </w:rPr>
        <w:t>Ibid</w:t>
      </w:r>
      <w:r w:rsidRPr="0025268E">
        <w:rPr>
          <w:szCs w:val="22"/>
        </w:rPr>
        <w:t>. (citing</w:t>
      </w:r>
      <w:r w:rsidR="00B71518" w:rsidRPr="0025268E">
        <w:rPr>
          <w:szCs w:val="22"/>
        </w:rPr>
        <w:t xml:space="preserve"> California Air Resources Board</w:t>
      </w:r>
      <w:r w:rsidR="005661EF">
        <w:rPr>
          <w:szCs w:val="22"/>
        </w:rPr>
        <w:t>,</w:t>
      </w:r>
      <w:r w:rsidR="00B71518" w:rsidRPr="0025268E">
        <w:rPr>
          <w:szCs w:val="22"/>
        </w:rPr>
        <w:t xml:space="preserve"> </w:t>
      </w:r>
      <w:r w:rsidR="00B71518" w:rsidRPr="0025268E">
        <w:rPr>
          <w:i/>
          <w:iCs/>
          <w:szCs w:val="22"/>
        </w:rPr>
        <w:t>CARB updates the Low Carbon Fuel Standards to increase access to cleaner fuels and zero emission transportation options</w:t>
      </w:r>
      <w:r w:rsidR="00B71518" w:rsidRPr="0025268E">
        <w:rPr>
          <w:szCs w:val="22"/>
        </w:rPr>
        <w:t xml:space="preserve">, (Nov. 2024), </w:t>
      </w:r>
      <w:r w:rsidR="00B71518" w:rsidRPr="0025268E">
        <w:rPr>
          <w:i/>
          <w:iCs/>
          <w:szCs w:val="22"/>
        </w:rPr>
        <w:t xml:space="preserve">available at: </w:t>
      </w:r>
      <w:r w:rsidR="00B71518" w:rsidRPr="0025268E">
        <w:rPr>
          <w:szCs w:val="22"/>
        </w:rPr>
        <w:t>https://ww2.arb.ca.gov/news/carb-updates-low-carbon-fuel-standard-increase-access-cleaner-fuels-and-zero-emission.)</w:t>
      </w:r>
    </w:p>
  </w:footnote>
  <w:footnote w:id="21">
    <w:p w14:paraId="0DFC1EC6" w14:textId="155FDD15" w:rsidR="00643E34" w:rsidRPr="0025268E" w:rsidRDefault="00643E34" w:rsidP="0025268E">
      <w:pPr>
        <w:pStyle w:val="FootnoteText"/>
        <w:rPr>
          <w:szCs w:val="22"/>
        </w:rPr>
      </w:pPr>
      <w:r w:rsidRPr="0025268E">
        <w:rPr>
          <w:rStyle w:val="FootnoteReference"/>
          <w:szCs w:val="22"/>
        </w:rPr>
        <w:footnoteRef/>
      </w:r>
      <w:r w:rsidRPr="0025268E">
        <w:rPr>
          <w:szCs w:val="22"/>
        </w:rPr>
        <w:t xml:space="preserve"> </w:t>
      </w:r>
      <w:r w:rsidR="00D03404" w:rsidRPr="0025268E">
        <w:rPr>
          <w:i/>
          <w:iCs/>
          <w:szCs w:val="22"/>
        </w:rPr>
        <w:t>Id</w:t>
      </w:r>
      <w:r w:rsidR="00D03404" w:rsidRPr="0025268E">
        <w:rPr>
          <w:szCs w:val="22"/>
        </w:rPr>
        <w:t>. at JL-10-JL-11.</w:t>
      </w:r>
    </w:p>
  </w:footnote>
  <w:footnote w:id="22">
    <w:p w14:paraId="6C8D62E0" w14:textId="5EEF94C8" w:rsidR="00D11010" w:rsidRPr="0025268E" w:rsidRDefault="00D11010" w:rsidP="0025268E">
      <w:pPr>
        <w:pStyle w:val="FootnoteText"/>
        <w:rPr>
          <w:szCs w:val="22"/>
        </w:rPr>
      </w:pPr>
      <w:r w:rsidRPr="0025268E">
        <w:rPr>
          <w:rStyle w:val="FootnoteReference"/>
          <w:szCs w:val="22"/>
        </w:rPr>
        <w:footnoteRef/>
      </w:r>
      <w:r w:rsidRPr="0025268E">
        <w:rPr>
          <w:szCs w:val="22"/>
        </w:rPr>
        <w:t xml:space="preserve"> Sierra Club Opening Brief at 9.</w:t>
      </w:r>
    </w:p>
  </w:footnote>
  <w:footnote w:id="23">
    <w:p w14:paraId="7F9D2979" w14:textId="2B5E3039" w:rsidR="005D0C75" w:rsidRPr="0025268E" w:rsidRDefault="005D0C75" w:rsidP="0025268E">
      <w:pPr>
        <w:pStyle w:val="FootnoteText"/>
        <w:rPr>
          <w:szCs w:val="22"/>
        </w:rPr>
      </w:pPr>
      <w:r w:rsidRPr="0025268E">
        <w:rPr>
          <w:rStyle w:val="FootnoteReference"/>
          <w:szCs w:val="22"/>
        </w:rPr>
        <w:footnoteRef/>
      </w:r>
      <w:r w:rsidRPr="0025268E">
        <w:rPr>
          <w:szCs w:val="22"/>
        </w:rPr>
        <w:t xml:space="preserve"> </w:t>
      </w:r>
      <w:r w:rsidRPr="0025268E">
        <w:rPr>
          <w:i/>
          <w:iCs/>
          <w:szCs w:val="22"/>
        </w:rPr>
        <w:t>Ibid.</w:t>
      </w:r>
      <w:r w:rsidRPr="0025268E">
        <w:rPr>
          <w:szCs w:val="22"/>
        </w:rPr>
        <w:t xml:space="preserve"> (citing D.</w:t>
      </w:r>
      <w:r w:rsidR="001E2454" w:rsidRPr="0025268E">
        <w:rPr>
          <w:szCs w:val="22"/>
        </w:rPr>
        <w:t xml:space="preserve">22-09-026 at 81-82 </w:t>
      </w:r>
      <w:r w:rsidR="00DD79DF" w:rsidRPr="0025268E">
        <w:rPr>
          <w:szCs w:val="22"/>
        </w:rPr>
        <w:t xml:space="preserve">at </w:t>
      </w:r>
      <w:r w:rsidR="001E2454" w:rsidRPr="0025268E">
        <w:rPr>
          <w:szCs w:val="22"/>
        </w:rPr>
        <w:t>O</w:t>
      </w:r>
      <w:r w:rsidR="00DD79DF" w:rsidRPr="0025268E">
        <w:rPr>
          <w:szCs w:val="22"/>
        </w:rPr>
        <w:t xml:space="preserve">rdering </w:t>
      </w:r>
      <w:r w:rsidR="001E2454" w:rsidRPr="0025268E">
        <w:rPr>
          <w:szCs w:val="22"/>
        </w:rPr>
        <w:t>P</w:t>
      </w:r>
      <w:r w:rsidR="00DD79DF" w:rsidRPr="0025268E">
        <w:rPr>
          <w:szCs w:val="22"/>
        </w:rPr>
        <w:t>aragraph</w:t>
      </w:r>
      <w:r w:rsidR="001E2454" w:rsidRPr="0025268E">
        <w:rPr>
          <w:szCs w:val="22"/>
        </w:rPr>
        <w:t xml:space="preserve"> </w:t>
      </w:r>
      <w:r w:rsidR="005911AC" w:rsidRPr="0025268E">
        <w:rPr>
          <w:szCs w:val="22"/>
        </w:rPr>
        <w:t xml:space="preserve">(OP) </w:t>
      </w:r>
      <w:r w:rsidR="001E2454" w:rsidRPr="0025268E">
        <w:rPr>
          <w:szCs w:val="22"/>
        </w:rPr>
        <w:t>2).</w:t>
      </w:r>
    </w:p>
  </w:footnote>
  <w:footnote w:id="24">
    <w:p w14:paraId="5AD2FCE6" w14:textId="492870C8" w:rsidR="00677F61" w:rsidRPr="0025268E" w:rsidRDefault="00677F61" w:rsidP="0025268E">
      <w:pPr>
        <w:pStyle w:val="FootnoteText"/>
        <w:rPr>
          <w:szCs w:val="22"/>
        </w:rPr>
      </w:pPr>
      <w:r w:rsidRPr="0025268E">
        <w:rPr>
          <w:rStyle w:val="FootnoteReference"/>
          <w:szCs w:val="22"/>
        </w:rPr>
        <w:footnoteRef/>
      </w:r>
      <w:r w:rsidRPr="0025268E">
        <w:rPr>
          <w:szCs w:val="22"/>
        </w:rPr>
        <w:t xml:space="preserve"> </w:t>
      </w:r>
      <w:r w:rsidRPr="0025268E">
        <w:rPr>
          <w:i/>
          <w:iCs/>
          <w:szCs w:val="22"/>
        </w:rPr>
        <w:t>Id</w:t>
      </w:r>
      <w:r w:rsidRPr="0025268E">
        <w:rPr>
          <w:szCs w:val="22"/>
        </w:rPr>
        <w:t xml:space="preserve">. at 11. </w:t>
      </w:r>
    </w:p>
  </w:footnote>
  <w:footnote w:id="25">
    <w:p w14:paraId="5D2CB125" w14:textId="50CCB0B5" w:rsidR="004256C0" w:rsidRPr="0025268E" w:rsidRDefault="004256C0" w:rsidP="0025268E">
      <w:pPr>
        <w:pStyle w:val="FootnoteText"/>
        <w:rPr>
          <w:szCs w:val="22"/>
        </w:rPr>
      </w:pPr>
      <w:r w:rsidRPr="0025268E">
        <w:rPr>
          <w:rStyle w:val="FootnoteReference"/>
          <w:szCs w:val="22"/>
        </w:rPr>
        <w:footnoteRef/>
      </w:r>
      <w:r w:rsidRPr="0025268E">
        <w:rPr>
          <w:szCs w:val="22"/>
        </w:rPr>
        <w:t xml:space="preserve"> </w:t>
      </w:r>
      <w:r w:rsidR="005870FE" w:rsidRPr="0025268E">
        <w:rPr>
          <w:i/>
          <w:iCs/>
          <w:szCs w:val="22"/>
        </w:rPr>
        <w:t>Ibid</w:t>
      </w:r>
      <w:r w:rsidR="005870FE" w:rsidRPr="0025268E">
        <w:rPr>
          <w:szCs w:val="22"/>
        </w:rPr>
        <w:t xml:space="preserve">. (citing </w:t>
      </w:r>
      <w:r w:rsidR="00C83E15" w:rsidRPr="0025268E">
        <w:rPr>
          <w:szCs w:val="22"/>
        </w:rPr>
        <w:t>D.24-12-074 at 620).</w:t>
      </w:r>
    </w:p>
  </w:footnote>
  <w:footnote w:id="26">
    <w:p w14:paraId="0086E3D3" w14:textId="77777777" w:rsidR="0061150D" w:rsidRPr="0025268E" w:rsidRDefault="0061150D" w:rsidP="0025268E">
      <w:pPr>
        <w:pStyle w:val="FootnoteText"/>
        <w:rPr>
          <w:szCs w:val="22"/>
        </w:rPr>
      </w:pPr>
      <w:r w:rsidRPr="0025268E">
        <w:rPr>
          <w:rStyle w:val="FootnoteReference"/>
          <w:szCs w:val="22"/>
        </w:rPr>
        <w:footnoteRef/>
      </w:r>
      <w:r w:rsidRPr="0025268E">
        <w:rPr>
          <w:szCs w:val="22"/>
        </w:rPr>
        <w:t xml:space="preserve"> Cal Advocates Opening Brief at 12-13.</w:t>
      </w:r>
    </w:p>
  </w:footnote>
  <w:footnote w:id="27">
    <w:p w14:paraId="51DED02C" w14:textId="55C073A3" w:rsidR="0061150D" w:rsidRPr="0025268E" w:rsidRDefault="0061150D" w:rsidP="0025268E">
      <w:pPr>
        <w:pStyle w:val="FootnoteText"/>
        <w:rPr>
          <w:szCs w:val="22"/>
        </w:rPr>
      </w:pPr>
      <w:r w:rsidRPr="0025268E">
        <w:rPr>
          <w:rStyle w:val="FootnoteReference"/>
          <w:szCs w:val="22"/>
        </w:rPr>
        <w:footnoteRef/>
      </w:r>
      <w:r w:rsidRPr="0025268E">
        <w:rPr>
          <w:szCs w:val="22"/>
        </w:rPr>
        <w:t xml:space="preserve"> </w:t>
      </w:r>
      <w:r w:rsidRPr="0025268E">
        <w:rPr>
          <w:i/>
          <w:iCs/>
          <w:szCs w:val="22"/>
        </w:rPr>
        <w:t>Ibid</w:t>
      </w:r>
      <w:r w:rsidRPr="0025268E">
        <w:rPr>
          <w:szCs w:val="22"/>
        </w:rPr>
        <w:t>.</w:t>
      </w:r>
      <w:r w:rsidR="0000081F" w:rsidRPr="0025268E">
        <w:rPr>
          <w:szCs w:val="22"/>
        </w:rPr>
        <w:t xml:space="preserve"> </w:t>
      </w:r>
      <w:r w:rsidR="00DD79DF" w:rsidRPr="0025268E">
        <w:rPr>
          <w:szCs w:val="22"/>
        </w:rPr>
        <w:t>Because</w:t>
      </w:r>
      <w:r w:rsidR="0000081F" w:rsidRPr="0025268E">
        <w:rPr>
          <w:szCs w:val="22"/>
        </w:rPr>
        <w:t xml:space="preserve"> </w:t>
      </w:r>
      <w:r w:rsidR="004552AA" w:rsidRPr="0025268E">
        <w:rPr>
          <w:szCs w:val="22"/>
        </w:rPr>
        <w:t xml:space="preserve">this </w:t>
      </w:r>
      <w:r w:rsidR="00DD79DF" w:rsidRPr="0025268E">
        <w:rPr>
          <w:szCs w:val="22"/>
        </w:rPr>
        <w:t>decision</w:t>
      </w:r>
      <w:r w:rsidR="004552AA" w:rsidRPr="0025268E">
        <w:rPr>
          <w:szCs w:val="22"/>
        </w:rPr>
        <w:t xml:space="preserve"> finds </w:t>
      </w:r>
      <w:r w:rsidR="0000081F" w:rsidRPr="0025268E">
        <w:rPr>
          <w:szCs w:val="22"/>
        </w:rPr>
        <w:t>in the prior section t</w:t>
      </w:r>
      <w:r w:rsidR="004552AA" w:rsidRPr="0025268E">
        <w:rPr>
          <w:szCs w:val="22"/>
        </w:rPr>
        <w:t xml:space="preserve">hat SoCalGas demonstrated that the projects will reduce </w:t>
      </w:r>
      <w:r w:rsidR="00C651F4" w:rsidRPr="0025268E">
        <w:rPr>
          <w:szCs w:val="22"/>
        </w:rPr>
        <w:t>GHG emissions, we do not address this argument further.</w:t>
      </w:r>
    </w:p>
  </w:footnote>
  <w:footnote w:id="28">
    <w:p w14:paraId="7929BC65" w14:textId="56EA58D7" w:rsidR="001A5547" w:rsidRPr="0025268E" w:rsidRDefault="001A5547" w:rsidP="0025268E">
      <w:pPr>
        <w:pStyle w:val="FootnoteText"/>
        <w:rPr>
          <w:szCs w:val="22"/>
        </w:rPr>
      </w:pPr>
      <w:r w:rsidRPr="0025268E">
        <w:rPr>
          <w:rStyle w:val="FootnoteReference"/>
          <w:szCs w:val="22"/>
        </w:rPr>
        <w:footnoteRef/>
      </w:r>
      <w:r w:rsidRPr="0025268E">
        <w:rPr>
          <w:szCs w:val="22"/>
        </w:rPr>
        <w:t xml:space="preserve"> </w:t>
      </w:r>
      <w:r w:rsidR="00B5462B" w:rsidRPr="00B5462B">
        <w:rPr>
          <w:i/>
          <w:iCs/>
          <w:szCs w:val="22"/>
        </w:rPr>
        <w:t>See</w:t>
      </w:r>
      <w:r w:rsidR="006D1205" w:rsidRPr="0025268E">
        <w:rPr>
          <w:szCs w:val="22"/>
        </w:rPr>
        <w:t xml:space="preserve"> </w:t>
      </w:r>
      <w:r w:rsidR="00E724EA" w:rsidRPr="0025268E">
        <w:rPr>
          <w:szCs w:val="22"/>
        </w:rPr>
        <w:t>SoCalGas Exhibit SCG-05 at JL-10</w:t>
      </w:r>
      <w:r w:rsidR="00FC662E" w:rsidRPr="0025268E">
        <w:rPr>
          <w:szCs w:val="22"/>
        </w:rPr>
        <w:t>, n</w:t>
      </w:r>
      <w:r w:rsidR="00CA4609" w:rsidRPr="0025268E">
        <w:rPr>
          <w:szCs w:val="22"/>
        </w:rPr>
        <w:t xml:space="preserve">. </w:t>
      </w:r>
      <w:r w:rsidR="00FC662E" w:rsidRPr="0025268E">
        <w:rPr>
          <w:szCs w:val="22"/>
        </w:rPr>
        <w:t xml:space="preserve">42; </w:t>
      </w:r>
      <w:r w:rsidR="008668EE" w:rsidRPr="0025268E">
        <w:rPr>
          <w:szCs w:val="22"/>
        </w:rPr>
        <w:t>D.22-02-025.</w:t>
      </w:r>
    </w:p>
  </w:footnote>
  <w:footnote w:id="29">
    <w:p w14:paraId="24FE4621" w14:textId="2DBA1171" w:rsidR="008668EE" w:rsidRPr="0025268E" w:rsidRDefault="008668EE" w:rsidP="0025268E">
      <w:pPr>
        <w:pStyle w:val="FootnoteText"/>
        <w:rPr>
          <w:szCs w:val="22"/>
        </w:rPr>
      </w:pPr>
      <w:r w:rsidRPr="0025268E">
        <w:rPr>
          <w:rStyle w:val="FootnoteReference"/>
          <w:szCs w:val="22"/>
        </w:rPr>
        <w:footnoteRef/>
      </w:r>
      <w:r w:rsidRPr="0025268E">
        <w:rPr>
          <w:szCs w:val="22"/>
        </w:rPr>
        <w:t xml:space="preserve"> D.22-09-026 at 55, n</w:t>
      </w:r>
      <w:r w:rsidR="00CA4609" w:rsidRPr="0025268E">
        <w:rPr>
          <w:szCs w:val="22"/>
        </w:rPr>
        <w:t>. 108.</w:t>
      </w:r>
    </w:p>
  </w:footnote>
  <w:footnote w:id="30">
    <w:p w14:paraId="4C4CF6A4" w14:textId="162CA225" w:rsidR="00AB22B5" w:rsidRPr="0025268E" w:rsidRDefault="00AB22B5" w:rsidP="0025268E">
      <w:pPr>
        <w:pStyle w:val="FootnoteText"/>
        <w:rPr>
          <w:szCs w:val="22"/>
        </w:rPr>
      </w:pPr>
      <w:r w:rsidRPr="0025268E">
        <w:rPr>
          <w:rStyle w:val="FootnoteReference"/>
          <w:szCs w:val="22"/>
        </w:rPr>
        <w:footnoteRef/>
      </w:r>
      <w:r w:rsidRPr="0025268E">
        <w:rPr>
          <w:szCs w:val="22"/>
        </w:rPr>
        <w:t xml:space="preserve"> </w:t>
      </w:r>
      <w:r w:rsidR="00B5462B" w:rsidRPr="00B5462B">
        <w:rPr>
          <w:i/>
          <w:iCs/>
          <w:szCs w:val="22"/>
        </w:rPr>
        <w:t>See</w:t>
      </w:r>
      <w:r w:rsidRPr="0025268E">
        <w:rPr>
          <w:szCs w:val="22"/>
        </w:rPr>
        <w:t xml:space="preserve"> Application at</w:t>
      </w:r>
      <w:r w:rsidR="00682803" w:rsidRPr="0025268E">
        <w:rPr>
          <w:szCs w:val="22"/>
        </w:rPr>
        <w:t xml:space="preserve"> 1; SoCalGas Exhibit SCG-05 at JL-10-JL-11.</w:t>
      </w:r>
    </w:p>
  </w:footnote>
  <w:footnote w:id="31">
    <w:p w14:paraId="74710321" w14:textId="0984CCED" w:rsidR="0042736F" w:rsidRPr="0025268E" w:rsidRDefault="0042736F" w:rsidP="0025268E">
      <w:pPr>
        <w:pStyle w:val="FootnoteText"/>
        <w:rPr>
          <w:szCs w:val="22"/>
        </w:rPr>
      </w:pPr>
      <w:r w:rsidRPr="0025268E">
        <w:rPr>
          <w:rStyle w:val="FootnoteReference"/>
          <w:szCs w:val="22"/>
        </w:rPr>
        <w:footnoteRef/>
      </w:r>
      <w:r w:rsidRPr="0025268E">
        <w:rPr>
          <w:szCs w:val="22"/>
        </w:rPr>
        <w:t xml:space="preserve"> D.22-09-026 at 51.</w:t>
      </w:r>
    </w:p>
  </w:footnote>
  <w:footnote w:id="32">
    <w:p w14:paraId="52EF5422" w14:textId="4937BFF6" w:rsidR="00E76CEB" w:rsidRPr="0025268E" w:rsidRDefault="00E76CEB" w:rsidP="0025268E">
      <w:pPr>
        <w:pStyle w:val="FootnoteText"/>
        <w:rPr>
          <w:szCs w:val="22"/>
        </w:rPr>
      </w:pPr>
      <w:r w:rsidRPr="0025268E">
        <w:rPr>
          <w:rStyle w:val="FootnoteReference"/>
          <w:szCs w:val="22"/>
        </w:rPr>
        <w:footnoteRef/>
      </w:r>
      <w:r w:rsidRPr="0025268E">
        <w:rPr>
          <w:szCs w:val="22"/>
        </w:rPr>
        <w:t xml:space="preserve"> </w:t>
      </w:r>
      <w:r w:rsidRPr="0025268E">
        <w:rPr>
          <w:i/>
          <w:iCs/>
          <w:szCs w:val="22"/>
        </w:rPr>
        <w:t>Id</w:t>
      </w:r>
      <w:r w:rsidRPr="0025268E">
        <w:rPr>
          <w:szCs w:val="22"/>
        </w:rPr>
        <w:t>. at 56.</w:t>
      </w:r>
    </w:p>
  </w:footnote>
  <w:footnote w:id="33">
    <w:p w14:paraId="53D689B4" w14:textId="49BB7E2F" w:rsidR="00526EA8" w:rsidRPr="0025268E" w:rsidRDefault="00526EA8" w:rsidP="0025268E">
      <w:pPr>
        <w:pStyle w:val="FootnoteText"/>
        <w:rPr>
          <w:szCs w:val="22"/>
        </w:rPr>
      </w:pPr>
      <w:r w:rsidRPr="0025268E">
        <w:rPr>
          <w:rStyle w:val="FootnoteReference"/>
          <w:szCs w:val="22"/>
        </w:rPr>
        <w:footnoteRef/>
      </w:r>
      <w:r w:rsidRPr="0025268E">
        <w:rPr>
          <w:szCs w:val="22"/>
        </w:rPr>
        <w:t xml:space="preserve"> Both intervenors argue generally that the projects should have explored renewable diesel as a feasible alternative to natural gas, as it has a lower carbon intensity than fossil-CNG. We are not persuaded by this argument and therefore do not consider it below. </w:t>
      </w:r>
      <w:r w:rsidR="00281ACB" w:rsidRPr="0025268E">
        <w:rPr>
          <w:szCs w:val="22"/>
        </w:rPr>
        <w:t xml:space="preserve">The record reflects that </w:t>
      </w:r>
      <w:r w:rsidRPr="0025268E">
        <w:rPr>
          <w:szCs w:val="22"/>
        </w:rPr>
        <w:t>RN</w:t>
      </w:r>
      <w:r w:rsidR="00DD79DF" w:rsidRPr="0025268E">
        <w:rPr>
          <w:szCs w:val="22"/>
        </w:rPr>
        <w:t>G</w:t>
      </w:r>
      <w:r w:rsidRPr="0025268E">
        <w:rPr>
          <w:szCs w:val="22"/>
        </w:rPr>
        <w:t xml:space="preserve"> has a lower carbon intensity than renewable diesel.</w:t>
      </w:r>
      <w:r w:rsidR="00B7796D" w:rsidRPr="0025268E">
        <w:rPr>
          <w:szCs w:val="22"/>
        </w:rPr>
        <w:t xml:space="preserve"> (</w:t>
      </w:r>
      <w:r w:rsidR="00B5462B" w:rsidRPr="00B5462B">
        <w:rPr>
          <w:i/>
          <w:iCs/>
          <w:szCs w:val="22"/>
        </w:rPr>
        <w:t>See</w:t>
      </w:r>
      <w:r w:rsidR="00B7796D" w:rsidRPr="0025268E">
        <w:rPr>
          <w:szCs w:val="22"/>
        </w:rPr>
        <w:t xml:space="preserve"> </w:t>
      </w:r>
      <w:r w:rsidR="00B45688" w:rsidRPr="0025268E">
        <w:rPr>
          <w:szCs w:val="22"/>
        </w:rPr>
        <w:t xml:space="preserve">SoCalGas Exhibit </w:t>
      </w:r>
      <w:r w:rsidR="002A5AB4" w:rsidRPr="0025268E">
        <w:rPr>
          <w:szCs w:val="22"/>
        </w:rPr>
        <w:t>SCG-0</w:t>
      </w:r>
      <w:r w:rsidR="00D3028A">
        <w:rPr>
          <w:szCs w:val="22"/>
        </w:rPr>
        <w:t>2</w:t>
      </w:r>
      <w:r w:rsidR="002A5AB4" w:rsidRPr="0025268E">
        <w:rPr>
          <w:szCs w:val="22"/>
        </w:rPr>
        <w:t xml:space="preserve"> at JL-3 [stating that the carbon intensity of bio-CNG is -187.09 gCO</w:t>
      </w:r>
      <w:r w:rsidR="00777135" w:rsidRPr="0025268E">
        <w:rPr>
          <w:szCs w:val="22"/>
          <w:vertAlign w:val="subscript"/>
        </w:rPr>
        <w:t>2e</w:t>
      </w:r>
      <w:r w:rsidR="00777135" w:rsidRPr="0025268E">
        <w:rPr>
          <w:szCs w:val="22"/>
        </w:rPr>
        <w:t xml:space="preserve">/MJ]; </w:t>
      </w:r>
      <w:r w:rsidR="0008112E">
        <w:rPr>
          <w:i/>
          <w:iCs/>
          <w:szCs w:val="22"/>
        </w:rPr>
        <w:t>s</w:t>
      </w:r>
      <w:r w:rsidR="00B5462B" w:rsidRPr="00B5462B">
        <w:rPr>
          <w:i/>
          <w:iCs/>
          <w:szCs w:val="22"/>
        </w:rPr>
        <w:t>ee</w:t>
      </w:r>
      <w:r w:rsidR="00777135" w:rsidRPr="0025268E">
        <w:rPr>
          <w:szCs w:val="22"/>
        </w:rPr>
        <w:t xml:space="preserve"> also </w:t>
      </w:r>
      <w:r w:rsidR="009B04E0" w:rsidRPr="0025268E">
        <w:rPr>
          <w:szCs w:val="22"/>
        </w:rPr>
        <w:t>Cal Advocates</w:t>
      </w:r>
      <w:r w:rsidR="003B6409" w:rsidRPr="0025268E">
        <w:rPr>
          <w:szCs w:val="22"/>
        </w:rPr>
        <w:t xml:space="preserve"> Opening Brief at 17 [citing the carbon intensity of renewable diesel as </w:t>
      </w:r>
      <w:r w:rsidR="002F07A4" w:rsidRPr="0025268E">
        <w:rPr>
          <w:szCs w:val="22"/>
        </w:rPr>
        <w:t>81.81 gCO</w:t>
      </w:r>
      <w:r w:rsidR="002F07A4" w:rsidRPr="0025268E">
        <w:rPr>
          <w:szCs w:val="22"/>
          <w:vertAlign w:val="subscript"/>
        </w:rPr>
        <w:t>2e</w:t>
      </w:r>
      <w:r w:rsidR="002F07A4" w:rsidRPr="0025268E">
        <w:rPr>
          <w:szCs w:val="22"/>
        </w:rPr>
        <w:t>/MJ</w:t>
      </w:r>
      <w:r w:rsidR="00535617" w:rsidRPr="0025268E">
        <w:rPr>
          <w:szCs w:val="22"/>
        </w:rPr>
        <w:t>].)</w:t>
      </w:r>
      <w:r w:rsidR="00854AE4" w:rsidRPr="0025268E">
        <w:rPr>
          <w:szCs w:val="22"/>
        </w:rPr>
        <w:t xml:space="preserve"> </w:t>
      </w:r>
      <w:r w:rsidRPr="0025268E">
        <w:rPr>
          <w:szCs w:val="22"/>
        </w:rPr>
        <w:t>We do not find it within the intent of D.22-09-026 to require a demonstration that a project considered more carbon intense alternatives to natural gas.</w:t>
      </w:r>
    </w:p>
  </w:footnote>
  <w:footnote w:id="34">
    <w:p w14:paraId="0BB9A042" w14:textId="18E08CDC" w:rsidR="00E54587" w:rsidRPr="0025268E" w:rsidRDefault="00E54587" w:rsidP="0025268E">
      <w:pPr>
        <w:pStyle w:val="FootnoteText"/>
        <w:rPr>
          <w:szCs w:val="22"/>
        </w:rPr>
      </w:pPr>
      <w:r w:rsidRPr="0025268E">
        <w:rPr>
          <w:rStyle w:val="FootnoteReference"/>
          <w:szCs w:val="22"/>
        </w:rPr>
        <w:footnoteRef/>
      </w:r>
      <w:r w:rsidRPr="0025268E">
        <w:rPr>
          <w:szCs w:val="22"/>
        </w:rPr>
        <w:t xml:space="preserve"> </w:t>
      </w:r>
      <w:r w:rsidR="0044024E" w:rsidRPr="0025268E">
        <w:rPr>
          <w:szCs w:val="22"/>
        </w:rPr>
        <w:t>SoCalGas Exhibit SCG-02 at JL-8.</w:t>
      </w:r>
    </w:p>
  </w:footnote>
  <w:footnote w:id="35">
    <w:p w14:paraId="497853B3" w14:textId="36161DF2" w:rsidR="005A4492" w:rsidRPr="0025268E" w:rsidRDefault="005A4492" w:rsidP="0025268E">
      <w:pPr>
        <w:pStyle w:val="FootnoteText"/>
        <w:rPr>
          <w:szCs w:val="22"/>
        </w:rPr>
      </w:pPr>
      <w:r w:rsidRPr="0025268E">
        <w:rPr>
          <w:rStyle w:val="FootnoteReference"/>
          <w:szCs w:val="22"/>
        </w:rPr>
        <w:footnoteRef/>
      </w:r>
      <w:r w:rsidRPr="0025268E">
        <w:rPr>
          <w:szCs w:val="22"/>
        </w:rPr>
        <w:t xml:space="preserve"> </w:t>
      </w:r>
      <w:r w:rsidRPr="0025268E">
        <w:rPr>
          <w:i/>
          <w:iCs/>
          <w:szCs w:val="22"/>
        </w:rPr>
        <w:t>Ibid</w:t>
      </w:r>
      <w:r w:rsidRPr="0025268E">
        <w:rPr>
          <w:szCs w:val="22"/>
        </w:rPr>
        <w:t>.</w:t>
      </w:r>
    </w:p>
  </w:footnote>
  <w:footnote w:id="36">
    <w:p w14:paraId="5A9FDBD8" w14:textId="7D332F14" w:rsidR="0099761B" w:rsidRPr="0025268E" w:rsidRDefault="0099761B" w:rsidP="0025268E">
      <w:pPr>
        <w:pStyle w:val="FootnoteText"/>
        <w:rPr>
          <w:szCs w:val="22"/>
        </w:rPr>
      </w:pPr>
      <w:r w:rsidRPr="0025268E">
        <w:rPr>
          <w:rStyle w:val="FootnoteReference"/>
          <w:szCs w:val="22"/>
        </w:rPr>
        <w:footnoteRef/>
      </w:r>
      <w:r w:rsidRPr="0025268E">
        <w:rPr>
          <w:szCs w:val="22"/>
        </w:rPr>
        <w:t xml:space="preserve"> </w:t>
      </w:r>
      <w:r w:rsidR="00EF60F8" w:rsidRPr="0025268E">
        <w:rPr>
          <w:i/>
          <w:iCs/>
          <w:szCs w:val="22"/>
        </w:rPr>
        <w:t>Ibid</w:t>
      </w:r>
      <w:r w:rsidR="00EF60F8" w:rsidRPr="0025268E">
        <w:rPr>
          <w:szCs w:val="22"/>
        </w:rPr>
        <w:t>.</w:t>
      </w:r>
    </w:p>
  </w:footnote>
  <w:footnote w:id="37">
    <w:p w14:paraId="31E374A2" w14:textId="2B8C956B" w:rsidR="002F59F6" w:rsidRPr="0025268E" w:rsidRDefault="002F59F6" w:rsidP="0025268E">
      <w:pPr>
        <w:pStyle w:val="FootnoteText"/>
        <w:rPr>
          <w:szCs w:val="22"/>
        </w:rPr>
      </w:pPr>
      <w:r w:rsidRPr="0025268E">
        <w:rPr>
          <w:rStyle w:val="FootnoteReference"/>
          <w:szCs w:val="22"/>
        </w:rPr>
        <w:footnoteRef/>
      </w:r>
      <w:r w:rsidRPr="0025268E">
        <w:rPr>
          <w:szCs w:val="22"/>
        </w:rPr>
        <w:t xml:space="preserve"> Sierra Club Opening Brief at 14.</w:t>
      </w:r>
    </w:p>
  </w:footnote>
  <w:footnote w:id="38">
    <w:p w14:paraId="4884C22A" w14:textId="2F881C44" w:rsidR="00E301B3" w:rsidRPr="0025268E" w:rsidRDefault="00E301B3" w:rsidP="0025268E">
      <w:pPr>
        <w:pStyle w:val="FootnoteText"/>
        <w:rPr>
          <w:szCs w:val="22"/>
        </w:rPr>
      </w:pPr>
      <w:r w:rsidRPr="0025268E">
        <w:rPr>
          <w:rStyle w:val="FootnoteReference"/>
          <w:szCs w:val="22"/>
        </w:rPr>
        <w:footnoteRef/>
      </w:r>
      <w:r w:rsidRPr="0025268E">
        <w:rPr>
          <w:szCs w:val="22"/>
        </w:rPr>
        <w:t xml:space="preserve"> </w:t>
      </w:r>
      <w:r w:rsidRPr="0025268E">
        <w:rPr>
          <w:i/>
          <w:iCs/>
          <w:szCs w:val="22"/>
        </w:rPr>
        <w:t>Ibid</w:t>
      </w:r>
      <w:r w:rsidRPr="0025268E">
        <w:rPr>
          <w:szCs w:val="22"/>
        </w:rPr>
        <w:t>.</w:t>
      </w:r>
    </w:p>
  </w:footnote>
  <w:footnote w:id="39">
    <w:p w14:paraId="3D66C6C3" w14:textId="1F2F1F1F" w:rsidR="006D2869" w:rsidRPr="0025268E" w:rsidRDefault="006D2869" w:rsidP="0025268E">
      <w:pPr>
        <w:pStyle w:val="FootnoteText"/>
        <w:rPr>
          <w:szCs w:val="22"/>
        </w:rPr>
      </w:pPr>
      <w:r w:rsidRPr="0025268E">
        <w:rPr>
          <w:rStyle w:val="FootnoteReference"/>
          <w:szCs w:val="22"/>
        </w:rPr>
        <w:footnoteRef/>
      </w:r>
      <w:r w:rsidRPr="0025268E">
        <w:rPr>
          <w:szCs w:val="22"/>
        </w:rPr>
        <w:t xml:space="preserve"> </w:t>
      </w:r>
      <w:r w:rsidR="009E6656" w:rsidRPr="0025268E">
        <w:rPr>
          <w:szCs w:val="22"/>
        </w:rPr>
        <w:t xml:space="preserve">Cal Advocates Opening </w:t>
      </w:r>
      <w:r w:rsidR="009F51D8" w:rsidRPr="0025268E">
        <w:rPr>
          <w:szCs w:val="22"/>
        </w:rPr>
        <w:t>Brief at 14.</w:t>
      </w:r>
    </w:p>
  </w:footnote>
  <w:footnote w:id="40">
    <w:p w14:paraId="7DA23CD8" w14:textId="0D723BCD" w:rsidR="00671A74" w:rsidRPr="0025268E" w:rsidRDefault="00671A74" w:rsidP="0025268E">
      <w:pPr>
        <w:pStyle w:val="FootnoteText"/>
        <w:rPr>
          <w:szCs w:val="22"/>
        </w:rPr>
      </w:pPr>
      <w:r w:rsidRPr="0025268E">
        <w:rPr>
          <w:rStyle w:val="FootnoteReference"/>
          <w:szCs w:val="22"/>
        </w:rPr>
        <w:footnoteRef/>
      </w:r>
      <w:r w:rsidRPr="0025268E">
        <w:rPr>
          <w:szCs w:val="22"/>
        </w:rPr>
        <w:t xml:space="preserve"> SoCalGas Exhibit SCG-02 at JL-11-JL-12.</w:t>
      </w:r>
    </w:p>
  </w:footnote>
  <w:footnote w:id="41">
    <w:p w14:paraId="1C603EDC" w14:textId="4528DD11" w:rsidR="00A3468E" w:rsidRPr="0025268E" w:rsidRDefault="00A3468E" w:rsidP="0025268E">
      <w:pPr>
        <w:pStyle w:val="FootnoteText"/>
        <w:rPr>
          <w:szCs w:val="22"/>
        </w:rPr>
      </w:pPr>
      <w:r w:rsidRPr="0025268E">
        <w:rPr>
          <w:rStyle w:val="FootnoteReference"/>
          <w:szCs w:val="22"/>
        </w:rPr>
        <w:footnoteRef/>
      </w:r>
      <w:r w:rsidRPr="0025268E">
        <w:rPr>
          <w:szCs w:val="22"/>
        </w:rPr>
        <w:t xml:space="preserve"> </w:t>
      </w:r>
      <w:r w:rsidRPr="0025268E">
        <w:rPr>
          <w:i/>
          <w:iCs/>
          <w:szCs w:val="22"/>
        </w:rPr>
        <w:t>Id</w:t>
      </w:r>
      <w:r w:rsidRPr="0025268E">
        <w:rPr>
          <w:szCs w:val="22"/>
        </w:rPr>
        <w:t>. at JL-12.</w:t>
      </w:r>
    </w:p>
  </w:footnote>
  <w:footnote w:id="42">
    <w:p w14:paraId="6A51ADE8" w14:textId="438F2483" w:rsidR="00242F02" w:rsidRPr="0025268E" w:rsidRDefault="00242F02" w:rsidP="0025268E">
      <w:pPr>
        <w:pStyle w:val="FootnoteText"/>
        <w:rPr>
          <w:szCs w:val="22"/>
        </w:rPr>
      </w:pPr>
      <w:r w:rsidRPr="0025268E">
        <w:rPr>
          <w:rStyle w:val="FootnoteReference"/>
          <w:szCs w:val="22"/>
        </w:rPr>
        <w:footnoteRef/>
      </w:r>
      <w:r w:rsidRPr="0025268E">
        <w:rPr>
          <w:szCs w:val="22"/>
        </w:rPr>
        <w:t xml:space="preserve"> </w:t>
      </w:r>
      <w:r w:rsidRPr="0025268E">
        <w:rPr>
          <w:i/>
          <w:iCs/>
          <w:szCs w:val="22"/>
        </w:rPr>
        <w:t>Id</w:t>
      </w:r>
      <w:r w:rsidRPr="0025268E">
        <w:rPr>
          <w:szCs w:val="22"/>
        </w:rPr>
        <w:t>. at JL-13.</w:t>
      </w:r>
    </w:p>
  </w:footnote>
  <w:footnote w:id="43">
    <w:p w14:paraId="7766CE3E" w14:textId="204E8E01" w:rsidR="00E7299C" w:rsidRDefault="00E7299C" w:rsidP="00E7299C">
      <w:pPr>
        <w:pStyle w:val="FootnoteText"/>
      </w:pPr>
      <w:r>
        <w:rPr>
          <w:rStyle w:val="FootnoteReference"/>
        </w:rPr>
        <w:footnoteRef/>
      </w:r>
      <w:r>
        <w:t xml:space="preserve"> In a ruling dated April 23, 2026, the assigned ALJ directed SoCalGas to provide supplemental testimony to support the contention that </w:t>
      </w:r>
      <w:r w:rsidR="00217A19">
        <w:t>B</w:t>
      </w:r>
      <w:r>
        <w:t>EV options offered limited range stemming from high hydraulic loads and provide data, calculations, and other evidence in support of their statement. We consider here only supplemental testimony that falls within the scope of this ruling.</w:t>
      </w:r>
    </w:p>
  </w:footnote>
  <w:footnote w:id="44">
    <w:p w14:paraId="3A64337D" w14:textId="4658011E" w:rsidR="00E77068" w:rsidRPr="0025268E" w:rsidRDefault="00E77068" w:rsidP="0025268E">
      <w:pPr>
        <w:pStyle w:val="FootnoteText"/>
        <w:rPr>
          <w:szCs w:val="22"/>
        </w:rPr>
      </w:pPr>
      <w:r w:rsidRPr="0025268E">
        <w:rPr>
          <w:rStyle w:val="FootnoteReference"/>
          <w:szCs w:val="22"/>
        </w:rPr>
        <w:footnoteRef/>
      </w:r>
      <w:r w:rsidRPr="0025268E">
        <w:rPr>
          <w:szCs w:val="22"/>
        </w:rPr>
        <w:t xml:space="preserve"> </w:t>
      </w:r>
      <w:r w:rsidR="000669BA">
        <w:rPr>
          <w:szCs w:val="22"/>
        </w:rPr>
        <w:t xml:space="preserve">SoCalGas Exhibit SCG 02S </w:t>
      </w:r>
      <w:r w:rsidR="009D1D27" w:rsidRPr="0025268E">
        <w:rPr>
          <w:szCs w:val="22"/>
        </w:rPr>
        <w:t>at Attachment</w:t>
      </w:r>
      <w:r w:rsidR="008A628D">
        <w:rPr>
          <w:szCs w:val="22"/>
        </w:rPr>
        <w:t xml:space="preserve"> A</w:t>
      </w:r>
      <w:r w:rsidR="009D1D27" w:rsidRPr="0025268E">
        <w:rPr>
          <w:szCs w:val="22"/>
        </w:rPr>
        <w:t>, p.</w:t>
      </w:r>
      <w:r w:rsidRPr="0025268E">
        <w:rPr>
          <w:szCs w:val="22"/>
        </w:rPr>
        <w:t xml:space="preserve"> 1.</w:t>
      </w:r>
    </w:p>
  </w:footnote>
  <w:footnote w:id="45">
    <w:p w14:paraId="58E7293E" w14:textId="1D1D5250" w:rsidR="009B50B5" w:rsidRPr="0025268E" w:rsidRDefault="009B50B5" w:rsidP="0025268E">
      <w:pPr>
        <w:pStyle w:val="FootnoteText"/>
        <w:rPr>
          <w:szCs w:val="22"/>
        </w:rPr>
      </w:pPr>
      <w:r w:rsidRPr="0025268E">
        <w:rPr>
          <w:rStyle w:val="FootnoteReference"/>
          <w:szCs w:val="22"/>
        </w:rPr>
        <w:footnoteRef/>
      </w:r>
      <w:r w:rsidRPr="0025268E">
        <w:rPr>
          <w:szCs w:val="22"/>
        </w:rPr>
        <w:t xml:space="preserve"> </w:t>
      </w:r>
      <w:r w:rsidRPr="0025268E">
        <w:rPr>
          <w:i/>
          <w:iCs/>
          <w:szCs w:val="22"/>
        </w:rPr>
        <w:t>Ibid</w:t>
      </w:r>
      <w:r w:rsidRPr="0025268E">
        <w:rPr>
          <w:szCs w:val="22"/>
        </w:rPr>
        <w:t>.</w:t>
      </w:r>
    </w:p>
  </w:footnote>
  <w:footnote w:id="46">
    <w:p w14:paraId="22EFB67C" w14:textId="283CB8CA" w:rsidR="00304228" w:rsidRPr="0025268E" w:rsidRDefault="00304228" w:rsidP="0025268E">
      <w:pPr>
        <w:pStyle w:val="FootnoteText"/>
        <w:rPr>
          <w:szCs w:val="22"/>
        </w:rPr>
      </w:pPr>
      <w:r w:rsidRPr="0025268E">
        <w:rPr>
          <w:rStyle w:val="FootnoteReference"/>
          <w:szCs w:val="22"/>
        </w:rPr>
        <w:footnoteRef/>
      </w:r>
      <w:r w:rsidRPr="0025268E">
        <w:rPr>
          <w:szCs w:val="22"/>
        </w:rPr>
        <w:t xml:space="preserve"> </w:t>
      </w:r>
      <w:r w:rsidRPr="0025268E">
        <w:rPr>
          <w:i/>
          <w:iCs/>
          <w:szCs w:val="22"/>
        </w:rPr>
        <w:t>Id</w:t>
      </w:r>
      <w:r w:rsidRPr="0025268E">
        <w:rPr>
          <w:szCs w:val="22"/>
        </w:rPr>
        <w:t>. at Attachment A</w:t>
      </w:r>
      <w:r w:rsidR="00F13B53" w:rsidRPr="0025268E">
        <w:rPr>
          <w:szCs w:val="22"/>
        </w:rPr>
        <w:t xml:space="preserve">, </w:t>
      </w:r>
      <w:r w:rsidR="00C843CB" w:rsidRPr="0025268E">
        <w:rPr>
          <w:szCs w:val="22"/>
        </w:rPr>
        <w:t>p.</w:t>
      </w:r>
      <w:r w:rsidR="00F13B53" w:rsidRPr="0025268E">
        <w:rPr>
          <w:szCs w:val="22"/>
        </w:rPr>
        <w:t xml:space="preserve"> 1-2.</w:t>
      </w:r>
    </w:p>
  </w:footnote>
  <w:footnote w:id="47">
    <w:p w14:paraId="389C62D6" w14:textId="5666D7BE" w:rsidR="003219C8" w:rsidRPr="0025268E" w:rsidRDefault="003219C8" w:rsidP="0025268E">
      <w:pPr>
        <w:pStyle w:val="FootnoteText"/>
        <w:rPr>
          <w:szCs w:val="22"/>
        </w:rPr>
      </w:pPr>
      <w:r w:rsidRPr="0025268E">
        <w:rPr>
          <w:rStyle w:val="FootnoteReference"/>
          <w:szCs w:val="22"/>
        </w:rPr>
        <w:footnoteRef/>
      </w:r>
      <w:r w:rsidRPr="0025268E">
        <w:rPr>
          <w:szCs w:val="22"/>
        </w:rPr>
        <w:t xml:space="preserve"> </w:t>
      </w:r>
      <w:r w:rsidRPr="0025268E">
        <w:rPr>
          <w:i/>
          <w:iCs/>
          <w:szCs w:val="22"/>
        </w:rPr>
        <w:t>Id</w:t>
      </w:r>
      <w:r w:rsidRPr="0025268E">
        <w:rPr>
          <w:szCs w:val="22"/>
        </w:rPr>
        <w:t>. at Att</w:t>
      </w:r>
      <w:r w:rsidR="00C843CB" w:rsidRPr="0025268E">
        <w:rPr>
          <w:szCs w:val="22"/>
        </w:rPr>
        <w:t>achment A, p. 2.</w:t>
      </w:r>
    </w:p>
  </w:footnote>
  <w:footnote w:id="48">
    <w:p w14:paraId="467F5595" w14:textId="720D04B8" w:rsidR="00EA1D98" w:rsidRPr="0025268E" w:rsidRDefault="00EA1D98" w:rsidP="00EA1D98">
      <w:pPr>
        <w:pStyle w:val="FootnoteText"/>
        <w:rPr>
          <w:szCs w:val="22"/>
        </w:rPr>
      </w:pPr>
      <w:r w:rsidRPr="0025268E">
        <w:rPr>
          <w:rStyle w:val="FootnoteReference"/>
          <w:szCs w:val="22"/>
        </w:rPr>
        <w:footnoteRef/>
      </w:r>
      <w:r w:rsidRPr="0025268E">
        <w:rPr>
          <w:szCs w:val="22"/>
        </w:rPr>
        <w:t xml:space="preserve"> Cal Advocates Exhibit CalAdv-01 at 1-8.</w:t>
      </w:r>
      <w:r w:rsidR="00A04319">
        <w:rPr>
          <w:szCs w:val="22"/>
        </w:rPr>
        <w:t xml:space="preserve"> We note </w:t>
      </w:r>
      <w:r w:rsidR="00726314">
        <w:rPr>
          <w:szCs w:val="22"/>
        </w:rPr>
        <w:t xml:space="preserve">these concerns were raised prior to the submission of supplemental testimony and that Cal Advocates did not serve rebuttal testimony to </w:t>
      </w:r>
      <w:r w:rsidR="004E05EB">
        <w:rPr>
          <w:szCs w:val="22"/>
        </w:rPr>
        <w:t>the supplemental testimony.</w:t>
      </w:r>
    </w:p>
  </w:footnote>
  <w:footnote w:id="49">
    <w:p w14:paraId="4F354526" w14:textId="75456939" w:rsidR="009128A1" w:rsidRDefault="009128A1">
      <w:pPr>
        <w:pStyle w:val="FootnoteText"/>
      </w:pPr>
      <w:r>
        <w:rPr>
          <w:rStyle w:val="FootnoteReference"/>
        </w:rPr>
        <w:footnoteRef/>
      </w:r>
      <w:r>
        <w:t xml:space="preserve"> </w:t>
      </w:r>
      <w:r w:rsidR="009670DA">
        <w:t>See Sierra Club Exhibit SC-02 at 7-8 (</w:t>
      </w:r>
      <w:r w:rsidR="00FD760C">
        <w:t xml:space="preserve">citing several class 8 electric refuse trucks that </w:t>
      </w:r>
      <w:r w:rsidR="00355219">
        <w:t>advertise maximum payload capacities of approximatel</w:t>
      </w:r>
      <w:r w:rsidR="003A51B3">
        <w:t xml:space="preserve">y 12.75 and 20.5 tons); </w:t>
      </w:r>
      <w:r w:rsidR="003A51B3" w:rsidRPr="00BD4A59">
        <w:rPr>
          <w:i/>
          <w:iCs/>
        </w:rPr>
        <w:t>see also</w:t>
      </w:r>
      <w:r w:rsidR="003A51B3">
        <w:t xml:space="preserve"> </w:t>
      </w:r>
      <w:r w:rsidR="003A51B3" w:rsidRPr="0025268E">
        <w:rPr>
          <w:szCs w:val="22"/>
        </w:rPr>
        <w:t>Sierra Club Exhibit SC-01 at 6-7</w:t>
      </w:r>
      <w:r w:rsidR="003A51B3">
        <w:rPr>
          <w:szCs w:val="22"/>
        </w:rPr>
        <w:t xml:space="preserve"> (</w:t>
      </w:r>
      <w:r w:rsidR="00CF66AF">
        <w:rPr>
          <w:szCs w:val="22"/>
        </w:rPr>
        <w:t xml:space="preserve">citing </w:t>
      </w:r>
      <w:r w:rsidR="005E71C1">
        <w:rPr>
          <w:szCs w:val="22"/>
        </w:rPr>
        <w:t xml:space="preserve">electric refuse truck models with daily ranges including </w:t>
      </w:r>
      <w:r w:rsidR="005E71C1">
        <w:t>80-120 miles per charge and up to 100 on-the-job miles</w:t>
      </w:r>
      <w:r w:rsidR="00887972">
        <w:t>).</w:t>
      </w:r>
    </w:p>
  </w:footnote>
  <w:footnote w:id="50">
    <w:p w14:paraId="670F0D97" w14:textId="6DF8C71F" w:rsidR="000649FE" w:rsidRPr="0025268E" w:rsidRDefault="000649FE" w:rsidP="0025268E">
      <w:pPr>
        <w:pStyle w:val="FootnoteText"/>
        <w:rPr>
          <w:szCs w:val="22"/>
        </w:rPr>
      </w:pPr>
      <w:r w:rsidRPr="0025268E">
        <w:rPr>
          <w:rStyle w:val="FootnoteReference"/>
          <w:szCs w:val="22"/>
        </w:rPr>
        <w:footnoteRef/>
      </w:r>
      <w:r w:rsidRPr="0025268E">
        <w:rPr>
          <w:szCs w:val="22"/>
        </w:rPr>
        <w:t xml:space="preserve"> </w:t>
      </w:r>
      <w:r w:rsidR="00166895" w:rsidRPr="0025268E">
        <w:rPr>
          <w:szCs w:val="22"/>
        </w:rPr>
        <w:t>SoCalGas Exhibit SCG-02 at JL-14.</w:t>
      </w:r>
    </w:p>
  </w:footnote>
  <w:footnote w:id="51">
    <w:p w14:paraId="7CA9736D" w14:textId="71CC85CC" w:rsidR="00BF2FE0" w:rsidRPr="0025268E" w:rsidRDefault="00BF2FE0" w:rsidP="0025268E">
      <w:pPr>
        <w:pStyle w:val="FootnoteText"/>
        <w:rPr>
          <w:szCs w:val="22"/>
        </w:rPr>
      </w:pPr>
      <w:r w:rsidRPr="0025268E">
        <w:rPr>
          <w:rStyle w:val="FootnoteReference"/>
          <w:szCs w:val="22"/>
        </w:rPr>
        <w:footnoteRef/>
      </w:r>
      <w:r w:rsidRPr="0025268E">
        <w:rPr>
          <w:szCs w:val="22"/>
        </w:rPr>
        <w:t xml:space="preserve"> </w:t>
      </w:r>
      <w:r w:rsidR="003D382B" w:rsidRPr="0025268E">
        <w:rPr>
          <w:i/>
          <w:iCs/>
          <w:szCs w:val="22"/>
        </w:rPr>
        <w:t>Ibid.</w:t>
      </w:r>
    </w:p>
  </w:footnote>
  <w:footnote w:id="52">
    <w:p w14:paraId="05935B79" w14:textId="173B04E6" w:rsidR="00407A96" w:rsidRPr="0025268E" w:rsidRDefault="00407A96" w:rsidP="0025268E">
      <w:pPr>
        <w:pStyle w:val="FootnoteText"/>
        <w:rPr>
          <w:szCs w:val="22"/>
        </w:rPr>
      </w:pPr>
      <w:r w:rsidRPr="0025268E">
        <w:rPr>
          <w:rStyle w:val="FootnoteReference"/>
          <w:szCs w:val="22"/>
        </w:rPr>
        <w:footnoteRef/>
      </w:r>
      <w:r w:rsidRPr="0025268E">
        <w:rPr>
          <w:szCs w:val="22"/>
        </w:rPr>
        <w:t xml:space="preserve"> </w:t>
      </w:r>
      <w:r w:rsidR="003D382B" w:rsidRPr="0025268E">
        <w:rPr>
          <w:i/>
          <w:iCs/>
          <w:szCs w:val="22"/>
        </w:rPr>
        <w:t>Id</w:t>
      </w:r>
      <w:r w:rsidR="003D382B" w:rsidRPr="0025268E">
        <w:rPr>
          <w:szCs w:val="22"/>
        </w:rPr>
        <w:t>. at JL-15.</w:t>
      </w:r>
    </w:p>
  </w:footnote>
  <w:footnote w:id="53">
    <w:p w14:paraId="7275CD4F" w14:textId="53F4C60D" w:rsidR="00EC1A0B" w:rsidRPr="0025268E" w:rsidRDefault="00EC1A0B" w:rsidP="0025268E">
      <w:pPr>
        <w:pStyle w:val="FootnoteText"/>
        <w:rPr>
          <w:szCs w:val="22"/>
        </w:rPr>
      </w:pPr>
      <w:r w:rsidRPr="0025268E">
        <w:rPr>
          <w:rStyle w:val="FootnoteReference"/>
          <w:szCs w:val="22"/>
        </w:rPr>
        <w:footnoteRef/>
      </w:r>
      <w:r w:rsidRPr="0025268E">
        <w:rPr>
          <w:szCs w:val="22"/>
        </w:rPr>
        <w:t xml:space="preserve"> SoCalGas Exhibit SCG-02</w:t>
      </w:r>
      <w:r w:rsidR="009A226E" w:rsidRPr="0025268E">
        <w:rPr>
          <w:szCs w:val="22"/>
        </w:rPr>
        <w:t>S</w:t>
      </w:r>
      <w:r w:rsidRPr="0025268E">
        <w:rPr>
          <w:szCs w:val="22"/>
        </w:rPr>
        <w:t>, Attachment B at 1.</w:t>
      </w:r>
    </w:p>
  </w:footnote>
  <w:footnote w:id="54">
    <w:p w14:paraId="1A68F564" w14:textId="7F93FF5B" w:rsidR="006428E7" w:rsidRPr="0025268E" w:rsidRDefault="006428E7" w:rsidP="0025268E">
      <w:pPr>
        <w:pStyle w:val="FootnoteText"/>
        <w:rPr>
          <w:szCs w:val="22"/>
        </w:rPr>
      </w:pPr>
      <w:r w:rsidRPr="0025268E">
        <w:rPr>
          <w:rStyle w:val="FootnoteReference"/>
          <w:szCs w:val="22"/>
        </w:rPr>
        <w:footnoteRef/>
      </w:r>
      <w:r w:rsidRPr="0025268E">
        <w:rPr>
          <w:szCs w:val="22"/>
        </w:rPr>
        <w:t xml:space="preserve"> </w:t>
      </w:r>
      <w:r w:rsidRPr="0025268E">
        <w:rPr>
          <w:i/>
          <w:iCs/>
          <w:szCs w:val="22"/>
        </w:rPr>
        <w:t>Ibid</w:t>
      </w:r>
      <w:r w:rsidRPr="0025268E">
        <w:rPr>
          <w:szCs w:val="22"/>
        </w:rPr>
        <w:t>.</w:t>
      </w:r>
    </w:p>
  </w:footnote>
  <w:footnote w:id="55">
    <w:p w14:paraId="358262DE" w14:textId="5945CBFB" w:rsidR="001A106F" w:rsidRPr="0025268E" w:rsidRDefault="001A106F" w:rsidP="0025268E">
      <w:pPr>
        <w:pStyle w:val="FootnoteText"/>
        <w:rPr>
          <w:szCs w:val="22"/>
        </w:rPr>
      </w:pPr>
      <w:r w:rsidRPr="0025268E">
        <w:rPr>
          <w:rStyle w:val="FootnoteReference"/>
          <w:szCs w:val="22"/>
        </w:rPr>
        <w:footnoteRef/>
      </w:r>
      <w:r w:rsidRPr="0025268E">
        <w:rPr>
          <w:szCs w:val="22"/>
        </w:rPr>
        <w:t xml:space="preserve"> </w:t>
      </w:r>
      <w:r w:rsidR="002C5898" w:rsidRPr="0025268E">
        <w:rPr>
          <w:i/>
          <w:iCs/>
          <w:szCs w:val="22"/>
        </w:rPr>
        <w:t>Id</w:t>
      </w:r>
      <w:r w:rsidR="002C5898" w:rsidRPr="0025268E">
        <w:rPr>
          <w:szCs w:val="22"/>
        </w:rPr>
        <w:t xml:space="preserve">. at Attachment B, p. </w:t>
      </w:r>
      <w:r w:rsidR="00C20F10" w:rsidRPr="0025268E">
        <w:rPr>
          <w:szCs w:val="22"/>
        </w:rPr>
        <w:t>1-</w:t>
      </w:r>
      <w:r w:rsidR="002C5898" w:rsidRPr="0025268E">
        <w:rPr>
          <w:szCs w:val="22"/>
        </w:rPr>
        <w:t>2.</w:t>
      </w:r>
    </w:p>
  </w:footnote>
  <w:footnote w:id="56">
    <w:p w14:paraId="2AA75755" w14:textId="3126306E" w:rsidR="0055122F" w:rsidRPr="0025268E" w:rsidRDefault="0055122F" w:rsidP="0025268E">
      <w:pPr>
        <w:pStyle w:val="FootnoteText"/>
        <w:rPr>
          <w:szCs w:val="22"/>
        </w:rPr>
      </w:pPr>
      <w:r w:rsidRPr="0025268E">
        <w:rPr>
          <w:rStyle w:val="FootnoteReference"/>
          <w:szCs w:val="22"/>
        </w:rPr>
        <w:footnoteRef/>
      </w:r>
      <w:r w:rsidRPr="0025268E">
        <w:rPr>
          <w:szCs w:val="22"/>
        </w:rPr>
        <w:t xml:space="preserve"> Sierra Club Exhibit SC-02 at 8.</w:t>
      </w:r>
    </w:p>
  </w:footnote>
  <w:footnote w:id="57">
    <w:p w14:paraId="21614DAC" w14:textId="659A431A" w:rsidR="004649F5" w:rsidRPr="0025268E" w:rsidRDefault="004649F5" w:rsidP="0025268E">
      <w:pPr>
        <w:pStyle w:val="FootnoteText"/>
        <w:rPr>
          <w:szCs w:val="22"/>
        </w:rPr>
      </w:pPr>
      <w:r w:rsidRPr="0025268E">
        <w:rPr>
          <w:rStyle w:val="FootnoteReference"/>
          <w:szCs w:val="22"/>
        </w:rPr>
        <w:footnoteRef/>
      </w:r>
      <w:r w:rsidRPr="0025268E">
        <w:rPr>
          <w:szCs w:val="22"/>
        </w:rPr>
        <w:t xml:space="preserve"> </w:t>
      </w:r>
      <w:r w:rsidRPr="0025268E">
        <w:rPr>
          <w:i/>
          <w:iCs/>
          <w:szCs w:val="22"/>
        </w:rPr>
        <w:t>Id</w:t>
      </w:r>
      <w:r w:rsidRPr="0025268E">
        <w:rPr>
          <w:szCs w:val="22"/>
        </w:rPr>
        <w:t xml:space="preserve">. at </w:t>
      </w:r>
      <w:r w:rsidR="00054DB3" w:rsidRPr="0025268E">
        <w:rPr>
          <w:szCs w:val="22"/>
        </w:rPr>
        <w:t>2-3.</w:t>
      </w:r>
    </w:p>
  </w:footnote>
  <w:footnote w:id="58">
    <w:p w14:paraId="522736CE" w14:textId="3471A7C2" w:rsidR="003241E6" w:rsidRPr="0025268E" w:rsidRDefault="003241E6" w:rsidP="0025268E">
      <w:pPr>
        <w:pStyle w:val="FootnoteText"/>
        <w:rPr>
          <w:szCs w:val="22"/>
        </w:rPr>
      </w:pPr>
      <w:r w:rsidRPr="0025268E">
        <w:rPr>
          <w:rStyle w:val="FootnoteReference"/>
          <w:szCs w:val="22"/>
        </w:rPr>
        <w:footnoteRef/>
      </w:r>
      <w:r w:rsidRPr="0025268E">
        <w:rPr>
          <w:szCs w:val="22"/>
        </w:rPr>
        <w:t xml:space="preserve"> </w:t>
      </w:r>
      <w:r w:rsidRPr="0025268E">
        <w:rPr>
          <w:i/>
          <w:iCs/>
          <w:szCs w:val="22"/>
        </w:rPr>
        <w:t>Id</w:t>
      </w:r>
      <w:r w:rsidRPr="0025268E">
        <w:rPr>
          <w:szCs w:val="22"/>
        </w:rPr>
        <w:t>. at 4-5.</w:t>
      </w:r>
    </w:p>
  </w:footnote>
  <w:footnote w:id="59">
    <w:p w14:paraId="036746A9" w14:textId="6EAF425B" w:rsidR="00C94D31" w:rsidRPr="0025268E" w:rsidRDefault="00C94D31" w:rsidP="0025268E">
      <w:pPr>
        <w:pStyle w:val="FootnoteText"/>
        <w:rPr>
          <w:szCs w:val="22"/>
        </w:rPr>
      </w:pPr>
      <w:r w:rsidRPr="0025268E">
        <w:rPr>
          <w:rStyle w:val="FootnoteReference"/>
          <w:szCs w:val="22"/>
        </w:rPr>
        <w:footnoteRef/>
      </w:r>
      <w:r w:rsidRPr="0025268E">
        <w:rPr>
          <w:szCs w:val="22"/>
        </w:rPr>
        <w:t xml:space="preserve"> </w:t>
      </w:r>
      <w:r w:rsidR="00B5462B" w:rsidRPr="00B5462B">
        <w:rPr>
          <w:i/>
          <w:iCs/>
          <w:szCs w:val="22"/>
        </w:rPr>
        <w:t>See</w:t>
      </w:r>
      <w:r w:rsidR="00580C35" w:rsidRPr="0025268E">
        <w:rPr>
          <w:szCs w:val="22"/>
        </w:rPr>
        <w:t xml:space="preserve"> Sierra Club Exhibit SC-01 at </w:t>
      </w:r>
      <w:r w:rsidR="005A5982" w:rsidRPr="0025268E">
        <w:rPr>
          <w:szCs w:val="22"/>
        </w:rPr>
        <w:t>6; Cal Advocates Exhibit CalAdv-01 at</w:t>
      </w:r>
      <w:r w:rsidR="00E5302B" w:rsidRPr="0025268E">
        <w:rPr>
          <w:szCs w:val="22"/>
        </w:rPr>
        <w:t xml:space="preserve"> 1-8.</w:t>
      </w:r>
    </w:p>
  </w:footnote>
  <w:footnote w:id="60">
    <w:p w14:paraId="5D02DF4A" w14:textId="77777777" w:rsidR="007B305F" w:rsidRPr="0025268E" w:rsidRDefault="007B305F" w:rsidP="007B305F">
      <w:pPr>
        <w:pStyle w:val="FootnoteText"/>
        <w:rPr>
          <w:szCs w:val="22"/>
        </w:rPr>
      </w:pPr>
      <w:r w:rsidRPr="0025268E">
        <w:rPr>
          <w:rStyle w:val="FootnoteReference"/>
          <w:szCs w:val="22"/>
        </w:rPr>
        <w:footnoteRef/>
      </w:r>
      <w:r w:rsidRPr="0025268E">
        <w:rPr>
          <w:szCs w:val="22"/>
        </w:rPr>
        <w:t xml:space="preserve"> SoCalGas Exhibit SCG-02S, Attachment B at 1.</w:t>
      </w:r>
    </w:p>
  </w:footnote>
  <w:footnote w:id="61">
    <w:p w14:paraId="30D1C1DF" w14:textId="77777777" w:rsidR="00831B9B" w:rsidRPr="0025268E" w:rsidRDefault="00831B9B" w:rsidP="00831B9B">
      <w:pPr>
        <w:pStyle w:val="FootnoteText"/>
        <w:rPr>
          <w:szCs w:val="22"/>
        </w:rPr>
      </w:pPr>
      <w:r w:rsidRPr="0025268E">
        <w:rPr>
          <w:rStyle w:val="FootnoteReference"/>
          <w:szCs w:val="22"/>
        </w:rPr>
        <w:footnoteRef/>
      </w:r>
      <w:r w:rsidRPr="0025268E">
        <w:rPr>
          <w:szCs w:val="22"/>
        </w:rPr>
        <w:t xml:space="preserve"> </w:t>
      </w:r>
      <w:r w:rsidRPr="0025268E">
        <w:rPr>
          <w:i/>
          <w:iCs/>
          <w:szCs w:val="22"/>
        </w:rPr>
        <w:t>Ibid</w:t>
      </w:r>
      <w:r w:rsidRPr="0025268E">
        <w:rPr>
          <w:szCs w:val="22"/>
        </w:rPr>
        <w:t>.</w:t>
      </w:r>
    </w:p>
  </w:footnote>
  <w:footnote w:id="62">
    <w:p w14:paraId="1811E2A2" w14:textId="2DDCDC25" w:rsidR="00D55D4E" w:rsidRPr="0025268E" w:rsidRDefault="00D55D4E" w:rsidP="0025268E">
      <w:pPr>
        <w:pStyle w:val="FootnoteText"/>
        <w:rPr>
          <w:szCs w:val="22"/>
        </w:rPr>
      </w:pPr>
      <w:r w:rsidRPr="0025268E">
        <w:rPr>
          <w:rStyle w:val="FootnoteReference"/>
          <w:szCs w:val="22"/>
        </w:rPr>
        <w:footnoteRef/>
      </w:r>
      <w:r w:rsidRPr="0025268E">
        <w:rPr>
          <w:szCs w:val="22"/>
        </w:rPr>
        <w:t xml:space="preserve"> </w:t>
      </w:r>
      <w:r w:rsidR="00B755BD" w:rsidRPr="0025268E">
        <w:rPr>
          <w:szCs w:val="22"/>
        </w:rPr>
        <w:t>SoCalGas Exhibit SCG-02 at JL-16.</w:t>
      </w:r>
    </w:p>
  </w:footnote>
  <w:footnote w:id="63">
    <w:p w14:paraId="3B979996" w14:textId="7988E8AD" w:rsidR="006B304C" w:rsidRPr="0025268E" w:rsidRDefault="006B304C" w:rsidP="0025268E">
      <w:pPr>
        <w:pStyle w:val="FootnoteText"/>
        <w:rPr>
          <w:szCs w:val="22"/>
        </w:rPr>
      </w:pPr>
      <w:r w:rsidRPr="0025268E">
        <w:rPr>
          <w:rStyle w:val="FootnoteReference"/>
          <w:szCs w:val="22"/>
        </w:rPr>
        <w:footnoteRef/>
      </w:r>
      <w:r w:rsidRPr="0025268E">
        <w:rPr>
          <w:szCs w:val="22"/>
        </w:rPr>
        <w:t xml:space="preserve"> </w:t>
      </w:r>
      <w:r w:rsidRPr="0025268E">
        <w:rPr>
          <w:i/>
          <w:iCs/>
          <w:szCs w:val="22"/>
        </w:rPr>
        <w:t>Id</w:t>
      </w:r>
      <w:r w:rsidRPr="0025268E">
        <w:rPr>
          <w:szCs w:val="22"/>
        </w:rPr>
        <w:t>. at JL-17-J</w:t>
      </w:r>
      <w:r w:rsidR="00002727" w:rsidRPr="0025268E">
        <w:rPr>
          <w:szCs w:val="22"/>
        </w:rPr>
        <w:t>L-18.</w:t>
      </w:r>
    </w:p>
  </w:footnote>
  <w:footnote w:id="64">
    <w:p w14:paraId="6A7B307F" w14:textId="50F33A56" w:rsidR="00515EA3" w:rsidRPr="0025268E" w:rsidRDefault="00515EA3" w:rsidP="0025268E">
      <w:pPr>
        <w:pStyle w:val="FootnoteText"/>
        <w:rPr>
          <w:szCs w:val="22"/>
        </w:rPr>
      </w:pPr>
      <w:r w:rsidRPr="0025268E">
        <w:rPr>
          <w:rStyle w:val="FootnoteReference"/>
          <w:szCs w:val="22"/>
        </w:rPr>
        <w:footnoteRef/>
      </w:r>
      <w:r w:rsidRPr="0025268E">
        <w:rPr>
          <w:szCs w:val="22"/>
        </w:rPr>
        <w:t xml:space="preserve"> </w:t>
      </w:r>
      <w:r w:rsidRPr="0025268E">
        <w:rPr>
          <w:i/>
          <w:iCs/>
          <w:szCs w:val="22"/>
        </w:rPr>
        <w:t>Id</w:t>
      </w:r>
      <w:r w:rsidRPr="0025268E">
        <w:rPr>
          <w:szCs w:val="22"/>
        </w:rPr>
        <w:t>. at JL-17, JL-</w:t>
      </w:r>
      <w:r w:rsidR="002E0CE8" w:rsidRPr="0025268E">
        <w:rPr>
          <w:szCs w:val="22"/>
        </w:rPr>
        <w:t>19.</w:t>
      </w:r>
    </w:p>
  </w:footnote>
  <w:footnote w:id="65">
    <w:p w14:paraId="08C4DDC6" w14:textId="258D969B" w:rsidR="00852254" w:rsidRDefault="00852254">
      <w:pPr>
        <w:pStyle w:val="FootnoteText"/>
      </w:pPr>
      <w:r>
        <w:rPr>
          <w:rStyle w:val="FootnoteReference"/>
        </w:rPr>
        <w:footnoteRef/>
      </w:r>
      <w:r>
        <w:t xml:space="preserve"> SoCalGas Exhibit SCG-</w:t>
      </w:r>
      <w:r w:rsidR="00B75FDE">
        <w:t xml:space="preserve">05 at </w:t>
      </w:r>
      <w:r w:rsidR="007E7503">
        <w:t>JL-5, JL-11.</w:t>
      </w:r>
    </w:p>
  </w:footnote>
  <w:footnote w:id="66">
    <w:p w14:paraId="75255021" w14:textId="01506CB6" w:rsidR="00FA47DF" w:rsidRPr="0025268E" w:rsidRDefault="00FA47DF" w:rsidP="0025268E">
      <w:pPr>
        <w:pStyle w:val="FootnoteText"/>
        <w:rPr>
          <w:szCs w:val="22"/>
        </w:rPr>
      </w:pPr>
      <w:r w:rsidRPr="0025268E">
        <w:rPr>
          <w:rStyle w:val="FootnoteReference"/>
          <w:szCs w:val="22"/>
        </w:rPr>
        <w:footnoteRef/>
      </w:r>
      <w:r w:rsidRPr="0025268E">
        <w:rPr>
          <w:szCs w:val="22"/>
        </w:rPr>
        <w:t xml:space="preserve"> </w:t>
      </w:r>
      <w:r w:rsidR="00C17ED0" w:rsidRPr="0025268E">
        <w:rPr>
          <w:szCs w:val="22"/>
        </w:rPr>
        <w:t>Cal Advocates Opening Brief at 14.</w:t>
      </w:r>
    </w:p>
  </w:footnote>
  <w:footnote w:id="67">
    <w:p w14:paraId="2AE987BC" w14:textId="18E87026" w:rsidR="00CC5642" w:rsidRPr="0025268E" w:rsidRDefault="00CC5642" w:rsidP="0025268E">
      <w:pPr>
        <w:pStyle w:val="FootnoteText"/>
        <w:rPr>
          <w:szCs w:val="22"/>
        </w:rPr>
      </w:pPr>
      <w:r w:rsidRPr="0025268E">
        <w:rPr>
          <w:rStyle w:val="FootnoteReference"/>
          <w:szCs w:val="22"/>
        </w:rPr>
        <w:footnoteRef/>
      </w:r>
      <w:r w:rsidRPr="0025268E">
        <w:rPr>
          <w:szCs w:val="22"/>
        </w:rPr>
        <w:t xml:space="preserve"> </w:t>
      </w:r>
      <w:r w:rsidR="002B69D6" w:rsidRPr="0025268E">
        <w:rPr>
          <w:szCs w:val="22"/>
        </w:rPr>
        <w:t xml:space="preserve">D.22-09-026 at 57 </w:t>
      </w:r>
      <w:r w:rsidR="005911AC" w:rsidRPr="0025268E">
        <w:rPr>
          <w:szCs w:val="22"/>
        </w:rPr>
        <w:t xml:space="preserve">and </w:t>
      </w:r>
      <w:r w:rsidR="00403E35" w:rsidRPr="0025268E">
        <w:rPr>
          <w:szCs w:val="22"/>
        </w:rPr>
        <w:t>OP 2.</w:t>
      </w:r>
    </w:p>
  </w:footnote>
  <w:footnote w:id="68">
    <w:p w14:paraId="7B94BE9A" w14:textId="0DF120D8" w:rsidR="002E4C02" w:rsidRPr="0025268E" w:rsidRDefault="002E4C02" w:rsidP="0025268E">
      <w:pPr>
        <w:pStyle w:val="FootnoteText"/>
        <w:rPr>
          <w:szCs w:val="22"/>
        </w:rPr>
      </w:pPr>
      <w:r w:rsidRPr="0025268E">
        <w:rPr>
          <w:rStyle w:val="FootnoteReference"/>
          <w:szCs w:val="22"/>
        </w:rPr>
        <w:footnoteRef/>
      </w:r>
      <w:r w:rsidRPr="0025268E">
        <w:rPr>
          <w:szCs w:val="22"/>
        </w:rPr>
        <w:t xml:space="preserve"> </w:t>
      </w:r>
      <w:r w:rsidR="00E51497" w:rsidRPr="0025268E">
        <w:rPr>
          <w:szCs w:val="22"/>
        </w:rPr>
        <w:t>SoCalGas Exhibit SCG-01 at JM-5.</w:t>
      </w:r>
    </w:p>
  </w:footnote>
  <w:footnote w:id="69">
    <w:p w14:paraId="04307846" w14:textId="2030882D" w:rsidR="00EB4853" w:rsidRPr="00EF1B6C" w:rsidRDefault="00EB4853" w:rsidP="00EF1B6C">
      <w:pPr>
        <w:pStyle w:val="FootnoteText"/>
      </w:pPr>
      <w:r w:rsidRPr="0025268E">
        <w:rPr>
          <w:rStyle w:val="FootnoteReference"/>
          <w:szCs w:val="22"/>
        </w:rPr>
        <w:footnoteRef/>
      </w:r>
      <w:r w:rsidRPr="0025268E">
        <w:rPr>
          <w:szCs w:val="22"/>
        </w:rPr>
        <w:t xml:space="preserve"> </w:t>
      </w:r>
      <w:r w:rsidRPr="0025268E">
        <w:rPr>
          <w:i/>
          <w:iCs/>
          <w:szCs w:val="22"/>
        </w:rPr>
        <w:t>Ibid</w:t>
      </w:r>
      <w:r w:rsidRPr="0025268E">
        <w:rPr>
          <w:szCs w:val="22"/>
        </w:rPr>
        <w:t>.</w:t>
      </w:r>
      <w:r w:rsidR="00EF1B6C">
        <w:rPr>
          <w:szCs w:val="22"/>
        </w:rPr>
        <w:t xml:space="preserve">; </w:t>
      </w:r>
      <w:r w:rsidR="00EF1B6C" w:rsidRPr="00EF1B6C">
        <w:rPr>
          <w:i/>
          <w:iCs/>
        </w:rPr>
        <w:t xml:space="preserve">see also </w:t>
      </w:r>
      <w:r w:rsidR="00EF1B6C" w:rsidRPr="00EF1B6C">
        <w:t>SoCalGas Advice Letter 6483-G (filed May 27, 2025, effective</w:t>
      </w:r>
      <w:r w:rsidR="00EF1B6C">
        <w:t xml:space="preserve"> </w:t>
      </w:r>
      <w:r w:rsidR="00EF1B6C" w:rsidRPr="00EF1B6C">
        <w:rPr>
          <w:szCs w:val="22"/>
        </w:rPr>
        <w:t>July 1, 2025,</w:t>
      </w:r>
      <w:r w:rsidR="00EF1B6C">
        <w:rPr>
          <w:szCs w:val="22"/>
        </w:rPr>
        <w:t xml:space="preserve"> </w:t>
      </w:r>
      <w:r w:rsidR="00EF1B6C" w:rsidRPr="00EF1B6C">
        <w:rPr>
          <w:szCs w:val="22"/>
        </w:rPr>
        <w:t>approved July 15, 2025).</w:t>
      </w:r>
    </w:p>
  </w:footnote>
  <w:footnote w:id="70">
    <w:p w14:paraId="6614C7BD" w14:textId="43FFD177" w:rsidR="0080760E" w:rsidRPr="0025268E" w:rsidRDefault="0080760E" w:rsidP="0025268E">
      <w:pPr>
        <w:pStyle w:val="FootnoteText"/>
        <w:rPr>
          <w:szCs w:val="22"/>
        </w:rPr>
      </w:pPr>
      <w:r w:rsidRPr="0025268E">
        <w:rPr>
          <w:rStyle w:val="FootnoteReference"/>
          <w:szCs w:val="22"/>
        </w:rPr>
        <w:footnoteRef/>
      </w:r>
      <w:r w:rsidRPr="0025268E">
        <w:rPr>
          <w:szCs w:val="22"/>
        </w:rPr>
        <w:t xml:space="preserve"> </w:t>
      </w:r>
      <w:r w:rsidRPr="0025268E">
        <w:rPr>
          <w:i/>
          <w:iCs/>
          <w:szCs w:val="22"/>
        </w:rPr>
        <w:t>Id</w:t>
      </w:r>
      <w:r w:rsidRPr="0025268E">
        <w:rPr>
          <w:szCs w:val="22"/>
        </w:rPr>
        <w:t>. at JM-6.</w:t>
      </w:r>
    </w:p>
  </w:footnote>
  <w:footnote w:id="71">
    <w:p w14:paraId="7E0204C5" w14:textId="3713DA93" w:rsidR="00B270E1" w:rsidRPr="0025268E" w:rsidRDefault="00B270E1" w:rsidP="0025268E">
      <w:pPr>
        <w:pStyle w:val="FootnoteText"/>
        <w:rPr>
          <w:szCs w:val="22"/>
        </w:rPr>
      </w:pPr>
      <w:r w:rsidRPr="0025268E">
        <w:rPr>
          <w:rStyle w:val="FootnoteReference"/>
          <w:szCs w:val="22"/>
        </w:rPr>
        <w:footnoteRef/>
      </w:r>
      <w:r w:rsidRPr="0025268E">
        <w:rPr>
          <w:szCs w:val="22"/>
        </w:rPr>
        <w:t xml:space="preserve"> </w:t>
      </w:r>
      <w:r w:rsidRPr="0025268E">
        <w:rPr>
          <w:i/>
          <w:iCs/>
          <w:szCs w:val="22"/>
        </w:rPr>
        <w:t>Ibid</w:t>
      </w:r>
      <w:r w:rsidRPr="0025268E">
        <w:rPr>
          <w:szCs w:val="22"/>
        </w:rPr>
        <w:t>.</w:t>
      </w:r>
    </w:p>
  </w:footnote>
  <w:footnote w:id="72">
    <w:p w14:paraId="607CDA87" w14:textId="1394107D" w:rsidR="003A3948" w:rsidRPr="0025268E" w:rsidRDefault="003A3948" w:rsidP="0025268E">
      <w:pPr>
        <w:pStyle w:val="FootnoteText"/>
        <w:rPr>
          <w:szCs w:val="22"/>
        </w:rPr>
      </w:pPr>
      <w:r w:rsidRPr="0025268E">
        <w:rPr>
          <w:rStyle w:val="FootnoteReference"/>
          <w:szCs w:val="22"/>
        </w:rPr>
        <w:footnoteRef/>
      </w:r>
      <w:r w:rsidRPr="0025268E">
        <w:rPr>
          <w:szCs w:val="22"/>
        </w:rPr>
        <w:t xml:space="preserve"> </w:t>
      </w:r>
      <w:r w:rsidR="00690433" w:rsidRPr="0025268E">
        <w:rPr>
          <w:i/>
          <w:iCs/>
          <w:szCs w:val="22"/>
        </w:rPr>
        <w:t>Ibid</w:t>
      </w:r>
      <w:r w:rsidR="00690433" w:rsidRPr="0025268E">
        <w:rPr>
          <w:szCs w:val="22"/>
        </w:rPr>
        <w:t>.</w:t>
      </w:r>
    </w:p>
  </w:footnote>
  <w:footnote w:id="73">
    <w:p w14:paraId="23ECDFCE" w14:textId="5505B76D" w:rsidR="00C77334" w:rsidRPr="0025268E" w:rsidRDefault="00C77334" w:rsidP="0025268E">
      <w:pPr>
        <w:pStyle w:val="FootnoteText"/>
        <w:rPr>
          <w:szCs w:val="22"/>
        </w:rPr>
      </w:pPr>
      <w:r w:rsidRPr="0025268E">
        <w:rPr>
          <w:rStyle w:val="FootnoteReference"/>
          <w:szCs w:val="22"/>
        </w:rPr>
        <w:footnoteRef/>
      </w:r>
      <w:r w:rsidRPr="0025268E">
        <w:rPr>
          <w:szCs w:val="22"/>
        </w:rPr>
        <w:t xml:space="preserve"> </w:t>
      </w:r>
      <w:r w:rsidRPr="0025268E">
        <w:rPr>
          <w:i/>
          <w:iCs/>
          <w:szCs w:val="22"/>
        </w:rPr>
        <w:t>Id</w:t>
      </w:r>
      <w:r w:rsidRPr="0025268E">
        <w:rPr>
          <w:szCs w:val="22"/>
        </w:rPr>
        <w:t>. at JM-6-JM-7.</w:t>
      </w:r>
    </w:p>
  </w:footnote>
  <w:footnote w:id="74">
    <w:p w14:paraId="4FE9B454" w14:textId="5B5E43EB" w:rsidR="00044A65" w:rsidRPr="0025268E" w:rsidRDefault="00044A65" w:rsidP="0025268E">
      <w:pPr>
        <w:pStyle w:val="FootnoteText"/>
        <w:rPr>
          <w:szCs w:val="22"/>
        </w:rPr>
      </w:pPr>
      <w:r w:rsidRPr="0025268E">
        <w:rPr>
          <w:rStyle w:val="FootnoteReference"/>
          <w:szCs w:val="22"/>
        </w:rPr>
        <w:footnoteRef/>
      </w:r>
      <w:r w:rsidRPr="0025268E">
        <w:rPr>
          <w:szCs w:val="22"/>
        </w:rPr>
        <w:t xml:space="preserve"> </w:t>
      </w:r>
      <w:r w:rsidR="001A39F9" w:rsidRPr="0025268E">
        <w:rPr>
          <w:szCs w:val="22"/>
        </w:rPr>
        <w:t>SoCalGas Opening Brief at 6.</w:t>
      </w:r>
    </w:p>
  </w:footnote>
  <w:footnote w:id="75">
    <w:p w14:paraId="3AD3BA1E" w14:textId="6EBD1DD0" w:rsidR="006159F0" w:rsidRPr="0025268E" w:rsidRDefault="006159F0" w:rsidP="0025268E">
      <w:pPr>
        <w:pStyle w:val="FootnoteText"/>
        <w:rPr>
          <w:szCs w:val="22"/>
        </w:rPr>
      </w:pPr>
      <w:r w:rsidRPr="0025268E">
        <w:rPr>
          <w:rStyle w:val="FootnoteReference"/>
          <w:szCs w:val="22"/>
        </w:rPr>
        <w:footnoteRef/>
      </w:r>
      <w:r w:rsidRPr="0025268E">
        <w:rPr>
          <w:szCs w:val="22"/>
        </w:rPr>
        <w:t xml:space="preserve"> Sierra Club Opening Brief at </w:t>
      </w:r>
      <w:r w:rsidR="00AD7ABC" w:rsidRPr="0025268E">
        <w:rPr>
          <w:szCs w:val="22"/>
        </w:rPr>
        <w:t>7.</w:t>
      </w:r>
    </w:p>
  </w:footnote>
  <w:footnote w:id="76">
    <w:p w14:paraId="3CAD72AD" w14:textId="19B824A0" w:rsidR="00AD7ABC" w:rsidRPr="0025268E" w:rsidRDefault="00AD7ABC" w:rsidP="0025268E">
      <w:pPr>
        <w:pStyle w:val="FootnoteText"/>
        <w:rPr>
          <w:szCs w:val="22"/>
        </w:rPr>
      </w:pPr>
      <w:r w:rsidRPr="0025268E">
        <w:rPr>
          <w:rStyle w:val="FootnoteReference"/>
          <w:szCs w:val="22"/>
        </w:rPr>
        <w:footnoteRef/>
      </w:r>
      <w:r w:rsidRPr="0025268E">
        <w:rPr>
          <w:szCs w:val="22"/>
        </w:rPr>
        <w:t xml:space="preserve"> </w:t>
      </w:r>
      <w:r w:rsidRPr="0025268E">
        <w:rPr>
          <w:i/>
          <w:iCs/>
          <w:szCs w:val="22"/>
        </w:rPr>
        <w:t>Id</w:t>
      </w:r>
      <w:r w:rsidRPr="0025268E">
        <w:rPr>
          <w:szCs w:val="22"/>
        </w:rPr>
        <w:t>. at 6-7.</w:t>
      </w:r>
    </w:p>
  </w:footnote>
  <w:footnote w:id="77">
    <w:p w14:paraId="560EB39C" w14:textId="4FCC0309" w:rsidR="000B51EF" w:rsidRPr="0025268E" w:rsidRDefault="000B51EF" w:rsidP="0025268E">
      <w:pPr>
        <w:pStyle w:val="FootnoteText"/>
        <w:rPr>
          <w:szCs w:val="22"/>
        </w:rPr>
      </w:pPr>
      <w:r w:rsidRPr="0025268E">
        <w:rPr>
          <w:rStyle w:val="FootnoteReference"/>
          <w:szCs w:val="22"/>
        </w:rPr>
        <w:footnoteRef/>
      </w:r>
      <w:r w:rsidRPr="0025268E">
        <w:rPr>
          <w:szCs w:val="22"/>
        </w:rPr>
        <w:t xml:space="preserve"> SoCalGas Exhibit SCG-01 at JM-4.</w:t>
      </w:r>
    </w:p>
  </w:footnote>
  <w:footnote w:id="78">
    <w:p w14:paraId="1387CC05" w14:textId="78BAC453" w:rsidR="0051159E" w:rsidRPr="0025268E" w:rsidRDefault="0051159E" w:rsidP="0025268E">
      <w:pPr>
        <w:pStyle w:val="FootnoteText"/>
        <w:rPr>
          <w:szCs w:val="22"/>
        </w:rPr>
      </w:pPr>
      <w:r w:rsidRPr="0025268E">
        <w:rPr>
          <w:rStyle w:val="FootnoteReference"/>
          <w:szCs w:val="22"/>
        </w:rPr>
        <w:footnoteRef/>
      </w:r>
      <w:r w:rsidRPr="0025268E">
        <w:rPr>
          <w:szCs w:val="22"/>
        </w:rPr>
        <w:t xml:space="preserve"> </w:t>
      </w:r>
      <w:r w:rsidRPr="0025268E">
        <w:rPr>
          <w:i/>
          <w:iCs/>
          <w:szCs w:val="22"/>
        </w:rPr>
        <w:t>Ibid</w:t>
      </w:r>
      <w:r w:rsidRPr="0025268E">
        <w:rPr>
          <w:szCs w:val="22"/>
        </w:rPr>
        <w:t>.</w:t>
      </w:r>
    </w:p>
  </w:footnote>
  <w:footnote w:id="79">
    <w:p w14:paraId="2466DC30" w14:textId="69C509FD" w:rsidR="0051159E" w:rsidRPr="0025268E" w:rsidRDefault="0051159E" w:rsidP="0025268E">
      <w:pPr>
        <w:pStyle w:val="FootnoteText"/>
        <w:rPr>
          <w:szCs w:val="22"/>
        </w:rPr>
      </w:pPr>
      <w:r w:rsidRPr="0025268E">
        <w:rPr>
          <w:rStyle w:val="FootnoteReference"/>
          <w:szCs w:val="22"/>
        </w:rPr>
        <w:footnoteRef/>
      </w:r>
      <w:r w:rsidRPr="0025268E">
        <w:rPr>
          <w:szCs w:val="22"/>
        </w:rPr>
        <w:t xml:space="preserve"> </w:t>
      </w:r>
      <w:r w:rsidRPr="0025268E">
        <w:rPr>
          <w:i/>
          <w:iCs/>
          <w:szCs w:val="22"/>
        </w:rPr>
        <w:t>Id</w:t>
      </w:r>
      <w:r w:rsidRPr="0025268E">
        <w:rPr>
          <w:szCs w:val="22"/>
        </w:rPr>
        <w:t>. at JM-4-JM-5.</w:t>
      </w:r>
    </w:p>
  </w:footnote>
  <w:footnote w:id="80">
    <w:p w14:paraId="1685A6F0" w14:textId="2E0826FA" w:rsidR="005327E3" w:rsidRPr="0025268E" w:rsidRDefault="005327E3" w:rsidP="0025268E">
      <w:pPr>
        <w:pStyle w:val="FootnoteText"/>
        <w:rPr>
          <w:szCs w:val="22"/>
        </w:rPr>
      </w:pPr>
      <w:r w:rsidRPr="0025268E">
        <w:rPr>
          <w:rStyle w:val="FootnoteReference"/>
          <w:szCs w:val="22"/>
        </w:rPr>
        <w:footnoteRef/>
      </w:r>
      <w:r w:rsidRPr="0025268E">
        <w:rPr>
          <w:szCs w:val="22"/>
        </w:rPr>
        <w:t xml:space="preserve"> </w:t>
      </w:r>
      <w:r w:rsidRPr="0025268E">
        <w:rPr>
          <w:i/>
          <w:iCs/>
          <w:szCs w:val="22"/>
        </w:rPr>
        <w:t>Id</w:t>
      </w:r>
      <w:r w:rsidRPr="0025268E">
        <w:rPr>
          <w:szCs w:val="22"/>
        </w:rPr>
        <w:t xml:space="preserve">. at JM-5 (citing </w:t>
      </w:r>
      <w:r w:rsidR="006035F6" w:rsidRPr="0025268E">
        <w:rPr>
          <w:szCs w:val="22"/>
        </w:rPr>
        <w:t>SoCalGas Form 3905-D Sample Form Line Extension Contract at Section I).</w:t>
      </w:r>
    </w:p>
  </w:footnote>
  <w:footnote w:id="81">
    <w:p w14:paraId="3D002776" w14:textId="3CA53CA5" w:rsidR="00645E0B" w:rsidRPr="0025268E" w:rsidRDefault="00645E0B" w:rsidP="0025268E">
      <w:pPr>
        <w:pStyle w:val="FootnoteText"/>
        <w:rPr>
          <w:szCs w:val="22"/>
        </w:rPr>
      </w:pPr>
      <w:r w:rsidRPr="0025268E">
        <w:rPr>
          <w:rStyle w:val="FootnoteReference"/>
          <w:szCs w:val="22"/>
        </w:rPr>
        <w:footnoteRef/>
      </w:r>
      <w:r w:rsidRPr="0025268E">
        <w:rPr>
          <w:szCs w:val="22"/>
        </w:rPr>
        <w:t xml:space="preserve"> </w:t>
      </w:r>
      <w:r w:rsidRPr="0025268E">
        <w:rPr>
          <w:i/>
          <w:iCs/>
          <w:szCs w:val="22"/>
        </w:rPr>
        <w:t>Id</w:t>
      </w:r>
      <w:r w:rsidRPr="0025268E">
        <w:rPr>
          <w:szCs w:val="22"/>
        </w:rPr>
        <w:t>. at JM-5.</w:t>
      </w:r>
    </w:p>
  </w:footnote>
  <w:footnote w:id="82">
    <w:p w14:paraId="2F881AEE" w14:textId="11D5220B" w:rsidR="00134CAE" w:rsidRPr="0025268E" w:rsidRDefault="00134CAE" w:rsidP="0025268E">
      <w:pPr>
        <w:pStyle w:val="FootnoteText"/>
        <w:rPr>
          <w:szCs w:val="22"/>
        </w:rPr>
      </w:pPr>
      <w:r w:rsidRPr="0025268E">
        <w:rPr>
          <w:rStyle w:val="FootnoteReference"/>
          <w:szCs w:val="22"/>
        </w:rPr>
        <w:footnoteRef/>
      </w:r>
      <w:r w:rsidRPr="0025268E">
        <w:rPr>
          <w:szCs w:val="22"/>
        </w:rPr>
        <w:t xml:space="preserve"> SoCalGas Opening Brief at 8.</w:t>
      </w:r>
    </w:p>
  </w:footnote>
  <w:footnote w:id="83">
    <w:p w14:paraId="1ACD89B3" w14:textId="4D932189" w:rsidR="000B1645" w:rsidRPr="0025268E" w:rsidRDefault="000B1645" w:rsidP="0025268E">
      <w:pPr>
        <w:pStyle w:val="FootnoteText"/>
        <w:rPr>
          <w:szCs w:val="22"/>
        </w:rPr>
      </w:pPr>
      <w:r w:rsidRPr="0025268E">
        <w:rPr>
          <w:rStyle w:val="FootnoteReference"/>
          <w:szCs w:val="22"/>
        </w:rPr>
        <w:footnoteRef/>
      </w:r>
      <w:r w:rsidRPr="0025268E">
        <w:rPr>
          <w:szCs w:val="22"/>
        </w:rPr>
        <w:t xml:space="preserve"> </w:t>
      </w:r>
      <w:r w:rsidR="008772F3" w:rsidRPr="0025268E">
        <w:rPr>
          <w:i/>
          <w:iCs/>
          <w:szCs w:val="22"/>
        </w:rPr>
        <w:t xml:space="preserve">Id. </w:t>
      </w:r>
      <w:r w:rsidRPr="0025268E">
        <w:rPr>
          <w:szCs w:val="22"/>
        </w:rPr>
        <w:t xml:space="preserve">at 7 (citing </w:t>
      </w:r>
      <w:r w:rsidR="00A707E3" w:rsidRPr="0025268E">
        <w:rPr>
          <w:szCs w:val="22"/>
        </w:rPr>
        <w:t>D.22-09-026 at 81-82)</w:t>
      </w:r>
      <w:r w:rsidR="008772F3" w:rsidRPr="0025268E">
        <w:rPr>
          <w:szCs w:val="22"/>
        </w:rPr>
        <w:t xml:space="preserve">; </w:t>
      </w:r>
      <w:r w:rsidR="003C6799">
        <w:rPr>
          <w:i/>
          <w:iCs/>
          <w:szCs w:val="22"/>
        </w:rPr>
        <w:t>s</w:t>
      </w:r>
      <w:r w:rsidR="00B5462B" w:rsidRPr="00B5462B">
        <w:rPr>
          <w:i/>
          <w:iCs/>
          <w:szCs w:val="22"/>
        </w:rPr>
        <w:t>ee</w:t>
      </w:r>
      <w:r w:rsidR="008772F3" w:rsidRPr="0025268E">
        <w:rPr>
          <w:szCs w:val="22"/>
        </w:rPr>
        <w:t xml:space="preserve"> </w:t>
      </w:r>
      <w:r w:rsidR="008772F3" w:rsidRPr="00BD4A59">
        <w:rPr>
          <w:i/>
          <w:iCs/>
          <w:szCs w:val="22"/>
        </w:rPr>
        <w:t>also</w:t>
      </w:r>
      <w:r w:rsidR="008772F3" w:rsidRPr="0025268E">
        <w:rPr>
          <w:szCs w:val="22"/>
        </w:rPr>
        <w:t xml:space="preserve"> SoCalGas Exhibit SCG-01 at JM-</w:t>
      </w:r>
      <w:r w:rsidR="00710419" w:rsidRPr="0025268E">
        <w:rPr>
          <w:szCs w:val="22"/>
        </w:rPr>
        <w:t>5</w:t>
      </w:r>
      <w:r w:rsidR="00A707E3" w:rsidRPr="0025268E">
        <w:rPr>
          <w:szCs w:val="22"/>
        </w:rPr>
        <w:t>.</w:t>
      </w:r>
    </w:p>
  </w:footnote>
  <w:footnote w:id="84">
    <w:p w14:paraId="51F6AB7E" w14:textId="2B7826E9" w:rsidR="005E5F8C" w:rsidRPr="0025268E" w:rsidRDefault="005E5F8C" w:rsidP="0025268E">
      <w:pPr>
        <w:pStyle w:val="FootnoteText"/>
        <w:rPr>
          <w:szCs w:val="22"/>
        </w:rPr>
      </w:pPr>
      <w:r w:rsidRPr="0025268E">
        <w:rPr>
          <w:rStyle w:val="FootnoteReference"/>
          <w:szCs w:val="22"/>
        </w:rPr>
        <w:footnoteRef/>
      </w:r>
      <w:r w:rsidRPr="0025268E">
        <w:rPr>
          <w:szCs w:val="22"/>
        </w:rPr>
        <w:t xml:space="preserve"> </w:t>
      </w:r>
      <w:r w:rsidR="006A795A" w:rsidRPr="0025268E">
        <w:rPr>
          <w:szCs w:val="22"/>
        </w:rPr>
        <w:t xml:space="preserve">Joint Case Management Statement filed </w:t>
      </w:r>
      <w:r w:rsidR="009246BC" w:rsidRPr="0025268E">
        <w:rPr>
          <w:szCs w:val="22"/>
        </w:rPr>
        <w:t>January 16, 2026 at 2.</w:t>
      </w:r>
    </w:p>
  </w:footnote>
  <w:footnote w:id="85">
    <w:p w14:paraId="4FD8E7EA" w14:textId="703090A5" w:rsidR="004F3D7A" w:rsidRPr="0025268E" w:rsidRDefault="004F3D7A" w:rsidP="0025268E">
      <w:pPr>
        <w:pStyle w:val="FootnoteText"/>
        <w:rPr>
          <w:szCs w:val="22"/>
        </w:rPr>
      </w:pPr>
      <w:r w:rsidRPr="0025268E">
        <w:rPr>
          <w:rStyle w:val="FootnoteReference"/>
          <w:szCs w:val="22"/>
        </w:rPr>
        <w:footnoteRef/>
      </w:r>
      <w:r w:rsidRPr="0025268E">
        <w:rPr>
          <w:szCs w:val="22"/>
        </w:rPr>
        <w:t xml:space="preserve"> </w:t>
      </w:r>
      <w:r w:rsidR="00A600A4" w:rsidRPr="0025268E">
        <w:rPr>
          <w:szCs w:val="22"/>
        </w:rPr>
        <w:t xml:space="preserve">SoCalGas Exhibit SCG-03 at </w:t>
      </w:r>
      <w:r w:rsidR="00097F87" w:rsidRPr="0025268E">
        <w:rPr>
          <w:szCs w:val="22"/>
        </w:rPr>
        <w:t>RMY-MEB-JLC-1.</w:t>
      </w:r>
    </w:p>
  </w:footnote>
  <w:footnote w:id="86">
    <w:p w14:paraId="6DFBD693" w14:textId="5F52C575" w:rsidR="003414E0" w:rsidRPr="0025268E" w:rsidRDefault="003414E0" w:rsidP="0025268E">
      <w:pPr>
        <w:pStyle w:val="FootnoteText"/>
        <w:rPr>
          <w:szCs w:val="22"/>
        </w:rPr>
      </w:pPr>
      <w:r w:rsidRPr="0025268E">
        <w:rPr>
          <w:rStyle w:val="FootnoteReference"/>
          <w:szCs w:val="22"/>
        </w:rPr>
        <w:footnoteRef/>
      </w:r>
      <w:r w:rsidRPr="0025268E">
        <w:rPr>
          <w:szCs w:val="22"/>
        </w:rPr>
        <w:t xml:space="preserve"> </w:t>
      </w:r>
      <w:r w:rsidRPr="0025268E">
        <w:rPr>
          <w:i/>
          <w:iCs/>
          <w:szCs w:val="22"/>
        </w:rPr>
        <w:t>Ibid</w:t>
      </w:r>
      <w:r w:rsidRPr="0025268E">
        <w:rPr>
          <w:szCs w:val="22"/>
        </w:rPr>
        <w:t>.</w:t>
      </w:r>
      <w:r w:rsidR="00DE6737" w:rsidRPr="0025268E">
        <w:rPr>
          <w:szCs w:val="22"/>
        </w:rPr>
        <w:t>; Application at 3-4.</w:t>
      </w:r>
    </w:p>
  </w:footnote>
  <w:footnote w:id="87">
    <w:p w14:paraId="63C37D71" w14:textId="592EDB0D" w:rsidR="0006677E" w:rsidRPr="0025268E" w:rsidRDefault="0006677E" w:rsidP="0025268E">
      <w:pPr>
        <w:pStyle w:val="FootnoteText"/>
        <w:rPr>
          <w:szCs w:val="22"/>
        </w:rPr>
      </w:pPr>
      <w:r w:rsidRPr="0025268E">
        <w:rPr>
          <w:rStyle w:val="FootnoteReference"/>
          <w:szCs w:val="22"/>
        </w:rPr>
        <w:footnoteRef/>
      </w:r>
      <w:r w:rsidRPr="0025268E">
        <w:rPr>
          <w:szCs w:val="22"/>
        </w:rPr>
        <w:t xml:space="preserve"> SoCalGas Opening Brief at 8.</w:t>
      </w:r>
    </w:p>
  </w:footnote>
  <w:footnote w:id="88">
    <w:p w14:paraId="7D68E060" w14:textId="1B80A68D" w:rsidR="00302DA1" w:rsidRPr="0025268E" w:rsidRDefault="00302DA1" w:rsidP="0025268E">
      <w:pPr>
        <w:pStyle w:val="FootnoteText"/>
        <w:rPr>
          <w:szCs w:val="22"/>
        </w:rPr>
      </w:pPr>
      <w:r w:rsidRPr="0025268E">
        <w:rPr>
          <w:rStyle w:val="FootnoteReference"/>
          <w:szCs w:val="22"/>
        </w:rPr>
        <w:footnoteRef/>
      </w:r>
      <w:r w:rsidRPr="0025268E">
        <w:rPr>
          <w:szCs w:val="22"/>
        </w:rPr>
        <w:t xml:space="preserve"> </w:t>
      </w:r>
      <w:r w:rsidRPr="0025268E">
        <w:rPr>
          <w:i/>
          <w:iCs/>
          <w:szCs w:val="22"/>
        </w:rPr>
        <w:t>Ibid</w:t>
      </w:r>
      <w:r w:rsidR="00553274" w:rsidRPr="0025268E">
        <w:rPr>
          <w:szCs w:val="22"/>
        </w:rPr>
        <w:t>.</w:t>
      </w:r>
      <w:r w:rsidRPr="0025268E">
        <w:rPr>
          <w:szCs w:val="22"/>
        </w:rPr>
        <w:t xml:space="preserve"> (citing </w:t>
      </w:r>
      <w:r w:rsidR="00553274" w:rsidRPr="0025268E">
        <w:rPr>
          <w:szCs w:val="22"/>
        </w:rPr>
        <w:t>SoCalGas Exhibit SCG-04 at JM-2-4</w:t>
      </w:r>
      <w:r w:rsidR="002B6625" w:rsidRPr="0025268E">
        <w:rPr>
          <w:szCs w:val="22"/>
        </w:rPr>
        <w:t>)</w:t>
      </w:r>
      <w:r w:rsidR="003C6799">
        <w:rPr>
          <w:szCs w:val="22"/>
        </w:rPr>
        <w:t>.</w:t>
      </w:r>
    </w:p>
  </w:footnote>
  <w:footnote w:id="89">
    <w:p w14:paraId="07D0A92E" w14:textId="4A8C765E" w:rsidR="00193BC5" w:rsidRPr="0025268E" w:rsidRDefault="00193BC5" w:rsidP="0025268E">
      <w:pPr>
        <w:pStyle w:val="FootnoteText"/>
        <w:rPr>
          <w:szCs w:val="22"/>
        </w:rPr>
      </w:pPr>
      <w:r w:rsidRPr="0025268E">
        <w:rPr>
          <w:rStyle w:val="FootnoteReference"/>
          <w:szCs w:val="22"/>
        </w:rPr>
        <w:footnoteRef/>
      </w:r>
      <w:r w:rsidRPr="0025268E">
        <w:rPr>
          <w:szCs w:val="22"/>
        </w:rPr>
        <w:t xml:space="preserve"> </w:t>
      </w:r>
      <w:r w:rsidR="00DD4F9B" w:rsidRPr="0025268E">
        <w:rPr>
          <w:szCs w:val="22"/>
        </w:rPr>
        <w:t>Cal Advocates Opening Brief at 18.</w:t>
      </w:r>
    </w:p>
  </w:footnote>
  <w:footnote w:id="90">
    <w:p w14:paraId="17F16321" w14:textId="63B356D6" w:rsidR="00422BCD" w:rsidRPr="0025268E" w:rsidRDefault="00422BCD" w:rsidP="0025268E">
      <w:pPr>
        <w:pStyle w:val="FootnoteText"/>
        <w:rPr>
          <w:szCs w:val="22"/>
        </w:rPr>
      </w:pPr>
      <w:r w:rsidRPr="0025268E">
        <w:rPr>
          <w:rStyle w:val="FootnoteReference"/>
          <w:szCs w:val="22"/>
        </w:rPr>
        <w:footnoteRef/>
      </w:r>
      <w:r w:rsidRPr="0025268E">
        <w:rPr>
          <w:szCs w:val="22"/>
        </w:rPr>
        <w:t xml:space="preserve"> </w:t>
      </w:r>
      <w:r w:rsidRPr="0025268E">
        <w:rPr>
          <w:i/>
          <w:iCs/>
          <w:szCs w:val="22"/>
        </w:rPr>
        <w:t>Ibid.</w:t>
      </w:r>
      <w:r w:rsidRPr="0025268E">
        <w:rPr>
          <w:szCs w:val="22"/>
        </w:rPr>
        <w:t xml:space="preserve"> (citing D.24-12-074 at</w:t>
      </w:r>
      <w:r w:rsidR="00C278A6" w:rsidRPr="0025268E">
        <w:rPr>
          <w:szCs w:val="22"/>
        </w:rPr>
        <w:t xml:space="preserve"> 1091)</w:t>
      </w:r>
      <w:r w:rsidR="003C6799">
        <w:rPr>
          <w:szCs w:val="22"/>
        </w:rPr>
        <w:t>.</w:t>
      </w:r>
    </w:p>
  </w:footnote>
  <w:footnote w:id="91">
    <w:p w14:paraId="56DB58F8" w14:textId="0D12CAB7" w:rsidR="00B70021" w:rsidRPr="0025268E" w:rsidRDefault="00B70021" w:rsidP="0025268E">
      <w:pPr>
        <w:pStyle w:val="FootnoteText"/>
        <w:rPr>
          <w:szCs w:val="22"/>
        </w:rPr>
      </w:pPr>
      <w:r w:rsidRPr="0025268E">
        <w:rPr>
          <w:rStyle w:val="FootnoteReference"/>
          <w:szCs w:val="22"/>
        </w:rPr>
        <w:footnoteRef/>
      </w:r>
      <w:r w:rsidRPr="0025268E">
        <w:rPr>
          <w:szCs w:val="22"/>
        </w:rPr>
        <w:t xml:space="preserve"> </w:t>
      </w:r>
      <w:r w:rsidRPr="0025268E">
        <w:rPr>
          <w:i/>
          <w:iCs/>
          <w:szCs w:val="22"/>
        </w:rPr>
        <w:t>Id</w:t>
      </w:r>
      <w:r w:rsidRPr="0025268E">
        <w:rPr>
          <w:szCs w:val="22"/>
        </w:rPr>
        <w:t>. at 18-19.</w:t>
      </w:r>
    </w:p>
  </w:footnote>
  <w:footnote w:id="92">
    <w:p w14:paraId="602F26B8" w14:textId="25585A69" w:rsidR="00F423A0" w:rsidRPr="0025268E" w:rsidRDefault="00F423A0" w:rsidP="0025268E">
      <w:pPr>
        <w:pStyle w:val="FootnoteText"/>
        <w:rPr>
          <w:szCs w:val="22"/>
        </w:rPr>
      </w:pPr>
      <w:r w:rsidRPr="0025268E">
        <w:rPr>
          <w:rStyle w:val="FootnoteReference"/>
          <w:szCs w:val="22"/>
        </w:rPr>
        <w:footnoteRef/>
      </w:r>
      <w:r w:rsidRPr="0025268E">
        <w:rPr>
          <w:szCs w:val="22"/>
        </w:rPr>
        <w:t xml:space="preserve"> SoCalGas Reply Brief at 14.</w:t>
      </w:r>
    </w:p>
  </w:footnote>
  <w:footnote w:id="93">
    <w:p w14:paraId="6264442B" w14:textId="0F8489FB" w:rsidR="00F423A0" w:rsidRPr="0025268E" w:rsidRDefault="00F423A0" w:rsidP="0025268E">
      <w:pPr>
        <w:pStyle w:val="FootnoteText"/>
        <w:rPr>
          <w:szCs w:val="22"/>
        </w:rPr>
      </w:pPr>
      <w:r w:rsidRPr="0025268E">
        <w:rPr>
          <w:rStyle w:val="FootnoteReference"/>
          <w:szCs w:val="22"/>
        </w:rPr>
        <w:footnoteRef/>
      </w:r>
      <w:r w:rsidRPr="0025268E">
        <w:rPr>
          <w:szCs w:val="22"/>
        </w:rPr>
        <w:t xml:space="preserve"> </w:t>
      </w:r>
      <w:r w:rsidR="000402EC" w:rsidRPr="0025268E">
        <w:rPr>
          <w:i/>
          <w:iCs/>
          <w:szCs w:val="22"/>
        </w:rPr>
        <w:t>Ibid</w:t>
      </w:r>
      <w:r w:rsidR="000402EC" w:rsidRPr="0025268E">
        <w:rPr>
          <w:szCs w:val="22"/>
        </w:rPr>
        <w:t>.</w:t>
      </w:r>
    </w:p>
  </w:footnote>
  <w:footnote w:id="94">
    <w:p w14:paraId="3DECDF7D" w14:textId="43CB8E41" w:rsidR="00394AFC" w:rsidRPr="0025268E" w:rsidRDefault="00394AFC" w:rsidP="0025268E">
      <w:pPr>
        <w:pStyle w:val="FootnoteText"/>
        <w:rPr>
          <w:szCs w:val="22"/>
        </w:rPr>
      </w:pPr>
      <w:r w:rsidRPr="0025268E">
        <w:rPr>
          <w:rStyle w:val="FootnoteReference"/>
          <w:szCs w:val="22"/>
        </w:rPr>
        <w:footnoteRef/>
      </w:r>
      <w:r w:rsidRPr="0025268E">
        <w:rPr>
          <w:szCs w:val="22"/>
        </w:rPr>
        <w:t xml:space="preserve"> </w:t>
      </w:r>
      <w:r w:rsidR="00B5462B" w:rsidRPr="00B5462B">
        <w:rPr>
          <w:i/>
          <w:iCs/>
          <w:szCs w:val="22"/>
        </w:rPr>
        <w:t>See</w:t>
      </w:r>
      <w:r w:rsidRPr="0025268E">
        <w:rPr>
          <w:szCs w:val="22"/>
        </w:rPr>
        <w:t xml:space="preserve">, </w:t>
      </w:r>
      <w:r w:rsidRPr="00F96FFD">
        <w:rPr>
          <w:i/>
          <w:iCs/>
          <w:szCs w:val="22"/>
        </w:rPr>
        <w:t>e.g.,</w:t>
      </w:r>
      <w:r w:rsidRPr="0025268E">
        <w:rPr>
          <w:szCs w:val="22"/>
        </w:rPr>
        <w:t xml:space="preserve"> D.</w:t>
      </w:r>
      <w:r w:rsidR="00C70CDD" w:rsidRPr="0025268E">
        <w:rPr>
          <w:szCs w:val="22"/>
        </w:rPr>
        <w:t>15-10-032 at</w:t>
      </w:r>
      <w:r w:rsidR="003400D4" w:rsidRPr="0025268E">
        <w:rPr>
          <w:szCs w:val="22"/>
        </w:rPr>
        <w:t xml:space="preserve"> </w:t>
      </w:r>
      <w:r w:rsidR="00F1334C" w:rsidRPr="0025268E">
        <w:rPr>
          <w:szCs w:val="22"/>
        </w:rPr>
        <w:t xml:space="preserve">21; </w:t>
      </w:r>
      <w:r w:rsidR="00F1078A" w:rsidRPr="0025268E">
        <w:rPr>
          <w:szCs w:val="22"/>
        </w:rPr>
        <w:t>D.17-06-015 at</w:t>
      </w:r>
      <w:r w:rsidR="00830267" w:rsidRPr="0025268E">
        <w:rPr>
          <w:szCs w:val="22"/>
        </w:rPr>
        <w:t xml:space="preserve"> F</w:t>
      </w:r>
      <w:r w:rsidR="005911AC" w:rsidRPr="0025268E">
        <w:rPr>
          <w:szCs w:val="22"/>
        </w:rPr>
        <w:t xml:space="preserve">inding of </w:t>
      </w:r>
      <w:r w:rsidR="00830267" w:rsidRPr="0025268E">
        <w:rPr>
          <w:szCs w:val="22"/>
        </w:rPr>
        <w:t>F</w:t>
      </w:r>
      <w:r w:rsidR="005911AC" w:rsidRPr="0025268E">
        <w:rPr>
          <w:szCs w:val="22"/>
        </w:rPr>
        <w:t>act</w:t>
      </w:r>
      <w:r w:rsidR="00830267" w:rsidRPr="0025268E">
        <w:rPr>
          <w:szCs w:val="22"/>
        </w:rPr>
        <w:t xml:space="preserve"> 51</w:t>
      </w:r>
      <w:r w:rsidR="003400D4" w:rsidRPr="0025268E">
        <w:rPr>
          <w:szCs w:val="22"/>
        </w:rPr>
        <w:t>.</w:t>
      </w:r>
    </w:p>
  </w:footnote>
  <w:footnote w:id="95">
    <w:p w14:paraId="745ECB02" w14:textId="5C158D28" w:rsidR="000F1E79" w:rsidRPr="0025268E" w:rsidRDefault="000F1E79" w:rsidP="0025268E">
      <w:pPr>
        <w:pStyle w:val="FootnoteText"/>
        <w:rPr>
          <w:szCs w:val="22"/>
        </w:rPr>
      </w:pPr>
      <w:r w:rsidRPr="0025268E">
        <w:rPr>
          <w:rStyle w:val="FootnoteReference"/>
          <w:szCs w:val="22"/>
        </w:rPr>
        <w:footnoteRef/>
      </w:r>
      <w:r w:rsidRPr="0025268E">
        <w:rPr>
          <w:szCs w:val="22"/>
        </w:rPr>
        <w:t xml:space="preserve"> D.17-06-015 at 131.</w:t>
      </w:r>
    </w:p>
  </w:footnote>
  <w:footnote w:id="96">
    <w:p w14:paraId="0B08C59C" w14:textId="2940EF29" w:rsidR="00447D64" w:rsidRPr="0025268E" w:rsidRDefault="00447D64" w:rsidP="0025268E">
      <w:pPr>
        <w:pStyle w:val="FootnoteText"/>
        <w:rPr>
          <w:szCs w:val="22"/>
        </w:rPr>
      </w:pPr>
      <w:r w:rsidRPr="0025268E">
        <w:rPr>
          <w:rStyle w:val="FootnoteReference"/>
          <w:szCs w:val="22"/>
        </w:rPr>
        <w:footnoteRef/>
      </w:r>
      <w:r w:rsidRPr="0025268E">
        <w:rPr>
          <w:szCs w:val="22"/>
        </w:rPr>
        <w:t xml:space="preserve"> </w:t>
      </w:r>
      <w:r w:rsidR="0022273A" w:rsidRPr="0025268E">
        <w:rPr>
          <w:szCs w:val="22"/>
        </w:rPr>
        <w:t xml:space="preserve">SoCalGas Exhibit SCG-01 at JM-4. </w:t>
      </w:r>
    </w:p>
  </w:footnote>
  <w:footnote w:id="97">
    <w:p w14:paraId="7C474BF7" w14:textId="2DC14200" w:rsidR="00FC5A99" w:rsidRPr="0025268E" w:rsidRDefault="00FC5A99" w:rsidP="0025268E">
      <w:pPr>
        <w:pStyle w:val="FootnoteText"/>
        <w:rPr>
          <w:szCs w:val="22"/>
        </w:rPr>
      </w:pPr>
      <w:r w:rsidRPr="0025268E">
        <w:rPr>
          <w:rStyle w:val="FootnoteReference"/>
          <w:szCs w:val="22"/>
        </w:rPr>
        <w:footnoteRef/>
      </w:r>
      <w:r w:rsidRPr="0025268E">
        <w:rPr>
          <w:szCs w:val="22"/>
        </w:rPr>
        <w:t xml:space="preserve"> </w:t>
      </w:r>
      <w:r w:rsidR="005005C3" w:rsidRPr="0025268E">
        <w:rPr>
          <w:szCs w:val="22"/>
        </w:rPr>
        <w:t>SoCalGas Exhibit SCG-03 at RMY-MEB-JLC-2.</w:t>
      </w:r>
    </w:p>
  </w:footnote>
  <w:footnote w:id="98">
    <w:p w14:paraId="0522103D" w14:textId="727A9F25" w:rsidR="00F375AA" w:rsidRPr="0025268E" w:rsidRDefault="00F375AA" w:rsidP="0025268E">
      <w:pPr>
        <w:pStyle w:val="FootnoteText"/>
        <w:rPr>
          <w:szCs w:val="22"/>
        </w:rPr>
      </w:pPr>
      <w:r w:rsidRPr="0025268E">
        <w:rPr>
          <w:rStyle w:val="FootnoteReference"/>
          <w:szCs w:val="22"/>
        </w:rPr>
        <w:footnoteRef/>
      </w:r>
      <w:r w:rsidRPr="0025268E">
        <w:rPr>
          <w:szCs w:val="22"/>
        </w:rPr>
        <w:t xml:space="preserve"> </w:t>
      </w:r>
      <w:r w:rsidRPr="0025268E">
        <w:rPr>
          <w:i/>
          <w:iCs/>
          <w:szCs w:val="22"/>
        </w:rPr>
        <w:t>Id</w:t>
      </w:r>
      <w:r w:rsidRPr="0025268E">
        <w:rPr>
          <w:szCs w:val="22"/>
        </w:rPr>
        <w:t>. at RMY-MEB-JLC-3.</w:t>
      </w:r>
    </w:p>
  </w:footnote>
  <w:footnote w:id="99">
    <w:p w14:paraId="7433843F" w14:textId="1CC699EF" w:rsidR="003862BD" w:rsidRPr="0025268E" w:rsidRDefault="003862BD" w:rsidP="0025268E">
      <w:pPr>
        <w:pStyle w:val="FootnoteText"/>
        <w:rPr>
          <w:szCs w:val="22"/>
        </w:rPr>
      </w:pPr>
      <w:r w:rsidRPr="0025268E">
        <w:rPr>
          <w:rStyle w:val="FootnoteReference"/>
          <w:szCs w:val="22"/>
        </w:rPr>
        <w:footnoteRef/>
      </w:r>
      <w:r w:rsidRPr="0025268E">
        <w:rPr>
          <w:szCs w:val="22"/>
        </w:rPr>
        <w:t xml:space="preserve"> </w:t>
      </w:r>
      <w:r w:rsidRPr="0025268E">
        <w:rPr>
          <w:i/>
          <w:iCs/>
          <w:szCs w:val="22"/>
        </w:rPr>
        <w:t>Id</w:t>
      </w:r>
      <w:r w:rsidRPr="0025268E">
        <w:rPr>
          <w:szCs w:val="22"/>
        </w:rPr>
        <w:t xml:space="preserve">. </w:t>
      </w:r>
      <w:r w:rsidR="00D07789" w:rsidRPr="0025268E">
        <w:rPr>
          <w:szCs w:val="22"/>
        </w:rPr>
        <w:t>at RMY-MEB-JLC-2.</w:t>
      </w:r>
    </w:p>
  </w:footnote>
  <w:footnote w:id="100">
    <w:p w14:paraId="7202C6BA" w14:textId="3B64885E" w:rsidR="00D07789" w:rsidRPr="0025268E" w:rsidRDefault="00D07789" w:rsidP="0025268E">
      <w:pPr>
        <w:pStyle w:val="FootnoteText"/>
        <w:rPr>
          <w:szCs w:val="22"/>
        </w:rPr>
      </w:pPr>
      <w:r w:rsidRPr="0025268E">
        <w:rPr>
          <w:rStyle w:val="FootnoteReference"/>
          <w:szCs w:val="22"/>
        </w:rPr>
        <w:footnoteRef/>
      </w:r>
      <w:r w:rsidRPr="0025268E">
        <w:rPr>
          <w:szCs w:val="22"/>
        </w:rPr>
        <w:t xml:space="preserve"> </w:t>
      </w:r>
      <w:r w:rsidRPr="0025268E">
        <w:rPr>
          <w:i/>
          <w:iCs/>
          <w:szCs w:val="22"/>
        </w:rPr>
        <w:t>Ibid</w:t>
      </w:r>
      <w:r w:rsidRPr="0025268E">
        <w:rPr>
          <w:szCs w:val="22"/>
        </w:rPr>
        <w:t>.</w:t>
      </w:r>
    </w:p>
  </w:footnote>
  <w:footnote w:id="101">
    <w:p w14:paraId="60894282" w14:textId="1E30F648" w:rsidR="00760141" w:rsidRPr="0025268E" w:rsidRDefault="00760141" w:rsidP="0025268E">
      <w:pPr>
        <w:pStyle w:val="FootnoteText"/>
        <w:rPr>
          <w:szCs w:val="22"/>
        </w:rPr>
      </w:pPr>
      <w:r w:rsidRPr="0025268E">
        <w:rPr>
          <w:rStyle w:val="FootnoteReference"/>
          <w:szCs w:val="22"/>
        </w:rPr>
        <w:footnoteRef/>
      </w:r>
      <w:r w:rsidRPr="0025268E">
        <w:rPr>
          <w:szCs w:val="22"/>
        </w:rPr>
        <w:t xml:space="preserve"> SoCalGas Exhibit</w:t>
      </w:r>
      <w:r w:rsidR="005E0F51" w:rsidRPr="0025268E">
        <w:rPr>
          <w:szCs w:val="22"/>
        </w:rPr>
        <w:t xml:space="preserve"> SCG-03 at</w:t>
      </w:r>
      <w:r w:rsidR="00D22B58" w:rsidRPr="0025268E">
        <w:rPr>
          <w:szCs w:val="22"/>
        </w:rPr>
        <w:t xml:space="preserve"> RMY-MEB-JLC-2-RMY-MEB-JLC-3.</w:t>
      </w:r>
    </w:p>
  </w:footnote>
  <w:footnote w:id="102">
    <w:p w14:paraId="433A2569" w14:textId="59ECD913" w:rsidR="00A34AAC" w:rsidRPr="0025268E" w:rsidRDefault="00A34AAC" w:rsidP="0025268E">
      <w:pPr>
        <w:pStyle w:val="FootnoteText"/>
        <w:rPr>
          <w:szCs w:val="22"/>
        </w:rPr>
      </w:pPr>
      <w:r w:rsidRPr="0025268E">
        <w:rPr>
          <w:rStyle w:val="FootnoteReference"/>
          <w:szCs w:val="22"/>
        </w:rPr>
        <w:footnoteRef/>
      </w:r>
      <w:r w:rsidRPr="0025268E">
        <w:rPr>
          <w:szCs w:val="22"/>
        </w:rPr>
        <w:t xml:space="preserve"> Joint Case Management Statement filed January 16, 2026 at 2.</w:t>
      </w:r>
    </w:p>
  </w:footnote>
  <w:footnote w:id="103">
    <w:p w14:paraId="0F2ABF76" w14:textId="6DB849F6" w:rsidR="002B46A5" w:rsidRPr="0025268E" w:rsidRDefault="002B46A5" w:rsidP="0025268E">
      <w:pPr>
        <w:pStyle w:val="FootnoteText"/>
        <w:rPr>
          <w:szCs w:val="22"/>
        </w:rPr>
      </w:pPr>
      <w:r w:rsidRPr="0025268E">
        <w:rPr>
          <w:rStyle w:val="FootnoteReference"/>
          <w:szCs w:val="22"/>
        </w:rPr>
        <w:footnoteRef/>
      </w:r>
      <w:r w:rsidRPr="0025268E">
        <w:rPr>
          <w:szCs w:val="22"/>
        </w:rPr>
        <w:t xml:space="preserve"> </w:t>
      </w:r>
      <w:r w:rsidR="002264F3" w:rsidRPr="0025268E">
        <w:rPr>
          <w:szCs w:val="22"/>
        </w:rPr>
        <w:t>SoCalGas Exhibit SCG-01 at JM-3</w:t>
      </w:r>
      <w:r w:rsidR="00836985" w:rsidRPr="0025268E">
        <w:rPr>
          <w:szCs w:val="22"/>
        </w:rPr>
        <w:t>-JM-4.</w:t>
      </w:r>
    </w:p>
  </w:footnote>
  <w:footnote w:id="104">
    <w:p w14:paraId="342C14CB" w14:textId="129C24A5" w:rsidR="00AA7C40" w:rsidRPr="0025268E" w:rsidRDefault="00AA7C40" w:rsidP="0025268E">
      <w:pPr>
        <w:pStyle w:val="FootnoteText"/>
        <w:rPr>
          <w:szCs w:val="22"/>
        </w:rPr>
      </w:pPr>
      <w:r w:rsidRPr="0025268E">
        <w:rPr>
          <w:rStyle w:val="FootnoteReference"/>
          <w:szCs w:val="22"/>
        </w:rPr>
        <w:footnoteRef/>
      </w:r>
      <w:r w:rsidRPr="0025268E">
        <w:rPr>
          <w:szCs w:val="22"/>
        </w:rPr>
        <w:t xml:space="preserve"> </w:t>
      </w:r>
      <w:r w:rsidR="00545971" w:rsidRPr="0025268E">
        <w:rPr>
          <w:szCs w:val="22"/>
        </w:rPr>
        <w:t>SoCalGas Opening Brief</w:t>
      </w:r>
      <w:r w:rsidRPr="0025268E">
        <w:rPr>
          <w:szCs w:val="22"/>
        </w:rPr>
        <w:t xml:space="preserve"> at 10.</w:t>
      </w:r>
    </w:p>
  </w:footnote>
  <w:footnote w:id="105">
    <w:p w14:paraId="27953A1E" w14:textId="05451B0A" w:rsidR="00FB25EC" w:rsidRPr="0025268E" w:rsidRDefault="00FB25EC" w:rsidP="0025268E">
      <w:pPr>
        <w:pStyle w:val="FootnoteText"/>
        <w:rPr>
          <w:szCs w:val="22"/>
        </w:rPr>
      </w:pPr>
      <w:r w:rsidRPr="0025268E">
        <w:rPr>
          <w:rStyle w:val="FootnoteReference"/>
          <w:szCs w:val="22"/>
        </w:rPr>
        <w:footnoteRef/>
      </w:r>
      <w:r w:rsidRPr="0025268E">
        <w:rPr>
          <w:szCs w:val="22"/>
        </w:rPr>
        <w:t xml:space="preserve"> </w:t>
      </w:r>
      <w:r w:rsidRPr="0025268E">
        <w:rPr>
          <w:i/>
          <w:iCs/>
          <w:szCs w:val="22"/>
        </w:rPr>
        <w:t>Ibid</w:t>
      </w:r>
      <w:r w:rsidRPr="0025268E">
        <w:rPr>
          <w:szCs w:val="22"/>
        </w:rPr>
        <w:t>.</w:t>
      </w:r>
    </w:p>
  </w:footnote>
  <w:footnote w:id="106">
    <w:p w14:paraId="3ED5C8B5" w14:textId="7A1E3378" w:rsidR="00A33A1E" w:rsidRPr="0025268E" w:rsidRDefault="00A33A1E" w:rsidP="0025268E">
      <w:pPr>
        <w:pStyle w:val="FootnoteText"/>
        <w:rPr>
          <w:szCs w:val="22"/>
        </w:rPr>
      </w:pPr>
      <w:r w:rsidRPr="0025268E">
        <w:rPr>
          <w:rStyle w:val="FootnoteReference"/>
          <w:szCs w:val="22"/>
        </w:rPr>
        <w:footnoteRef/>
      </w:r>
      <w:r w:rsidRPr="0025268E">
        <w:rPr>
          <w:szCs w:val="22"/>
        </w:rPr>
        <w:t xml:space="preserve"> </w:t>
      </w:r>
      <w:r w:rsidRPr="0025268E">
        <w:rPr>
          <w:i/>
          <w:iCs/>
          <w:szCs w:val="22"/>
        </w:rPr>
        <w:t>Ibid</w:t>
      </w:r>
      <w:r w:rsidRPr="0025268E">
        <w:rPr>
          <w:szCs w:val="22"/>
        </w:rPr>
        <w:t>.</w:t>
      </w:r>
    </w:p>
  </w:footnote>
  <w:footnote w:id="107">
    <w:p w14:paraId="31520743" w14:textId="17F772E8" w:rsidR="00051823" w:rsidRPr="0025268E" w:rsidRDefault="00051823" w:rsidP="0025268E">
      <w:pPr>
        <w:pStyle w:val="FootnoteText"/>
        <w:rPr>
          <w:szCs w:val="22"/>
        </w:rPr>
      </w:pPr>
      <w:r w:rsidRPr="0025268E">
        <w:rPr>
          <w:rStyle w:val="FootnoteReference"/>
          <w:szCs w:val="22"/>
        </w:rPr>
        <w:footnoteRef/>
      </w:r>
      <w:r w:rsidRPr="0025268E">
        <w:rPr>
          <w:szCs w:val="22"/>
        </w:rPr>
        <w:t xml:space="preserve"> Sierra Club Opening Brief at 14.</w:t>
      </w:r>
    </w:p>
  </w:footnote>
  <w:footnote w:id="108">
    <w:p w14:paraId="79E51BEE" w14:textId="00E504C3" w:rsidR="00E44562" w:rsidRPr="0025268E" w:rsidRDefault="00E44562" w:rsidP="0025268E">
      <w:pPr>
        <w:pStyle w:val="FootnoteText"/>
        <w:rPr>
          <w:szCs w:val="22"/>
        </w:rPr>
      </w:pPr>
      <w:r w:rsidRPr="0025268E">
        <w:rPr>
          <w:rStyle w:val="FootnoteReference"/>
          <w:szCs w:val="22"/>
        </w:rPr>
        <w:footnoteRef/>
      </w:r>
      <w:r w:rsidRPr="0025268E">
        <w:rPr>
          <w:szCs w:val="22"/>
        </w:rPr>
        <w:t xml:space="preserve"> </w:t>
      </w:r>
      <w:r w:rsidR="003F25CE" w:rsidRPr="0025268E">
        <w:rPr>
          <w:i/>
          <w:iCs/>
          <w:szCs w:val="22"/>
        </w:rPr>
        <w:t>Id</w:t>
      </w:r>
      <w:r w:rsidR="003F25CE" w:rsidRPr="0025268E">
        <w:rPr>
          <w:szCs w:val="22"/>
        </w:rPr>
        <w:t>. at 15.</w:t>
      </w:r>
    </w:p>
  </w:footnote>
  <w:footnote w:id="109">
    <w:p w14:paraId="7E1E04C4" w14:textId="6547B084" w:rsidR="004F7D65" w:rsidRPr="0025268E" w:rsidRDefault="004F7D65" w:rsidP="0025268E">
      <w:pPr>
        <w:pStyle w:val="FootnoteText"/>
        <w:rPr>
          <w:szCs w:val="22"/>
        </w:rPr>
      </w:pPr>
      <w:r w:rsidRPr="0025268E">
        <w:rPr>
          <w:rStyle w:val="FootnoteReference"/>
          <w:szCs w:val="22"/>
        </w:rPr>
        <w:footnoteRef/>
      </w:r>
      <w:r w:rsidRPr="0025268E">
        <w:rPr>
          <w:szCs w:val="22"/>
        </w:rPr>
        <w:t xml:space="preserve"> </w:t>
      </w:r>
      <w:r w:rsidRPr="0025268E">
        <w:rPr>
          <w:i/>
          <w:iCs/>
          <w:szCs w:val="22"/>
        </w:rPr>
        <w:t>Id</w:t>
      </w:r>
      <w:r w:rsidRPr="0025268E">
        <w:rPr>
          <w:szCs w:val="22"/>
        </w:rPr>
        <w:t>. at 14-15.</w:t>
      </w:r>
    </w:p>
  </w:footnote>
  <w:footnote w:id="110">
    <w:p w14:paraId="6735B105" w14:textId="2254E40B" w:rsidR="00F20865" w:rsidRPr="0025268E" w:rsidRDefault="00F20865" w:rsidP="0025268E">
      <w:pPr>
        <w:pStyle w:val="FootnoteText"/>
        <w:rPr>
          <w:szCs w:val="22"/>
        </w:rPr>
      </w:pPr>
      <w:r w:rsidRPr="0025268E">
        <w:rPr>
          <w:rStyle w:val="FootnoteReference"/>
          <w:szCs w:val="22"/>
        </w:rPr>
        <w:footnoteRef/>
      </w:r>
      <w:r w:rsidRPr="0025268E">
        <w:rPr>
          <w:szCs w:val="22"/>
        </w:rPr>
        <w:t xml:space="preserve"> Sierra Club Exhibit SC-01 at </w:t>
      </w:r>
      <w:r w:rsidR="00B07937" w:rsidRPr="0025268E">
        <w:rPr>
          <w:szCs w:val="22"/>
        </w:rPr>
        <w:t>9.</w:t>
      </w:r>
    </w:p>
  </w:footnote>
  <w:footnote w:id="111">
    <w:p w14:paraId="516954BE" w14:textId="7067F83F" w:rsidR="00B52F2C" w:rsidRPr="0025268E" w:rsidRDefault="00B52F2C" w:rsidP="0025268E">
      <w:pPr>
        <w:pStyle w:val="FootnoteText"/>
        <w:rPr>
          <w:szCs w:val="22"/>
        </w:rPr>
      </w:pPr>
      <w:r w:rsidRPr="0025268E">
        <w:rPr>
          <w:rStyle w:val="FootnoteReference"/>
          <w:szCs w:val="22"/>
        </w:rPr>
        <w:footnoteRef/>
      </w:r>
      <w:r w:rsidRPr="0025268E">
        <w:rPr>
          <w:szCs w:val="22"/>
        </w:rPr>
        <w:t xml:space="preserve"> Sierra Club Opening Brief at </w:t>
      </w:r>
      <w:r w:rsidR="004C380F" w:rsidRPr="0025268E">
        <w:rPr>
          <w:szCs w:val="22"/>
        </w:rPr>
        <w:t>15 (citing D.24-12-074 at 621).</w:t>
      </w:r>
    </w:p>
  </w:footnote>
  <w:footnote w:id="112">
    <w:p w14:paraId="7C9FE45E" w14:textId="3FF2BD7F" w:rsidR="0013190C" w:rsidRPr="0025268E" w:rsidRDefault="0013190C" w:rsidP="0025268E">
      <w:pPr>
        <w:pStyle w:val="FootnoteText"/>
        <w:rPr>
          <w:szCs w:val="22"/>
        </w:rPr>
      </w:pPr>
      <w:r w:rsidRPr="0025268E">
        <w:rPr>
          <w:rStyle w:val="FootnoteReference"/>
          <w:szCs w:val="22"/>
        </w:rPr>
        <w:footnoteRef/>
      </w:r>
      <w:r w:rsidRPr="0025268E">
        <w:rPr>
          <w:szCs w:val="22"/>
        </w:rPr>
        <w:t xml:space="preserve"> </w:t>
      </w:r>
      <w:r w:rsidR="00B5462B" w:rsidRPr="00B5462B">
        <w:rPr>
          <w:i/>
          <w:iCs/>
          <w:szCs w:val="22"/>
        </w:rPr>
        <w:t>See</w:t>
      </w:r>
      <w:r w:rsidRPr="0025268E">
        <w:rPr>
          <w:szCs w:val="22"/>
        </w:rPr>
        <w:t xml:space="preserve"> </w:t>
      </w:r>
      <w:r w:rsidR="00BF4CB9" w:rsidRPr="0025268E">
        <w:rPr>
          <w:szCs w:val="22"/>
        </w:rPr>
        <w:t>D.24-12-074 at 621.</w:t>
      </w:r>
    </w:p>
  </w:footnote>
  <w:footnote w:id="113">
    <w:p w14:paraId="174A74A1" w14:textId="1E6C3495" w:rsidR="005A58DC" w:rsidRDefault="005A58DC" w:rsidP="0025268E">
      <w:pPr>
        <w:pStyle w:val="FootnoteText"/>
      </w:pPr>
      <w:r w:rsidRPr="0025268E">
        <w:rPr>
          <w:rStyle w:val="FootnoteReference"/>
          <w:szCs w:val="22"/>
        </w:rPr>
        <w:footnoteRef/>
      </w:r>
      <w:r w:rsidRPr="0025268E">
        <w:rPr>
          <w:szCs w:val="22"/>
        </w:rPr>
        <w:t xml:space="preserve"> </w:t>
      </w:r>
      <w:r w:rsidR="00B5462B" w:rsidRPr="00B5462B">
        <w:rPr>
          <w:i/>
          <w:iCs/>
          <w:szCs w:val="22"/>
        </w:rPr>
        <w:t>See</w:t>
      </w:r>
      <w:r w:rsidR="00FE0B51" w:rsidRPr="0025268E">
        <w:rPr>
          <w:szCs w:val="22"/>
        </w:rPr>
        <w:t xml:space="preserve"> SoCalGas Exhibit SCG-02 at JL-</w:t>
      </w:r>
      <w:r w:rsidR="00FE0B51">
        <w:t>4-JL-6; SoCalGas Exhibit SCG-</w:t>
      </w:r>
      <w:r w:rsidR="006B3D25">
        <w:t>05 at JL-6-JL-7; JL-9-JL-10.</w:t>
      </w:r>
    </w:p>
  </w:footnote>
  <w:footnote w:id="114">
    <w:p w14:paraId="3821AE54" w14:textId="57F965A2" w:rsidR="008D4DF6" w:rsidRDefault="008D4DF6">
      <w:pPr>
        <w:pStyle w:val="FootnoteText"/>
      </w:pPr>
      <w:r>
        <w:rPr>
          <w:rStyle w:val="FootnoteReference"/>
        </w:rPr>
        <w:footnoteRef/>
      </w:r>
      <w:r>
        <w:t xml:space="preserve"> D.</w:t>
      </w:r>
      <w:r w:rsidR="001C0875">
        <w:t xml:space="preserve">22-09-026 at </w:t>
      </w:r>
      <w:r w:rsidR="00BD31DA">
        <w:t>56.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B4C50" w14:textId="77777777" w:rsidR="000E4A71" w:rsidRDefault="000E4A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716A2" w14:textId="77777777" w:rsidR="000E4A71" w:rsidRDefault="000E4A7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F0FA7" w14:textId="77777777" w:rsidR="000E4A71" w:rsidRDefault="000E4A7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113E0" w14:textId="20F92118" w:rsidR="00E23CBB" w:rsidRDefault="0025268E" w:rsidP="00EE4315">
    <w:pPr>
      <w:pStyle w:val="Header"/>
      <w:tabs>
        <w:tab w:val="clear" w:pos="4680"/>
      </w:tabs>
      <w:ind w:firstLine="0"/>
      <w:rPr>
        <w:b/>
      </w:rPr>
    </w:pPr>
    <w:r>
      <w:t>A.25-07-001  ALJ/SCD/cg7</w:t>
    </w:r>
    <w:r w:rsidR="00E23CBB">
      <w:tab/>
    </w:r>
    <w:r w:rsidR="00E23CBB">
      <w:rPr>
        <w:b/>
      </w:rPr>
      <w:t>PROPOSED DECISION</w:t>
    </w:r>
    <w:r w:rsidR="000E4A71">
      <w:rPr>
        <w:b/>
      </w:rPr>
      <w:t xml:space="preserve"> (REV. 1)</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DA716" w14:textId="0AE6A0E0" w:rsidR="00FE2351" w:rsidRDefault="00CC3357" w:rsidP="00EE4315">
    <w:pPr>
      <w:pStyle w:val="Header"/>
      <w:tabs>
        <w:tab w:val="clear" w:pos="4680"/>
      </w:tabs>
      <w:ind w:firstLine="0"/>
      <w:rPr>
        <w:b/>
      </w:rPr>
    </w:pPr>
    <w:r>
      <w:t>A.25-07-001  ALJ/SCD/cg7</w:t>
    </w:r>
    <w:r w:rsidR="00FE2351">
      <w:tab/>
    </w:r>
    <w:r w:rsidR="00FE2351">
      <w:rPr>
        <w:b/>
      </w:rPr>
      <w:t>PROPOSED DECISION</w:t>
    </w:r>
    <w:r w:rsidR="000E4A71">
      <w:rPr>
        <w:b/>
      </w:rPr>
      <w:t xml:space="preserve"> (REV </w:t>
    </w:r>
    <w:r w:rsidR="00CA09FD">
      <w:rPr>
        <w:b/>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A1C77B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46C1C14"/>
    <w:multiLevelType w:val="multilevel"/>
    <w:tmpl w:val="BD4CC18E"/>
    <w:styleLink w:val="FoFCoLOP"/>
    <w:lvl w:ilvl="0">
      <w:start w:val="1"/>
      <w:numFmt w:val="decimal"/>
      <w:lvlText w:val="%1."/>
      <w:lvlJc w:val="right"/>
      <w:pPr>
        <w:ind w:left="0" w:firstLine="540"/>
      </w:pPr>
      <w:rPr>
        <w:rFonts w:hint="default"/>
      </w:rPr>
    </w:lvl>
    <w:lvl w:ilvl="1">
      <w:start w:val="1"/>
      <w:numFmt w:val="lowerLetter"/>
      <w:lvlText w:val="(%2)"/>
      <w:lvlJc w:val="right"/>
      <w:pPr>
        <w:ind w:left="1152" w:hanging="72"/>
      </w:pPr>
      <w:rPr>
        <w:rFonts w:hint="default"/>
      </w:rPr>
    </w:lvl>
    <w:lvl w:ilvl="2">
      <w:start w:val="1"/>
      <w:numFmt w:val="none"/>
      <w:lvlText w:val=""/>
      <w:lvlJc w:val="left"/>
      <w:pPr>
        <w:ind w:left="720" w:firstLine="0"/>
      </w:pPr>
      <w:rPr>
        <w:rFonts w:hint="default"/>
      </w:rPr>
    </w:lvl>
    <w:lvl w:ilvl="3">
      <w:start w:val="1"/>
      <w:numFmt w:val="none"/>
      <w:lvlText w:val=""/>
      <w:lvlJc w:val="left"/>
      <w:pPr>
        <w:ind w:left="720" w:firstLine="0"/>
      </w:pPr>
      <w:rPr>
        <w:rFonts w:hint="default"/>
      </w:rPr>
    </w:lvl>
    <w:lvl w:ilvl="4">
      <w:start w:val="1"/>
      <w:numFmt w:val="none"/>
      <w:lvlText w:val=""/>
      <w:lvlJc w:val="left"/>
      <w:pPr>
        <w:ind w:left="720" w:firstLine="0"/>
      </w:pPr>
      <w:rPr>
        <w:rFonts w:hint="default"/>
      </w:rPr>
    </w:lvl>
    <w:lvl w:ilvl="5">
      <w:start w:val="1"/>
      <w:numFmt w:val="none"/>
      <w:lvlText w:val=""/>
      <w:lvlJc w:val="left"/>
      <w:pPr>
        <w:ind w:left="720" w:firstLine="0"/>
      </w:pPr>
      <w:rPr>
        <w:rFonts w:hint="default"/>
      </w:rPr>
    </w:lvl>
    <w:lvl w:ilvl="6">
      <w:start w:val="1"/>
      <w:numFmt w:val="none"/>
      <w:lvlText w:val=""/>
      <w:lvlJc w:val="left"/>
      <w:pPr>
        <w:ind w:left="720" w:firstLine="0"/>
      </w:pPr>
      <w:rPr>
        <w:rFonts w:hint="default"/>
      </w:rPr>
    </w:lvl>
    <w:lvl w:ilvl="7">
      <w:start w:val="1"/>
      <w:numFmt w:val="none"/>
      <w:lvlText w:val=""/>
      <w:lvlJc w:val="left"/>
      <w:pPr>
        <w:ind w:left="720" w:firstLine="0"/>
      </w:pPr>
      <w:rPr>
        <w:rFonts w:hint="default"/>
      </w:rPr>
    </w:lvl>
    <w:lvl w:ilvl="8">
      <w:start w:val="1"/>
      <w:numFmt w:val="none"/>
      <w:lvlText w:val=""/>
      <w:lvlJc w:val="left"/>
      <w:pPr>
        <w:ind w:left="720" w:firstLine="0"/>
      </w:pPr>
      <w:rPr>
        <w:rFonts w:hint="default"/>
      </w:rPr>
    </w:lvl>
  </w:abstractNum>
  <w:abstractNum w:abstractNumId="2" w15:restartNumberingAfterBreak="0">
    <w:nsid w:val="15F056CB"/>
    <w:multiLevelType w:val="multilevel"/>
    <w:tmpl w:val="BD4CC18E"/>
    <w:numStyleLink w:val="FoFCoLOP"/>
  </w:abstractNum>
  <w:abstractNum w:abstractNumId="3" w15:restartNumberingAfterBreak="0">
    <w:nsid w:val="1CD67F4B"/>
    <w:multiLevelType w:val="hybridMultilevel"/>
    <w:tmpl w:val="C2A26642"/>
    <w:lvl w:ilvl="0" w:tplc="7A988B5E">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D70038F"/>
    <w:multiLevelType w:val="multilevel"/>
    <w:tmpl w:val="3C526EDE"/>
    <w:numStyleLink w:val="Headings"/>
  </w:abstractNum>
  <w:abstractNum w:abstractNumId="5" w15:restartNumberingAfterBreak="0">
    <w:nsid w:val="1E2242C9"/>
    <w:multiLevelType w:val="multilevel"/>
    <w:tmpl w:val="3C526EDE"/>
    <w:numStyleLink w:val="Headings"/>
  </w:abstractNum>
  <w:abstractNum w:abstractNumId="6" w15:restartNumberingAfterBreak="0">
    <w:nsid w:val="21FB58FE"/>
    <w:multiLevelType w:val="multilevel"/>
    <w:tmpl w:val="3C526EDE"/>
    <w:numStyleLink w:val="Headings"/>
  </w:abstractNum>
  <w:abstractNum w:abstractNumId="7" w15:restartNumberingAfterBreak="0">
    <w:nsid w:val="243663A0"/>
    <w:multiLevelType w:val="multilevel"/>
    <w:tmpl w:val="3C526EDE"/>
    <w:numStyleLink w:val="Headings"/>
  </w:abstractNum>
  <w:abstractNum w:abstractNumId="8" w15:restartNumberingAfterBreak="0">
    <w:nsid w:val="27B21B4F"/>
    <w:multiLevelType w:val="hybridMultilevel"/>
    <w:tmpl w:val="DF78A0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8124D7"/>
    <w:multiLevelType w:val="multilevel"/>
    <w:tmpl w:val="3C526EDE"/>
    <w:numStyleLink w:val="Headings"/>
  </w:abstractNum>
  <w:abstractNum w:abstractNumId="10" w15:restartNumberingAfterBreak="0">
    <w:nsid w:val="331F6D42"/>
    <w:multiLevelType w:val="multilevel"/>
    <w:tmpl w:val="3C526EDE"/>
    <w:styleLink w:val="Headings"/>
    <w:lvl w:ilvl="0">
      <w:start w:val="1"/>
      <w:numFmt w:val="decimal"/>
      <w:pStyle w:val="Heading1"/>
      <w:lvlText w:val="%1."/>
      <w:lvlJc w:val="left"/>
      <w:pPr>
        <w:ind w:left="720" w:hanging="72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 w:ilvl="1">
      <w:start w:val="1"/>
      <w:numFmt w:val="decimal"/>
      <w:pStyle w:val="Heading2"/>
      <w:lvlText w:val="%1.%2."/>
      <w:lvlJc w:val="left"/>
      <w:pPr>
        <w:tabs>
          <w:tab w:val="num" w:pos="1080"/>
        </w:tabs>
        <w:ind w:left="1080" w:hanging="720"/>
      </w:pPr>
      <w:rPr>
        <w:rFonts w:ascii="Arial" w:hAnsi="Arial" w:hint="default"/>
        <w:b/>
        <w:i w:val="0"/>
        <w:caps w:val="0"/>
        <w:strike w:val="0"/>
        <w:dstrike w:val="0"/>
        <w:vanish w:val="0"/>
        <w:color w:val="auto"/>
        <w:kern w:val="0"/>
        <w:sz w:val="26"/>
        <w:u w:val="none"/>
        <w:vertAlign w:val="baseline"/>
        <w14:cntxtAlts w14:val="0"/>
      </w:rPr>
    </w:lvl>
    <w:lvl w:ilvl="2">
      <w:start w:val="1"/>
      <w:numFmt w:val="decimal"/>
      <w:pStyle w:val="Heading3"/>
      <w:lvlText w:val="%1.%2.%3."/>
      <w:lvlJc w:val="left"/>
      <w:pPr>
        <w:tabs>
          <w:tab w:val="num" w:pos="1656"/>
        </w:tabs>
        <w:ind w:left="1656" w:hanging="936"/>
      </w:pPr>
      <w:rPr>
        <w:rFonts w:ascii="Arial" w:hAnsi="Arial" w:hint="default"/>
        <w:b/>
        <w:i w:val="0"/>
        <w:caps w:val="0"/>
        <w:strike w:val="0"/>
        <w:dstrike w:val="0"/>
        <w:vanish w:val="0"/>
        <w:color w:val="auto"/>
        <w:kern w:val="0"/>
        <w:sz w:val="26"/>
        <w:u w:val="none"/>
        <w:vertAlign w:val="baseline"/>
        <w14:cntxtAlts w14:val="0"/>
      </w:rPr>
    </w:lvl>
    <w:lvl w:ilvl="3">
      <w:start w:val="1"/>
      <w:numFmt w:val="decimal"/>
      <w:pStyle w:val="Heading4"/>
      <w:lvlText w:val="%1.%2.%3.%4."/>
      <w:lvlJc w:val="left"/>
      <w:pPr>
        <w:tabs>
          <w:tab w:val="num" w:pos="2232"/>
        </w:tabs>
        <w:ind w:left="2232" w:hanging="1152"/>
      </w:pPr>
      <w:rPr>
        <w:rFonts w:ascii="Arial" w:hAnsi="Arial" w:hint="default"/>
        <w:b/>
        <w:i w:val="0"/>
        <w:caps w:val="0"/>
        <w:strike w:val="0"/>
        <w:dstrike w:val="0"/>
        <w:vanish w:val="0"/>
        <w:kern w:val="0"/>
        <w:sz w:val="26"/>
        <w:vertAlign w:val="baseline"/>
        <w14:cntxtAlts w14:val="0"/>
      </w:rPr>
    </w:lvl>
    <w:lvl w:ilvl="4">
      <w:start w:val="1"/>
      <w:numFmt w:val="decimal"/>
      <w:pStyle w:val="Heading5"/>
      <w:lvlText w:val="%1.%2.%3.%4.%5."/>
      <w:lvlJc w:val="left"/>
      <w:pPr>
        <w:tabs>
          <w:tab w:val="num" w:pos="2880"/>
        </w:tabs>
        <w:ind w:left="2880" w:hanging="1440"/>
      </w:pPr>
      <w:rPr>
        <w:rFonts w:ascii="Arial" w:hAnsi="Arial" w:hint="default"/>
        <w:b/>
        <w:i w:val="0"/>
        <w:sz w:val="26"/>
      </w:rPr>
    </w:lvl>
    <w:lvl w:ilvl="5">
      <w:start w:val="1"/>
      <w:numFmt w:val="decimal"/>
      <w:pStyle w:val="Heading6"/>
      <w:lvlText w:val="%1.%2.%3.%4.%5.%6."/>
      <w:lvlJc w:val="left"/>
      <w:pPr>
        <w:tabs>
          <w:tab w:val="num" w:pos="3528"/>
        </w:tabs>
        <w:ind w:left="3528" w:hanging="1728"/>
      </w:pPr>
      <w:rPr>
        <w:rFonts w:ascii="Arial" w:hAnsi="Arial" w:hint="default"/>
        <w:b/>
        <w:i w:val="0"/>
        <w:sz w:val="26"/>
      </w:rPr>
    </w:lvl>
    <w:lvl w:ilvl="6">
      <w:start w:val="1"/>
      <w:numFmt w:val="decimal"/>
      <w:pStyle w:val="ListNum"/>
      <w:lvlText w:val="%7."/>
      <w:lvlJc w:val="left"/>
      <w:pPr>
        <w:tabs>
          <w:tab w:val="num" w:pos="1080"/>
        </w:tabs>
        <w:ind w:left="1080" w:hanging="360"/>
      </w:pPr>
      <w:rPr>
        <w:rFonts w:ascii="Book Antiqua" w:hAnsi="Book Antiqua" w:hint="default"/>
        <w:b w:val="0"/>
        <w:i w:val="0"/>
        <w:sz w:val="26"/>
      </w:rPr>
    </w:lvl>
    <w:lvl w:ilvl="7">
      <w:start w:val="1"/>
      <w:numFmt w:val="lowerLetter"/>
      <w:pStyle w:val="ListAlpha"/>
      <w:lvlText w:val="%8."/>
      <w:lvlJc w:val="left"/>
      <w:pPr>
        <w:ind w:left="1080" w:hanging="360"/>
      </w:pPr>
      <w:rPr>
        <w:rFonts w:ascii="Book Antiqua" w:hAnsi="Book Antiqua" w:hint="default"/>
        <w:sz w:val="26"/>
      </w:rPr>
    </w:lvl>
    <w:lvl w:ilvl="8">
      <w:start w:val="1"/>
      <w:numFmt w:val="none"/>
      <w:lvlText w:val=""/>
      <w:lvlJc w:val="left"/>
      <w:pPr>
        <w:ind w:left="3240" w:hanging="360"/>
      </w:pPr>
      <w:rPr>
        <w:rFonts w:hint="default"/>
      </w:rPr>
    </w:lvl>
  </w:abstractNum>
  <w:abstractNum w:abstractNumId="11" w15:restartNumberingAfterBreak="0">
    <w:nsid w:val="56BB18F2"/>
    <w:multiLevelType w:val="hybridMultilevel"/>
    <w:tmpl w:val="67DAB51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59D042D7"/>
    <w:multiLevelType w:val="multilevel"/>
    <w:tmpl w:val="9C40E6F8"/>
    <w:lvl w:ilvl="0">
      <w:start w:val="1"/>
      <w:numFmt w:val="decimal"/>
      <w:pStyle w:val="OP"/>
      <w:lvlText w:val="%1."/>
      <w:lvlJc w:val="right"/>
      <w:pPr>
        <w:ind w:left="0" w:firstLine="540"/>
      </w:pPr>
      <w:rPr>
        <w:rFonts w:hint="default"/>
      </w:rPr>
    </w:lvl>
    <w:lvl w:ilvl="1">
      <w:start w:val="1"/>
      <w:numFmt w:val="lowerLetter"/>
      <w:lvlText w:val="(%2)"/>
      <w:lvlJc w:val="right"/>
      <w:pPr>
        <w:ind w:left="1152" w:hanging="72"/>
      </w:pPr>
      <w:rPr>
        <w:rFonts w:hint="default"/>
      </w:rPr>
    </w:lvl>
    <w:lvl w:ilvl="2">
      <w:start w:val="1"/>
      <w:numFmt w:val="none"/>
      <w:lvlText w:val=""/>
      <w:lvlJc w:val="left"/>
      <w:pPr>
        <w:ind w:left="720" w:firstLine="0"/>
      </w:pPr>
      <w:rPr>
        <w:rFonts w:hint="default"/>
      </w:rPr>
    </w:lvl>
    <w:lvl w:ilvl="3">
      <w:start w:val="1"/>
      <w:numFmt w:val="none"/>
      <w:lvlText w:val=""/>
      <w:lvlJc w:val="left"/>
      <w:pPr>
        <w:ind w:left="720" w:firstLine="0"/>
      </w:pPr>
      <w:rPr>
        <w:rFonts w:hint="default"/>
      </w:rPr>
    </w:lvl>
    <w:lvl w:ilvl="4">
      <w:start w:val="1"/>
      <w:numFmt w:val="none"/>
      <w:lvlText w:val=""/>
      <w:lvlJc w:val="left"/>
      <w:pPr>
        <w:ind w:left="720" w:firstLine="0"/>
      </w:pPr>
      <w:rPr>
        <w:rFonts w:hint="default"/>
      </w:rPr>
    </w:lvl>
    <w:lvl w:ilvl="5">
      <w:start w:val="1"/>
      <w:numFmt w:val="none"/>
      <w:lvlText w:val=""/>
      <w:lvlJc w:val="left"/>
      <w:pPr>
        <w:ind w:left="720" w:firstLine="0"/>
      </w:pPr>
      <w:rPr>
        <w:rFonts w:hint="default"/>
      </w:rPr>
    </w:lvl>
    <w:lvl w:ilvl="6">
      <w:start w:val="1"/>
      <w:numFmt w:val="none"/>
      <w:lvlText w:val=""/>
      <w:lvlJc w:val="left"/>
      <w:pPr>
        <w:ind w:left="720" w:firstLine="0"/>
      </w:pPr>
      <w:rPr>
        <w:rFonts w:hint="default"/>
      </w:rPr>
    </w:lvl>
    <w:lvl w:ilvl="7">
      <w:start w:val="1"/>
      <w:numFmt w:val="none"/>
      <w:lvlText w:val=""/>
      <w:lvlJc w:val="left"/>
      <w:pPr>
        <w:ind w:left="720" w:firstLine="0"/>
      </w:pPr>
      <w:rPr>
        <w:rFonts w:hint="default"/>
      </w:rPr>
    </w:lvl>
    <w:lvl w:ilvl="8">
      <w:start w:val="1"/>
      <w:numFmt w:val="none"/>
      <w:lvlText w:val=""/>
      <w:lvlJc w:val="left"/>
      <w:pPr>
        <w:ind w:left="720" w:firstLine="0"/>
      </w:pPr>
      <w:rPr>
        <w:rFonts w:hint="default"/>
      </w:rPr>
    </w:lvl>
  </w:abstractNum>
  <w:abstractNum w:abstractNumId="13" w15:restartNumberingAfterBreak="0">
    <w:nsid w:val="5A9E2171"/>
    <w:multiLevelType w:val="multilevel"/>
    <w:tmpl w:val="3C526EDE"/>
    <w:numStyleLink w:val="Headings"/>
  </w:abstractNum>
  <w:abstractNum w:abstractNumId="14" w15:restartNumberingAfterBreak="0">
    <w:nsid w:val="61A25780"/>
    <w:multiLevelType w:val="multilevel"/>
    <w:tmpl w:val="3C526EDE"/>
    <w:numStyleLink w:val="Headings"/>
  </w:abstractNum>
  <w:abstractNum w:abstractNumId="15" w15:restartNumberingAfterBreak="0">
    <w:nsid w:val="6FDF7E1C"/>
    <w:multiLevelType w:val="hybridMultilevel"/>
    <w:tmpl w:val="2F5AD6F8"/>
    <w:lvl w:ilvl="0" w:tplc="721C3134">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789A0AFE"/>
    <w:multiLevelType w:val="multilevel"/>
    <w:tmpl w:val="BD4CC18E"/>
    <w:numStyleLink w:val="FoFCoLOP"/>
  </w:abstractNum>
  <w:num w:numId="1" w16cid:durableId="1354526949">
    <w:abstractNumId w:val="13"/>
  </w:num>
  <w:num w:numId="2" w16cid:durableId="140774137">
    <w:abstractNumId w:val="1"/>
  </w:num>
  <w:num w:numId="3" w16cid:durableId="1898543446">
    <w:abstractNumId w:val="12"/>
  </w:num>
  <w:num w:numId="4" w16cid:durableId="701521005">
    <w:abstractNumId w:val="2"/>
  </w:num>
  <w:num w:numId="5" w16cid:durableId="2017029027">
    <w:abstractNumId w:val="16"/>
  </w:num>
  <w:num w:numId="6" w16cid:durableId="973756952">
    <w:abstractNumId w:val="10"/>
  </w:num>
  <w:num w:numId="7" w16cid:durableId="827667741">
    <w:abstractNumId w:val="5"/>
  </w:num>
  <w:num w:numId="8" w16cid:durableId="1760327020">
    <w:abstractNumId w:val="15"/>
  </w:num>
  <w:num w:numId="9" w16cid:durableId="816924040">
    <w:abstractNumId w:val="0"/>
  </w:num>
  <w:num w:numId="10" w16cid:durableId="1817916489">
    <w:abstractNumId w:val="4"/>
  </w:num>
  <w:num w:numId="11" w16cid:durableId="291985460">
    <w:abstractNumId w:val="6"/>
  </w:num>
  <w:num w:numId="12" w16cid:durableId="467941983">
    <w:abstractNumId w:val="3"/>
  </w:num>
  <w:num w:numId="13" w16cid:durableId="712996464">
    <w:abstractNumId w:val="7"/>
  </w:num>
  <w:num w:numId="14" w16cid:durableId="1303778653">
    <w:abstractNumId w:val="9"/>
  </w:num>
  <w:num w:numId="15" w16cid:durableId="1714382259">
    <w:abstractNumId w:val="14"/>
  </w:num>
  <w:num w:numId="16" w16cid:durableId="5481076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14637577">
    <w:abstractNumId w:val="14"/>
  </w:num>
  <w:num w:numId="18" w16cid:durableId="1015500276">
    <w:abstractNumId w:val="11"/>
  </w:num>
  <w:num w:numId="19" w16cid:durableId="2046060580">
    <w:abstractNumId w:val="8"/>
  </w:num>
  <w:num w:numId="20" w16cid:durableId="732393515">
    <w:abstractNumId w:val="12"/>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684000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109"/>
    <w:rsid w:val="0000081F"/>
    <w:rsid w:val="00000F6A"/>
    <w:rsid w:val="00002727"/>
    <w:rsid w:val="0000344E"/>
    <w:rsid w:val="00003C46"/>
    <w:rsid w:val="00004C68"/>
    <w:rsid w:val="00005025"/>
    <w:rsid w:val="00006229"/>
    <w:rsid w:val="00006D22"/>
    <w:rsid w:val="00007042"/>
    <w:rsid w:val="000070EB"/>
    <w:rsid w:val="00007663"/>
    <w:rsid w:val="000076C5"/>
    <w:rsid w:val="00010230"/>
    <w:rsid w:val="00010631"/>
    <w:rsid w:val="00011152"/>
    <w:rsid w:val="00011D29"/>
    <w:rsid w:val="00011F02"/>
    <w:rsid w:val="00012C50"/>
    <w:rsid w:val="0001317A"/>
    <w:rsid w:val="00013233"/>
    <w:rsid w:val="00013E03"/>
    <w:rsid w:val="0001448B"/>
    <w:rsid w:val="00014AB2"/>
    <w:rsid w:val="00014D75"/>
    <w:rsid w:val="00015928"/>
    <w:rsid w:val="0001602E"/>
    <w:rsid w:val="00016BFE"/>
    <w:rsid w:val="00017ACB"/>
    <w:rsid w:val="00017C64"/>
    <w:rsid w:val="0002058C"/>
    <w:rsid w:val="00020D68"/>
    <w:rsid w:val="00022420"/>
    <w:rsid w:val="000226A8"/>
    <w:rsid w:val="00022B65"/>
    <w:rsid w:val="00023927"/>
    <w:rsid w:val="00023A2D"/>
    <w:rsid w:val="0002543F"/>
    <w:rsid w:val="00025649"/>
    <w:rsid w:val="000265D2"/>
    <w:rsid w:val="000266B7"/>
    <w:rsid w:val="00026D45"/>
    <w:rsid w:val="00026DDE"/>
    <w:rsid w:val="0003010A"/>
    <w:rsid w:val="000312DA"/>
    <w:rsid w:val="00031317"/>
    <w:rsid w:val="00031A7F"/>
    <w:rsid w:val="00031E69"/>
    <w:rsid w:val="00034DDE"/>
    <w:rsid w:val="00035CA9"/>
    <w:rsid w:val="00037D90"/>
    <w:rsid w:val="000402EC"/>
    <w:rsid w:val="00042AA1"/>
    <w:rsid w:val="00042BCD"/>
    <w:rsid w:val="0004432D"/>
    <w:rsid w:val="00044A65"/>
    <w:rsid w:val="000474BB"/>
    <w:rsid w:val="00047905"/>
    <w:rsid w:val="00051823"/>
    <w:rsid w:val="00051B2F"/>
    <w:rsid w:val="0005223A"/>
    <w:rsid w:val="00052336"/>
    <w:rsid w:val="00052526"/>
    <w:rsid w:val="00052A5E"/>
    <w:rsid w:val="00052D54"/>
    <w:rsid w:val="00052FC5"/>
    <w:rsid w:val="00053338"/>
    <w:rsid w:val="000537F7"/>
    <w:rsid w:val="000546E7"/>
    <w:rsid w:val="00054DB3"/>
    <w:rsid w:val="00054F49"/>
    <w:rsid w:val="00055B9D"/>
    <w:rsid w:val="00060580"/>
    <w:rsid w:val="00060F95"/>
    <w:rsid w:val="00061907"/>
    <w:rsid w:val="00061A97"/>
    <w:rsid w:val="00061DCA"/>
    <w:rsid w:val="0006247C"/>
    <w:rsid w:val="000649FE"/>
    <w:rsid w:val="000650B1"/>
    <w:rsid w:val="00065811"/>
    <w:rsid w:val="00066215"/>
    <w:rsid w:val="0006677E"/>
    <w:rsid w:val="000669BA"/>
    <w:rsid w:val="00070C53"/>
    <w:rsid w:val="0007115A"/>
    <w:rsid w:val="0007311F"/>
    <w:rsid w:val="0007316A"/>
    <w:rsid w:val="00073532"/>
    <w:rsid w:val="0007354F"/>
    <w:rsid w:val="00073945"/>
    <w:rsid w:val="00074BD8"/>
    <w:rsid w:val="00075D48"/>
    <w:rsid w:val="00077708"/>
    <w:rsid w:val="00080A76"/>
    <w:rsid w:val="00080D89"/>
    <w:rsid w:val="0008112E"/>
    <w:rsid w:val="00081424"/>
    <w:rsid w:val="00084801"/>
    <w:rsid w:val="000849EC"/>
    <w:rsid w:val="000855A1"/>
    <w:rsid w:val="00087058"/>
    <w:rsid w:val="00087984"/>
    <w:rsid w:val="000901EC"/>
    <w:rsid w:val="00092A61"/>
    <w:rsid w:val="00092B3C"/>
    <w:rsid w:val="00092DD6"/>
    <w:rsid w:val="00092F59"/>
    <w:rsid w:val="000935F3"/>
    <w:rsid w:val="00094141"/>
    <w:rsid w:val="00094334"/>
    <w:rsid w:val="000944A5"/>
    <w:rsid w:val="000957B4"/>
    <w:rsid w:val="00095A00"/>
    <w:rsid w:val="00095ADA"/>
    <w:rsid w:val="00096EC9"/>
    <w:rsid w:val="00096F78"/>
    <w:rsid w:val="000973C8"/>
    <w:rsid w:val="00097A2C"/>
    <w:rsid w:val="00097AA8"/>
    <w:rsid w:val="00097F87"/>
    <w:rsid w:val="000A020E"/>
    <w:rsid w:val="000A0BB3"/>
    <w:rsid w:val="000A2099"/>
    <w:rsid w:val="000A2AA9"/>
    <w:rsid w:val="000A2C35"/>
    <w:rsid w:val="000A4A99"/>
    <w:rsid w:val="000A4D49"/>
    <w:rsid w:val="000A56F2"/>
    <w:rsid w:val="000A6380"/>
    <w:rsid w:val="000A6C40"/>
    <w:rsid w:val="000A6E05"/>
    <w:rsid w:val="000A7249"/>
    <w:rsid w:val="000A75FA"/>
    <w:rsid w:val="000B0699"/>
    <w:rsid w:val="000B095B"/>
    <w:rsid w:val="000B11BC"/>
    <w:rsid w:val="000B12FA"/>
    <w:rsid w:val="000B1645"/>
    <w:rsid w:val="000B1CC9"/>
    <w:rsid w:val="000B4B29"/>
    <w:rsid w:val="000B51EF"/>
    <w:rsid w:val="000B5475"/>
    <w:rsid w:val="000B6B49"/>
    <w:rsid w:val="000B72ED"/>
    <w:rsid w:val="000B72F7"/>
    <w:rsid w:val="000C05ED"/>
    <w:rsid w:val="000C08BF"/>
    <w:rsid w:val="000C0BDB"/>
    <w:rsid w:val="000C2C85"/>
    <w:rsid w:val="000C32ED"/>
    <w:rsid w:val="000C3B9A"/>
    <w:rsid w:val="000C5B7E"/>
    <w:rsid w:val="000C5BB8"/>
    <w:rsid w:val="000C6C3D"/>
    <w:rsid w:val="000C72F1"/>
    <w:rsid w:val="000D049E"/>
    <w:rsid w:val="000D05B1"/>
    <w:rsid w:val="000D116C"/>
    <w:rsid w:val="000D147B"/>
    <w:rsid w:val="000D1720"/>
    <w:rsid w:val="000D1B5C"/>
    <w:rsid w:val="000D2598"/>
    <w:rsid w:val="000D25A8"/>
    <w:rsid w:val="000D2D2A"/>
    <w:rsid w:val="000D68FD"/>
    <w:rsid w:val="000D6B39"/>
    <w:rsid w:val="000E0218"/>
    <w:rsid w:val="000E0249"/>
    <w:rsid w:val="000E0685"/>
    <w:rsid w:val="000E270A"/>
    <w:rsid w:val="000E30A9"/>
    <w:rsid w:val="000E416C"/>
    <w:rsid w:val="000E4571"/>
    <w:rsid w:val="000E4A71"/>
    <w:rsid w:val="000E4C53"/>
    <w:rsid w:val="000E5249"/>
    <w:rsid w:val="000E53AE"/>
    <w:rsid w:val="000E6109"/>
    <w:rsid w:val="000E68DB"/>
    <w:rsid w:val="000F1E79"/>
    <w:rsid w:val="000F28ED"/>
    <w:rsid w:val="000F40EB"/>
    <w:rsid w:val="000F48C6"/>
    <w:rsid w:val="000F6A12"/>
    <w:rsid w:val="00100A2C"/>
    <w:rsid w:val="00102495"/>
    <w:rsid w:val="00103D6C"/>
    <w:rsid w:val="00104C33"/>
    <w:rsid w:val="0011006B"/>
    <w:rsid w:val="00110FEC"/>
    <w:rsid w:val="0011349A"/>
    <w:rsid w:val="001164AC"/>
    <w:rsid w:val="00116EC7"/>
    <w:rsid w:val="00116F69"/>
    <w:rsid w:val="001170BC"/>
    <w:rsid w:val="0011767D"/>
    <w:rsid w:val="00117855"/>
    <w:rsid w:val="00117D0A"/>
    <w:rsid w:val="00120050"/>
    <w:rsid w:val="00121089"/>
    <w:rsid w:val="00121109"/>
    <w:rsid w:val="00121253"/>
    <w:rsid w:val="001221A2"/>
    <w:rsid w:val="00122B49"/>
    <w:rsid w:val="00122BA8"/>
    <w:rsid w:val="00124816"/>
    <w:rsid w:val="00124CCC"/>
    <w:rsid w:val="00124E5C"/>
    <w:rsid w:val="001261CD"/>
    <w:rsid w:val="00130F8C"/>
    <w:rsid w:val="0013113A"/>
    <w:rsid w:val="0013162F"/>
    <w:rsid w:val="0013190C"/>
    <w:rsid w:val="001319FD"/>
    <w:rsid w:val="001320B2"/>
    <w:rsid w:val="0013284B"/>
    <w:rsid w:val="00133D29"/>
    <w:rsid w:val="00134133"/>
    <w:rsid w:val="00134CAE"/>
    <w:rsid w:val="00134EB4"/>
    <w:rsid w:val="00136356"/>
    <w:rsid w:val="00136B67"/>
    <w:rsid w:val="0013795B"/>
    <w:rsid w:val="00137D1A"/>
    <w:rsid w:val="001403E4"/>
    <w:rsid w:val="00142548"/>
    <w:rsid w:val="00142588"/>
    <w:rsid w:val="001427B4"/>
    <w:rsid w:val="00142DB3"/>
    <w:rsid w:val="00143F7D"/>
    <w:rsid w:val="001444B8"/>
    <w:rsid w:val="00144FF5"/>
    <w:rsid w:val="00145714"/>
    <w:rsid w:val="00145911"/>
    <w:rsid w:val="00145ED5"/>
    <w:rsid w:val="00147600"/>
    <w:rsid w:val="001509DA"/>
    <w:rsid w:val="00151C6F"/>
    <w:rsid w:val="001527BB"/>
    <w:rsid w:val="001547DE"/>
    <w:rsid w:val="00156356"/>
    <w:rsid w:val="0015763C"/>
    <w:rsid w:val="00161316"/>
    <w:rsid w:val="00162563"/>
    <w:rsid w:val="001645EE"/>
    <w:rsid w:val="00166895"/>
    <w:rsid w:val="00166C27"/>
    <w:rsid w:val="00166D9F"/>
    <w:rsid w:val="001671E2"/>
    <w:rsid w:val="00170B4D"/>
    <w:rsid w:val="001714B8"/>
    <w:rsid w:val="00171957"/>
    <w:rsid w:val="00173FE7"/>
    <w:rsid w:val="00174CC3"/>
    <w:rsid w:val="00176593"/>
    <w:rsid w:val="00177080"/>
    <w:rsid w:val="001804AA"/>
    <w:rsid w:val="001808AC"/>
    <w:rsid w:val="00180CC9"/>
    <w:rsid w:val="001816F2"/>
    <w:rsid w:val="00181867"/>
    <w:rsid w:val="001823F9"/>
    <w:rsid w:val="00182BBD"/>
    <w:rsid w:val="00184095"/>
    <w:rsid w:val="0018476E"/>
    <w:rsid w:val="00184A8F"/>
    <w:rsid w:val="0018641F"/>
    <w:rsid w:val="00187961"/>
    <w:rsid w:val="00191FC5"/>
    <w:rsid w:val="001927A2"/>
    <w:rsid w:val="00192DC6"/>
    <w:rsid w:val="00192E30"/>
    <w:rsid w:val="00193BC5"/>
    <w:rsid w:val="00195F0B"/>
    <w:rsid w:val="00195F8A"/>
    <w:rsid w:val="00196027"/>
    <w:rsid w:val="001969E6"/>
    <w:rsid w:val="00196CA1"/>
    <w:rsid w:val="0019738B"/>
    <w:rsid w:val="001A020A"/>
    <w:rsid w:val="001A0862"/>
    <w:rsid w:val="001A0E9C"/>
    <w:rsid w:val="001A106F"/>
    <w:rsid w:val="001A1A97"/>
    <w:rsid w:val="001A2B94"/>
    <w:rsid w:val="001A2BEF"/>
    <w:rsid w:val="001A39F9"/>
    <w:rsid w:val="001A534C"/>
    <w:rsid w:val="001A5547"/>
    <w:rsid w:val="001A5FD0"/>
    <w:rsid w:val="001A79E3"/>
    <w:rsid w:val="001B19B5"/>
    <w:rsid w:val="001B22FF"/>
    <w:rsid w:val="001B2A52"/>
    <w:rsid w:val="001B47BA"/>
    <w:rsid w:val="001B49EB"/>
    <w:rsid w:val="001B4B79"/>
    <w:rsid w:val="001B546A"/>
    <w:rsid w:val="001B5E18"/>
    <w:rsid w:val="001B693E"/>
    <w:rsid w:val="001B70A3"/>
    <w:rsid w:val="001B7EB4"/>
    <w:rsid w:val="001C022F"/>
    <w:rsid w:val="001C0471"/>
    <w:rsid w:val="001C0875"/>
    <w:rsid w:val="001C20A9"/>
    <w:rsid w:val="001C363F"/>
    <w:rsid w:val="001C3781"/>
    <w:rsid w:val="001C6696"/>
    <w:rsid w:val="001C7C7E"/>
    <w:rsid w:val="001D0111"/>
    <w:rsid w:val="001D1932"/>
    <w:rsid w:val="001D1D25"/>
    <w:rsid w:val="001D35D3"/>
    <w:rsid w:val="001D44D6"/>
    <w:rsid w:val="001D5942"/>
    <w:rsid w:val="001D668A"/>
    <w:rsid w:val="001D6F0F"/>
    <w:rsid w:val="001D7CE0"/>
    <w:rsid w:val="001D7D73"/>
    <w:rsid w:val="001E0F05"/>
    <w:rsid w:val="001E23EF"/>
    <w:rsid w:val="001E2454"/>
    <w:rsid w:val="001E2A62"/>
    <w:rsid w:val="001E30DF"/>
    <w:rsid w:val="001E39DA"/>
    <w:rsid w:val="001E3E6E"/>
    <w:rsid w:val="001E4198"/>
    <w:rsid w:val="001E5138"/>
    <w:rsid w:val="001E6656"/>
    <w:rsid w:val="001E6F85"/>
    <w:rsid w:val="001E7325"/>
    <w:rsid w:val="001F0327"/>
    <w:rsid w:val="001F14EE"/>
    <w:rsid w:val="001F253C"/>
    <w:rsid w:val="001F25E3"/>
    <w:rsid w:val="001F2819"/>
    <w:rsid w:val="001F2974"/>
    <w:rsid w:val="001F2AE9"/>
    <w:rsid w:val="001F49F4"/>
    <w:rsid w:val="001F4DD5"/>
    <w:rsid w:val="001F51AA"/>
    <w:rsid w:val="001F67A6"/>
    <w:rsid w:val="001F6E8E"/>
    <w:rsid w:val="001F6F52"/>
    <w:rsid w:val="001F7029"/>
    <w:rsid w:val="001F71CD"/>
    <w:rsid w:val="001F77BC"/>
    <w:rsid w:val="00200334"/>
    <w:rsid w:val="00200DB4"/>
    <w:rsid w:val="002016FD"/>
    <w:rsid w:val="002043EC"/>
    <w:rsid w:val="0020461B"/>
    <w:rsid w:val="00204E7B"/>
    <w:rsid w:val="00205308"/>
    <w:rsid w:val="00205624"/>
    <w:rsid w:val="002065B4"/>
    <w:rsid w:val="00206713"/>
    <w:rsid w:val="00206DAC"/>
    <w:rsid w:val="002070E8"/>
    <w:rsid w:val="00210323"/>
    <w:rsid w:val="0021054F"/>
    <w:rsid w:val="002106A0"/>
    <w:rsid w:val="00210C4E"/>
    <w:rsid w:val="00211B5C"/>
    <w:rsid w:val="00211C38"/>
    <w:rsid w:val="00211DE8"/>
    <w:rsid w:val="00211E73"/>
    <w:rsid w:val="00211EF4"/>
    <w:rsid w:val="00212840"/>
    <w:rsid w:val="00212D12"/>
    <w:rsid w:val="00214658"/>
    <w:rsid w:val="00216580"/>
    <w:rsid w:val="00216C3C"/>
    <w:rsid w:val="00217884"/>
    <w:rsid w:val="00217A19"/>
    <w:rsid w:val="00221B3E"/>
    <w:rsid w:val="002226E8"/>
    <w:rsid w:val="0022273A"/>
    <w:rsid w:val="002239EB"/>
    <w:rsid w:val="002245A2"/>
    <w:rsid w:val="00226149"/>
    <w:rsid w:val="002264F3"/>
    <w:rsid w:val="00226A9F"/>
    <w:rsid w:val="0022711C"/>
    <w:rsid w:val="002311F4"/>
    <w:rsid w:val="0023145B"/>
    <w:rsid w:val="00231466"/>
    <w:rsid w:val="00232023"/>
    <w:rsid w:val="00232218"/>
    <w:rsid w:val="00232254"/>
    <w:rsid w:val="0023282F"/>
    <w:rsid w:val="00232E47"/>
    <w:rsid w:val="00233561"/>
    <w:rsid w:val="00233CAB"/>
    <w:rsid w:val="00234102"/>
    <w:rsid w:val="00234AFF"/>
    <w:rsid w:val="00235C46"/>
    <w:rsid w:val="00235DA4"/>
    <w:rsid w:val="0023731D"/>
    <w:rsid w:val="002377BB"/>
    <w:rsid w:val="00240D78"/>
    <w:rsid w:val="00241056"/>
    <w:rsid w:val="00241679"/>
    <w:rsid w:val="00242168"/>
    <w:rsid w:val="0024218E"/>
    <w:rsid w:val="00242F02"/>
    <w:rsid w:val="002434E9"/>
    <w:rsid w:val="00243DC0"/>
    <w:rsid w:val="002447F8"/>
    <w:rsid w:val="00245071"/>
    <w:rsid w:val="00245112"/>
    <w:rsid w:val="00245147"/>
    <w:rsid w:val="002467F8"/>
    <w:rsid w:val="00247477"/>
    <w:rsid w:val="002478DB"/>
    <w:rsid w:val="002479EA"/>
    <w:rsid w:val="00247B55"/>
    <w:rsid w:val="00250382"/>
    <w:rsid w:val="00250BE9"/>
    <w:rsid w:val="00251063"/>
    <w:rsid w:val="00251334"/>
    <w:rsid w:val="0025204B"/>
    <w:rsid w:val="0025268E"/>
    <w:rsid w:val="00252CC4"/>
    <w:rsid w:val="002532E5"/>
    <w:rsid w:val="00253DCA"/>
    <w:rsid w:val="00254B9F"/>
    <w:rsid w:val="00254D9E"/>
    <w:rsid w:val="00254F84"/>
    <w:rsid w:val="00256EC3"/>
    <w:rsid w:val="002579E7"/>
    <w:rsid w:val="00257B0D"/>
    <w:rsid w:val="002600A8"/>
    <w:rsid w:val="0026053F"/>
    <w:rsid w:val="00261AFD"/>
    <w:rsid w:val="00261BF9"/>
    <w:rsid w:val="0026283F"/>
    <w:rsid w:val="00262E0F"/>
    <w:rsid w:val="0026319B"/>
    <w:rsid w:val="002652AE"/>
    <w:rsid w:val="00267A45"/>
    <w:rsid w:val="00270440"/>
    <w:rsid w:val="00271C41"/>
    <w:rsid w:val="00271D82"/>
    <w:rsid w:val="002720DF"/>
    <w:rsid w:val="002729F1"/>
    <w:rsid w:val="00273180"/>
    <w:rsid w:val="00274F2F"/>
    <w:rsid w:val="00275917"/>
    <w:rsid w:val="0027599B"/>
    <w:rsid w:val="00275CCB"/>
    <w:rsid w:val="00276F34"/>
    <w:rsid w:val="00277031"/>
    <w:rsid w:val="0027755E"/>
    <w:rsid w:val="002778D8"/>
    <w:rsid w:val="0028081A"/>
    <w:rsid w:val="0028176D"/>
    <w:rsid w:val="00281ACB"/>
    <w:rsid w:val="00281CA5"/>
    <w:rsid w:val="002828FD"/>
    <w:rsid w:val="00283161"/>
    <w:rsid w:val="00283FCC"/>
    <w:rsid w:val="00284D8D"/>
    <w:rsid w:val="00285249"/>
    <w:rsid w:val="00286ADD"/>
    <w:rsid w:val="00286E6B"/>
    <w:rsid w:val="00287BC5"/>
    <w:rsid w:val="00287C5E"/>
    <w:rsid w:val="00290A9C"/>
    <w:rsid w:val="00290C76"/>
    <w:rsid w:val="00291828"/>
    <w:rsid w:val="0029215E"/>
    <w:rsid w:val="0029247F"/>
    <w:rsid w:val="00292827"/>
    <w:rsid w:val="002930A8"/>
    <w:rsid w:val="00293208"/>
    <w:rsid w:val="00293DEE"/>
    <w:rsid w:val="00295B7C"/>
    <w:rsid w:val="00295C42"/>
    <w:rsid w:val="00297064"/>
    <w:rsid w:val="00297FA4"/>
    <w:rsid w:val="002A0B5D"/>
    <w:rsid w:val="002A0E1B"/>
    <w:rsid w:val="002A1725"/>
    <w:rsid w:val="002A23FA"/>
    <w:rsid w:val="002A4425"/>
    <w:rsid w:val="002A50AE"/>
    <w:rsid w:val="002A526C"/>
    <w:rsid w:val="002A5AB4"/>
    <w:rsid w:val="002A626B"/>
    <w:rsid w:val="002A7EEB"/>
    <w:rsid w:val="002B07AC"/>
    <w:rsid w:val="002B1535"/>
    <w:rsid w:val="002B2722"/>
    <w:rsid w:val="002B30E2"/>
    <w:rsid w:val="002B4578"/>
    <w:rsid w:val="002B468B"/>
    <w:rsid w:val="002B46A5"/>
    <w:rsid w:val="002B4835"/>
    <w:rsid w:val="002B5503"/>
    <w:rsid w:val="002B58E4"/>
    <w:rsid w:val="002B5E28"/>
    <w:rsid w:val="002B6625"/>
    <w:rsid w:val="002B69D6"/>
    <w:rsid w:val="002B6A90"/>
    <w:rsid w:val="002B788A"/>
    <w:rsid w:val="002B788E"/>
    <w:rsid w:val="002C00AC"/>
    <w:rsid w:val="002C086F"/>
    <w:rsid w:val="002C0965"/>
    <w:rsid w:val="002C1727"/>
    <w:rsid w:val="002C4322"/>
    <w:rsid w:val="002C4CD0"/>
    <w:rsid w:val="002C535E"/>
    <w:rsid w:val="002C5898"/>
    <w:rsid w:val="002C5E19"/>
    <w:rsid w:val="002C636A"/>
    <w:rsid w:val="002C782E"/>
    <w:rsid w:val="002C7FE9"/>
    <w:rsid w:val="002D0383"/>
    <w:rsid w:val="002D0603"/>
    <w:rsid w:val="002D0DC5"/>
    <w:rsid w:val="002D0E70"/>
    <w:rsid w:val="002D0F9B"/>
    <w:rsid w:val="002D1F7B"/>
    <w:rsid w:val="002D2500"/>
    <w:rsid w:val="002D2C1E"/>
    <w:rsid w:val="002D315E"/>
    <w:rsid w:val="002D334E"/>
    <w:rsid w:val="002D3A46"/>
    <w:rsid w:val="002D3C7A"/>
    <w:rsid w:val="002D4EFD"/>
    <w:rsid w:val="002D52BD"/>
    <w:rsid w:val="002D6C79"/>
    <w:rsid w:val="002D6D82"/>
    <w:rsid w:val="002D7E8B"/>
    <w:rsid w:val="002E0004"/>
    <w:rsid w:val="002E008A"/>
    <w:rsid w:val="002E0CE8"/>
    <w:rsid w:val="002E18CC"/>
    <w:rsid w:val="002E2939"/>
    <w:rsid w:val="002E2C85"/>
    <w:rsid w:val="002E3F7B"/>
    <w:rsid w:val="002E4C02"/>
    <w:rsid w:val="002E503A"/>
    <w:rsid w:val="002E5841"/>
    <w:rsid w:val="002E6465"/>
    <w:rsid w:val="002F07A4"/>
    <w:rsid w:val="002F2629"/>
    <w:rsid w:val="002F3085"/>
    <w:rsid w:val="002F34D4"/>
    <w:rsid w:val="002F359B"/>
    <w:rsid w:val="002F4009"/>
    <w:rsid w:val="002F47BF"/>
    <w:rsid w:val="002F4825"/>
    <w:rsid w:val="002F52CF"/>
    <w:rsid w:val="002F59F6"/>
    <w:rsid w:val="002F7595"/>
    <w:rsid w:val="00300224"/>
    <w:rsid w:val="00301B71"/>
    <w:rsid w:val="003022DB"/>
    <w:rsid w:val="0030282F"/>
    <w:rsid w:val="00302DA1"/>
    <w:rsid w:val="003039B6"/>
    <w:rsid w:val="00303B0E"/>
    <w:rsid w:val="00304112"/>
    <w:rsid w:val="00304228"/>
    <w:rsid w:val="00305723"/>
    <w:rsid w:val="00305E47"/>
    <w:rsid w:val="003060A1"/>
    <w:rsid w:val="00306F8B"/>
    <w:rsid w:val="003074CC"/>
    <w:rsid w:val="00307553"/>
    <w:rsid w:val="003109AE"/>
    <w:rsid w:val="0031414D"/>
    <w:rsid w:val="00315061"/>
    <w:rsid w:val="00315A97"/>
    <w:rsid w:val="00316071"/>
    <w:rsid w:val="003174E6"/>
    <w:rsid w:val="00317C70"/>
    <w:rsid w:val="00317F28"/>
    <w:rsid w:val="003205AD"/>
    <w:rsid w:val="00320B35"/>
    <w:rsid w:val="00320DD8"/>
    <w:rsid w:val="00321266"/>
    <w:rsid w:val="003214E4"/>
    <w:rsid w:val="00321585"/>
    <w:rsid w:val="0032185B"/>
    <w:rsid w:val="003219C8"/>
    <w:rsid w:val="00322AB4"/>
    <w:rsid w:val="00322E97"/>
    <w:rsid w:val="003241E6"/>
    <w:rsid w:val="00324601"/>
    <w:rsid w:val="003249A9"/>
    <w:rsid w:val="0032521B"/>
    <w:rsid w:val="00326FB5"/>
    <w:rsid w:val="00327418"/>
    <w:rsid w:val="00330AF1"/>
    <w:rsid w:val="00331AFF"/>
    <w:rsid w:val="003324BB"/>
    <w:rsid w:val="003327B4"/>
    <w:rsid w:val="00333021"/>
    <w:rsid w:val="00333236"/>
    <w:rsid w:val="003333A7"/>
    <w:rsid w:val="003340CB"/>
    <w:rsid w:val="003344DF"/>
    <w:rsid w:val="00334A02"/>
    <w:rsid w:val="003354BF"/>
    <w:rsid w:val="00336225"/>
    <w:rsid w:val="003371CB"/>
    <w:rsid w:val="003400D4"/>
    <w:rsid w:val="003414E0"/>
    <w:rsid w:val="00341773"/>
    <w:rsid w:val="00342D78"/>
    <w:rsid w:val="003432A7"/>
    <w:rsid w:val="0034371D"/>
    <w:rsid w:val="003439B3"/>
    <w:rsid w:val="00343BA7"/>
    <w:rsid w:val="00343CE0"/>
    <w:rsid w:val="00343E5C"/>
    <w:rsid w:val="0034405F"/>
    <w:rsid w:val="003440DD"/>
    <w:rsid w:val="00344FB8"/>
    <w:rsid w:val="003461C1"/>
    <w:rsid w:val="0034670D"/>
    <w:rsid w:val="003513D0"/>
    <w:rsid w:val="003515BF"/>
    <w:rsid w:val="00351AC9"/>
    <w:rsid w:val="00353E40"/>
    <w:rsid w:val="00354775"/>
    <w:rsid w:val="00355219"/>
    <w:rsid w:val="00356CDC"/>
    <w:rsid w:val="00357355"/>
    <w:rsid w:val="003579ED"/>
    <w:rsid w:val="0036017B"/>
    <w:rsid w:val="00360E67"/>
    <w:rsid w:val="00362755"/>
    <w:rsid w:val="00363179"/>
    <w:rsid w:val="00363F2E"/>
    <w:rsid w:val="00366309"/>
    <w:rsid w:val="00366851"/>
    <w:rsid w:val="0037010F"/>
    <w:rsid w:val="00370498"/>
    <w:rsid w:val="00371941"/>
    <w:rsid w:val="00371E77"/>
    <w:rsid w:val="00373A17"/>
    <w:rsid w:val="00373A3F"/>
    <w:rsid w:val="00373B93"/>
    <w:rsid w:val="0037406D"/>
    <w:rsid w:val="003761F4"/>
    <w:rsid w:val="003763E3"/>
    <w:rsid w:val="00380729"/>
    <w:rsid w:val="00380CD1"/>
    <w:rsid w:val="003828F4"/>
    <w:rsid w:val="00382FFC"/>
    <w:rsid w:val="003834A1"/>
    <w:rsid w:val="00383D25"/>
    <w:rsid w:val="003842C2"/>
    <w:rsid w:val="00384794"/>
    <w:rsid w:val="003848B4"/>
    <w:rsid w:val="0038564F"/>
    <w:rsid w:val="003857A6"/>
    <w:rsid w:val="003862BD"/>
    <w:rsid w:val="0038674D"/>
    <w:rsid w:val="0038686B"/>
    <w:rsid w:val="00387163"/>
    <w:rsid w:val="003879C6"/>
    <w:rsid w:val="0039078C"/>
    <w:rsid w:val="00394AFC"/>
    <w:rsid w:val="003954C0"/>
    <w:rsid w:val="003964F2"/>
    <w:rsid w:val="00396DBF"/>
    <w:rsid w:val="00397061"/>
    <w:rsid w:val="003977BE"/>
    <w:rsid w:val="003A02CA"/>
    <w:rsid w:val="003A057E"/>
    <w:rsid w:val="003A1442"/>
    <w:rsid w:val="003A1473"/>
    <w:rsid w:val="003A1539"/>
    <w:rsid w:val="003A2C48"/>
    <w:rsid w:val="003A38F0"/>
    <w:rsid w:val="003A3948"/>
    <w:rsid w:val="003A4C69"/>
    <w:rsid w:val="003A51B3"/>
    <w:rsid w:val="003A51FA"/>
    <w:rsid w:val="003A558B"/>
    <w:rsid w:val="003A588C"/>
    <w:rsid w:val="003A64E7"/>
    <w:rsid w:val="003A6A7B"/>
    <w:rsid w:val="003A6C1D"/>
    <w:rsid w:val="003A7C24"/>
    <w:rsid w:val="003B21D8"/>
    <w:rsid w:val="003B2265"/>
    <w:rsid w:val="003B3BEC"/>
    <w:rsid w:val="003B461D"/>
    <w:rsid w:val="003B4ADA"/>
    <w:rsid w:val="003B4E6D"/>
    <w:rsid w:val="003B516D"/>
    <w:rsid w:val="003B51E3"/>
    <w:rsid w:val="003B5733"/>
    <w:rsid w:val="003B619A"/>
    <w:rsid w:val="003B622E"/>
    <w:rsid w:val="003B6409"/>
    <w:rsid w:val="003B6506"/>
    <w:rsid w:val="003B656A"/>
    <w:rsid w:val="003B70C2"/>
    <w:rsid w:val="003C003D"/>
    <w:rsid w:val="003C012A"/>
    <w:rsid w:val="003C0452"/>
    <w:rsid w:val="003C1A65"/>
    <w:rsid w:val="003C293B"/>
    <w:rsid w:val="003C2B19"/>
    <w:rsid w:val="003C348E"/>
    <w:rsid w:val="003C49BC"/>
    <w:rsid w:val="003C5969"/>
    <w:rsid w:val="003C6799"/>
    <w:rsid w:val="003C6C0A"/>
    <w:rsid w:val="003D0282"/>
    <w:rsid w:val="003D0515"/>
    <w:rsid w:val="003D0DFB"/>
    <w:rsid w:val="003D1E73"/>
    <w:rsid w:val="003D2091"/>
    <w:rsid w:val="003D2440"/>
    <w:rsid w:val="003D25D4"/>
    <w:rsid w:val="003D286F"/>
    <w:rsid w:val="003D382B"/>
    <w:rsid w:val="003D5DD2"/>
    <w:rsid w:val="003D621E"/>
    <w:rsid w:val="003D7922"/>
    <w:rsid w:val="003E07C5"/>
    <w:rsid w:val="003E0BA8"/>
    <w:rsid w:val="003E0F9B"/>
    <w:rsid w:val="003E2123"/>
    <w:rsid w:val="003E58A6"/>
    <w:rsid w:val="003E59BC"/>
    <w:rsid w:val="003E5EE2"/>
    <w:rsid w:val="003E758E"/>
    <w:rsid w:val="003E7AE7"/>
    <w:rsid w:val="003E7D28"/>
    <w:rsid w:val="003F05A9"/>
    <w:rsid w:val="003F069A"/>
    <w:rsid w:val="003F10BE"/>
    <w:rsid w:val="003F11C0"/>
    <w:rsid w:val="003F1A01"/>
    <w:rsid w:val="003F25CE"/>
    <w:rsid w:val="003F2E59"/>
    <w:rsid w:val="003F3EC8"/>
    <w:rsid w:val="003F3F44"/>
    <w:rsid w:val="003F4329"/>
    <w:rsid w:val="003F486B"/>
    <w:rsid w:val="003F4F88"/>
    <w:rsid w:val="003F5248"/>
    <w:rsid w:val="003F6CA4"/>
    <w:rsid w:val="00400990"/>
    <w:rsid w:val="00400FB2"/>
    <w:rsid w:val="004022D7"/>
    <w:rsid w:val="004038E0"/>
    <w:rsid w:val="00403E35"/>
    <w:rsid w:val="004042AB"/>
    <w:rsid w:val="00404CF6"/>
    <w:rsid w:val="0040510D"/>
    <w:rsid w:val="00407A96"/>
    <w:rsid w:val="00410A81"/>
    <w:rsid w:val="00410EE7"/>
    <w:rsid w:val="00411189"/>
    <w:rsid w:val="00411BBF"/>
    <w:rsid w:val="00412534"/>
    <w:rsid w:val="00412954"/>
    <w:rsid w:val="00412C83"/>
    <w:rsid w:val="00412ECF"/>
    <w:rsid w:val="0041316F"/>
    <w:rsid w:val="004137DF"/>
    <w:rsid w:val="00413F5B"/>
    <w:rsid w:val="004142CF"/>
    <w:rsid w:val="00414366"/>
    <w:rsid w:val="00414426"/>
    <w:rsid w:val="004148E5"/>
    <w:rsid w:val="00415F97"/>
    <w:rsid w:val="0041648C"/>
    <w:rsid w:val="004169BE"/>
    <w:rsid w:val="00420463"/>
    <w:rsid w:val="00422494"/>
    <w:rsid w:val="00422BCD"/>
    <w:rsid w:val="00422DCD"/>
    <w:rsid w:val="004231F2"/>
    <w:rsid w:val="004256C0"/>
    <w:rsid w:val="0042579D"/>
    <w:rsid w:val="00426014"/>
    <w:rsid w:val="00426D8C"/>
    <w:rsid w:val="0042736F"/>
    <w:rsid w:val="00427B12"/>
    <w:rsid w:val="00430612"/>
    <w:rsid w:val="00431533"/>
    <w:rsid w:val="00431D9F"/>
    <w:rsid w:val="004331E7"/>
    <w:rsid w:val="004338F9"/>
    <w:rsid w:val="00433AF9"/>
    <w:rsid w:val="004343DB"/>
    <w:rsid w:val="004349F4"/>
    <w:rsid w:val="00435FD0"/>
    <w:rsid w:val="0043630B"/>
    <w:rsid w:val="00436E07"/>
    <w:rsid w:val="0044024E"/>
    <w:rsid w:val="00441C24"/>
    <w:rsid w:val="00441C73"/>
    <w:rsid w:val="004421CA"/>
    <w:rsid w:val="00442838"/>
    <w:rsid w:val="00442D25"/>
    <w:rsid w:val="00442DC0"/>
    <w:rsid w:val="00443900"/>
    <w:rsid w:val="00443A72"/>
    <w:rsid w:val="00444220"/>
    <w:rsid w:val="0044422C"/>
    <w:rsid w:val="004446DA"/>
    <w:rsid w:val="0044504A"/>
    <w:rsid w:val="004454B9"/>
    <w:rsid w:val="00445A34"/>
    <w:rsid w:val="0044601A"/>
    <w:rsid w:val="0044617E"/>
    <w:rsid w:val="00446A73"/>
    <w:rsid w:val="004479DE"/>
    <w:rsid w:val="00447D10"/>
    <w:rsid w:val="00447D64"/>
    <w:rsid w:val="004521A8"/>
    <w:rsid w:val="00453D75"/>
    <w:rsid w:val="00454502"/>
    <w:rsid w:val="004552AA"/>
    <w:rsid w:val="00455921"/>
    <w:rsid w:val="0045643F"/>
    <w:rsid w:val="0045682B"/>
    <w:rsid w:val="00456EC5"/>
    <w:rsid w:val="00457038"/>
    <w:rsid w:val="004573E7"/>
    <w:rsid w:val="00457BEB"/>
    <w:rsid w:val="00457F63"/>
    <w:rsid w:val="00460214"/>
    <w:rsid w:val="00460392"/>
    <w:rsid w:val="0046078B"/>
    <w:rsid w:val="00460B7D"/>
    <w:rsid w:val="00461671"/>
    <w:rsid w:val="0046168A"/>
    <w:rsid w:val="0046386A"/>
    <w:rsid w:val="00464085"/>
    <w:rsid w:val="004649F5"/>
    <w:rsid w:val="004653B7"/>
    <w:rsid w:val="0046576C"/>
    <w:rsid w:val="00465FE9"/>
    <w:rsid w:val="0046755B"/>
    <w:rsid w:val="00467757"/>
    <w:rsid w:val="0046799D"/>
    <w:rsid w:val="00467C8F"/>
    <w:rsid w:val="00470A95"/>
    <w:rsid w:val="004715AC"/>
    <w:rsid w:val="00471BEF"/>
    <w:rsid w:val="00472144"/>
    <w:rsid w:val="00472523"/>
    <w:rsid w:val="0047317B"/>
    <w:rsid w:val="00474719"/>
    <w:rsid w:val="00474756"/>
    <w:rsid w:val="00476040"/>
    <w:rsid w:val="00476584"/>
    <w:rsid w:val="00476A19"/>
    <w:rsid w:val="004803AC"/>
    <w:rsid w:val="00480CB0"/>
    <w:rsid w:val="00481544"/>
    <w:rsid w:val="00481B4A"/>
    <w:rsid w:val="00481D62"/>
    <w:rsid w:val="00482D2E"/>
    <w:rsid w:val="00483603"/>
    <w:rsid w:val="00483B5A"/>
    <w:rsid w:val="0048472A"/>
    <w:rsid w:val="00486912"/>
    <w:rsid w:val="00487B73"/>
    <w:rsid w:val="0049027B"/>
    <w:rsid w:val="00491C94"/>
    <w:rsid w:val="00492CFE"/>
    <w:rsid w:val="00493998"/>
    <w:rsid w:val="00495BDF"/>
    <w:rsid w:val="0049635F"/>
    <w:rsid w:val="004A0BC7"/>
    <w:rsid w:val="004A0F1B"/>
    <w:rsid w:val="004A1EAD"/>
    <w:rsid w:val="004A1FC2"/>
    <w:rsid w:val="004A22AD"/>
    <w:rsid w:val="004A35B4"/>
    <w:rsid w:val="004A4033"/>
    <w:rsid w:val="004A47BE"/>
    <w:rsid w:val="004A4B6F"/>
    <w:rsid w:val="004A4E74"/>
    <w:rsid w:val="004A68C6"/>
    <w:rsid w:val="004A690E"/>
    <w:rsid w:val="004A7925"/>
    <w:rsid w:val="004B063B"/>
    <w:rsid w:val="004B1088"/>
    <w:rsid w:val="004B1E77"/>
    <w:rsid w:val="004B20EF"/>
    <w:rsid w:val="004B27A6"/>
    <w:rsid w:val="004B34EA"/>
    <w:rsid w:val="004B3787"/>
    <w:rsid w:val="004B4C77"/>
    <w:rsid w:val="004B5494"/>
    <w:rsid w:val="004B6411"/>
    <w:rsid w:val="004B7A9F"/>
    <w:rsid w:val="004B7D74"/>
    <w:rsid w:val="004B7EF2"/>
    <w:rsid w:val="004C09FD"/>
    <w:rsid w:val="004C0B59"/>
    <w:rsid w:val="004C0E19"/>
    <w:rsid w:val="004C1558"/>
    <w:rsid w:val="004C1BBB"/>
    <w:rsid w:val="004C1C56"/>
    <w:rsid w:val="004C21F0"/>
    <w:rsid w:val="004C2797"/>
    <w:rsid w:val="004C287F"/>
    <w:rsid w:val="004C30FC"/>
    <w:rsid w:val="004C380F"/>
    <w:rsid w:val="004C44FE"/>
    <w:rsid w:val="004C4E10"/>
    <w:rsid w:val="004C74F3"/>
    <w:rsid w:val="004C7A2B"/>
    <w:rsid w:val="004C7D3A"/>
    <w:rsid w:val="004D0FB4"/>
    <w:rsid w:val="004D21B6"/>
    <w:rsid w:val="004D4162"/>
    <w:rsid w:val="004D5DC2"/>
    <w:rsid w:val="004D766F"/>
    <w:rsid w:val="004E05B2"/>
    <w:rsid w:val="004E05EB"/>
    <w:rsid w:val="004E0F01"/>
    <w:rsid w:val="004E1FF2"/>
    <w:rsid w:val="004E27DF"/>
    <w:rsid w:val="004E28FF"/>
    <w:rsid w:val="004E32A4"/>
    <w:rsid w:val="004E3F5C"/>
    <w:rsid w:val="004E592B"/>
    <w:rsid w:val="004E6CBA"/>
    <w:rsid w:val="004E6E6E"/>
    <w:rsid w:val="004E759C"/>
    <w:rsid w:val="004E7D97"/>
    <w:rsid w:val="004F0A48"/>
    <w:rsid w:val="004F117C"/>
    <w:rsid w:val="004F2022"/>
    <w:rsid w:val="004F3216"/>
    <w:rsid w:val="004F3A16"/>
    <w:rsid w:val="004F3D7A"/>
    <w:rsid w:val="004F6A6E"/>
    <w:rsid w:val="004F7D65"/>
    <w:rsid w:val="005005C3"/>
    <w:rsid w:val="00500F48"/>
    <w:rsid w:val="005010EE"/>
    <w:rsid w:val="00501134"/>
    <w:rsid w:val="0050171B"/>
    <w:rsid w:val="005018A8"/>
    <w:rsid w:val="00501A4A"/>
    <w:rsid w:val="00501D61"/>
    <w:rsid w:val="00501F7F"/>
    <w:rsid w:val="0050259E"/>
    <w:rsid w:val="00505402"/>
    <w:rsid w:val="00505A39"/>
    <w:rsid w:val="00506408"/>
    <w:rsid w:val="00507BE1"/>
    <w:rsid w:val="0051159E"/>
    <w:rsid w:val="00512682"/>
    <w:rsid w:val="00512AA0"/>
    <w:rsid w:val="00513E37"/>
    <w:rsid w:val="00514028"/>
    <w:rsid w:val="005142C1"/>
    <w:rsid w:val="005142FF"/>
    <w:rsid w:val="00514439"/>
    <w:rsid w:val="005157DB"/>
    <w:rsid w:val="005158DC"/>
    <w:rsid w:val="00515EA3"/>
    <w:rsid w:val="00520A6C"/>
    <w:rsid w:val="005215E8"/>
    <w:rsid w:val="00522042"/>
    <w:rsid w:val="00522BC7"/>
    <w:rsid w:val="00522F01"/>
    <w:rsid w:val="0052390A"/>
    <w:rsid w:val="00523F80"/>
    <w:rsid w:val="005240BF"/>
    <w:rsid w:val="00524A0D"/>
    <w:rsid w:val="00525223"/>
    <w:rsid w:val="0052601F"/>
    <w:rsid w:val="0052651E"/>
    <w:rsid w:val="00526739"/>
    <w:rsid w:val="00526CCF"/>
    <w:rsid w:val="00526EA8"/>
    <w:rsid w:val="00527244"/>
    <w:rsid w:val="005279DB"/>
    <w:rsid w:val="00527BCF"/>
    <w:rsid w:val="00531455"/>
    <w:rsid w:val="00532799"/>
    <w:rsid w:val="005327E3"/>
    <w:rsid w:val="00533DD2"/>
    <w:rsid w:val="00533E9D"/>
    <w:rsid w:val="00534157"/>
    <w:rsid w:val="0053430B"/>
    <w:rsid w:val="00534606"/>
    <w:rsid w:val="00534A2F"/>
    <w:rsid w:val="00535617"/>
    <w:rsid w:val="005358CF"/>
    <w:rsid w:val="0053633C"/>
    <w:rsid w:val="00542CBE"/>
    <w:rsid w:val="00542F56"/>
    <w:rsid w:val="005432A3"/>
    <w:rsid w:val="00543D04"/>
    <w:rsid w:val="00544C33"/>
    <w:rsid w:val="00545971"/>
    <w:rsid w:val="0054653B"/>
    <w:rsid w:val="00547921"/>
    <w:rsid w:val="005509AA"/>
    <w:rsid w:val="00550BC3"/>
    <w:rsid w:val="0055122F"/>
    <w:rsid w:val="005530FD"/>
    <w:rsid w:val="00553274"/>
    <w:rsid w:val="005533F9"/>
    <w:rsid w:val="00553490"/>
    <w:rsid w:val="0055349A"/>
    <w:rsid w:val="00554ABD"/>
    <w:rsid w:val="00555BF1"/>
    <w:rsid w:val="00556280"/>
    <w:rsid w:val="00557442"/>
    <w:rsid w:val="00557A70"/>
    <w:rsid w:val="00557FD9"/>
    <w:rsid w:val="00560229"/>
    <w:rsid w:val="0056062D"/>
    <w:rsid w:val="00561555"/>
    <w:rsid w:val="00561928"/>
    <w:rsid w:val="00562F1C"/>
    <w:rsid w:val="005632FB"/>
    <w:rsid w:val="00563FD0"/>
    <w:rsid w:val="0056456C"/>
    <w:rsid w:val="005661EF"/>
    <w:rsid w:val="0057056C"/>
    <w:rsid w:val="00570F13"/>
    <w:rsid w:val="00571192"/>
    <w:rsid w:val="0057154C"/>
    <w:rsid w:val="00571861"/>
    <w:rsid w:val="00571B70"/>
    <w:rsid w:val="00571E9C"/>
    <w:rsid w:val="00572AEB"/>
    <w:rsid w:val="0057306E"/>
    <w:rsid w:val="0057319E"/>
    <w:rsid w:val="00573C77"/>
    <w:rsid w:val="00573E3C"/>
    <w:rsid w:val="00574BE1"/>
    <w:rsid w:val="00574C05"/>
    <w:rsid w:val="005752F0"/>
    <w:rsid w:val="0057679F"/>
    <w:rsid w:val="00577AA9"/>
    <w:rsid w:val="00580BEF"/>
    <w:rsid w:val="00580C35"/>
    <w:rsid w:val="005817EC"/>
    <w:rsid w:val="00581D8E"/>
    <w:rsid w:val="00582A32"/>
    <w:rsid w:val="00582CAD"/>
    <w:rsid w:val="00582FB8"/>
    <w:rsid w:val="0058349D"/>
    <w:rsid w:val="0058398A"/>
    <w:rsid w:val="00583DBA"/>
    <w:rsid w:val="00585390"/>
    <w:rsid w:val="005864D4"/>
    <w:rsid w:val="00586F81"/>
    <w:rsid w:val="005870FE"/>
    <w:rsid w:val="00587572"/>
    <w:rsid w:val="00590350"/>
    <w:rsid w:val="005906F6"/>
    <w:rsid w:val="00590980"/>
    <w:rsid w:val="005911AC"/>
    <w:rsid w:val="00591809"/>
    <w:rsid w:val="00592EA9"/>
    <w:rsid w:val="005939A5"/>
    <w:rsid w:val="0059408C"/>
    <w:rsid w:val="00594356"/>
    <w:rsid w:val="005943D2"/>
    <w:rsid w:val="00594797"/>
    <w:rsid w:val="00594C66"/>
    <w:rsid w:val="00596AF9"/>
    <w:rsid w:val="005A0524"/>
    <w:rsid w:val="005A148C"/>
    <w:rsid w:val="005A1E81"/>
    <w:rsid w:val="005A34F7"/>
    <w:rsid w:val="005A42E3"/>
    <w:rsid w:val="005A4492"/>
    <w:rsid w:val="005A460E"/>
    <w:rsid w:val="005A50AC"/>
    <w:rsid w:val="005A51FB"/>
    <w:rsid w:val="005A58DC"/>
    <w:rsid w:val="005A5982"/>
    <w:rsid w:val="005A64A5"/>
    <w:rsid w:val="005A656D"/>
    <w:rsid w:val="005A6F39"/>
    <w:rsid w:val="005B038D"/>
    <w:rsid w:val="005B1128"/>
    <w:rsid w:val="005B1246"/>
    <w:rsid w:val="005B1E9F"/>
    <w:rsid w:val="005B1F7B"/>
    <w:rsid w:val="005B1FC7"/>
    <w:rsid w:val="005B33C7"/>
    <w:rsid w:val="005B3503"/>
    <w:rsid w:val="005B3879"/>
    <w:rsid w:val="005B3A0B"/>
    <w:rsid w:val="005B3BE9"/>
    <w:rsid w:val="005B3CB7"/>
    <w:rsid w:val="005B414F"/>
    <w:rsid w:val="005B4FB5"/>
    <w:rsid w:val="005B5362"/>
    <w:rsid w:val="005B56C4"/>
    <w:rsid w:val="005B6AB6"/>
    <w:rsid w:val="005B6E7B"/>
    <w:rsid w:val="005B7AC0"/>
    <w:rsid w:val="005C12A6"/>
    <w:rsid w:val="005C5349"/>
    <w:rsid w:val="005C577A"/>
    <w:rsid w:val="005C58FA"/>
    <w:rsid w:val="005C5B35"/>
    <w:rsid w:val="005C74B0"/>
    <w:rsid w:val="005C776E"/>
    <w:rsid w:val="005D0445"/>
    <w:rsid w:val="005D0C75"/>
    <w:rsid w:val="005D271D"/>
    <w:rsid w:val="005D2E55"/>
    <w:rsid w:val="005D3092"/>
    <w:rsid w:val="005D4AE6"/>
    <w:rsid w:val="005D64A6"/>
    <w:rsid w:val="005D6508"/>
    <w:rsid w:val="005D7A22"/>
    <w:rsid w:val="005E0F51"/>
    <w:rsid w:val="005E245C"/>
    <w:rsid w:val="005E2D6D"/>
    <w:rsid w:val="005E3DBA"/>
    <w:rsid w:val="005E3FD8"/>
    <w:rsid w:val="005E47FE"/>
    <w:rsid w:val="005E5F8C"/>
    <w:rsid w:val="005E63C0"/>
    <w:rsid w:val="005E71C1"/>
    <w:rsid w:val="005F01ED"/>
    <w:rsid w:val="005F127B"/>
    <w:rsid w:val="005F1BC4"/>
    <w:rsid w:val="005F2AC9"/>
    <w:rsid w:val="005F4B84"/>
    <w:rsid w:val="005F6644"/>
    <w:rsid w:val="00600B33"/>
    <w:rsid w:val="00601A02"/>
    <w:rsid w:val="00601DCD"/>
    <w:rsid w:val="00601F91"/>
    <w:rsid w:val="00602118"/>
    <w:rsid w:val="006022F9"/>
    <w:rsid w:val="00602684"/>
    <w:rsid w:val="00603238"/>
    <w:rsid w:val="00603445"/>
    <w:rsid w:val="006035F6"/>
    <w:rsid w:val="00603976"/>
    <w:rsid w:val="00604000"/>
    <w:rsid w:val="00604DBD"/>
    <w:rsid w:val="00605794"/>
    <w:rsid w:val="00605CC5"/>
    <w:rsid w:val="00606729"/>
    <w:rsid w:val="00610792"/>
    <w:rsid w:val="0061130A"/>
    <w:rsid w:val="0061150D"/>
    <w:rsid w:val="00611759"/>
    <w:rsid w:val="006117BB"/>
    <w:rsid w:val="0061256B"/>
    <w:rsid w:val="006130F8"/>
    <w:rsid w:val="00613CC3"/>
    <w:rsid w:val="00613FEE"/>
    <w:rsid w:val="0061489B"/>
    <w:rsid w:val="00614AD6"/>
    <w:rsid w:val="006159C0"/>
    <w:rsid w:val="006159F0"/>
    <w:rsid w:val="00615B55"/>
    <w:rsid w:val="00616223"/>
    <w:rsid w:val="00616EFF"/>
    <w:rsid w:val="006171FF"/>
    <w:rsid w:val="006201A4"/>
    <w:rsid w:val="00620897"/>
    <w:rsid w:val="00620C6E"/>
    <w:rsid w:val="0062121B"/>
    <w:rsid w:val="00621814"/>
    <w:rsid w:val="006220FA"/>
    <w:rsid w:val="006221AB"/>
    <w:rsid w:val="006225C2"/>
    <w:rsid w:val="006247E1"/>
    <w:rsid w:val="0062480A"/>
    <w:rsid w:val="00626124"/>
    <w:rsid w:val="00626442"/>
    <w:rsid w:val="006320C7"/>
    <w:rsid w:val="00632186"/>
    <w:rsid w:val="00632207"/>
    <w:rsid w:val="00632E2A"/>
    <w:rsid w:val="00633761"/>
    <w:rsid w:val="0063484C"/>
    <w:rsid w:val="0063491C"/>
    <w:rsid w:val="0063682E"/>
    <w:rsid w:val="00637AAA"/>
    <w:rsid w:val="00640C98"/>
    <w:rsid w:val="00640F03"/>
    <w:rsid w:val="00641070"/>
    <w:rsid w:val="00641843"/>
    <w:rsid w:val="00641A5C"/>
    <w:rsid w:val="00642641"/>
    <w:rsid w:val="006428E7"/>
    <w:rsid w:val="006436E5"/>
    <w:rsid w:val="00643BAA"/>
    <w:rsid w:val="00643E34"/>
    <w:rsid w:val="0064591E"/>
    <w:rsid w:val="00645E0B"/>
    <w:rsid w:val="00646B53"/>
    <w:rsid w:val="00646C5D"/>
    <w:rsid w:val="006475A7"/>
    <w:rsid w:val="00647F1D"/>
    <w:rsid w:val="00651656"/>
    <w:rsid w:val="00651A9D"/>
    <w:rsid w:val="00652443"/>
    <w:rsid w:val="006548BF"/>
    <w:rsid w:val="006554C6"/>
    <w:rsid w:val="006560F2"/>
    <w:rsid w:val="00656770"/>
    <w:rsid w:val="006613C6"/>
    <w:rsid w:val="00661A25"/>
    <w:rsid w:val="00661AFE"/>
    <w:rsid w:val="00662C5B"/>
    <w:rsid w:val="00663860"/>
    <w:rsid w:val="006640A6"/>
    <w:rsid w:val="00664A9C"/>
    <w:rsid w:val="006657CA"/>
    <w:rsid w:val="006664A3"/>
    <w:rsid w:val="006674BA"/>
    <w:rsid w:val="00670BBA"/>
    <w:rsid w:val="00671347"/>
    <w:rsid w:val="00671654"/>
    <w:rsid w:val="00671A74"/>
    <w:rsid w:val="00673CC7"/>
    <w:rsid w:val="006746B9"/>
    <w:rsid w:val="00675065"/>
    <w:rsid w:val="00676BC1"/>
    <w:rsid w:val="00676C6F"/>
    <w:rsid w:val="00677EE1"/>
    <w:rsid w:val="00677F61"/>
    <w:rsid w:val="0068006C"/>
    <w:rsid w:val="00680F19"/>
    <w:rsid w:val="00680FC2"/>
    <w:rsid w:val="0068204C"/>
    <w:rsid w:val="00682803"/>
    <w:rsid w:val="00682EB7"/>
    <w:rsid w:val="0068356A"/>
    <w:rsid w:val="00683B2C"/>
    <w:rsid w:val="00683C75"/>
    <w:rsid w:val="00683FDD"/>
    <w:rsid w:val="00684155"/>
    <w:rsid w:val="00684771"/>
    <w:rsid w:val="00687509"/>
    <w:rsid w:val="0069001B"/>
    <w:rsid w:val="00690433"/>
    <w:rsid w:val="00690475"/>
    <w:rsid w:val="0069078C"/>
    <w:rsid w:val="006916AE"/>
    <w:rsid w:val="0069252D"/>
    <w:rsid w:val="00692FCC"/>
    <w:rsid w:val="00693052"/>
    <w:rsid w:val="006944AA"/>
    <w:rsid w:val="006949FC"/>
    <w:rsid w:val="006A0DC1"/>
    <w:rsid w:val="006A1374"/>
    <w:rsid w:val="006A317D"/>
    <w:rsid w:val="006A342B"/>
    <w:rsid w:val="006A3806"/>
    <w:rsid w:val="006A56EC"/>
    <w:rsid w:val="006A795A"/>
    <w:rsid w:val="006B067A"/>
    <w:rsid w:val="006B10F6"/>
    <w:rsid w:val="006B2A63"/>
    <w:rsid w:val="006B304C"/>
    <w:rsid w:val="006B3942"/>
    <w:rsid w:val="006B3D25"/>
    <w:rsid w:val="006B3D49"/>
    <w:rsid w:val="006B3F9A"/>
    <w:rsid w:val="006B4E6F"/>
    <w:rsid w:val="006B5135"/>
    <w:rsid w:val="006B532C"/>
    <w:rsid w:val="006B5EB6"/>
    <w:rsid w:val="006B6DE5"/>
    <w:rsid w:val="006B6FBB"/>
    <w:rsid w:val="006C0268"/>
    <w:rsid w:val="006C0F35"/>
    <w:rsid w:val="006C1211"/>
    <w:rsid w:val="006C1A5A"/>
    <w:rsid w:val="006C1F10"/>
    <w:rsid w:val="006C3A17"/>
    <w:rsid w:val="006C3AD5"/>
    <w:rsid w:val="006C3BE8"/>
    <w:rsid w:val="006C5201"/>
    <w:rsid w:val="006C5C83"/>
    <w:rsid w:val="006C6458"/>
    <w:rsid w:val="006C7085"/>
    <w:rsid w:val="006D1205"/>
    <w:rsid w:val="006D20D4"/>
    <w:rsid w:val="006D2869"/>
    <w:rsid w:val="006D28FE"/>
    <w:rsid w:val="006D33B4"/>
    <w:rsid w:val="006D39EE"/>
    <w:rsid w:val="006D5EA5"/>
    <w:rsid w:val="006D6CFC"/>
    <w:rsid w:val="006D703E"/>
    <w:rsid w:val="006E05C1"/>
    <w:rsid w:val="006E4A35"/>
    <w:rsid w:val="006E4C59"/>
    <w:rsid w:val="006E5091"/>
    <w:rsid w:val="006E579E"/>
    <w:rsid w:val="006E5B19"/>
    <w:rsid w:val="006E5B1D"/>
    <w:rsid w:val="006E5E28"/>
    <w:rsid w:val="006E5E74"/>
    <w:rsid w:val="006E6574"/>
    <w:rsid w:val="006E7049"/>
    <w:rsid w:val="006E7382"/>
    <w:rsid w:val="006F11CC"/>
    <w:rsid w:val="006F1A41"/>
    <w:rsid w:val="006F1D5E"/>
    <w:rsid w:val="006F29AA"/>
    <w:rsid w:val="006F2E35"/>
    <w:rsid w:val="006F31B4"/>
    <w:rsid w:val="006F361B"/>
    <w:rsid w:val="006F4049"/>
    <w:rsid w:val="006F4434"/>
    <w:rsid w:val="006F4868"/>
    <w:rsid w:val="006F7C23"/>
    <w:rsid w:val="0070052A"/>
    <w:rsid w:val="00700B74"/>
    <w:rsid w:val="00702D1A"/>
    <w:rsid w:val="0070302B"/>
    <w:rsid w:val="00704E7F"/>
    <w:rsid w:val="00705882"/>
    <w:rsid w:val="007066A1"/>
    <w:rsid w:val="007069CA"/>
    <w:rsid w:val="00710419"/>
    <w:rsid w:val="00710A58"/>
    <w:rsid w:val="007112B4"/>
    <w:rsid w:val="007114DC"/>
    <w:rsid w:val="00713D13"/>
    <w:rsid w:val="00714004"/>
    <w:rsid w:val="007144E7"/>
    <w:rsid w:val="007144F6"/>
    <w:rsid w:val="007146D6"/>
    <w:rsid w:val="00714CF2"/>
    <w:rsid w:val="007156B9"/>
    <w:rsid w:val="00715815"/>
    <w:rsid w:val="00715A81"/>
    <w:rsid w:val="00717B17"/>
    <w:rsid w:val="007203A9"/>
    <w:rsid w:val="007206C8"/>
    <w:rsid w:val="00720817"/>
    <w:rsid w:val="00720C5D"/>
    <w:rsid w:val="00721E36"/>
    <w:rsid w:val="00721E65"/>
    <w:rsid w:val="00722850"/>
    <w:rsid w:val="00726314"/>
    <w:rsid w:val="007269F2"/>
    <w:rsid w:val="00726F39"/>
    <w:rsid w:val="00731174"/>
    <w:rsid w:val="007313ED"/>
    <w:rsid w:val="00731EE7"/>
    <w:rsid w:val="0073353F"/>
    <w:rsid w:val="007335BD"/>
    <w:rsid w:val="0073412A"/>
    <w:rsid w:val="0073516B"/>
    <w:rsid w:val="007354E4"/>
    <w:rsid w:val="00735A91"/>
    <w:rsid w:val="00735B7E"/>
    <w:rsid w:val="00737621"/>
    <w:rsid w:val="00737AFB"/>
    <w:rsid w:val="00737FB7"/>
    <w:rsid w:val="00742D36"/>
    <w:rsid w:val="00742E45"/>
    <w:rsid w:val="00743CC7"/>
    <w:rsid w:val="00744620"/>
    <w:rsid w:val="007447AF"/>
    <w:rsid w:val="00744F37"/>
    <w:rsid w:val="00745A08"/>
    <w:rsid w:val="00747926"/>
    <w:rsid w:val="00750266"/>
    <w:rsid w:val="00750816"/>
    <w:rsid w:val="00752FDB"/>
    <w:rsid w:val="00753101"/>
    <w:rsid w:val="007538E3"/>
    <w:rsid w:val="00753C07"/>
    <w:rsid w:val="007541C1"/>
    <w:rsid w:val="00755413"/>
    <w:rsid w:val="00755DBF"/>
    <w:rsid w:val="00756391"/>
    <w:rsid w:val="0075685D"/>
    <w:rsid w:val="00756B45"/>
    <w:rsid w:val="00757AEA"/>
    <w:rsid w:val="00757CA4"/>
    <w:rsid w:val="00760141"/>
    <w:rsid w:val="00760685"/>
    <w:rsid w:val="00761240"/>
    <w:rsid w:val="00763947"/>
    <w:rsid w:val="00763BFC"/>
    <w:rsid w:val="007657C1"/>
    <w:rsid w:val="00766819"/>
    <w:rsid w:val="00766E51"/>
    <w:rsid w:val="00767EC5"/>
    <w:rsid w:val="007711AF"/>
    <w:rsid w:val="00773027"/>
    <w:rsid w:val="00774DA7"/>
    <w:rsid w:val="00774DBE"/>
    <w:rsid w:val="00775074"/>
    <w:rsid w:val="0077510C"/>
    <w:rsid w:val="00775374"/>
    <w:rsid w:val="007767A8"/>
    <w:rsid w:val="00777135"/>
    <w:rsid w:val="0077755F"/>
    <w:rsid w:val="00777CD3"/>
    <w:rsid w:val="0078135C"/>
    <w:rsid w:val="007828F4"/>
    <w:rsid w:val="007851D4"/>
    <w:rsid w:val="0078559A"/>
    <w:rsid w:val="00785679"/>
    <w:rsid w:val="00790F96"/>
    <w:rsid w:val="00791ECA"/>
    <w:rsid w:val="00793015"/>
    <w:rsid w:val="00793EF9"/>
    <w:rsid w:val="007948AC"/>
    <w:rsid w:val="007951CC"/>
    <w:rsid w:val="00796C4D"/>
    <w:rsid w:val="007971F5"/>
    <w:rsid w:val="007A0D1E"/>
    <w:rsid w:val="007A0F4D"/>
    <w:rsid w:val="007A1B62"/>
    <w:rsid w:val="007A2229"/>
    <w:rsid w:val="007A25C4"/>
    <w:rsid w:val="007A281B"/>
    <w:rsid w:val="007A2E09"/>
    <w:rsid w:val="007A2F48"/>
    <w:rsid w:val="007A3016"/>
    <w:rsid w:val="007A34EB"/>
    <w:rsid w:val="007A3E36"/>
    <w:rsid w:val="007A406D"/>
    <w:rsid w:val="007A52B2"/>
    <w:rsid w:val="007A62B0"/>
    <w:rsid w:val="007B0DDE"/>
    <w:rsid w:val="007B1318"/>
    <w:rsid w:val="007B17BB"/>
    <w:rsid w:val="007B1F0C"/>
    <w:rsid w:val="007B1FD6"/>
    <w:rsid w:val="007B2C78"/>
    <w:rsid w:val="007B305F"/>
    <w:rsid w:val="007B326D"/>
    <w:rsid w:val="007B35D2"/>
    <w:rsid w:val="007B41CE"/>
    <w:rsid w:val="007B4424"/>
    <w:rsid w:val="007B4CC0"/>
    <w:rsid w:val="007B4E7F"/>
    <w:rsid w:val="007B5645"/>
    <w:rsid w:val="007B56D6"/>
    <w:rsid w:val="007B5A20"/>
    <w:rsid w:val="007B7FB0"/>
    <w:rsid w:val="007C006F"/>
    <w:rsid w:val="007C0CE2"/>
    <w:rsid w:val="007C0D96"/>
    <w:rsid w:val="007C1468"/>
    <w:rsid w:val="007C31AA"/>
    <w:rsid w:val="007C33B7"/>
    <w:rsid w:val="007C4414"/>
    <w:rsid w:val="007C45F0"/>
    <w:rsid w:val="007C5A0C"/>
    <w:rsid w:val="007C6840"/>
    <w:rsid w:val="007D1473"/>
    <w:rsid w:val="007D14EC"/>
    <w:rsid w:val="007D3468"/>
    <w:rsid w:val="007D4FC7"/>
    <w:rsid w:val="007D55A1"/>
    <w:rsid w:val="007D5E8E"/>
    <w:rsid w:val="007D6595"/>
    <w:rsid w:val="007D65BB"/>
    <w:rsid w:val="007D66A4"/>
    <w:rsid w:val="007D6E08"/>
    <w:rsid w:val="007D7D5E"/>
    <w:rsid w:val="007D7E2D"/>
    <w:rsid w:val="007E01CB"/>
    <w:rsid w:val="007E0C30"/>
    <w:rsid w:val="007E0FEE"/>
    <w:rsid w:val="007E1684"/>
    <w:rsid w:val="007E1EE6"/>
    <w:rsid w:val="007E2AFD"/>
    <w:rsid w:val="007E2E19"/>
    <w:rsid w:val="007E30FC"/>
    <w:rsid w:val="007E368B"/>
    <w:rsid w:val="007E46F4"/>
    <w:rsid w:val="007E4A4D"/>
    <w:rsid w:val="007E4EC3"/>
    <w:rsid w:val="007E5815"/>
    <w:rsid w:val="007E5AFC"/>
    <w:rsid w:val="007E683C"/>
    <w:rsid w:val="007E6ACC"/>
    <w:rsid w:val="007E7503"/>
    <w:rsid w:val="007F0377"/>
    <w:rsid w:val="007F1D40"/>
    <w:rsid w:val="007F2017"/>
    <w:rsid w:val="007F2109"/>
    <w:rsid w:val="007F29A6"/>
    <w:rsid w:val="007F2F2B"/>
    <w:rsid w:val="007F2F81"/>
    <w:rsid w:val="007F3D64"/>
    <w:rsid w:val="007F4A91"/>
    <w:rsid w:val="007F4C30"/>
    <w:rsid w:val="007F61FF"/>
    <w:rsid w:val="007F6A4B"/>
    <w:rsid w:val="007FA43A"/>
    <w:rsid w:val="008005BF"/>
    <w:rsid w:val="0080160E"/>
    <w:rsid w:val="008024A5"/>
    <w:rsid w:val="00802D1A"/>
    <w:rsid w:val="00803479"/>
    <w:rsid w:val="0080352C"/>
    <w:rsid w:val="0080390E"/>
    <w:rsid w:val="008054D1"/>
    <w:rsid w:val="00805A6E"/>
    <w:rsid w:val="008067B8"/>
    <w:rsid w:val="00807501"/>
    <w:rsid w:val="0080760E"/>
    <w:rsid w:val="00807643"/>
    <w:rsid w:val="008100E4"/>
    <w:rsid w:val="0081019B"/>
    <w:rsid w:val="0081049A"/>
    <w:rsid w:val="008115AE"/>
    <w:rsid w:val="008117C9"/>
    <w:rsid w:val="0081335F"/>
    <w:rsid w:val="00813A8A"/>
    <w:rsid w:val="00814989"/>
    <w:rsid w:val="00814AF6"/>
    <w:rsid w:val="008153DD"/>
    <w:rsid w:val="008158D8"/>
    <w:rsid w:val="008159CF"/>
    <w:rsid w:val="00815A4C"/>
    <w:rsid w:val="00815D6E"/>
    <w:rsid w:val="008162D0"/>
    <w:rsid w:val="00816314"/>
    <w:rsid w:val="008167AF"/>
    <w:rsid w:val="00816C6D"/>
    <w:rsid w:val="00816D5D"/>
    <w:rsid w:val="00816E05"/>
    <w:rsid w:val="00817524"/>
    <w:rsid w:val="008207A3"/>
    <w:rsid w:val="0082266B"/>
    <w:rsid w:val="00822881"/>
    <w:rsid w:val="00822C9D"/>
    <w:rsid w:val="00822D6E"/>
    <w:rsid w:val="008247A6"/>
    <w:rsid w:val="0082505B"/>
    <w:rsid w:val="008257E5"/>
    <w:rsid w:val="00825B48"/>
    <w:rsid w:val="0082637F"/>
    <w:rsid w:val="00826522"/>
    <w:rsid w:val="00827893"/>
    <w:rsid w:val="00830267"/>
    <w:rsid w:val="00830EC1"/>
    <w:rsid w:val="00831B9B"/>
    <w:rsid w:val="008320C8"/>
    <w:rsid w:val="008333A6"/>
    <w:rsid w:val="00833549"/>
    <w:rsid w:val="008337C6"/>
    <w:rsid w:val="008339BB"/>
    <w:rsid w:val="00833F6B"/>
    <w:rsid w:val="00836985"/>
    <w:rsid w:val="00837126"/>
    <w:rsid w:val="0083737A"/>
    <w:rsid w:val="00837859"/>
    <w:rsid w:val="00840961"/>
    <w:rsid w:val="00840E59"/>
    <w:rsid w:val="0084154F"/>
    <w:rsid w:val="00841D4A"/>
    <w:rsid w:val="008420DF"/>
    <w:rsid w:val="0084281C"/>
    <w:rsid w:val="00846BB6"/>
    <w:rsid w:val="00847B77"/>
    <w:rsid w:val="00850018"/>
    <w:rsid w:val="00852254"/>
    <w:rsid w:val="008524B3"/>
    <w:rsid w:val="0085300C"/>
    <w:rsid w:val="00854AE4"/>
    <w:rsid w:val="00854B5C"/>
    <w:rsid w:val="008550D9"/>
    <w:rsid w:val="008552E3"/>
    <w:rsid w:val="0085550C"/>
    <w:rsid w:val="00857896"/>
    <w:rsid w:val="00857BE4"/>
    <w:rsid w:val="00857C30"/>
    <w:rsid w:val="0086111D"/>
    <w:rsid w:val="0086114A"/>
    <w:rsid w:val="00861770"/>
    <w:rsid w:val="008633C3"/>
    <w:rsid w:val="0086418A"/>
    <w:rsid w:val="0086419A"/>
    <w:rsid w:val="00864726"/>
    <w:rsid w:val="008651CC"/>
    <w:rsid w:val="00865916"/>
    <w:rsid w:val="008659D3"/>
    <w:rsid w:val="008668EE"/>
    <w:rsid w:val="008678B0"/>
    <w:rsid w:val="0087023B"/>
    <w:rsid w:val="00870A8E"/>
    <w:rsid w:val="0087240F"/>
    <w:rsid w:val="00873DA0"/>
    <w:rsid w:val="00875E33"/>
    <w:rsid w:val="00876FC3"/>
    <w:rsid w:val="008772F3"/>
    <w:rsid w:val="0088239D"/>
    <w:rsid w:val="00884120"/>
    <w:rsid w:val="00884898"/>
    <w:rsid w:val="00884947"/>
    <w:rsid w:val="00885AC9"/>
    <w:rsid w:val="00887972"/>
    <w:rsid w:val="00890059"/>
    <w:rsid w:val="008903C9"/>
    <w:rsid w:val="00890BF7"/>
    <w:rsid w:val="00891CB5"/>
    <w:rsid w:val="008929F2"/>
    <w:rsid w:val="00892E86"/>
    <w:rsid w:val="0089557C"/>
    <w:rsid w:val="00895686"/>
    <w:rsid w:val="008964E0"/>
    <w:rsid w:val="008969C0"/>
    <w:rsid w:val="00896F66"/>
    <w:rsid w:val="008A01EE"/>
    <w:rsid w:val="008A0294"/>
    <w:rsid w:val="008A04A1"/>
    <w:rsid w:val="008A08BF"/>
    <w:rsid w:val="008A0974"/>
    <w:rsid w:val="008A179F"/>
    <w:rsid w:val="008A19D1"/>
    <w:rsid w:val="008A1E79"/>
    <w:rsid w:val="008A2A3E"/>
    <w:rsid w:val="008A2BE9"/>
    <w:rsid w:val="008A4482"/>
    <w:rsid w:val="008A45ED"/>
    <w:rsid w:val="008A4793"/>
    <w:rsid w:val="008A599A"/>
    <w:rsid w:val="008A5B30"/>
    <w:rsid w:val="008A6172"/>
    <w:rsid w:val="008A628D"/>
    <w:rsid w:val="008A70F7"/>
    <w:rsid w:val="008A746C"/>
    <w:rsid w:val="008A7AD1"/>
    <w:rsid w:val="008A7E4A"/>
    <w:rsid w:val="008B0060"/>
    <w:rsid w:val="008B0513"/>
    <w:rsid w:val="008B05B0"/>
    <w:rsid w:val="008B0864"/>
    <w:rsid w:val="008B175A"/>
    <w:rsid w:val="008B220B"/>
    <w:rsid w:val="008B4017"/>
    <w:rsid w:val="008B50AD"/>
    <w:rsid w:val="008B6750"/>
    <w:rsid w:val="008B6E75"/>
    <w:rsid w:val="008B7E5E"/>
    <w:rsid w:val="008C0B9F"/>
    <w:rsid w:val="008C10AE"/>
    <w:rsid w:val="008C1523"/>
    <w:rsid w:val="008C23F0"/>
    <w:rsid w:val="008C2A36"/>
    <w:rsid w:val="008C3C9C"/>
    <w:rsid w:val="008C3CB7"/>
    <w:rsid w:val="008C4F65"/>
    <w:rsid w:val="008C510D"/>
    <w:rsid w:val="008C5929"/>
    <w:rsid w:val="008C7413"/>
    <w:rsid w:val="008C7FF5"/>
    <w:rsid w:val="008D0E78"/>
    <w:rsid w:val="008D16B7"/>
    <w:rsid w:val="008D1D1C"/>
    <w:rsid w:val="008D32F0"/>
    <w:rsid w:val="008D3A79"/>
    <w:rsid w:val="008D3C8F"/>
    <w:rsid w:val="008D4DF6"/>
    <w:rsid w:val="008D5769"/>
    <w:rsid w:val="008D59DC"/>
    <w:rsid w:val="008D5A2B"/>
    <w:rsid w:val="008D6E58"/>
    <w:rsid w:val="008D6FA6"/>
    <w:rsid w:val="008D7128"/>
    <w:rsid w:val="008D77C2"/>
    <w:rsid w:val="008E0BCC"/>
    <w:rsid w:val="008E20DF"/>
    <w:rsid w:val="008E2639"/>
    <w:rsid w:val="008E29BB"/>
    <w:rsid w:val="008E2A4F"/>
    <w:rsid w:val="008E2F87"/>
    <w:rsid w:val="008E3874"/>
    <w:rsid w:val="008E4287"/>
    <w:rsid w:val="008E45AC"/>
    <w:rsid w:val="008E45C6"/>
    <w:rsid w:val="008E573B"/>
    <w:rsid w:val="008E5870"/>
    <w:rsid w:val="008E6A24"/>
    <w:rsid w:val="008E6AE6"/>
    <w:rsid w:val="008E7321"/>
    <w:rsid w:val="008E7BBC"/>
    <w:rsid w:val="008F0116"/>
    <w:rsid w:val="008F07F7"/>
    <w:rsid w:val="008F143D"/>
    <w:rsid w:val="008F1947"/>
    <w:rsid w:val="008F1D47"/>
    <w:rsid w:val="008F2032"/>
    <w:rsid w:val="008F457E"/>
    <w:rsid w:val="008F48E4"/>
    <w:rsid w:val="008F4D30"/>
    <w:rsid w:val="008F5BAD"/>
    <w:rsid w:val="008F602D"/>
    <w:rsid w:val="008F6B7D"/>
    <w:rsid w:val="008F6C7B"/>
    <w:rsid w:val="009001BD"/>
    <w:rsid w:val="009008A9"/>
    <w:rsid w:val="009008DA"/>
    <w:rsid w:val="00900D35"/>
    <w:rsid w:val="00901773"/>
    <w:rsid w:val="00901BC5"/>
    <w:rsid w:val="00901C80"/>
    <w:rsid w:val="00901FEC"/>
    <w:rsid w:val="00903AD3"/>
    <w:rsid w:val="00903F5B"/>
    <w:rsid w:val="00904C21"/>
    <w:rsid w:val="00904FF8"/>
    <w:rsid w:val="009056F7"/>
    <w:rsid w:val="009070DE"/>
    <w:rsid w:val="00907699"/>
    <w:rsid w:val="00910461"/>
    <w:rsid w:val="00910541"/>
    <w:rsid w:val="009128A1"/>
    <w:rsid w:val="00912D25"/>
    <w:rsid w:val="00913A06"/>
    <w:rsid w:val="009148A5"/>
    <w:rsid w:val="009151FB"/>
    <w:rsid w:val="00915844"/>
    <w:rsid w:val="009179BC"/>
    <w:rsid w:val="0092061F"/>
    <w:rsid w:val="00920678"/>
    <w:rsid w:val="0092138A"/>
    <w:rsid w:val="009215C1"/>
    <w:rsid w:val="00921FE3"/>
    <w:rsid w:val="00923BB1"/>
    <w:rsid w:val="009246BC"/>
    <w:rsid w:val="0093019C"/>
    <w:rsid w:val="0093058A"/>
    <w:rsid w:val="00932865"/>
    <w:rsid w:val="00932B3E"/>
    <w:rsid w:val="00932DA5"/>
    <w:rsid w:val="00933C59"/>
    <w:rsid w:val="00935A48"/>
    <w:rsid w:val="00935AF3"/>
    <w:rsid w:val="00935B36"/>
    <w:rsid w:val="009362E6"/>
    <w:rsid w:val="009400BA"/>
    <w:rsid w:val="009408F0"/>
    <w:rsid w:val="009412EA"/>
    <w:rsid w:val="00941C67"/>
    <w:rsid w:val="009429CA"/>
    <w:rsid w:val="00942BD4"/>
    <w:rsid w:val="00943BC7"/>
    <w:rsid w:val="009440E6"/>
    <w:rsid w:val="009441C4"/>
    <w:rsid w:val="0094426A"/>
    <w:rsid w:val="00944842"/>
    <w:rsid w:val="00944982"/>
    <w:rsid w:val="00945B21"/>
    <w:rsid w:val="00946183"/>
    <w:rsid w:val="009461A7"/>
    <w:rsid w:val="009461B0"/>
    <w:rsid w:val="00947B39"/>
    <w:rsid w:val="00947BD4"/>
    <w:rsid w:val="00950B26"/>
    <w:rsid w:val="00950FCB"/>
    <w:rsid w:val="00952D0B"/>
    <w:rsid w:val="0095431D"/>
    <w:rsid w:val="0095461E"/>
    <w:rsid w:val="00954AF5"/>
    <w:rsid w:val="00955238"/>
    <w:rsid w:val="00955A3C"/>
    <w:rsid w:val="0095636B"/>
    <w:rsid w:val="00956766"/>
    <w:rsid w:val="00956BAB"/>
    <w:rsid w:val="00957FB7"/>
    <w:rsid w:val="0096000E"/>
    <w:rsid w:val="00960166"/>
    <w:rsid w:val="00960E36"/>
    <w:rsid w:val="00962F29"/>
    <w:rsid w:val="009634CF"/>
    <w:rsid w:val="00963E2D"/>
    <w:rsid w:val="009645EE"/>
    <w:rsid w:val="00965381"/>
    <w:rsid w:val="0096600C"/>
    <w:rsid w:val="009670DA"/>
    <w:rsid w:val="009706FA"/>
    <w:rsid w:val="00970C7F"/>
    <w:rsid w:val="0097143A"/>
    <w:rsid w:val="009718D9"/>
    <w:rsid w:val="009722BD"/>
    <w:rsid w:val="00972AD8"/>
    <w:rsid w:val="00973E9C"/>
    <w:rsid w:val="00974A84"/>
    <w:rsid w:val="00975B44"/>
    <w:rsid w:val="00975D91"/>
    <w:rsid w:val="00976BB5"/>
    <w:rsid w:val="00977729"/>
    <w:rsid w:val="0098138E"/>
    <w:rsid w:val="00982D69"/>
    <w:rsid w:val="00984543"/>
    <w:rsid w:val="00985014"/>
    <w:rsid w:val="0098655A"/>
    <w:rsid w:val="00987128"/>
    <w:rsid w:val="009874A1"/>
    <w:rsid w:val="00987FF8"/>
    <w:rsid w:val="009903C1"/>
    <w:rsid w:val="009904D2"/>
    <w:rsid w:val="00992087"/>
    <w:rsid w:val="00995234"/>
    <w:rsid w:val="0099546B"/>
    <w:rsid w:val="009954D4"/>
    <w:rsid w:val="009955D0"/>
    <w:rsid w:val="00996856"/>
    <w:rsid w:val="00996924"/>
    <w:rsid w:val="00996BE7"/>
    <w:rsid w:val="0099708B"/>
    <w:rsid w:val="0099761B"/>
    <w:rsid w:val="009976D2"/>
    <w:rsid w:val="009A0147"/>
    <w:rsid w:val="009A04AB"/>
    <w:rsid w:val="009A0809"/>
    <w:rsid w:val="009A1BE8"/>
    <w:rsid w:val="009A226E"/>
    <w:rsid w:val="009A22E6"/>
    <w:rsid w:val="009A2AC4"/>
    <w:rsid w:val="009A2EB1"/>
    <w:rsid w:val="009A2EE7"/>
    <w:rsid w:val="009A39FB"/>
    <w:rsid w:val="009A3A30"/>
    <w:rsid w:val="009A3EF2"/>
    <w:rsid w:val="009A6DA1"/>
    <w:rsid w:val="009A6E36"/>
    <w:rsid w:val="009A7053"/>
    <w:rsid w:val="009A7149"/>
    <w:rsid w:val="009A7436"/>
    <w:rsid w:val="009B04E0"/>
    <w:rsid w:val="009B1F7A"/>
    <w:rsid w:val="009B270B"/>
    <w:rsid w:val="009B290A"/>
    <w:rsid w:val="009B3970"/>
    <w:rsid w:val="009B3EE2"/>
    <w:rsid w:val="009B50B5"/>
    <w:rsid w:val="009B7039"/>
    <w:rsid w:val="009B7520"/>
    <w:rsid w:val="009B766F"/>
    <w:rsid w:val="009C3AD4"/>
    <w:rsid w:val="009C4F4B"/>
    <w:rsid w:val="009C5FC7"/>
    <w:rsid w:val="009C612C"/>
    <w:rsid w:val="009C789D"/>
    <w:rsid w:val="009C79D6"/>
    <w:rsid w:val="009C7AD7"/>
    <w:rsid w:val="009D1138"/>
    <w:rsid w:val="009D120E"/>
    <w:rsid w:val="009D1352"/>
    <w:rsid w:val="009D1917"/>
    <w:rsid w:val="009D1D27"/>
    <w:rsid w:val="009D1DB9"/>
    <w:rsid w:val="009D2654"/>
    <w:rsid w:val="009D27AA"/>
    <w:rsid w:val="009D2F88"/>
    <w:rsid w:val="009D4CAA"/>
    <w:rsid w:val="009D61C0"/>
    <w:rsid w:val="009D7108"/>
    <w:rsid w:val="009D74A8"/>
    <w:rsid w:val="009E06B7"/>
    <w:rsid w:val="009E0B8D"/>
    <w:rsid w:val="009E1B98"/>
    <w:rsid w:val="009E1BC2"/>
    <w:rsid w:val="009E1E83"/>
    <w:rsid w:val="009E255B"/>
    <w:rsid w:val="009E3C4B"/>
    <w:rsid w:val="009E6052"/>
    <w:rsid w:val="009E6656"/>
    <w:rsid w:val="009E6B95"/>
    <w:rsid w:val="009E7C7F"/>
    <w:rsid w:val="009F0221"/>
    <w:rsid w:val="009F1A2B"/>
    <w:rsid w:val="009F3049"/>
    <w:rsid w:val="009F42F6"/>
    <w:rsid w:val="009F45DD"/>
    <w:rsid w:val="009F51D8"/>
    <w:rsid w:val="009F56C5"/>
    <w:rsid w:val="009F57FF"/>
    <w:rsid w:val="009F5DA3"/>
    <w:rsid w:val="009F6C6E"/>
    <w:rsid w:val="009F7854"/>
    <w:rsid w:val="009F7924"/>
    <w:rsid w:val="009F7DB4"/>
    <w:rsid w:val="00A00315"/>
    <w:rsid w:val="00A008E8"/>
    <w:rsid w:val="00A00BC1"/>
    <w:rsid w:val="00A0132B"/>
    <w:rsid w:val="00A019E2"/>
    <w:rsid w:val="00A01ABB"/>
    <w:rsid w:val="00A0221A"/>
    <w:rsid w:val="00A0228B"/>
    <w:rsid w:val="00A02BB9"/>
    <w:rsid w:val="00A02DEC"/>
    <w:rsid w:val="00A036FF"/>
    <w:rsid w:val="00A04319"/>
    <w:rsid w:val="00A046CD"/>
    <w:rsid w:val="00A04F8F"/>
    <w:rsid w:val="00A05A64"/>
    <w:rsid w:val="00A07690"/>
    <w:rsid w:val="00A07AFC"/>
    <w:rsid w:val="00A07CD0"/>
    <w:rsid w:val="00A10E82"/>
    <w:rsid w:val="00A115EE"/>
    <w:rsid w:val="00A11B4A"/>
    <w:rsid w:val="00A12E11"/>
    <w:rsid w:val="00A12EE7"/>
    <w:rsid w:val="00A12F92"/>
    <w:rsid w:val="00A132A8"/>
    <w:rsid w:val="00A140F6"/>
    <w:rsid w:val="00A16D04"/>
    <w:rsid w:val="00A16E1D"/>
    <w:rsid w:val="00A17CE0"/>
    <w:rsid w:val="00A22DA1"/>
    <w:rsid w:val="00A23D48"/>
    <w:rsid w:val="00A24022"/>
    <w:rsid w:val="00A2578E"/>
    <w:rsid w:val="00A26A9D"/>
    <w:rsid w:val="00A270A2"/>
    <w:rsid w:val="00A27504"/>
    <w:rsid w:val="00A2776D"/>
    <w:rsid w:val="00A32AD8"/>
    <w:rsid w:val="00A32D4A"/>
    <w:rsid w:val="00A33A1E"/>
    <w:rsid w:val="00A344A2"/>
    <w:rsid w:val="00A3468E"/>
    <w:rsid w:val="00A34AAC"/>
    <w:rsid w:val="00A35F2D"/>
    <w:rsid w:val="00A366C1"/>
    <w:rsid w:val="00A371E8"/>
    <w:rsid w:val="00A4048A"/>
    <w:rsid w:val="00A41556"/>
    <w:rsid w:val="00A415F1"/>
    <w:rsid w:val="00A42306"/>
    <w:rsid w:val="00A43B40"/>
    <w:rsid w:val="00A440DA"/>
    <w:rsid w:val="00A44E8D"/>
    <w:rsid w:val="00A46EA8"/>
    <w:rsid w:val="00A47C10"/>
    <w:rsid w:val="00A50228"/>
    <w:rsid w:val="00A51405"/>
    <w:rsid w:val="00A51657"/>
    <w:rsid w:val="00A5196C"/>
    <w:rsid w:val="00A53094"/>
    <w:rsid w:val="00A545A3"/>
    <w:rsid w:val="00A547A2"/>
    <w:rsid w:val="00A54CE0"/>
    <w:rsid w:val="00A55ACD"/>
    <w:rsid w:val="00A56FA9"/>
    <w:rsid w:val="00A56FCE"/>
    <w:rsid w:val="00A575F0"/>
    <w:rsid w:val="00A600A4"/>
    <w:rsid w:val="00A60929"/>
    <w:rsid w:val="00A611E4"/>
    <w:rsid w:val="00A6130A"/>
    <w:rsid w:val="00A61BD1"/>
    <w:rsid w:val="00A61C8D"/>
    <w:rsid w:val="00A65FBF"/>
    <w:rsid w:val="00A707E3"/>
    <w:rsid w:val="00A71F91"/>
    <w:rsid w:val="00A7264B"/>
    <w:rsid w:val="00A73795"/>
    <w:rsid w:val="00A77E35"/>
    <w:rsid w:val="00A801FE"/>
    <w:rsid w:val="00A80D6E"/>
    <w:rsid w:val="00A810DB"/>
    <w:rsid w:val="00A843A4"/>
    <w:rsid w:val="00A850D4"/>
    <w:rsid w:val="00A852B8"/>
    <w:rsid w:val="00A85616"/>
    <w:rsid w:val="00A85D27"/>
    <w:rsid w:val="00A86C29"/>
    <w:rsid w:val="00A8703E"/>
    <w:rsid w:val="00A87206"/>
    <w:rsid w:val="00A924DD"/>
    <w:rsid w:val="00A93FCE"/>
    <w:rsid w:val="00A94C48"/>
    <w:rsid w:val="00A961AD"/>
    <w:rsid w:val="00A96237"/>
    <w:rsid w:val="00A96490"/>
    <w:rsid w:val="00A964D2"/>
    <w:rsid w:val="00AA0756"/>
    <w:rsid w:val="00AA0F06"/>
    <w:rsid w:val="00AA14E4"/>
    <w:rsid w:val="00AA1718"/>
    <w:rsid w:val="00AA238C"/>
    <w:rsid w:val="00AA2C37"/>
    <w:rsid w:val="00AA330B"/>
    <w:rsid w:val="00AA372F"/>
    <w:rsid w:val="00AA4E21"/>
    <w:rsid w:val="00AA523F"/>
    <w:rsid w:val="00AA5456"/>
    <w:rsid w:val="00AA5705"/>
    <w:rsid w:val="00AA66FC"/>
    <w:rsid w:val="00AA7A70"/>
    <w:rsid w:val="00AA7C40"/>
    <w:rsid w:val="00AB0197"/>
    <w:rsid w:val="00AB0C88"/>
    <w:rsid w:val="00AB0DFD"/>
    <w:rsid w:val="00AB0FB2"/>
    <w:rsid w:val="00AB19D5"/>
    <w:rsid w:val="00AB205A"/>
    <w:rsid w:val="00AB22B5"/>
    <w:rsid w:val="00AB386A"/>
    <w:rsid w:val="00AB43A6"/>
    <w:rsid w:val="00AB4B1A"/>
    <w:rsid w:val="00AB4B44"/>
    <w:rsid w:val="00AB5846"/>
    <w:rsid w:val="00AB601D"/>
    <w:rsid w:val="00AB6CEE"/>
    <w:rsid w:val="00AB77BA"/>
    <w:rsid w:val="00AB7875"/>
    <w:rsid w:val="00AB7A92"/>
    <w:rsid w:val="00AB7F22"/>
    <w:rsid w:val="00AC00A1"/>
    <w:rsid w:val="00AC13C6"/>
    <w:rsid w:val="00AC1948"/>
    <w:rsid w:val="00AC1FEF"/>
    <w:rsid w:val="00AC3767"/>
    <w:rsid w:val="00AC3931"/>
    <w:rsid w:val="00AC3BBC"/>
    <w:rsid w:val="00AC42C2"/>
    <w:rsid w:val="00AC52F2"/>
    <w:rsid w:val="00AC5404"/>
    <w:rsid w:val="00AC5A2F"/>
    <w:rsid w:val="00AC5E7C"/>
    <w:rsid w:val="00AC68EE"/>
    <w:rsid w:val="00AC7A35"/>
    <w:rsid w:val="00AD001C"/>
    <w:rsid w:val="00AD0091"/>
    <w:rsid w:val="00AD0D27"/>
    <w:rsid w:val="00AD1217"/>
    <w:rsid w:val="00AD1DDB"/>
    <w:rsid w:val="00AD2DD5"/>
    <w:rsid w:val="00AD2F9A"/>
    <w:rsid w:val="00AD34C6"/>
    <w:rsid w:val="00AD43F8"/>
    <w:rsid w:val="00AD470A"/>
    <w:rsid w:val="00AD48EE"/>
    <w:rsid w:val="00AD6FD9"/>
    <w:rsid w:val="00AD7ABC"/>
    <w:rsid w:val="00AD7C0A"/>
    <w:rsid w:val="00AE1BB7"/>
    <w:rsid w:val="00AE24FE"/>
    <w:rsid w:val="00AE2810"/>
    <w:rsid w:val="00AE3EEF"/>
    <w:rsid w:val="00AE4416"/>
    <w:rsid w:val="00AE5FCF"/>
    <w:rsid w:val="00AE6D2D"/>
    <w:rsid w:val="00AE7AA5"/>
    <w:rsid w:val="00AF0618"/>
    <w:rsid w:val="00AF174B"/>
    <w:rsid w:val="00AF2628"/>
    <w:rsid w:val="00AF2A46"/>
    <w:rsid w:val="00AF32C9"/>
    <w:rsid w:val="00AF3566"/>
    <w:rsid w:val="00AF5E43"/>
    <w:rsid w:val="00AF7578"/>
    <w:rsid w:val="00AF7B65"/>
    <w:rsid w:val="00AF7EF3"/>
    <w:rsid w:val="00B00D27"/>
    <w:rsid w:val="00B01F7E"/>
    <w:rsid w:val="00B02091"/>
    <w:rsid w:val="00B020DF"/>
    <w:rsid w:val="00B02903"/>
    <w:rsid w:val="00B04AC3"/>
    <w:rsid w:val="00B0601A"/>
    <w:rsid w:val="00B060D8"/>
    <w:rsid w:val="00B06A9D"/>
    <w:rsid w:val="00B07937"/>
    <w:rsid w:val="00B1187E"/>
    <w:rsid w:val="00B11BA1"/>
    <w:rsid w:val="00B1202E"/>
    <w:rsid w:val="00B139E8"/>
    <w:rsid w:val="00B13DE0"/>
    <w:rsid w:val="00B13F42"/>
    <w:rsid w:val="00B14468"/>
    <w:rsid w:val="00B145F5"/>
    <w:rsid w:val="00B15ABB"/>
    <w:rsid w:val="00B16AED"/>
    <w:rsid w:val="00B16C2A"/>
    <w:rsid w:val="00B1748C"/>
    <w:rsid w:val="00B17696"/>
    <w:rsid w:val="00B219EE"/>
    <w:rsid w:val="00B22539"/>
    <w:rsid w:val="00B2302E"/>
    <w:rsid w:val="00B23167"/>
    <w:rsid w:val="00B238E2"/>
    <w:rsid w:val="00B260CE"/>
    <w:rsid w:val="00B269F8"/>
    <w:rsid w:val="00B26E08"/>
    <w:rsid w:val="00B270E1"/>
    <w:rsid w:val="00B3087D"/>
    <w:rsid w:val="00B31A74"/>
    <w:rsid w:val="00B32A90"/>
    <w:rsid w:val="00B34794"/>
    <w:rsid w:val="00B3499D"/>
    <w:rsid w:val="00B36131"/>
    <w:rsid w:val="00B36866"/>
    <w:rsid w:val="00B373EC"/>
    <w:rsid w:val="00B379DF"/>
    <w:rsid w:val="00B379E8"/>
    <w:rsid w:val="00B41ACC"/>
    <w:rsid w:val="00B41BA9"/>
    <w:rsid w:val="00B42405"/>
    <w:rsid w:val="00B42623"/>
    <w:rsid w:val="00B42BF7"/>
    <w:rsid w:val="00B44532"/>
    <w:rsid w:val="00B4559C"/>
    <w:rsid w:val="00B4564F"/>
    <w:rsid w:val="00B45688"/>
    <w:rsid w:val="00B45F79"/>
    <w:rsid w:val="00B4742B"/>
    <w:rsid w:val="00B47896"/>
    <w:rsid w:val="00B47DF6"/>
    <w:rsid w:val="00B5055D"/>
    <w:rsid w:val="00B5237A"/>
    <w:rsid w:val="00B5237B"/>
    <w:rsid w:val="00B52F2C"/>
    <w:rsid w:val="00B5462B"/>
    <w:rsid w:val="00B55694"/>
    <w:rsid w:val="00B568BC"/>
    <w:rsid w:val="00B570DA"/>
    <w:rsid w:val="00B571C3"/>
    <w:rsid w:val="00B5746B"/>
    <w:rsid w:val="00B60421"/>
    <w:rsid w:val="00B604AB"/>
    <w:rsid w:val="00B62554"/>
    <w:rsid w:val="00B63F71"/>
    <w:rsid w:val="00B6795E"/>
    <w:rsid w:val="00B70021"/>
    <w:rsid w:val="00B7130C"/>
    <w:rsid w:val="00B71518"/>
    <w:rsid w:val="00B729CF"/>
    <w:rsid w:val="00B73DD2"/>
    <w:rsid w:val="00B7543D"/>
    <w:rsid w:val="00B755BD"/>
    <w:rsid w:val="00B75ED3"/>
    <w:rsid w:val="00B75FDE"/>
    <w:rsid w:val="00B76195"/>
    <w:rsid w:val="00B7796D"/>
    <w:rsid w:val="00B801FC"/>
    <w:rsid w:val="00B803C7"/>
    <w:rsid w:val="00B80DFC"/>
    <w:rsid w:val="00B813F2"/>
    <w:rsid w:val="00B81595"/>
    <w:rsid w:val="00B81620"/>
    <w:rsid w:val="00B81EB6"/>
    <w:rsid w:val="00B84E43"/>
    <w:rsid w:val="00B84E5C"/>
    <w:rsid w:val="00B85843"/>
    <w:rsid w:val="00B85E7C"/>
    <w:rsid w:val="00B86333"/>
    <w:rsid w:val="00B8779E"/>
    <w:rsid w:val="00B91AE8"/>
    <w:rsid w:val="00B92140"/>
    <w:rsid w:val="00B92AE6"/>
    <w:rsid w:val="00B9386B"/>
    <w:rsid w:val="00B93FB4"/>
    <w:rsid w:val="00B93FD2"/>
    <w:rsid w:val="00B94054"/>
    <w:rsid w:val="00B95561"/>
    <w:rsid w:val="00B95609"/>
    <w:rsid w:val="00B97115"/>
    <w:rsid w:val="00B97663"/>
    <w:rsid w:val="00B979C0"/>
    <w:rsid w:val="00BA07D3"/>
    <w:rsid w:val="00BA0CB4"/>
    <w:rsid w:val="00BA0DB4"/>
    <w:rsid w:val="00BA1387"/>
    <w:rsid w:val="00BA5A88"/>
    <w:rsid w:val="00BA62AE"/>
    <w:rsid w:val="00BB0243"/>
    <w:rsid w:val="00BB0653"/>
    <w:rsid w:val="00BB0832"/>
    <w:rsid w:val="00BB170E"/>
    <w:rsid w:val="00BB23AC"/>
    <w:rsid w:val="00BB3522"/>
    <w:rsid w:val="00BB3575"/>
    <w:rsid w:val="00BB3AC9"/>
    <w:rsid w:val="00BB3D43"/>
    <w:rsid w:val="00BB4A0B"/>
    <w:rsid w:val="00BB4B4C"/>
    <w:rsid w:val="00BB5160"/>
    <w:rsid w:val="00BB521E"/>
    <w:rsid w:val="00BB5B29"/>
    <w:rsid w:val="00BB6589"/>
    <w:rsid w:val="00BC0FCA"/>
    <w:rsid w:val="00BC1FBE"/>
    <w:rsid w:val="00BC22D6"/>
    <w:rsid w:val="00BC25D3"/>
    <w:rsid w:val="00BC3146"/>
    <w:rsid w:val="00BC331B"/>
    <w:rsid w:val="00BC36C7"/>
    <w:rsid w:val="00BC3873"/>
    <w:rsid w:val="00BC389A"/>
    <w:rsid w:val="00BC3AAB"/>
    <w:rsid w:val="00BC5299"/>
    <w:rsid w:val="00BC52CA"/>
    <w:rsid w:val="00BC57D9"/>
    <w:rsid w:val="00BC6685"/>
    <w:rsid w:val="00BC6C56"/>
    <w:rsid w:val="00BD0210"/>
    <w:rsid w:val="00BD0633"/>
    <w:rsid w:val="00BD2FA2"/>
    <w:rsid w:val="00BD31DA"/>
    <w:rsid w:val="00BD3F4B"/>
    <w:rsid w:val="00BD4143"/>
    <w:rsid w:val="00BD4A59"/>
    <w:rsid w:val="00BD4D95"/>
    <w:rsid w:val="00BD4E1A"/>
    <w:rsid w:val="00BD5373"/>
    <w:rsid w:val="00BD588A"/>
    <w:rsid w:val="00BD6AA6"/>
    <w:rsid w:val="00BD6C90"/>
    <w:rsid w:val="00BD7582"/>
    <w:rsid w:val="00BE1E49"/>
    <w:rsid w:val="00BE266A"/>
    <w:rsid w:val="00BE2972"/>
    <w:rsid w:val="00BE496B"/>
    <w:rsid w:val="00BE4DEC"/>
    <w:rsid w:val="00BE4F6E"/>
    <w:rsid w:val="00BE6417"/>
    <w:rsid w:val="00BE644C"/>
    <w:rsid w:val="00BF1007"/>
    <w:rsid w:val="00BF10DF"/>
    <w:rsid w:val="00BF12A9"/>
    <w:rsid w:val="00BF276A"/>
    <w:rsid w:val="00BF2C99"/>
    <w:rsid w:val="00BF2FE0"/>
    <w:rsid w:val="00BF3987"/>
    <w:rsid w:val="00BF4CB9"/>
    <w:rsid w:val="00BF5535"/>
    <w:rsid w:val="00BF6F71"/>
    <w:rsid w:val="00BF78EE"/>
    <w:rsid w:val="00BF7F82"/>
    <w:rsid w:val="00C00977"/>
    <w:rsid w:val="00C00BAE"/>
    <w:rsid w:val="00C01537"/>
    <w:rsid w:val="00C025A7"/>
    <w:rsid w:val="00C02D3F"/>
    <w:rsid w:val="00C03C00"/>
    <w:rsid w:val="00C056D5"/>
    <w:rsid w:val="00C06658"/>
    <w:rsid w:val="00C06E56"/>
    <w:rsid w:val="00C079D2"/>
    <w:rsid w:val="00C07C2B"/>
    <w:rsid w:val="00C07FED"/>
    <w:rsid w:val="00C1070D"/>
    <w:rsid w:val="00C10B5F"/>
    <w:rsid w:val="00C11EF0"/>
    <w:rsid w:val="00C124CD"/>
    <w:rsid w:val="00C12CD0"/>
    <w:rsid w:val="00C134B9"/>
    <w:rsid w:val="00C1514D"/>
    <w:rsid w:val="00C16123"/>
    <w:rsid w:val="00C1682E"/>
    <w:rsid w:val="00C16A57"/>
    <w:rsid w:val="00C17ED0"/>
    <w:rsid w:val="00C20F10"/>
    <w:rsid w:val="00C2240F"/>
    <w:rsid w:val="00C2291D"/>
    <w:rsid w:val="00C2299D"/>
    <w:rsid w:val="00C22B40"/>
    <w:rsid w:val="00C2311E"/>
    <w:rsid w:val="00C24EBB"/>
    <w:rsid w:val="00C25898"/>
    <w:rsid w:val="00C25C09"/>
    <w:rsid w:val="00C278A6"/>
    <w:rsid w:val="00C278FD"/>
    <w:rsid w:val="00C27AF2"/>
    <w:rsid w:val="00C31679"/>
    <w:rsid w:val="00C31A40"/>
    <w:rsid w:val="00C330DF"/>
    <w:rsid w:val="00C337B8"/>
    <w:rsid w:val="00C34648"/>
    <w:rsid w:val="00C360BF"/>
    <w:rsid w:val="00C36A13"/>
    <w:rsid w:val="00C3711A"/>
    <w:rsid w:val="00C3798C"/>
    <w:rsid w:val="00C416BE"/>
    <w:rsid w:val="00C41A64"/>
    <w:rsid w:val="00C426FF"/>
    <w:rsid w:val="00C42884"/>
    <w:rsid w:val="00C428C2"/>
    <w:rsid w:val="00C43573"/>
    <w:rsid w:val="00C44523"/>
    <w:rsid w:val="00C455DC"/>
    <w:rsid w:val="00C4561B"/>
    <w:rsid w:val="00C45816"/>
    <w:rsid w:val="00C468EC"/>
    <w:rsid w:val="00C46D9A"/>
    <w:rsid w:val="00C46EBF"/>
    <w:rsid w:val="00C4736B"/>
    <w:rsid w:val="00C500AB"/>
    <w:rsid w:val="00C523FE"/>
    <w:rsid w:val="00C52A88"/>
    <w:rsid w:val="00C53C06"/>
    <w:rsid w:val="00C5416A"/>
    <w:rsid w:val="00C549B1"/>
    <w:rsid w:val="00C56F29"/>
    <w:rsid w:val="00C571F6"/>
    <w:rsid w:val="00C57AD4"/>
    <w:rsid w:val="00C64616"/>
    <w:rsid w:val="00C651F4"/>
    <w:rsid w:val="00C65CD8"/>
    <w:rsid w:val="00C66477"/>
    <w:rsid w:val="00C66C27"/>
    <w:rsid w:val="00C66FD0"/>
    <w:rsid w:val="00C6742A"/>
    <w:rsid w:val="00C67C11"/>
    <w:rsid w:val="00C702C5"/>
    <w:rsid w:val="00C702DA"/>
    <w:rsid w:val="00C70A81"/>
    <w:rsid w:val="00C70CDD"/>
    <w:rsid w:val="00C7295E"/>
    <w:rsid w:val="00C73407"/>
    <w:rsid w:val="00C744E6"/>
    <w:rsid w:val="00C76A53"/>
    <w:rsid w:val="00C76CAE"/>
    <w:rsid w:val="00C77334"/>
    <w:rsid w:val="00C77E9C"/>
    <w:rsid w:val="00C8075E"/>
    <w:rsid w:val="00C81A2F"/>
    <w:rsid w:val="00C82F3A"/>
    <w:rsid w:val="00C83E15"/>
    <w:rsid w:val="00C83F05"/>
    <w:rsid w:val="00C843CB"/>
    <w:rsid w:val="00C8484A"/>
    <w:rsid w:val="00C84BF0"/>
    <w:rsid w:val="00C85BDD"/>
    <w:rsid w:val="00C86EDA"/>
    <w:rsid w:val="00C878D5"/>
    <w:rsid w:val="00C9033B"/>
    <w:rsid w:val="00C913A1"/>
    <w:rsid w:val="00C914A4"/>
    <w:rsid w:val="00C914F3"/>
    <w:rsid w:val="00C92BD8"/>
    <w:rsid w:val="00C92FE7"/>
    <w:rsid w:val="00C9328C"/>
    <w:rsid w:val="00C938F1"/>
    <w:rsid w:val="00C93C51"/>
    <w:rsid w:val="00C93FE1"/>
    <w:rsid w:val="00C946D3"/>
    <w:rsid w:val="00C946D4"/>
    <w:rsid w:val="00C94D31"/>
    <w:rsid w:val="00C9583D"/>
    <w:rsid w:val="00C96853"/>
    <w:rsid w:val="00CA09FD"/>
    <w:rsid w:val="00CA0F54"/>
    <w:rsid w:val="00CA1331"/>
    <w:rsid w:val="00CA253C"/>
    <w:rsid w:val="00CA2BCB"/>
    <w:rsid w:val="00CA3780"/>
    <w:rsid w:val="00CA45CC"/>
    <w:rsid w:val="00CA4609"/>
    <w:rsid w:val="00CA5215"/>
    <w:rsid w:val="00CA56D4"/>
    <w:rsid w:val="00CA5AC1"/>
    <w:rsid w:val="00CA675A"/>
    <w:rsid w:val="00CB2C66"/>
    <w:rsid w:val="00CB2E50"/>
    <w:rsid w:val="00CB4AF1"/>
    <w:rsid w:val="00CB5A89"/>
    <w:rsid w:val="00CB5C29"/>
    <w:rsid w:val="00CB664A"/>
    <w:rsid w:val="00CC00E2"/>
    <w:rsid w:val="00CC06BE"/>
    <w:rsid w:val="00CC0F56"/>
    <w:rsid w:val="00CC2392"/>
    <w:rsid w:val="00CC23BF"/>
    <w:rsid w:val="00CC3301"/>
    <w:rsid w:val="00CC3357"/>
    <w:rsid w:val="00CC38B8"/>
    <w:rsid w:val="00CC50F5"/>
    <w:rsid w:val="00CC563F"/>
    <w:rsid w:val="00CC5642"/>
    <w:rsid w:val="00CC6A99"/>
    <w:rsid w:val="00CC6B15"/>
    <w:rsid w:val="00CC6D67"/>
    <w:rsid w:val="00CD00B5"/>
    <w:rsid w:val="00CD094B"/>
    <w:rsid w:val="00CD1172"/>
    <w:rsid w:val="00CD1BFA"/>
    <w:rsid w:val="00CD2C93"/>
    <w:rsid w:val="00CD329A"/>
    <w:rsid w:val="00CD5C6E"/>
    <w:rsid w:val="00CD620E"/>
    <w:rsid w:val="00CD7E8B"/>
    <w:rsid w:val="00CE04D7"/>
    <w:rsid w:val="00CE16CA"/>
    <w:rsid w:val="00CE20E3"/>
    <w:rsid w:val="00CE4CAE"/>
    <w:rsid w:val="00CE4EAE"/>
    <w:rsid w:val="00CE51CC"/>
    <w:rsid w:val="00CE67B1"/>
    <w:rsid w:val="00CE6F5E"/>
    <w:rsid w:val="00CE6F76"/>
    <w:rsid w:val="00CE7202"/>
    <w:rsid w:val="00CE7440"/>
    <w:rsid w:val="00CE7CD0"/>
    <w:rsid w:val="00CE7D29"/>
    <w:rsid w:val="00CF03F1"/>
    <w:rsid w:val="00CF1323"/>
    <w:rsid w:val="00CF142E"/>
    <w:rsid w:val="00CF1CDF"/>
    <w:rsid w:val="00CF25F5"/>
    <w:rsid w:val="00CF2629"/>
    <w:rsid w:val="00CF40F0"/>
    <w:rsid w:val="00CF4A77"/>
    <w:rsid w:val="00CF4EFE"/>
    <w:rsid w:val="00CF66AF"/>
    <w:rsid w:val="00CF66D0"/>
    <w:rsid w:val="00D00AA3"/>
    <w:rsid w:val="00D0309C"/>
    <w:rsid w:val="00D03404"/>
    <w:rsid w:val="00D04713"/>
    <w:rsid w:val="00D0475C"/>
    <w:rsid w:val="00D0494C"/>
    <w:rsid w:val="00D04B10"/>
    <w:rsid w:val="00D0504E"/>
    <w:rsid w:val="00D05147"/>
    <w:rsid w:val="00D05754"/>
    <w:rsid w:val="00D05C4B"/>
    <w:rsid w:val="00D06098"/>
    <w:rsid w:val="00D062F1"/>
    <w:rsid w:val="00D07789"/>
    <w:rsid w:val="00D078A5"/>
    <w:rsid w:val="00D07F73"/>
    <w:rsid w:val="00D10D52"/>
    <w:rsid w:val="00D10FBD"/>
    <w:rsid w:val="00D11010"/>
    <w:rsid w:val="00D11B05"/>
    <w:rsid w:val="00D11F9C"/>
    <w:rsid w:val="00D125D4"/>
    <w:rsid w:val="00D12F7B"/>
    <w:rsid w:val="00D13295"/>
    <w:rsid w:val="00D13F04"/>
    <w:rsid w:val="00D13FAD"/>
    <w:rsid w:val="00D14844"/>
    <w:rsid w:val="00D14986"/>
    <w:rsid w:val="00D14CB1"/>
    <w:rsid w:val="00D14DF7"/>
    <w:rsid w:val="00D1523A"/>
    <w:rsid w:val="00D155F5"/>
    <w:rsid w:val="00D161B3"/>
    <w:rsid w:val="00D1638F"/>
    <w:rsid w:val="00D169EC"/>
    <w:rsid w:val="00D16B2F"/>
    <w:rsid w:val="00D2041C"/>
    <w:rsid w:val="00D205F5"/>
    <w:rsid w:val="00D20C0D"/>
    <w:rsid w:val="00D21895"/>
    <w:rsid w:val="00D222A9"/>
    <w:rsid w:val="00D223F0"/>
    <w:rsid w:val="00D22B58"/>
    <w:rsid w:val="00D23A56"/>
    <w:rsid w:val="00D24044"/>
    <w:rsid w:val="00D25183"/>
    <w:rsid w:val="00D25363"/>
    <w:rsid w:val="00D25601"/>
    <w:rsid w:val="00D258AF"/>
    <w:rsid w:val="00D25A95"/>
    <w:rsid w:val="00D25ADE"/>
    <w:rsid w:val="00D25CD2"/>
    <w:rsid w:val="00D26DA7"/>
    <w:rsid w:val="00D27BC2"/>
    <w:rsid w:val="00D3028A"/>
    <w:rsid w:val="00D320EF"/>
    <w:rsid w:val="00D32CD9"/>
    <w:rsid w:val="00D3309B"/>
    <w:rsid w:val="00D33D19"/>
    <w:rsid w:val="00D33FF8"/>
    <w:rsid w:val="00D349EB"/>
    <w:rsid w:val="00D34A8F"/>
    <w:rsid w:val="00D34CDA"/>
    <w:rsid w:val="00D35633"/>
    <w:rsid w:val="00D3641B"/>
    <w:rsid w:val="00D3768B"/>
    <w:rsid w:val="00D37F17"/>
    <w:rsid w:val="00D4011E"/>
    <w:rsid w:val="00D42D60"/>
    <w:rsid w:val="00D43297"/>
    <w:rsid w:val="00D44DB6"/>
    <w:rsid w:val="00D45B32"/>
    <w:rsid w:val="00D472BB"/>
    <w:rsid w:val="00D50119"/>
    <w:rsid w:val="00D51F82"/>
    <w:rsid w:val="00D543A3"/>
    <w:rsid w:val="00D557BC"/>
    <w:rsid w:val="00D55D4E"/>
    <w:rsid w:val="00D55FA8"/>
    <w:rsid w:val="00D56880"/>
    <w:rsid w:val="00D575C6"/>
    <w:rsid w:val="00D5764F"/>
    <w:rsid w:val="00D57C95"/>
    <w:rsid w:val="00D61771"/>
    <w:rsid w:val="00D62696"/>
    <w:rsid w:val="00D62699"/>
    <w:rsid w:val="00D63137"/>
    <w:rsid w:val="00D634E5"/>
    <w:rsid w:val="00D635AD"/>
    <w:rsid w:val="00D6386C"/>
    <w:rsid w:val="00D63907"/>
    <w:rsid w:val="00D63B8E"/>
    <w:rsid w:val="00D65343"/>
    <w:rsid w:val="00D670F0"/>
    <w:rsid w:val="00D677AC"/>
    <w:rsid w:val="00D709B2"/>
    <w:rsid w:val="00D715BB"/>
    <w:rsid w:val="00D71617"/>
    <w:rsid w:val="00D71A70"/>
    <w:rsid w:val="00D72532"/>
    <w:rsid w:val="00D72F97"/>
    <w:rsid w:val="00D7359D"/>
    <w:rsid w:val="00D73950"/>
    <w:rsid w:val="00D7466A"/>
    <w:rsid w:val="00D75752"/>
    <w:rsid w:val="00D7596D"/>
    <w:rsid w:val="00D76228"/>
    <w:rsid w:val="00D765E2"/>
    <w:rsid w:val="00D80696"/>
    <w:rsid w:val="00D80AE9"/>
    <w:rsid w:val="00D80BBC"/>
    <w:rsid w:val="00D81196"/>
    <w:rsid w:val="00D81299"/>
    <w:rsid w:val="00D81572"/>
    <w:rsid w:val="00D82163"/>
    <w:rsid w:val="00D825D3"/>
    <w:rsid w:val="00D826DC"/>
    <w:rsid w:val="00D82A43"/>
    <w:rsid w:val="00D82A75"/>
    <w:rsid w:val="00D83B45"/>
    <w:rsid w:val="00D86201"/>
    <w:rsid w:val="00D905AA"/>
    <w:rsid w:val="00D905D3"/>
    <w:rsid w:val="00D925A7"/>
    <w:rsid w:val="00D92E1B"/>
    <w:rsid w:val="00D93AAB"/>
    <w:rsid w:val="00D93DDC"/>
    <w:rsid w:val="00D946AD"/>
    <w:rsid w:val="00D951AE"/>
    <w:rsid w:val="00D95683"/>
    <w:rsid w:val="00D95769"/>
    <w:rsid w:val="00D95E4F"/>
    <w:rsid w:val="00D965C0"/>
    <w:rsid w:val="00D96E7E"/>
    <w:rsid w:val="00D97CE4"/>
    <w:rsid w:val="00D97E4D"/>
    <w:rsid w:val="00DA1B9A"/>
    <w:rsid w:val="00DA2DBD"/>
    <w:rsid w:val="00DA3192"/>
    <w:rsid w:val="00DA3CCE"/>
    <w:rsid w:val="00DA3D7C"/>
    <w:rsid w:val="00DA413D"/>
    <w:rsid w:val="00DA7B5D"/>
    <w:rsid w:val="00DB0B7C"/>
    <w:rsid w:val="00DB0E9A"/>
    <w:rsid w:val="00DB15C2"/>
    <w:rsid w:val="00DB1863"/>
    <w:rsid w:val="00DB1BBC"/>
    <w:rsid w:val="00DB20CA"/>
    <w:rsid w:val="00DB334A"/>
    <w:rsid w:val="00DB36DA"/>
    <w:rsid w:val="00DB44FE"/>
    <w:rsid w:val="00DB50C4"/>
    <w:rsid w:val="00DB5A18"/>
    <w:rsid w:val="00DB5D97"/>
    <w:rsid w:val="00DB61DC"/>
    <w:rsid w:val="00DB621A"/>
    <w:rsid w:val="00DB6634"/>
    <w:rsid w:val="00DB6829"/>
    <w:rsid w:val="00DB7B59"/>
    <w:rsid w:val="00DC0947"/>
    <w:rsid w:val="00DC1A21"/>
    <w:rsid w:val="00DC1FDA"/>
    <w:rsid w:val="00DC21F9"/>
    <w:rsid w:val="00DC3125"/>
    <w:rsid w:val="00DC4062"/>
    <w:rsid w:val="00DC526F"/>
    <w:rsid w:val="00DC7240"/>
    <w:rsid w:val="00DC78A8"/>
    <w:rsid w:val="00DC7F10"/>
    <w:rsid w:val="00DD215C"/>
    <w:rsid w:val="00DD2240"/>
    <w:rsid w:val="00DD2A35"/>
    <w:rsid w:val="00DD343C"/>
    <w:rsid w:val="00DD44FD"/>
    <w:rsid w:val="00DD4675"/>
    <w:rsid w:val="00DD4B8B"/>
    <w:rsid w:val="00DD4F9B"/>
    <w:rsid w:val="00DD53AD"/>
    <w:rsid w:val="00DD5504"/>
    <w:rsid w:val="00DD59AF"/>
    <w:rsid w:val="00DD5CEF"/>
    <w:rsid w:val="00DD6C08"/>
    <w:rsid w:val="00DD7106"/>
    <w:rsid w:val="00DD79DF"/>
    <w:rsid w:val="00DE0405"/>
    <w:rsid w:val="00DE228A"/>
    <w:rsid w:val="00DE3B6A"/>
    <w:rsid w:val="00DE3D4C"/>
    <w:rsid w:val="00DE431E"/>
    <w:rsid w:val="00DE467E"/>
    <w:rsid w:val="00DE4820"/>
    <w:rsid w:val="00DE59F6"/>
    <w:rsid w:val="00DE5AB2"/>
    <w:rsid w:val="00DE6737"/>
    <w:rsid w:val="00DE695E"/>
    <w:rsid w:val="00DE7B18"/>
    <w:rsid w:val="00DF156D"/>
    <w:rsid w:val="00DF160A"/>
    <w:rsid w:val="00DF214E"/>
    <w:rsid w:val="00DF260B"/>
    <w:rsid w:val="00DF2812"/>
    <w:rsid w:val="00DF3428"/>
    <w:rsid w:val="00DF533C"/>
    <w:rsid w:val="00DF58E7"/>
    <w:rsid w:val="00DF5A8B"/>
    <w:rsid w:val="00DF6BDE"/>
    <w:rsid w:val="00DF727C"/>
    <w:rsid w:val="00DF73E0"/>
    <w:rsid w:val="00E00F95"/>
    <w:rsid w:val="00E010E5"/>
    <w:rsid w:val="00E0115E"/>
    <w:rsid w:val="00E01810"/>
    <w:rsid w:val="00E01B05"/>
    <w:rsid w:val="00E02837"/>
    <w:rsid w:val="00E02F9D"/>
    <w:rsid w:val="00E030D7"/>
    <w:rsid w:val="00E03442"/>
    <w:rsid w:val="00E03A32"/>
    <w:rsid w:val="00E046E6"/>
    <w:rsid w:val="00E06567"/>
    <w:rsid w:val="00E11876"/>
    <w:rsid w:val="00E12CD1"/>
    <w:rsid w:val="00E12DCB"/>
    <w:rsid w:val="00E13A16"/>
    <w:rsid w:val="00E14A50"/>
    <w:rsid w:val="00E14FE8"/>
    <w:rsid w:val="00E1560F"/>
    <w:rsid w:val="00E176FF"/>
    <w:rsid w:val="00E17CC5"/>
    <w:rsid w:val="00E211BB"/>
    <w:rsid w:val="00E218F8"/>
    <w:rsid w:val="00E21B78"/>
    <w:rsid w:val="00E23CBB"/>
    <w:rsid w:val="00E24381"/>
    <w:rsid w:val="00E246C4"/>
    <w:rsid w:val="00E254A3"/>
    <w:rsid w:val="00E25F2F"/>
    <w:rsid w:val="00E267FA"/>
    <w:rsid w:val="00E2704C"/>
    <w:rsid w:val="00E27238"/>
    <w:rsid w:val="00E301B3"/>
    <w:rsid w:val="00E31A0D"/>
    <w:rsid w:val="00E3354C"/>
    <w:rsid w:val="00E3492F"/>
    <w:rsid w:val="00E366D3"/>
    <w:rsid w:val="00E372FD"/>
    <w:rsid w:val="00E37B59"/>
    <w:rsid w:val="00E40825"/>
    <w:rsid w:val="00E411DA"/>
    <w:rsid w:val="00E413A9"/>
    <w:rsid w:val="00E426A1"/>
    <w:rsid w:val="00E44562"/>
    <w:rsid w:val="00E45031"/>
    <w:rsid w:val="00E46265"/>
    <w:rsid w:val="00E47157"/>
    <w:rsid w:val="00E47FF5"/>
    <w:rsid w:val="00E50E3D"/>
    <w:rsid w:val="00E50F63"/>
    <w:rsid w:val="00E51497"/>
    <w:rsid w:val="00E51727"/>
    <w:rsid w:val="00E51840"/>
    <w:rsid w:val="00E51B71"/>
    <w:rsid w:val="00E51D4B"/>
    <w:rsid w:val="00E528F3"/>
    <w:rsid w:val="00E52FB1"/>
    <w:rsid w:val="00E5302B"/>
    <w:rsid w:val="00E53212"/>
    <w:rsid w:val="00E53438"/>
    <w:rsid w:val="00E54587"/>
    <w:rsid w:val="00E54F89"/>
    <w:rsid w:val="00E55B8A"/>
    <w:rsid w:val="00E579FF"/>
    <w:rsid w:val="00E57DB1"/>
    <w:rsid w:val="00E57E80"/>
    <w:rsid w:val="00E609FE"/>
    <w:rsid w:val="00E61132"/>
    <w:rsid w:val="00E635E8"/>
    <w:rsid w:val="00E63E4D"/>
    <w:rsid w:val="00E63F5A"/>
    <w:rsid w:val="00E647BC"/>
    <w:rsid w:val="00E64B17"/>
    <w:rsid w:val="00E6568F"/>
    <w:rsid w:val="00E663C0"/>
    <w:rsid w:val="00E663D6"/>
    <w:rsid w:val="00E66D1A"/>
    <w:rsid w:val="00E6791F"/>
    <w:rsid w:val="00E70DAF"/>
    <w:rsid w:val="00E724EA"/>
    <w:rsid w:val="00E725FC"/>
    <w:rsid w:val="00E7299C"/>
    <w:rsid w:val="00E74481"/>
    <w:rsid w:val="00E749A6"/>
    <w:rsid w:val="00E763E7"/>
    <w:rsid w:val="00E76CEB"/>
    <w:rsid w:val="00E77068"/>
    <w:rsid w:val="00E775F1"/>
    <w:rsid w:val="00E7781E"/>
    <w:rsid w:val="00E814C3"/>
    <w:rsid w:val="00E81B7B"/>
    <w:rsid w:val="00E81B86"/>
    <w:rsid w:val="00E8381E"/>
    <w:rsid w:val="00E83B77"/>
    <w:rsid w:val="00E84F55"/>
    <w:rsid w:val="00E8522F"/>
    <w:rsid w:val="00E85D8D"/>
    <w:rsid w:val="00E85EE3"/>
    <w:rsid w:val="00E87178"/>
    <w:rsid w:val="00E872B8"/>
    <w:rsid w:val="00E90104"/>
    <w:rsid w:val="00E909CC"/>
    <w:rsid w:val="00E91538"/>
    <w:rsid w:val="00E91545"/>
    <w:rsid w:val="00E91E7C"/>
    <w:rsid w:val="00E932B8"/>
    <w:rsid w:val="00E93F14"/>
    <w:rsid w:val="00E94BC7"/>
    <w:rsid w:val="00E957B1"/>
    <w:rsid w:val="00E9590C"/>
    <w:rsid w:val="00E962EC"/>
    <w:rsid w:val="00E965AE"/>
    <w:rsid w:val="00EA006F"/>
    <w:rsid w:val="00EA0F6E"/>
    <w:rsid w:val="00EA149F"/>
    <w:rsid w:val="00EA14FE"/>
    <w:rsid w:val="00EA1D98"/>
    <w:rsid w:val="00EA2EA9"/>
    <w:rsid w:val="00EA36C6"/>
    <w:rsid w:val="00EA3A3A"/>
    <w:rsid w:val="00EA3C20"/>
    <w:rsid w:val="00EA4F84"/>
    <w:rsid w:val="00EA731E"/>
    <w:rsid w:val="00EA74CA"/>
    <w:rsid w:val="00EB0055"/>
    <w:rsid w:val="00EB0843"/>
    <w:rsid w:val="00EB19B9"/>
    <w:rsid w:val="00EB246F"/>
    <w:rsid w:val="00EB2784"/>
    <w:rsid w:val="00EB3456"/>
    <w:rsid w:val="00EB3940"/>
    <w:rsid w:val="00EB44B5"/>
    <w:rsid w:val="00EB4853"/>
    <w:rsid w:val="00EB51C1"/>
    <w:rsid w:val="00EB554D"/>
    <w:rsid w:val="00EB7811"/>
    <w:rsid w:val="00EC032A"/>
    <w:rsid w:val="00EC10A4"/>
    <w:rsid w:val="00EC1623"/>
    <w:rsid w:val="00EC1A0B"/>
    <w:rsid w:val="00EC1CCF"/>
    <w:rsid w:val="00EC1EC6"/>
    <w:rsid w:val="00EC30F9"/>
    <w:rsid w:val="00EC3CC1"/>
    <w:rsid w:val="00EC3F3A"/>
    <w:rsid w:val="00EC56F3"/>
    <w:rsid w:val="00EC5993"/>
    <w:rsid w:val="00EC6649"/>
    <w:rsid w:val="00EC6E3B"/>
    <w:rsid w:val="00ED0744"/>
    <w:rsid w:val="00ED079A"/>
    <w:rsid w:val="00ED08D9"/>
    <w:rsid w:val="00ED0E92"/>
    <w:rsid w:val="00ED14B3"/>
    <w:rsid w:val="00ED39AC"/>
    <w:rsid w:val="00ED5725"/>
    <w:rsid w:val="00ED5FA1"/>
    <w:rsid w:val="00ED620B"/>
    <w:rsid w:val="00ED7031"/>
    <w:rsid w:val="00EE237B"/>
    <w:rsid w:val="00EE2E2A"/>
    <w:rsid w:val="00EE3060"/>
    <w:rsid w:val="00EE4315"/>
    <w:rsid w:val="00EE43F3"/>
    <w:rsid w:val="00EE4DCE"/>
    <w:rsid w:val="00EE5601"/>
    <w:rsid w:val="00EE706C"/>
    <w:rsid w:val="00EF0522"/>
    <w:rsid w:val="00EF05A5"/>
    <w:rsid w:val="00EF0CE9"/>
    <w:rsid w:val="00EF0E49"/>
    <w:rsid w:val="00EF1B6C"/>
    <w:rsid w:val="00EF526D"/>
    <w:rsid w:val="00EF60F8"/>
    <w:rsid w:val="00EF6925"/>
    <w:rsid w:val="00EF7001"/>
    <w:rsid w:val="00EF70AC"/>
    <w:rsid w:val="00EF7200"/>
    <w:rsid w:val="00EF732E"/>
    <w:rsid w:val="00EF73AF"/>
    <w:rsid w:val="00F00C0F"/>
    <w:rsid w:val="00F00E1C"/>
    <w:rsid w:val="00F01454"/>
    <w:rsid w:val="00F02376"/>
    <w:rsid w:val="00F02DFF"/>
    <w:rsid w:val="00F035EE"/>
    <w:rsid w:val="00F05DAF"/>
    <w:rsid w:val="00F061E5"/>
    <w:rsid w:val="00F07C36"/>
    <w:rsid w:val="00F1078A"/>
    <w:rsid w:val="00F12118"/>
    <w:rsid w:val="00F121B4"/>
    <w:rsid w:val="00F12E61"/>
    <w:rsid w:val="00F132E6"/>
    <w:rsid w:val="00F1334C"/>
    <w:rsid w:val="00F136B0"/>
    <w:rsid w:val="00F13B53"/>
    <w:rsid w:val="00F1493E"/>
    <w:rsid w:val="00F1569F"/>
    <w:rsid w:val="00F16AEC"/>
    <w:rsid w:val="00F16F5A"/>
    <w:rsid w:val="00F1725F"/>
    <w:rsid w:val="00F20000"/>
    <w:rsid w:val="00F20865"/>
    <w:rsid w:val="00F2144D"/>
    <w:rsid w:val="00F21C0E"/>
    <w:rsid w:val="00F22A0C"/>
    <w:rsid w:val="00F22D19"/>
    <w:rsid w:val="00F23211"/>
    <w:rsid w:val="00F23EB2"/>
    <w:rsid w:val="00F23F90"/>
    <w:rsid w:val="00F24AE4"/>
    <w:rsid w:val="00F2545C"/>
    <w:rsid w:val="00F258D2"/>
    <w:rsid w:val="00F26828"/>
    <w:rsid w:val="00F26BC4"/>
    <w:rsid w:val="00F26ED3"/>
    <w:rsid w:val="00F2760B"/>
    <w:rsid w:val="00F31593"/>
    <w:rsid w:val="00F32BFB"/>
    <w:rsid w:val="00F3359A"/>
    <w:rsid w:val="00F33BF4"/>
    <w:rsid w:val="00F34AE8"/>
    <w:rsid w:val="00F3562E"/>
    <w:rsid w:val="00F358B1"/>
    <w:rsid w:val="00F36206"/>
    <w:rsid w:val="00F375AA"/>
    <w:rsid w:val="00F3775E"/>
    <w:rsid w:val="00F37ABC"/>
    <w:rsid w:val="00F37E36"/>
    <w:rsid w:val="00F40BC2"/>
    <w:rsid w:val="00F423A0"/>
    <w:rsid w:val="00F42A38"/>
    <w:rsid w:val="00F43127"/>
    <w:rsid w:val="00F44986"/>
    <w:rsid w:val="00F45BB3"/>
    <w:rsid w:val="00F4677A"/>
    <w:rsid w:val="00F473A0"/>
    <w:rsid w:val="00F50894"/>
    <w:rsid w:val="00F50CE9"/>
    <w:rsid w:val="00F510EE"/>
    <w:rsid w:val="00F5147E"/>
    <w:rsid w:val="00F515BC"/>
    <w:rsid w:val="00F51A37"/>
    <w:rsid w:val="00F53543"/>
    <w:rsid w:val="00F54C09"/>
    <w:rsid w:val="00F552E2"/>
    <w:rsid w:val="00F570CF"/>
    <w:rsid w:val="00F57A48"/>
    <w:rsid w:val="00F60CD4"/>
    <w:rsid w:val="00F62B7A"/>
    <w:rsid w:val="00F62E4A"/>
    <w:rsid w:val="00F6397D"/>
    <w:rsid w:val="00F63DA1"/>
    <w:rsid w:val="00F64F48"/>
    <w:rsid w:val="00F65734"/>
    <w:rsid w:val="00F6573E"/>
    <w:rsid w:val="00F65855"/>
    <w:rsid w:val="00F660B4"/>
    <w:rsid w:val="00F67124"/>
    <w:rsid w:val="00F70628"/>
    <w:rsid w:val="00F72280"/>
    <w:rsid w:val="00F7231F"/>
    <w:rsid w:val="00F7282D"/>
    <w:rsid w:val="00F7293E"/>
    <w:rsid w:val="00F72DF0"/>
    <w:rsid w:val="00F742D2"/>
    <w:rsid w:val="00F74310"/>
    <w:rsid w:val="00F76650"/>
    <w:rsid w:val="00F77131"/>
    <w:rsid w:val="00F77726"/>
    <w:rsid w:val="00F804AA"/>
    <w:rsid w:val="00F81284"/>
    <w:rsid w:val="00F8151A"/>
    <w:rsid w:val="00F831FA"/>
    <w:rsid w:val="00F83E18"/>
    <w:rsid w:val="00F84064"/>
    <w:rsid w:val="00F84BED"/>
    <w:rsid w:val="00F84F6C"/>
    <w:rsid w:val="00F8563E"/>
    <w:rsid w:val="00F858E1"/>
    <w:rsid w:val="00F90189"/>
    <w:rsid w:val="00F917BD"/>
    <w:rsid w:val="00F9187B"/>
    <w:rsid w:val="00F919CD"/>
    <w:rsid w:val="00F920D9"/>
    <w:rsid w:val="00F920E8"/>
    <w:rsid w:val="00F92385"/>
    <w:rsid w:val="00F93D40"/>
    <w:rsid w:val="00F94F42"/>
    <w:rsid w:val="00F95549"/>
    <w:rsid w:val="00F9579D"/>
    <w:rsid w:val="00F9589A"/>
    <w:rsid w:val="00F959D1"/>
    <w:rsid w:val="00F95A70"/>
    <w:rsid w:val="00F9630E"/>
    <w:rsid w:val="00F96601"/>
    <w:rsid w:val="00F96FFD"/>
    <w:rsid w:val="00FA0174"/>
    <w:rsid w:val="00FA06E0"/>
    <w:rsid w:val="00FA1B4F"/>
    <w:rsid w:val="00FA3694"/>
    <w:rsid w:val="00FA42D6"/>
    <w:rsid w:val="00FA47DF"/>
    <w:rsid w:val="00FA4868"/>
    <w:rsid w:val="00FA4DA4"/>
    <w:rsid w:val="00FA506A"/>
    <w:rsid w:val="00FA50F9"/>
    <w:rsid w:val="00FA532F"/>
    <w:rsid w:val="00FA617B"/>
    <w:rsid w:val="00FA7E6A"/>
    <w:rsid w:val="00FB1B13"/>
    <w:rsid w:val="00FB225C"/>
    <w:rsid w:val="00FB25EC"/>
    <w:rsid w:val="00FB4236"/>
    <w:rsid w:val="00FB570E"/>
    <w:rsid w:val="00FB5E29"/>
    <w:rsid w:val="00FB625B"/>
    <w:rsid w:val="00FB6496"/>
    <w:rsid w:val="00FC0286"/>
    <w:rsid w:val="00FC0E02"/>
    <w:rsid w:val="00FC132E"/>
    <w:rsid w:val="00FC2B19"/>
    <w:rsid w:val="00FC3C15"/>
    <w:rsid w:val="00FC4624"/>
    <w:rsid w:val="00FC47F9"/>
    <w:rsid w:val="00FC5A99"/>
    <w:rsid w:val="00FC6068"/>
    <w:rsid w:val="00FC662E"/>
    <w:rsid w:val="00FC7B7E"/>
    <w:rsid w:val="00FD099A"/>
    <w:rsid w:val="00FD2944"/>
    <w:rsid w:val="00FD30FB"/>
    <w:rsid w:val="00FD456B"/>
    <w:rsid w:val="00FD5954"/>
    <w:rsid w:val="00FD619E"/>
    <w:rsid w:val="00FD760C"/>
    <w:rsid w:val="00FD7AB1"/>
    <w:rsid w:val="00FE0B51"/>
    <w:rsid w:val="00FE14A8"/>
    <w:rsid w:val="00FE2351"/>
    <w:rsid w:val="00FE2E9E"/>
    <w:rsid w:val="00FE337D"/>
    <w:rsid w:val="00FE3418"/>
    <w:rsid w:val="00FE51D1"/>
    <w:rsid w:val="00FE5580"/>
    <w:rsid w:val="00FE61DA"/>
    <w:rsid w:val="00FE7206"/>
    <w:rsid w:val="00FE7A87"/>
    <w:rsid w:val="00FE7D5F"/>
    <w:rsid w:val="00FF0501"/>
    <w:rsid w:val="00FF110C"/>
    <w:rsid w:val="00FF320A"/>
    <w:rsid w:val="00FF4E8A"/>
    <w:rsid w:val="00FF6466"/>
    <w:rsid w:val="00FF64EC"/>
    <w:rsid w:val="00FF6E93"/>
    <w:rsid w:val="00FF7864"/>
    <w:rsid w:val="00FF7BEE"/>
    <w:rsid w:val="012458CE"/>
    <w:rsid w:val="03B8770E"/>
    <w:rsid w:val="0425C34B"/>
    <w:rsid w:val="0B401397"/>
    <w:rsid w:val="0D5944EC"/>
    <w:rsid w:val="0F04C7F5"/>
    <w:rsid w:val="1375E8CC"/>
    <w:rsid w:val="18C03B15"/>
    <w:rsid w:val="1B44735B"/>
    <w:rsid w:val="1B7B301E"/>
    <w:rsid w:val="1BF9362F"/>
    <w:rsid w:val="1D425400"/>
    <w:rsid w:val="21BFEEBF"/>
    <w:rsid w:val="22E7B8CB"/>
    <w:rsid w:val="25BA1B9B"/>
    <w:rsid w:val="266C2BE6"/>
    <w:rsid w:val="287BD7DC"/>
    <w:rsid w:val="28913D32"/>
    <w:rsid w:val="2B710012"/>
    <w:rsid w:val="2EF2F7F2"/>
    <w:rsid w:val="2F0E58CC"/>
    <w:rsid w:val="3174D2CB"/>
    <w:rsid w:val="374F5BBA"/>
    <w:rsid w:val="39BA480F"/>
    <w:rsid w:val="3E181CA3"/>
    <w:rsid w:val="3E1E2930"/>
    <w:rsid w:val="3EB42F3D"/>
    <w:rsid w:val="418F218A"/>
    <w:rsid w:val="49E3CCFB"/>
    <w:rsid w:val="4A6127E6"/>
    <w:rsid w:val="4CF53F67"/>
    <w:rsid w:val="53C1FE04"/>
    <w:rsid w:val="548B3970"/>
    <w:rsid w:val="570A864E"/>
    <w:rsid w:val="57F0421C"/>
    <w:rsid w:val="5FE1B59B"/>
    <w:rsid w:val="629E84B0"/>
    <w:rsid w:val="62F42E40"/>
    <w:rsid w:val="696CCCE1"/>
    <w:rsid w:val="6FE96439"/>
    <w:rsid w:val="7023153D"/>
    <w:rsid w:val="70551BE9"/>
    <w:rsid w:val="74AB0729"/>
    <w:rsid w:val="76F732E0"/>
    <w:rsid w:val="7A4756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473F90"/>
  <w15:chartTrackingRefBased/>
  <w15:docId w15:val="{5CCF5C94-288F-4811-95F9-727F395114A6}"/>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uiPriority="4"/>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4"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61AFE"/>
    <w:pPr>
      <w:spacing w:after="0" w:line="360" w:lineRule="auto"/>
      <w:ind w:firstLine="720"/>
    </w:pPr>
    <w:rPr>
      <w:rFonts w:ascii="Book Antiqua" w:hAnsi="Book Antiqua"/>
      <w:sz w:val="26"/>
    </w:rPr>
  </w:style>
  <w:style w:type="paragraph" w:styleId="Heading1">
    <w:name w:val="heading 1"/>
    <w:basedOn w:val="Dummy"/>
    <w:next w:val="Standard"/>
    <w:link w:val="Heading1Char"/>
    <w:uiPriority w:val="4"/>
    <w:qFormat/>
    <w:rsid w:val="000E270A"/>
    <w:pPr>
      <w:numPr>
        <w:numId w:val="15"/>
      </w:numPr>
      <w:ind w:right="2160"/>
    </w:pPr>
    <w:rPr>
      <w:rFonts w:eastAsiaTheme="majorEastAsia" w:cstheme="majorBidi"/>
      <w:szCs w:val="32"/>
    </w:rPr>
  </w:style>
  <w:style w:type="paragraph" w:styleId="Heading2">
    <w:name w:val="heading 2"/>
    <w:basedOn w:val="Dummy"/>
    <w:next w:val="Standard"/>
    <w:link w:val="Heading2Char"/>
    <w:uiPriority w:val="4"/>
    <w:qFormat/>
    <w:rsid w:val="000E270A"/>
    <w:pPr>
      <w:numPr>
        <w:ilvl w:val="1"/>
        <w:numId w:val="15"/>
      </w:numPr>
      <w:ind w:right="2160"/>
      <w:outlineLvl w:val="1"/>
    </w:pPr>
  </w:style>
  <w:style w:type="paragraph" w:styleId="Heading3">
    <w:name w:val="heading 3"/>
    <w:basedOn w:val="Dummy"/>
    <w:next w:val="Standard"/>
    <w:link w:val="Heading3Char"/>
    <w:uiPriority w:val="4"/>
    <w:qFormat/>
    <w:rsid w:val="000E270A"/>
    <w:pPr>
      <w:numPr>
        <w:ilvl w:val="2"/>
        <w:numId w:val="15"/>
      </w:numPr>
      <w:ind w:right="2160"/>
      <w:outlineLvl w:val="2"/>
    </w:pPr>
    <w:rPr>
      <w:rFonts w:eastAsiaTheme="majorEastAsia" w:cstheme="majorBidi"/>
      <w:szCs w:val="24"/>
    </w:rPr>
  </w:style>
  <w:style w:type="paragraph" w:styleId="Heading4">
    <w:name w:val="heading 4"/>
    <w:basedOn w:val="Dummy"/>
    <w:next w:val="Standard"/>
    <w:link w:val="Heading4Char"/>
    <w:uiPriority w:val="4"/>
    <w:rsid w:val="000E270A"/>
    <w:pPr>
      <w:numPr>
        <w:ilvl w:val="3"/>
        <w:numId w:val="15"/>
      </w:numPr>
      <w:ind w:right="2160"/>
      <w:outlineLvl w:val="3"/>
    </w:pPr>
    <w:rPr>
      <w:rFonts w:eastAsiaTheme="majorEastAsia" w:cstheme="majorBidi"/>
      <w:iCs/>
    </w:rPr>
  </w:style>
  <w:style w:type="paragraph" w:styleId="Heading5">
    <w:name w:val="heading 5"/>
    <w:basedOn w:val="Dummy"/>
    <w:next w:val="Standard"/>
    <w:link w:val="Heading5Char"/>
    <w:uiPriority w:val="4"/>
    <w:rsid w:val="000E270A"/>
    <w:pPr>
      <w:numPr>
        <w:ilvl w:val="4"/>
        <w:numId w:val="15"/>
      </w:numPr>
      <w:ind w:right="2160"/>
      <w:outlineLvl w:val="4"/>
    </w:pPr>
    <w:rPr>
      <w:rFonts w:eastAsiaTheme="majorEastAsia" w:cstheme="majorBidi"/>
    </w:rPr>
  </w:style>
  <w:style w:type="paragraph" w:styleId="Heading6">
    <w:name w:val="heading 6"/>
    <w:basedOn w:val="Dummy"/>
    <w:next w:val="Standard"/>
    <w:link w:val="Heading6Char"/>
    <w:uiPriority w:val="4"/>
    <w:rsid w:val="000E270A"/>
    <w:pPr>
      <w:numPr>
        <w:ilvl w:val="5"/>
        <w:numId w:val="15"/>
      </w:numPr>
      <w:spacing w:before="40"/>
      <w:ind w:right="2160"/>
      <w:outlineLvl w:val="5"/>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A7B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4"/>
    <w:rsid w:val="00287BC5"/>
    <w:rPr>
      <w:rFonts w:ascii="Arial" w:eastAsiaTheme="majorEastAsia" w:hAnsi="Arial" w:cstheme="majorBidi"/>
      <w:b/>
      <w:sz w:val="26"/>
      <w:szCs w:val="32"/>
    </w:rPr>
  </w:style>
  <w:style w:type="paragraph" w:styleId="TOCHeading">
    <w:name w:val="TOC Heading"/>
    <w:next w:val="Normal"/>
    <w:uiPriority w:val="39"/>
    <w:unhideWhenUsed/>
    <w:rsid w:val="001E2A62"/>
    <w:pPr>
      <w:spacing w:line="240" w:lineRule="auto"/>
      <w:jc w:val="center"/>
    </w:pPr>
    <w:rPr>
      <w:rFonts w:ascii="Arial" w:eastAsiaTheme="majorEastAsia" w:hAnsi="Arial" w:cstheme="majorBidi"/>
      <w:b/>
      <w:sz w:val="26"/>
      <w:szCs w:val="32"/>
    </w:rPr>
  </w:style>
  <w:style w:type="paragraph" w:styleId="Title">
    <w:name w:val="Title"/>
    <w:basedOn w:val="Dummy"/>
    <w:next w:val="Normal"/>
    <w:link w:val="TitleChar"/>
    <w:uiPriority w:val="10"/>
    <w:semiHidden/>
    <w:rsid w:val="00121089"/>
    <w:pPr>
      <w:spacing w:after="0"/>
      <w:contextualSpacing/>
      <w:jc w:val="center"/>
    </w:pPr>
    <w:rPr>
      <w:rFonts w:eastAsiaTheme="majorEastAsia" w:cstheme="majorBidi"/>
      <w:caps/>
      <w:szCs w:val="56"/>
    </w:rPr>
  </w:style>
  <w:style w:type="character" w:customStyle="1" w:styleId="TitleChar">
    <w:name w:val="Title Char"/>
    <w:basedOn w:val="DefaultParagraphFont"/>
    <w:link w:val="Title"/>
    <w:uiPriority w:val="10"/>
    <w:semiHidden/>
    <w:rsid w:val="0036017B"/>
    <w:rPr>
      <w:rFonts w:ascii="Arial" w:eastAsiaTheme="majorEastAsia" w:hAnsi="Arial" w:cstheme="majorBidi"/>
      <w:b/>
      <w:caps/>
      <w:sz w:val="26"/>
      <w:szCs w:val="56"/>
    </w:rPr>
  </w:style>
  <w:style w:type="paragraph" w:customStyle="1" w:styleId="Dummy">
    <w:name w:val="Dummy"/>
    <w:next w:val="Normal"/>
    <w:uiPriority w:val="19"/>
    <w:rsid w:val="00F62B7A"/>
    <w:pPr>
      <w:keepNext/>
      <w:keepLines/>
      <w:spacing w:after="120" w:line="240" w:lineRule="auto"/>
      <w:outlineLvl w:val="0"/>
    </w:pPr>
    <w:rPr>
      <w:rFonts w:ascii="Arial" w:hAnsi="Arial" w:cs="Arial"/>
      <w:b/>
      <w:sz w:val="26"/>
      <w:szCs w:val="26"/>
    </w:rPr>
  </w:style>
  <w:style w:type="character" w:customStyle="1" w:styleId="Heading2Char">
    <w:name w:val="Heading 2 Char"/>
    <w:basedOn w:val="DefaultParagraphFont"/>
    <w:link w:val="Heading2"/>
    <w:uiPriority w:val="4"/>
    <w:rsid w:val="00287BC5"/>
    <w:rPr>
      <w:rFonts w:ascii="Arial" w:hAnsi="Arial" w:cs="Arial"/>
      <w:b/>
      <w:sz w:val="26"/>
      <w:szCs w:val="26"/>
    </w:rPr>
  </w:style>
  <w:style w:type="character" w:customStyle="1" w:styleId="Heading3Char">
    <w:name w:val="Heading 3 Char"/>
    <w:basedOn w:val="DefaultParagraphFont"/>
    <w:link w:val="Heading3"/>
    <w:uiPriority w:val="4"/>
    <w:rsid w:val="00287BC5"/>
    <w:rPr>
      <w:rFonts w:ascii="Arial" w:eastAsiaTheme="majorEastAsia" w:hAnsi="Arial" w:cstheme="majorBidi"/>
      <w:b/>
      <w:sz w:val="26"/>
      <w:szCs w:val="24"/>
    </w:rPr>
  </w:style>
  <w:style w:type="character" w:customStyle="1" w:styleId="Heading4Char">
    <w:name w:val="Heading 4 Char"/>
    <w:basedOn w:val="DefaultParagraphFont"/>
    <w:link w:val="Heading4"/>
    <w:uiPriority w:val="4"/>
    <w:rsid w:val="00287BC5"/>
    <w:rPr>
      <w:rFonts w:ascii="Arial" w:eastAsiaTheme="majorEastAsia" w:hAnsi="Arial" w:cstheme="majorBidi"/>
      <w:b/>
      <w:iCs/>
      <w:sz w:val="26"/>
      <w:szCs w:val="26"/>
    </w:rPr>
  </w:style>
  <w:style w:type="character" w:customStyle="1" w:styleId="Heading5Char">
    <w:name w:val="Heading 5 Char"/>
    <w:basedOn w:val="DefaultParagraphFont"/>
    <w:link w:val="Heading5"/>
    <w:uiPriority w:val="4"/>
    <w:rsid w:val="00287BC5"/>
    <w:rPr>
      <w:rFonts w:ascii="Arial" w:eastAsiaTheme="majorEastAsia" w:hAnsi="Arial" w:cstheme="majorBidi"/>
      <w:b/>
      <w:sz w:val="26"/>
      <w:szCs w:val="26"/>
    </w:rPr>
  </w:style>
  <w:style w:type="paragraph" w:customStyle="1" w:styleId="Main">
    <w:name w:val="Main"/>
    <w:next w:val="Normal"/>
    <w:uiPriority w:val="19"/>
    <w:rsid w:val="00F62B7A"/>
    <w:pPr>
      <w:spacing w:after="0" w:line="240" w:lineRule="auto"/>
      <w:jc w:val="center"/>
    </w:pPr>
    <w:rPr>
      <w:rFonts w:ascii="Arial" w:eastAsiaTheme="majorEastAsia" w:hAnsi="Arial" w:cstheme="majorBidi"/>
      <w:b/>
      <w:caps/>
      <w:sz w:val="26"/>
      <w:szCs w:val="56"/>
    </w:rPr>
  </w:style>
  <w:style w:type="paragraph" w:customStyle="1" w:styleId="Mainex">
    <w:name w:val="Mainex"/>
    <w:basedOn w:val="Main"/>
    <w:next w:val="Normal"/>
    <w:uiPriority w:val="19"/>
    <w:rsid w:val="000A6E05"/>
    <w:pPr>
      <w:keepNext/>
      <w:spacing w:line="360" w:lineRule="auto"/>
      <w:outlineLvl w:val="0"/>
    </w:pPr>
    <w:rPr>
      <w:spacing w:val="120"/>
    </w:rPr>
  </w:style>
  <w:style w:type="paragraph" w:styleId="TOC2">
    <w:name w:val="toc 2"/>
    <w:basedOn w:val="Normal"/>
    <w:next w:val="Normal"/>
    <w:uiPriority w:val="39"/>
    <w:unhideWhenUsed/>
    <w:rsid w:val="00ED5725"/>
    <w:pPr>
      <w:spacing w:line="240" w:lineRule="auto"/>
      <w:ind w:left="864" w:hanging="648"/>
    </w:pPr>
    <w:rPr>
      <w:rFonts w:eastAsiaTheme="minorEastAsia" w:cs="Times New Roman"/>
    </w:rPr>
  </w:style>
  <w:style w:type="paragraph" w:styleId="TOC1">
    <w:name w:val="toc 1"/>
    <w:basedOn w:val="Normal"/>
    <w:next w:val="Normal"/>
    <w:uiPriority w:val="39"/>
    <w:unhideWhenUsed/>
    <w:rsid w:val="00ED5725"/>
    <w:pPr>
      <w:spacing w:line="240" w:lineRule="auto"/>
      <w:ind w:left="432" w:hanging="432"/>
    </w:pPr>
    <w:rPr>
      <w:rFonts w:eastAsiaTheme="minorEastAsia" w:cs="Times New Roman"/>
    </w:rPr>
  </w:style>
  <w:style w:type="paragraph" w:styleId="TOC3">
    <w:name w:val="toc 3"/>
    <w:basedOn w:val="Normal"/>
    <w:next w:val="Normal"/>
    <w:uiPriority w:val="39"/>
    <w:unhideWhenUsed/>
    <w:rsid w:val="008C7413"/>
    <w:pPr>
      <w:spacing w:line="240" w:lineRule="auto"/>
      <w:ind w:left="1296" w:hanging="864"/>
    </w:pPr>
    <w:rPr>
      <w:rFonts w:eastAsiaTheme="minorEastAsia" w:cs="Times New Roman"/>
    </w:rPr>
  </w:style>
  <w:style w:type="character" w:styleId="Hyperlink">
    <w:name w:val="Hyperlink"/>
    <w:basedOn w:val="DefaultParagraphFont"/>
    <w:uiPriority w:val="99"/>
    <w:rsid w:val="00D82A43"/>
    <w:rPr>
      <w:color w:val="0563C1" w:themeColor="hyperlink"/>
      <w:u w:val="single"/>
    </w:rPr>
  </w:style>
  <w:style w:type="numbering" w:customStyle="1" w:styleId="FoFCoLOP">
    <w:name w:val="FoF/CoL/OP"/>
    <w:uiPriority w:val="99"/>
    <w:rsid w:val="008E6AE6"/>
    <w:pPr>
      <w:numPr>
        <w:numId w:val="2"/>
      </w:numPr>
    </w:pPr>
  </w:style>
  <w:style w:type="paragraph" w:styleId="TOC9">
    <w:name w:val="toc 9"/>
    <w:basedOn w:val="Normal"/>
    <w:next w:val="Normal"/>
    <w:autoRedefine/>
    <w:uiPriority w:val="39"/>
    <w:semiHidden/>
    <w:unhideWhenUsed/>
    <w:rsid w:val="00D82A43"/>
    <w:pPr>
      <w:spacing w:after="100"/>
      <w:ind w:left="2080"/>
    </w:pPr>
  </w:style>
  <w:style w:type="paragraph" w:styleId="Header">
    <w:name w:val="header"/>
    <w:basedOn w:val="Normal"/>
    <w:link w:val="HeaderChar"/>
    <w:uiPriority w:val="99"/>
    <w:semiHidden/>
    <w:rsid w:val="0098138E"/>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0A56F2"/>
    <w:rPr>
      <w:rFonts w:ascii="Book Antiqua" w:hAnsi="Book Antiqua"/>
      <w:sz w:val="26"/>
    </w:rPr>
  </w:style>
  <w:style w:type="paragraph" w:styleId="Footer">
    <w:name w:val="footer"/>
    <w:basedOn w:val="Normal"/>
    <w:link w:val="FooterChar"/>
    <w:uiPriority w:val="99"/>
    <w:semiHidden/>
    <w:rsid w:val="00EE3060"/>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7657C1"/>
    <w:rPr>
      <w:rFonts w:ascii="Book Antiqua" w:hAnsi="Book Antiqua"/>
      <w:sz w:val="26"/>
    </w:rPr>
  </w:style>
  <w:style w:type="paragraph" w:customStyle="1" w:styleId="BlockQuote">
    <w:name w:val="Block Quote"/>
    <w:basedOn w:val="Standard"/>
    <w:uiPriority w:val="5"/>
    <w:qFormat/>
    <w:rsid w:val="00EA36C6"/>
    <w:pPr>
      <w:spacing w:after="120" w:line="240" w:lineRule="auto"/>
      <w:ind w:left="720" w:right="720" w:firstLine="0"/>
    </w:pPr>
  </w:style>
  <w:style w:type="paragraph" w:styleId="FootnoteText">
    <w:name w:val="footnote text"/>
    <w:basedOn w:val="Normal"/>
    <w:link w:val="FootnoteTextChar"/>
    <w:uiPriority w:val="40"/>
    <w:rsid w:val="00B01F7E"/>
    <w:pPr>
      <w:spacing w:after="120" w:line="240" w:lineRule="auto"/>
      <w:ind w:firstLine="0"/>
    </w:pPr>
    <w:rPr>
      <w:sz w:val="22"/>
      <w:szCs w:val="20"/>
    </w:rPr>
  </w:style>
  <w:style w:type="character" w:customStyle="1" w:styleId="FootnoteTextChar">
    <w:name w:val="Footnote Text Char"/>
    <w:basedOn w:val="DefaultParagraphFont"/>
    <w:link w:val="FootnoteText"/>
    <w:uiPriority w:val="40"/>
    <w:rsid w:val="007657C1"/>
    <w:rPr>
      <w:rFonts w:ascii="Book Antiqua" w:hAnsi="Book Antiqua"/>
      <w:szCs w:val="20"/>
    </w:rPr>
  </w:style>
  <w:style w:type="character" w:styleId="FootnoteReference">
    <w:name w:val="footnote reference"/>
    <w:basedOn w:val="DefaultParagraphFont"/>
    <w:uiPriority w:val="99"/>
    <w:semiHidden/>
    <w:unhideWhenUsed/>
    <w:rsid w:val="00DF58E7"/>
    <w:rPr>
      <w:vertAlign w:val="superscript"/>
    </w:rPr>
  </w:style>
  <w:style w:type="paragraph" w:customStyle="1" w:styleId="FoF">
    <w:name w:val="FoF"/>
    <w:basedOn w:val="Standard"/>
    <w:uiPriority w:val="6"/>
    <w:qFormat/>
    <w:rsid w:val="001E2A62"/>
    <w:pPr>
      <w:ind w:firstLine="547"/>
    </w:pPr>
  </w:style>
  <w:style w:type="paragraph" w:customStyle="1" w:styleId="CoL">
    <w:name w:val="CoL"/>
    <w:basedOn w:val="Standard"/>
    <w:uiPriority w:val="7"/>
    <w:qFormat/>
    <w:rsid w:val="001E2A62"/>
    <w:pPr>
      <w:numPr>
        <w:numId w:val="4"/>
      </w:numPr>
      <w:ind w:firstLine="547"/>
    </w:pPr>
  </w:style>
  <w:style w:type="paragraph" w:styleId="NoSpacing">
    <w:name w:val="No Spacing"/>
    <w:basedOn w:val="Standard"/>
    <w:uiPriority w:val="1"/>
    <w:rsid w:val="00287BC5"/>
    <w:pPr>
      <w:spacing w:after="120" w:line="240" w:lineRule="auto"/>
      <w:ind w:firstLine="0"/>
      <w:contextualSpacing/>
    </w:pPr>
  </w:style>
  <w:style w:type="paragraph" w:customStyle="1" w:styleId="OP">
    <w:name w:val="OP"/>
    <w:basedOn w:val="Standard"/>
    <w:uiPriority w:val="8"/>
    <w:qFormat/>
    <w:rsid w:val="001E2A62"/>
    <w:pPr>
      <w:numPr>
        <w:numId w:val="3"/>
      </w:numPr>
    </w:pPr>
  </w:style>
  <w:style w:type="paragraph" w:styleId="BalloonText">
    <w:name w:val="Balloon Text"/>
    <w:basedOn w:val="Normal"/>
    <w:link w:val="BalloonTextChar"/>
    <w:uiPriority w:val="99"/>
    <w:semiHidden/>
    <w:unhideWhenUsed/>
    <w:rsid w:val="004C7D3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7D3A"/>
    <w:rPr>
      <w:rFonts w:ascii="Segoe UI" w:hAnsi="Segoe UI" w:cs="Segoe UI"/>
      <w:sz w:val="18"/>
      <w:szCs w:val="18"/>
    </w:rPr>
  </w:style>
  <w:style w:type="numbering" w:customStyle="1" w:styleId="Headings">
    <w:name w:val="Headings"/>
    <w:uiPriority w:val="99"/>
    <w:rsid w:val="000E270A"/>
    <w:pPr>
      <w:numPr>
        <w:numId w:val="6"/>
      </w:numPr>
    </w:pPr>
  </w:style>
  <w:style w:type="paragraph" w:customStyle="1" w:styleId="Standard">
    <w:name w:val="Standard"/>
    <w:basedOn w:val="Normal"/>
    <w:link w:val="StandardChar"/>
    <w:qFormat/>
    <w:rsid w:val="007A406D"/>
  </w:style>
  <w:style w:type="paragraph" w:customStyle="1" w:styleId="ListAlpha">
    <w:name w:val="List Alpha"/>
    <w:basedOn w:val="Standard"/>
    <w:uiPriority w:val="4"/>
    <w:qFormat/>
    <w:rsid w:val="000E270A"/>
    <w:pPr>
      <w:numPr>
        <w:ilvl w:val="7"/>
        <w:numId w:val="15"/>
      </w:numPr>
      <w:spacing w:after="120" w:line="240" w:lineRule="auto"/>
    </w:pPr>
  </w:style>
  <w:style w:type="paragraph" w:styleId="ListBullet">
    <w:name w:val="List Bullet"/>
    <w:basedOn w:val="Standard"/>
    <w:uiPriority w:val="4"/>
    <w:qFormat/>
    <w:rsid w:val="001F2819"/>
    <w:pPr>
      <w:numPr>
        <w:numId w:val="9"/>
      </w:numPr>
      <w:tabs>
        <w:tab w:val="clear" w:pos="360"/>
      </w:tabs>
      <w:spacing w:after="120" w:line="240" w:lineRule="auto"/>
      <w:ind w:left="1080"/>
    </w:pPr>
  </w:style>
  <w:style w:type="character" w:customStyle="1" w:styleId="Heading6Char">
    <w:name w:val="Heading 6 Char"/>
    <w:basedOn w:val="DefaultParagraphFont"/>
    <w:link w:val="Heading6"/>
    <w:uiPriority w:val="4"/>
    <w:rsid w:val="00287BC5"/>
    <w:rPr>
      <w:rFonts w:ascii="Arial" w:eastAsiaTheme="majorEastAsia" w:hAnsi="Arial" w:cstheme="majorBidi"/>
      <w:b/>
      <w:sz w:val="26"/>
      <w:szCs w:val="26"/>
    </w:rPr>
  </w:style>
  <w:style w:type="paragraph" w:styleId="TOC4">
    <w:name w:val="toc 4"/>
    <w:basedOn w:val="Normal"/>
    <w:next w:val="Normal"/>
    <w:autoRedefine/>
    <w:uiPriority w:val="39"/>
    <w:unhideWhenUsed/>
    <w:rsid w:val="008C7413"/>
    <w:pPr>
      <w:spacing w:line="240" w:lineRule="auto"/>
      <w:ind w:left="1728" w:hanging="1080"/>
    </w:pPr>
  </w:style>
  <w:style w:type="paragraph" w:styleId="TOC5">
    <w:name w:val="toc 5"/>
    <w:basedOn w:val="Normal"/>
    <w:next w:val="Normal"/>
    <w:autoRedefine/>
    <w:uiPriority w:val="39"/>
    <w:unhideWhenUsed/>
    <w:rsid w:val="008C7413"/>
    <w:pPr>
      <w:spacing w:line="240" w:lineRule="auto"/>
      <w:ind w:left="2160" w:hanging="1296"/>
    </w:pPr>
  </w:style>
  <w:style w:type="paragraph" w:styleId="TOC6">
    <w:name w:val="toc 6"/>
    <w:basedOn w:val="Normal"/>
    <w:next w:val="Normal"/>
    <w:autoRedefine/>
    <w:uiPriority w:val="39"/>
    <w:unhideWhenUsed/>
    <w:rsid w:val="008C7413"/>
    <w:pPr>
      <w:spacing w:line="240" w:lineRule="auto"/>
      <w:ind w:left="2592" w:hanging="1512"/>
    </w:pPr>
  </w:style>
  <w:style w:type="paragraph" w:customStyle="1" w:styleId="TableText">
    <w:name w:val="Table Text"/>
    <w:basedOn w:val="NoSpacing"/>
    <w:uiPriority w:val="5"/>
    <w:rsid w:val="00E53438"/>
    <w:pPr>
      <w:spacing w:after="0"/>
    </w:pPr>
    <w:rPr>
      <w:sz w:val="22"/>
    </w:rPr>
  </w:style>
  <w:style w:type="paragraph" w:customStyle="1" w:styleId="ListNum">
    <w:name w:val="List Num"/>
    <w:basedOn w:val="Standard"/>
    <w:uiPriority w:val="4"/>
    <w:rsid w:val="000E270A"/>
    <w:pPr>
      <w:numPr>
        <w:ilvl w:val="6"/>
        <w:numId w:val="15"/>
      </w:numPr>
      <w:spacing w:after="120" w:line="240" w:lineRule="auto"/>
    </w:pPr>
  </w:style>
  <w:style w:type="character" w:customStyle="1" w:styleId="StandardChar">
    <w:name w:val="Standard Char"/>
    <w:basedOn w:val="DefaultParagraphFont"/>
    <w:link w:val="Standard"/>
    <w:rsid w:val="006C6458"/>
    <w:rPr>
      <w:rFonts w:ascii="Book Antiqua" w:hAnsi="Book Antiqua"/>
      <w:sz w:val="26"/>
    </w:rPr>
  </w:style>
  <w:style w:type="character" w:styleId="CommentReference">
    <w:name w:val="annotation reference"/>
    <w:basedOn w:val="DefaultParagraphFont"/>
    <w:uiPriority w:val="99"/>
    <w:semiHidden/>
    <w:unhideWhenUsed/>
    <w:rsid w:val="00CC23BF"/>
    <w:rPr>
      <w:sz w:val="16"/>
      <w:szCs w:val="16"/>
    </w:rPr>
  </w:style>
  <w:style w:type="paragraph" w:styleId="CommentText">
    <w:name w:val="annotation text"/>
    <w:basedOn w:val="Normal"/>
    <w:link w:val="CommentTextChar"/>
    <w:uiPriority w:val="99"/>
    <w:unhideWhenUsed/>
    <w:rsid w:val="00CC23BF"/>
    <w:pPr>
      <w:spacing w:line="240" w:lineRule="auto"/>
    </w:pPr>
    <w:rPr>
      <w:sz w:val="20"/>
      <w:szCs w:val="20"/>
    </w:rPr>
  </w:style>
  <w:style w:type="character" w:customStyle="1" w:styleId="CommentTextChar">
    <w:name w:val="Comment Text Char"/>
    <w:basedOn w:val="DefaultParagraphFont"/>
    <w:link w:val="CommentText"/>
    <w:uiPriority w:val="99"/>
    <w:rsid w:val="00CC23BF"/>
    <w:rPr>
      <w:rFonts w:ascii="Book Antiqua" w:hAnsi="Book Antiqua"/>
      <w:sz w:val="20"/>
      <w:szCs w:val="20"/>
    </w:rPr>
  </w:style>
  <w:style w:type="paragraph" w:styleId="CommentSubject">
    <w:name w:val="annotation subject"/>
    <w:basedOn w:val="CommentText"/>
    <w:next w:val="CommentText"/>
    <w:link w:val="CommentSubjectChar"/>
    <w:uiPriority w:val="99"/>
    <w:semiHidden/>
    <w:unhideWhenUsed/>
    <w:rsid w:val="00CC23BF"/>
    <w:rPr>
      <w:b/>
      <w:bCs/>
    </w:rPr>
  </w:style>
  <w:style w:type="character" w:customStyle="1" w:styleId="CommentSubjectChar">
    <w:name w:val="Comment Subject Char"/>
    <w:basedOn w:val="CommentTextChar"/>
    <w:link w:val="CommentSubject"/>
    <w:uiPriority w:val="99"/>
    <w:semiHidden/>
    <w:rsid w:val="00CC23BF"/>
    <w:rPr>
      <w:rFonts w:ascii="Book Antiqua" w:hAnsi="Book Antiqua"/>
      <w:b/>
      <w:bCs/>
      <w:sz w:val="20"/>
      <w:szCs w:val="20"/>
    </w:rPr>
  </w:style>
  <w:style w:type="character" w:styleId="UnresolvedMention">
    <w:name w:val="Unresolved Mention"/>
    <w:basedOn w:val="DefaultParagraphFont"/>
    <w:uiPriority w:val="99"/>
    <w:semiHidden/>
    <w:unhideWhenUsed/>
    <w:rsid w:val="007A3016"/>
    <w:rPr>
      <w:color w:val="605E5C"/>
      <w:shd w:val="clear" w:color="auto" w:fill="E1DFDD"/>
    </w:rPr>
  </w:style>
  <w:style w:type="paragraph" w:customStyle="1" w:styleId="xstandard">
    <w:name w:val="x_standard"/>
    <w:basedOn w:val="Normal"/>
    <w:rsid w:val="00C52A88"/>
    <w:rPr>
      <w:rFonts w:cs="Calibri"/>
      <w:szCs w:val="26"/>
    </w:rPr>
  </w:style>
  <w:style w:type="paragraph" w:styleId="Revision">
    <w:name w:val="Revision"/>
    <w:hidden/>
    <w:uiPriority w:val="99"/>
    <w:semiHidden/>
    <w:rsid w:val="005B1F7B"/>
    <w:pPr>
      <w:spacing w:after="0" w:line="240" w:lineRule="auto"/>
    </w:pPr>
    <w:rPr>
      <w:rFonts w:ascii="Book Antiqua" w:hAnsi="Book Antiqua"/>
      <w:sz w:val="26"/>
    </w:rPr>
  </w:style>
  <w:style w:type="paragraph" w:styleId="ListParagraph">
    <w:name w:val="List Paragraph"/>
    <w:basedOn w:val="Normal"/>
    <w:uiPriority w:val="34"/>
    <w:qFormat/>
    <w:rsid w:val="0031414D"/>
    <w:pPr>
      <w:spacing w:after="160" w:line="278" w:lineRule="auto"/>
      <w:ind w:left="720" w:firstLine="0"/>
      <w:contextualSpacing/>
    </w:pPr>
    <w:rPr>
      <w:rFonts w:asciiTheme="minorHAnsi" w:hAnsiTheme="minorHAnsi"/>
      <w:kern w:val="2"/>
      <w:sz w:val="24"/>
      <w:szCs w:val="24"/>
      <w14:ligatures w14:val="standardContextual"/>
    </w:rPr>
  </w:style>
  <w:style w:type="character" w:styleId="Mention">
    <w:name w:val="Mention"/>
    <w:basedOn w:val="DefaultParagraphFont"/>
    <w:uiPriority w:val="99"/>
    <w:unhideWhenUsed/>
    <w:rsid w:val="0028176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754110">
      <w:bodyDiv w:val="1"/>
      <w:marLeft w:val="0"/>
      <w:marRight w:val="0"/>
      <w:marTop w:val="0"/>
      <w:marBottom w:val="0"/>
      <w:divBdr>
        <w:top w:val="none" w:sz="0" w:space="0" w:color="auto"/>
        <w:left w:val="none" w:sz="0" w:space="0" w:color="auto"/>
        <w:bottom w:val="none" w:sz="0" w:space="0" w:color="auto"/>
        <w:right w:val="none" w:sz="0" w:space="0" w:color="auto"/>
      </w:divBdr>
    </w:div>
    <w:div w:id="234050233">
      <w:bodyDiv w:val="1"/>
      <w:marLeft w:val="0"/>
      <w:marRight w:val="0"/>
      <w:marTop w:val="0"/>
      <w:marBottom w:val="0"/>
      <w:divBdr>
        <w:top w:val="none" w:sz="0" w:space="0" w:color="auto"/>
        <w:left w:val="none" w:sz="0" w:space="0" w:color="auto"/>
        <w:bottom w:val="none" w:sz="0" w:space="0" w:color="auto"/>
        <w:right w:val="none" w:sz="0" w:space="0" w:color="auto"/>
      </w:divBdr>
    </w:div>
    <w:div w:id="840004558">
      <w:bodyDiv w:val="1"/>
      <w:marLeft w:val="0"/>
      <w:marRight w:val="0"/>
      <w:marTop w:val="0"/>
      <w:marBottom w:val="0"/>
      <w:divBdr>
        <w:top w:val="none" w:sz="0" w:space="0" w:color="auto"/>
        <w:left w:val="none" w:sz="0" w:space="0" w:color="auto"/>
        <w:bottom w:val="none" w:sz="0" w:space="0" w:color="auto"/>
        <w:right w:val="none" w:sz="0" w:space="0" w:color="auto"/>
      </w:divBdr>
    </w:div>
    <w:div w:id="1112432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footer" Target="footer4.xm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header" Target="header4.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footer" Target="footer5.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header" Target="header5.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 Type="http://schemas.openxmlformats.org/officeDocument/2006/relationships/theme" Target="theme/theme1.xml" Id="rId22" /><Relationship Type="http://schemas.openxmlformats.org/officeDocument/2006/relationships/hyperlink" Target="https://docs.cpuc.ca.gov/PublishedDocs/Published/G000/M626/K657/626657250.pdf" TargetMode="External" Id="R42d71a5ac478431e" /></Relationships>
</file>

<file path=word/_rels/footnotes.xml.rels><?xml version="1.0" encoding="UTF-8" standalone="yes"?>
<Relationships xmlns="http://schemas.openxmlformats.org/package/2006/relationships"><Relationship Id="rId1" Type="http://schemas.openxmlformats.org/officeDocument/2006/relationships/hyperlink" Target="https://ww2.arb.ca.gov/our-work/programs/low-carbon-fuel-standard/abou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7DF2F3AA19FF9418516062AF11C0ACF" ma:contentTypeVersion="17" ma:contentTypeDescription="Create a new document." ma:contentTypeScope="" ma:versionID="80575d62ecc55d6f04a1a66d8959c822">
  <xsd:schema xmlns:xsd="http://www.w3.org/2001/XMLSchema" xmlns:xs="http://www.w3.org/2001/XMLSchema" xmlns:p="http://schemas.microsoft.com/office/2006/metadata/properties" xmlns:ns2="8114c60f-d572-43b4-ba5f-295801837341" xmlns:ns3="0db3a248-2f3b-4e14-a06e-708bd1cc474a" targetNamespace="http://schemas.microsoft.com/office/2006/metadata/properties" ma:root="true" ma:fieldsID="11af4f0a5a0da12401308155740e01bd" ns2:_="" ns3:_="">
    <xsd:import namespace="8114c60f-d572-43b4-ba5f-295801837341"/>
    <xsd:import namespace="0db3a248-2f3b-4e14-a06e-708bd1cc474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2:TaxCatchAll" minOccurs="0"/>
                <xsd:element ref="ns3:MediaServiceDateTaken" minOccurs="0"/>
                <xsd:element ref="ns3:MediaServiceLocation" minOccurs="0"/>
                <xsd:element ref="ns3:MediaServiceGenerationTime" minOccurs="0"/>
                <xsd:element ref="ns3:MediaServiceEventHashCode" minOccurs="0"/>
                <xsd:element ref="ns3:lcf76f155ced4ddcb4097134ff3c332f" minOccurs="0"/>
                <xsd:element ref="ns3:MediaServiceOCR" minOccurs="0"/>
                <xsd:element ref="ns3:MediaServiceObjectDetectorVersion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14c60f-d572-43b4-ba5f-29580183734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2" nillable="true" ma:displayName="Taxonomy Catch All Column" ma:hidden="true" ma:list="{468275ae-ef1e-40ba-9e1a-f8e2345e05de}" ma:internalName="TaxCatchAll" ma:showField="CatchAllData" ma:web="8114c60f-d572-43b4-ba5f-29580183734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db3a248-2f3b-4e14-a06e-708bd1cc474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58c64cc-ee56-435d-b6d0-239f1a5e0d9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8114c60f-d572-43b4-ba5f-295801837341">
      <UserInfo>
        <DisplayName>Doherty, Patrick</DisplayName>
        <AccountId>53</AccountId>
        <AccountType/>
      </UserInfo>
      <UserInfo>
        <DisplayName>McKinney, Jeanne</DisplayName>
        <AccountId>29</AccountId>
        <AccountType/>
      </UserInfo>
      <UserInfo>
        <DisplayName>Kim, Kimberly</DisplayName>
        <AccountId>12</AccountId>
        <AccountType/>
      </UserInfo>
      <UserInfo>
        <DisplayName>MacDonald, Katherine</DisplayName>
        <AccountId>33</AccountId>
        <AccountType/>
      </UserInfo>
      <UserInfo>
        <DisplayName>Odell, Eileen</DisplayName>
        <AccountId>362</AccountId>
        <AccountType/>
      </UserInfo>
    </SharedWithUsers>
    <lcf76f155ced4ddcb4097134ff3c332f xmlns="0db3a248-2f3b-4e14-a06e-708bd1cc474a">
      <Terms xmlns="http://schemas.microsoft.com/office/infopath/2007/PartnerControls"/>
    </lcf76f155ced4ddcb4097134ff3c332f>
    <TaxCatchAll xmlns="8114c60f-d572-43b4-ba5f-295801837341" xsi:nil="true"/>
  </documentManagement>
</p:properties>
</file>

<file path=customXml/itemProps1.xml><?xml version="1.0" encoding="utf-8"?>
<ds:datastoreItem xmlns:ds="http://schemas.openxmlformats.org/officeDocument/2006/customXml" ds:itemID="{B930DE7C-9577-4EA8-AC89-8E2B6CC952CB}">
  <ds:schemaRefs>
    <ds:schemaRef ds:uri="http://schemas.microsoft.com/sharepoint/v3/contenttype/forms"/>
  </ds:schemaRefs>
</ds:datastoreItem>
</file>

<file path=customXml/itemProps2.xml><?xml version="1.0" encoding="utf-8"?>
<ds:datastoreItem xmlns:ds="http://schemas.openxmlformats.org/officeDocument/2006/customXml" ds:itemID="{D17F1FE7-6CD4-4CD8-B763-A4217B8819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14c60f-d572-43b4-ba5f-295801837341"/>
    <ds:schemaRef ds:uri="0db3a248-2f3b-4e14-a06e-708bd1cc47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2692CBF-97EE-47CC-813F-1B66EA5AD97B}">
  <ds:schemaRefs>
    <ds:schemaRef ds:uri="http://schemas.openxmlformats.org/officeDocument/2006/bibliography"/>
  </ds:schemaRefs>
</ds:datastoreItem>
</file>

<file path=customXml/itemProps4.xml><?xml version="1.0" encoding="utf-8"?>
<ds:datastoreItem xmlns:ds="http://schemas.openxmlformats.org/officeDocument/2006/customXml" ds:itemID="{D60E4752-B270-4867-90BA-5719077E84AA}">
  <ds:schemaRefs>
    <ds:schemaRef ds:uri="http://schemas.microsoft.com/office/2006/metadata/properties"/>
    <ds:schemaRef ds:uri="http://schemas.microsoft.com/office/infopath/2007/PartnerControls"/>
    <ds:schemaRef ds:uri="8114c60f-d572-43b4-ba5f-295801837341"/>
    <ds:schemaRef ds:uri="0db3a248-2f3b-4e14-a06e-708bd1cc474a"/>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46</ap:Pages>
  <ap:Words>10118</ap:Words>
  <ap:Characters>57674</ap:Characters>
  <ap:Application>Microsoft Office Word</ap:Application>
  <ap:DocSecurity>0</ap:DocSecurity>
  <ap:Lines>480</ap:Lines>
  <ap:Paragraphs>135</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67657</ap:CharactersWithSpaces>
  <ap:SharedDoc>false</ap:SharedDoc>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2019-07-03T22:18:00Z</cp:lastPrinted>
  <dcterms:created xsi:type="dcterms:W3CDTF">2026-10-27T11:09:40Z</dcterms:created>
  <dcterms:modified xsi:type="dcterms:W3CDTF">2026-10-27T11:09:40Z</dcterms:modified>
</cp:coreProperties>
</file>