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5D11" w:rsidP="00815D11" w:rsidRDefault="00815D11" w14:paraId="52440643" w14:textId="77777777">
      <w:pPr>
        <w:pStyle w:val="Header"/>
        <w:tabs>
          <w:tab w:val="left" w:pos="5040"/>
        </w:tabs>
        <w:rPr>
          <w:sz w:val="28"/>
          <w:u w:val="single"/>
        </w:rPr>
      </w:pPr>
    </w:p>
    <w:p w:rsidR="00B60421" w:rsidP="00160219" w:rsidRDefault="00160219" w14:paraId="7A593DEA" w14:textId="1C29BC03">
      <w:pPr>
        <w:tabs>
          <w:tab w:val="center" w:pos="4680"/>
          <w:tab w:val="right" w:pos="9360"/>
        </w:tabs>
        <w:spacing w:line="240" w:lineRule="auto"/>
        <w:ind w:firstLine="0"/>
      </w:pPr>
      <w:r>
        <w:t>COM</w:t>
      </w:r>
      <w:r w:rsidR="00DA7B5D">
        <w:t>/</w:t>
      </w:r>
      <w:r>
        <w:t>DH7</w:t>
      </w:r>
      <w:r w:rsidR="00DA7B5D">
        <w:t>/</w:t>
      </w:r>
      <w:proofErr w:type="spellStart"/>
      <w:r>
        <w:t>jds</w:t>
      </w:r>
      <w:proofErr w:type="spellEnd"/>
      <w:r w:rsidR="007E0FEE">
        <w:tab/>
      </w:r>
      <w:r w:rsidR="00DA7B5D">
        <w:rPr>
          <w:rFonts w:ascii="Arial" w:hAnsi="Arial" w:cs="Arial"/>
          <w:b/>
          <w:sz w:val="32"/>
          <w:szCs w:val="32"/>
        </w:rPr>
        <w:t>PROPOSED DECISION</w:t>
      </w:r>
      <w:r w:rsidR="00DA7B5D">
        <w:tab/>
      </w:r>
      <w:r w:rsidR="009519CA">
        <w:t xml:space="preserve"> </w:t>
      </w:r>
      <w:r w:rsidRPr="00EE4315" w:rsidR="00DA7B5D">
        <w:rPr>
          <w:b/>
        </w:rPr>
        <w:t>Agenda ID #</w:t>
      </w:r>
      <w:r w:rsidRPr="0044336C" w:rsidR="0044336C">
        <w:rPr>
          <w:b/>
        </w:rPr>
        <w:t>24563</w:t>
      </w:r>
      <w:r w:rsidR="009519CA">
        <w:rPr>
          <w:b/>
        </w:rPr>
        <w:t xml:space="preserve"> (Rev. 1)</w:t>
      </w:r>
    </w:p>
    <w:p w:rsidRPr="00B77483" w:rsidR="00160219" w:rsidP="00B77483" w:rsidRDefault="00160219" w14:paraId="2D130407" w14:textId="5860D576">
      <w:pPr>
        <w:spacing w:line="240" w:lineRule="auto"/>
        <w:jc w:val="right"/>
        <w:rPr>
          <w:b/>
        </w:rPr>
      </w:pPr>
      <w:r w:rsidRPr="00160219">
        <w:rPr>
          <w:b/>
        </w:rPr>
        <w:t>Quasi-</w:t>
      </w:r>
      <w:r>
        <w:rPr>
          <w:b/>
        </w:rPr>
        <w:t>L</w:t>
      </w:r>
      <w:r w:rsidRPr="00160219">
        <w:rPr>
          <w:b/>
        </w:rPr>
        <w:t>egislative</w:t>
      </w:r>
    </w:p>
    <w:p w:rsidRPr="00E9529B" w:rsidR="00754FFC" w:rsidP="00AE370A" w:rsidRDefault="00AE370A" w14:paraId="68B57F21" w14:textId="3C996666">
      <w:pPr>
        <w:spacing w:line="240" w:lineRule="auto"/>
        <w:ind w:firstLine="0"/>
        <w:jc w:val="right"/>
        <w:rPr>
          <w:b/>
          <w:bCs/>
        </w:rPr>
      </w:pPr>
      <w:r w:rsidRPr="00E9529B">
        <w:rPr>
          <w:b/>
          <w:bCs/>
        </w:rPr>
        <w:t>10/29</w:t>
      </w:r>
      <w:r w:rsidRPr="00E9529B" w:rsidR="00E9529B">
        <w:rPr>
          <w:b/>
          <w:bCs/>
        </w:rPr>
        <w:t>/2026 Item #24</w:t>
      </w:r>
    </w:p>
    <w:p w:rsidR="00754FFC" w:rsidP="00754FFC" w:rsidRDefault="00754FFC" w14:paraId="15DB01C9" w14:textId="77777777">
      <w:pPr>
        <w:spacing w:line="240" w:lineRule="auto"/>
        <w:ind w:firstLine="0"/>
      </w:pPr>
    </w:p>
    <w:p w:rsidRPr="00AF08D8" w:rsidR="00754FFC" w:rsidP="00754FFC" w:rsidRDefault="00754FFC" w14:paraId="0DE04BF9" w14:textId="18D81A80">
      <w:pPr>
        <w:spacing w:line="240" w:lineRule="auto"/>
        <w:ind w:right="-990" w:firstLine="0"/>
        <w:rPr>
          <w:b/>
          <w:spacing w:val="-7"/>
          <w:u w:val="single"/>
        </w:rPr>
      </w:pPr>
      <w:proofErr w:type="gramStart"/>
      <w:r>
        <w:t xml:space="preserve">Decision  </w:t>
      </w:r>
      <w:r>
        <w:rPr>
          <w:b/>
          <w:spacing w:val="-2"/>
          <w:u w:val="single"/>
        </w:rPr>
        <w:t>PROPOSED</w:t>
      </w:r>
      <w:proofErr w:type="gramEnd"/>
      <w:r>
        <w:rPr>
          <w:b/>
          <w:spacing w:val="-7"/>
          <w:u w:val="single"/>
        </w:rPr>
        <w:t xml:space="preserve"> </w:t>
      </w:r>
      <w:r>
        <w:rPr>
          <w:b/>
          <w:spacing w:val="-2"/>
          <w:u w:val="single"/>
        </w:rPr>
        <w:t>DECISION</w:t>
      </w:r>
      <w:r>
        <w:rPr>
          <w:b/>
          <w:spacing w:val="-3"/>
          <w:u w:val="single"/>
        </w:rPr>
        <w:t xml:space="preserve"> </w:t>
      </w:r>
      <w:r>
        <w:rPr>
          <w:b/>
          <w:spacing w:val="-2"/>
          <w:u w:val="single"/>
        </w:rPr>
        <w:t>OF</w:t>
      </w:r>
      <w:r>
        <w:rPr>
          <w:b/>
          <w:spacing w:val="-7"/>
          <w:u w:val="single"/>
        </w:rPr>
        <w:t xml:space="preserve"> </w:t>
      </w:r>
      <w:r>
        <w:rPr>
          <w:b/>
          <w:spacing w:val="-2"/>
          <w:u w:val="single"/>
        </w:rPr>
        <w:t>COMMISSIONER HOUCK</w:t>
      </w:r>
      <w:r>
        <w:rPr>
          <w:b/>
          <w:spacing w:val="-7"/>
          <w:u w:val="single"/>
        </w:rPr>
        <w:t xml:space="preserve"> </w:t>
      </w:r>
      <w:r>
        <w:rPr>
          <w:b/>
          <w:spacing w:val="-2"/>
          <w:u w:val="single"/>
        </w:rPr>
        <w:t>(</w:t>
      </w:r>
      <w:r w:rsidRPr="00974060">
        <w:rPr>
          <w:b/>
          <w:spacing w:val="-2"/>
        </w:rPr>
        <w:t>Mailed</w:t>
      </w:r>
      <w:r w:rsidRPr="00974060">
        <w:rPr>
          <w:b/>
          <w:spacing w:val="-6"/>
        </w:rPr>
        <w:t xml:space="preserve"> </w:t>
      </w:r>
      <w:r w:rsidR="00DB37BC">
        <w:rPr>
          <w:b/>
          <w:spacing w:val="-6"/>
        </w:rPr>
        <w:t>09/25/26</w:t>
      </w:r>
      <w:r>
        <w:rPr>
          <w:b/>
          <w:spacing w:val="-6"/>
        </w:rPr>
        <w:t>)</w:t>
      </w:r>
    </w:p>
    <w:p w:rsidR="00754FFC" w:rsidP="00754FFC" w:rsidRDefault="00754FFC" w14:paraId="70CF3BA9" w14:textId="41011E74">
      <w:pPr>
        <w:spacing w:line="240" w:lineRule="auto"/>
        <w:ind w:firstLine="0"/>
        <w:rPr>
          <w:u w:val="single"/>
        </w:rPr>
      </w:pPr>
    </w:p>
    <w:p w:rsidR="00DA7B5D" w:rsidP="00BB0243" w:rsidRDefault="00DA7B5D" w14:paraId="7118645A"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4FCEBBC4"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160219" w:rsidR="00DA7B5D" w:rsidTr="00E725FC" w14:paraId="3A3310CE" w14:textId="77777777">
        <w:trPr>
          <w:jc w:val="center"/>
        </w:trPr>
        <w:tc>
          <w:tcPr>
            <w:tcW w:w="5040" w:type="dxa"/>
            <w:tcBorders>
              <w:top w:val="nil"/>
              <w:left w:val="nil"/>
              <w:bottom w:val="single" w:color="auto" w:sz="4" w:space="0"/>
              <w:right w:val="single" w:color="auto" w:sz="4" w:space="0"/>
            </w:tcBorders>
          </w:tcPr>
          <w:p w:rsidRPr="00160219" w:rsidR="00DA7B5D" w:rsidP="00C10B5F" w:rsidRDefault="0069092C" w14:paraId="49063DC5" w14:textId="4A6D890B">
            <w:pPr>
              <w:spacing w:line="240" w:lineRule="auto"/>
              <w:ind w:firstLine="0"/>
              <w:rPr>
                <w:rFonts w:cs="Arial"/>
                <w:szCs w:val="26"/>
              </w:rPr>
            </w:pPr>
            <w:r w:rsidRPr="00160219">
              <w:rPr>
                <w:rFonts w:cs="Arial"/>
                <w:szCs w:val="26"/>
              </w:rPr>
              <w:t>Order Instituting Rulemaking to Consider Strategies and Guidance for Climate Change Adaptation.</w:t>
            </w:r>
            <w:r w:rsidRPr="00160219" w:rsidR="00793783">
              <w:rPr>
                <w:rFonts w:cs="Arial"/>
                <w:szCs w:val="26"/>
              </w:rPr>
              <w:br/>
            </w:r>
          </w:p>
        </w:tc>
        <w:tc>
          <w:tcPr>
            <w:tcW w:w="5040" w:type="dxa"/>
            <w:tcBorders>
              <w:top w:val="nil"/>
              <w:left w:val="single" w:color="auto" w:sz="4" w:space="0"/>
              <w:bottom w:val="nil"/>
              <w:right w:val="nil"/>
            </w:tcBorders>
            <w:vAlign w:val="center"/>
          </w:tcPr>
          <w:p w:rsidRPr="00160219" w:rsidR="00DA7B5D" w:rsidP="00412C83" w:rsidRDefault="0069092C" w14:paraId="0F7C9A2B" w14:textId="01EDE691">
            <w:pPr>
              <w:spacing w:line="240" w:lineRule="auto"/>
              <w:ind w:firstLine="0"/>
              <w:jc w:val="center"/>
              <w:rPr>
                <w:rFonts w:cs="Arial"/>
                <w:szCs w:val="26"/>
              </w:rPr>
            </w:pPr>
            <w:r w:rsidRPr="00160219">
              <w:rPr>
                <w:rFonts w:cs="Arial"/>
                <w:szCs w:val="26"/>
              </w:rPr>
              <w:t>Rulemaking 18-04-019</w:t>
            </w:r>
          </w:p>
        </w:tc>
      </w:tr>
    </w:tbl>
    <w:p w:rsidR="00DA7B5D" w:rsidP="008F0116" w:rsidRDefault="00DA7B5D" w14:paraId="5418769E" w14:textId="77777777">
      <w:pPr>
        <w:spacing w:line="240" w:lineRule="auto"/>
        <w:ind w:firstLine="0"/>
        <w:rPr>
          <w:rFonts w:ascii="Arial" w:hAnsi="Arial" w:cs="Arial"/>
          <w:sz w:val="24"/>
          <w:szCs w:val="24"/>
        </w:rPr>
      </w:pPr>
    </w:p>
    <w:p w:rsidR="00DA7B5D" w:rsidP="008F0116" w:rsidRDefault="00DA7B5D" w14:paraId="498B65B0" w14:textId="77777777">
      <w:pPr>
        <w:spacing w:line="240" w:lineRule="auto"/>
        <w:ind w:firstLine="0"/>
        <w:rPr>
          <w:rFonts w:ascii="Arial" w:hAnsi="Arial" w:cs="Arial"/>
          <w:sz w:val="24"/>
          <w:szCs w:val="24"/>
        </w:rPr>
      </w:pPr>
    </w:p>
    <w:p w:rsidRPr="00F92385" w:rsidR="00F92385" w:rsidP="00B3087D" w:rsidRDefault="00261CAF" w14:paraId="03C8E60F" w14:textId="534E9994">
      <w:pPr>
        <w:pStyle w:val="Dummy"/>
        <w:jc w:val="center"/>
        <w:sectPr w:rsidRPr="00F92385" w:rsidR="00F92385" w:rsidSect="009519CA">
          <w:footerReference w:type="first" r:id="rId11"/>
          <w:pgSz w:w="12240" w:h="15840"/>
          <w:pgMar w:top="1440" w:right="1170" w:bottom="1440" w:left="1440" w:header="720" w:footer="720" w:gutter="0"/>
          <w:pgNumType w:start="1"/>
          <w:cols w:space="720"/>
          <w:titlePg/>
          <w:docGrid w:linePitch="360"/>
        </w:sectPr>
      </w:pPr>
      <w:bookmarkStart w:name="_Toc244073174" w:id="0"/>
      <w:r>
        <w:t xml:space="preserve">DECISION </w:t>
      </w:r>
      <w:r w:rsidR="008D0A05">
        <w:t>ESTABLISHIN</w:t>
      </w:r>
      <w:r w:rsidR="0016646E">
        <w:t xml:space="preserve">G </w:t>
      </w:r>
      <w:r w:rsidR="003633AF">
        <w:t xml:space="preserve">A </w:t>
      </w:r>
      <w:r w:rsidR="0016646E">
        <w:t>CLIMATE ADAPTATION POLICY FRAMEWORK</w:t>
      </w:r>
      <w:bookmarkEnd w:id="0"/>
      <w:r w:rsidR="00C47A66">
        <w:t xml:space="preserve"> </w:t>
      </w:r>
    </w:p>
    <w:p w:rsidRPr="001E2A62" w:rsidR="00D50119" w:rsidP="00F76650" w:rsidRDefault="00D50119" w14:paraId="4D2E8E1D"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0E0EBF03"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BB7950" w:rsidRDefault="008C7413" w14:paraId="35C42D11" w14:textId="5FCFCAF1">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4073174">
            <w:r w:rsidRPr="0017208E" w:rsidR="00BB7950">
              <w:rPr>
                <w:rStyle w:val="Hyperlink"/>
                <w:noProof/>
              </w:rPr>
              <w:t>DECISION ESTABLISHING A CLIMATE ADAPTATION POLICY FRAMEWORK</w:t>
            </w:r>
            <w:r w:rsidR="00BB7950">
              <w:rPr>
                <w:noProof/>
                <w:webHidden/>
              </w:rPr>
              <w:tab/>
            </w:r>
            <w:r w:rsidR="00BB7950">
              <w:rPr>
                <w:noProof/>
                <w:webHidden/>
              </w:rPr>
              <w:fldChar w:fldCharType="begin"/>
            </w:r>
            <w:r w:rsidR="00BB7950">
              <w:rPr>
                <w:noProof/>
                <w:webHidden/>
              </w:rPr>
              <w:instrText xml:space="preserve"> PAGEREF _Toc244073174 \h </w:instrText>
            </w:r>
            <w:r w:rsidR="00BB7950">
              <w:rPr>
                <w:noProof/>
                <w:webHidden/>
              </w:rPr>
            </w:r>
            <w:r w:rsidR="00BB7950">
              <w:rPr>
                <w:noProof/>
                <w:webHidden/>
              </w:rPr>
              <w:fldChar w:fldCharType="separate"/>
            </w:r>
            <w:r w:rsidR="00BB7950">
              <w:rPr>
                <w:noProof/>
                <w:webHidden/>
              </w:rPr>
              <w:t>1</w:t>
            </w:r>
            <w:r w:rsidR="00BB7950">
              <w:rPr>
                <w:noProof/>
                <w:webHidden/>
              </w:rPr>
              <w:fldChar w:fldCharType="end"/>
            </w:r>
          </w:hyperlink>
        </w:p>
        <w:p w:rsidR="00BB7950" w:rsidRDefault="00BB7950" w14:paraId="4201A816" w14:textId="1CA2B74A">
          <w:pPr>
            <w:pStyle w:val="TOC1"/>
            <w:tabs>
              <w:tab w:val="right" w:leader="dot" w:pos="9350"/>
            </w:tabs>
            <w:rPr>
              <w:rFonts w:asciiTheme="minorHAnsi" w:hAnsiTheme="minorHAnsi" w:cstheme="minorBidi"/>
              <w:noProof/>
              <w:kern w:val="2"/>
              <w:sz w:val="24"/>
              <w:szCs w:val="24"/>
              <w14:ligatures w14:val="standardContextual"/>
            </w:rPr>
          </w:pPr>
          <w:hyperlink w:history="1" w:anchor="_Toc244073175">
            <w:r w:rsidRPr="0017208E">
              <w:rPr>
                <w:rStyle w:val="Hyperlink"/>
                <w:noProof/>
              </w:rPr>
              <w:t>Summary</w:t>
            </w:r>
            <w:r>
              <w:rPr>
                <w:noProof/>
                <w:webHidden/>
              </w:rPr>
              <w:tab/>
            </w:r>
            <w:r>
              <w:rPr>
                <w:noProof/>
                <w:webHidden/>
              </w:rPr>
              <w:fldChar w:fldCharType="begin"/>
            </w:r>
            <w:r>
              <w:rPr>
                <w:noProof/>
                <w:webHidden/>
              </w:rPr>
              <w:instrText xml:space="preserve"> PAGEREF _Toc244073175 \h </w:instrText>
            </w:r>
            <w:r>
              <w:rPr>
                <w:noProof/>
                <w:webHidden/>
              </w:rPr>
            </w:r>
            <w:r>
              <w:rPr>
                <w:noProof/>
                <w:webHidden/>
              </w:rPr>
              <w:fldChar w:fldCharType="separate"/>
            </w:r>
            <w:r>
              <w:rPr>
                <w:noProof/>
                <w:webHidden/>
              </w:rPr>
              <w:t>1</w:t>
            </w:r>
            <w:r>
              <w:rPr>
                <w:noProof/>
                <w:webHidden/>
              </w:rPr>
              <w:fldChar w:fldCharType="end"/>
            </w:r>
          </w:hyperlink>
        </w:p>
        <w:p w:rsidR="00BB7950" w:rsidRDefault="00BB7950" w14:paraId="549A35B3" w14:textId="247FFF17">
          <w:pPr>
            <w:pStyle w:val="TOC1"/>
            <w:tabs>
              <w:tab w:val="right" w:leader="dot" w:pos="9350"/>
            </w:tabs>
            <w:rPr>
              <w:rFonts w:asciiTheme="minorHAnsi" w:hAnsiTheme="minorHAnsi" w:cstheme="minorBidi"/>
              <w:noProof/>
              <w:kern w:val="2"/>
              <w:sz w:val="24"/>
              <w:szCs w:val="24"/>
              <w14:ligatures w14:val="standardContextual"/>
            </w:rPr>
          </w:pPr>
          <w:hyperlink w:history="1" w:anchor="_Toc244073176">
            <w:r w:rsidRPr="0017208E">
              <w:rPr>
                <w:rStyle w:val="Hyperlink"/>
                <w:noProof/>
              </w:rPr>
              <w:t>1.</w:t>
            </w:r>
            <w:r>
              <w:rPr>
                <w:rFonts w:asciiTheme="minorHAnsi" w:hAnsiTheme="minorHAnsi" w:cstheme="minorBidi"/>
                <w:noProof/>
                <w:kern w:val="2"/>
                <w:sz w:val="24"/>
                <w:szCs w:val="24"/>
                <w14:ligatures w14:val="standardContextual"/>
              </w:rPr>
              <w:tab/>
            </w:r>
            <w:r w:rsidRPr="0017208E">
              <w:rPr>
                <w:rStyle w:val="Hyperlink"/>
                <w:noProof/>
              </w:rPr>
              <w:t>Background</w:t>
            </w:r>
            <w:r>
              <w:rPr>
                <w:noProof/>
                <w:webHidden/>
              </w:rPr>
              <w:tab/>
            </w:r>
            <w:r>
              <w:rPr>
                <w:noProof/>
                <w:webHidden/>
              </w:rPr>
              <w:fldChar w:fldCharType="begin"/>
            </w:r>
            <w:r>
              <w:rPr>
                <w:noProof/>
                <w:webHidden/>
              </w:rPr>
              <w:instrText xml:space="preserve"> PAGEREF _Toc244073176 \h </w:instrText>
            </w:r>
            <w:r>
              <w:rPr>
                <w:noProof/>
                <w:webHidden/>
              </w:rPr>
            </w:r>
            <w:r>
              <w:rPr>
                <w:noProof/>
                <w:webHidden/>
              </w:rPr>
              <w:fldChar w:fldCharType="separate"/>
            </w:r>
            <w:r>
              <w:rPr>
                <w:noProof/>
                <w:webHidden/>
              </w:rPr>
              <w:t>2</w:t>
            </w:r>
            <w:r>
              <w:rPr>
                <w:noProof/>
                <w:webHidden/>
              </w:rPr>
              <w:fldChar w:fldCharType="end"/>
            </w:r>
          </w:hyperlink>
        </w:p>
        <w:p w:rsidR="00BB7950" w:rsidRDefault="00BB7950" w14:paraId="3B0AE879" w14:textId="41C57CF6">
          <w:pPr>
            <w:pStyle w:val="TOC2"/>
            <w:tabs>
              <w:tab w:val="right" w:leader="dot" w:pos="9350"/>
            </w:tabs>
            <w:rPr>
              <w:rFonts w:asciiTheme="minorHAnsi" w:hAnsiTheme="minorHAnsi" w:cstheme="minorBidi"/>
              <w:noProof/>
              <w:kern w:val="2"/>
              <w:sz w:val="24"/>
              <w:szCs w:val="24"/>
              <w14:ligatures w14:val="standardContextual"/>
            </w:rPr>
          </w:pPr>
          <w:hyperlink w:history="1" w:anchor="_Toc244073177">
            <w:r w:rsidRPr="0017208E">
              <w:rPr>
                <w:rStyle w:val="Hyperlink"/>
                <w:noProof/>
              </w:rPr>
              <w:t>1.1.</w:t>
            </w:r>
            <w:r>
              <w:rPr>
                <w:rFonts w:asciiTheme="minorHAnsi" w:hAnsiTheme="minorHAnsi" w:cstheme="minorBidi"/>
                <w:noProof/>
                <w:kern w:val="2"/>
                <w:sz w:val="24"/>
                <w:szCs w:val="24"/>
                <w14:ligatures w14:val="standardContextual"/>
              </w:rPr>
              <w:tab/>
            </w:r>
            <w:r w:rsidRPr="0017208E">
              <w:rPr>
                <w:rStyle w:val="Hyperlink"/>
                <w:noProof/>
              </w:rPr>
              <w:t>Submission Date</w:t>
            </w:r>
            <w:r>
              <w:rPr>
                <w:noProof/>
                <w:webHidden/>
              </w:rPr>
              <w:tab/>
            </w:r>
            <w:r>
              <w:rPr>
                <w:noProof/>
                <w:webHidden/>
              </w:rPr>
              <w:fldChar w:fldCharType="begin"/>
            </w:r>
            <w:r>
              <w:rPr>
                <w:noProof/>
                <w:webHidden/>
              </w:rPr>
              <w:instrText xml:space="preserve"> PAGEREF _Toc244073177 \h </w:instrText>
            </w:r>
            <w:r>
              <w:rPr>
                <w:noProof/>
                <w:webHidden/>
              </w:rPr>
            </w:r>
            <w:r>
              <w:rPr>
                <w:noProof/>
                <w:webHidden/>
              </w:rPr>
              <w:fldChar w:fldCharType="separate"/>
            </w:r>
            <w:r>
              <w:rPr>
                <w:noProof/>
                <w:webHidden/>
              </w:rPr>
              <w:t>3</w:t>
            </w:r>
            <w:r>
              <w:rPr>
                <w:noProof/>
                <w:webHidden/>
              </w:rPr>
              <w:fldChar w:fldCharType="end"/>
            </w:r>
          </w:hyperlink>
        </w:p>
        <w:p w:rsidR="00BB7950" w:rsidRDefault="00BB7950" w14:paraId="2C8538A2" w14:textId="501CAE9E">
          <w:pPr>
            <w:pStyle w:val="TOC1"/>
            <w:tabs>
              <w:tab w:val="right" w:leader="dot" w:pos="9350"/>
            </w:tabs>
            <w:rPr>
              <w:rFonts w:asciiTheme="minorHAnsi" w:hAnsiTheme="minorHAnsi" w:cstheme="minorBidi"/>
              <w:noProof/>
              <w:kern w:val="2"/>
              <w:sz w:val="24"/>
              <w:szCs w:val="24"/>
              <w14:ligatures w14:val="standardContextual"/>
            </w:rPr>
          </w:pPr>
          <w:hyperlink w:history="1" w:anchor="_Toc244073178">
            <w:r w:rsidRPr="0017208E">
              <w:rPr>
                <w:rStyle w:val="Hyperlink"/>
                <w:noProof/>
              </w:rPr>
              <w:t>2.</w:t>
            </w:r>
            <w:r>
              <w:rPr>
                <w:rFonts w:asciiTheme="minorHAnsi" w:hAnsiTheme="minorHAnsi" w:cstheme="minorBidi"/>
                <w:noProof/>
                <w:kern w:val="2"/>
                <w:sz w:val="24"/>
                <w:szCs w:val="24"/>
                <w14:ligatures w14:val="standardContextual"/>
              </w:rPr>
              <w:tab/>
            </w:r>
            <w:r w:rsidRPr="0017208E">
              <w:rPr>
                <w:rStyle w:val="Hyperlink"/>
                <w:noProof/>
              </w:rPr>
              <w:t>Jurisdiction</w:t>
            </w:r>
            <w:r>
              <w:rPr>
                <w:noProof/>
                <w:webHidden/>
              </w:rPr>
              <w:tab/>
            </w:r>
            <w:r>
              <w:rPr>
                <w:noProof/>
                <w:webHidden/>
              </w:rPr>
              <w:fldChar w:fldCharType="begin"/>
            </w:r>
            <w:r>
              <w:rPr>
                <w:noProof/>
                <w:webHidden/>
              </w:rPr>
              <w:instrText xml:space="preserve"> PAGEREF _Toc244073178 \h </w:instrText>
            </w:r>
            <w:r>
              <w:rPr>
                <w:noProof/>
                <w:webHidden/>
              </w:rPr>
            </w:r>
            <w:r>
              <w:rPr>
                <w:noProof/>
                <w:webHidden/>
              </w:rPr>
              <w:fldChar w:fldCharType="separate"/>
            </w:r>
            <w:r>
              <w:rPr>
                <w:noProof/>
                <w:webHidden/>
              </w:rPr>
              <w:t>4</w:t>
            </w:r>
            <w:r>
              <w:rPr>
                <w:noProof/>
                <w:webHidden/>
              </w:rPr>
              <w:fldChar w:fldCharType="end"/>
            </w:r>
          </w:hyperlink>
        </w:p>
        <w:p w:rsidR="00BB7950" w:rsidRDefault="00BB7950" w14:paraId="0DDA6E0E" w14:textId="49625331">
          <w:pPr>
            <w:pStyle w:val="TOC1"/>
            <w:tabs>
              <w:tab w:val="right" w:leader="dot" w:pos="9350"/>
            </w:tabs>
            <w:rPr>
              <w:rFonts w:asciiTheme="minorHAnsi" w:hAnsiTheme="minorHAnsi" w:cstheme="minorBidi"/>
              <w:noProof/>
              <w:kern w:val="2"/>
              <w:sz w:val="24"/>
              <w:szCs w:val="24"/>
              <w14:ligatures w14:val="standardContextual"/>
            </w:rPr>
          </w:pPr>
          <w:hyperlink w:history="1" w:anchor="_Toc244073179">
            <w:r w:rsidRPr="0017208E">
              <w:rPr>
                <w:rStyle w:val="Hyperlink"/>
                <w:noProof/>
              </w:rPr>
              <w:t>3.</w:t>
            </w:r>
            <w:r>
              <w:rPr>
                <w:rFonts w:asciiTheme="minorHAnsi" w:hAnsiTheme="minorHAnsi" w:cstheme="minorBidi"/>
                <w:noProof/>
                <w:kern w:val="2"/>
                <w:sz w:val="24"/>
                <w:szCs w:val="24"/>
                <w14:ligatures w14:val="standardContextual"/>
              </w:rPr>
              <w:tab/>
            </w:r>
            <w:r w:rsidRPr="0017208E">
              <w:rPr>
                <w:rStyle w:val="Hyperlink"/>
                <w:noProof/>
              </w:rPr>
              <w:t>Issues Before the Commission</w:t>
            </w:r>
            <w:r>
              <w:rPr>
                <w:noProof/>
                <w:webHidden/>
              </w:rPr>
              <w:tab/>
            </w:r>
            <w:r>
              <w:rPr>
                <w:noProof/>
                <w:webHidden/>
              </w:rPr>
              <w:fldChar w:fldCharType="begin"/>
            </w:r>
            <w:r>
              <w:rPr>
                <w:noProof/>
                <w:webHidden/>
              </w:rPr>
              <w:instrText xml:space="preserve"> PAGEREF _Toc244073179 \h </w:instrText>
            </w:r>
            <w:r>
              <w:rPr>
                <w:noProof/>
                <w:webHidden/>
              </w:rPr>
            </w:r>
            <w:r>
              <w:rPr>
                <w:noProof/>
                <w:webHidden/>
              </w:rPr>
              <w:fldChar w:fldCharType="separate"/>
            </w:r>
            <w:r>
              <w:rPr>
                <w:noProof/>
                <w:webHidden/>
              </w:rPr>
              <w:t>4</w:t>
            </w:r>
            <w:r>
              <w:rPr>
                <w:noProof/>
                <w:webHidden/>
              </w:rPr>
              <w:fldChar w:fldCharType="end"/>
            </w:r>
          </w:hyperlink>
        </w:p>
        <w:p w:rsidR="00BB7950" w:rsidRDefault="00BB7950" w14:paraId="0FBCC257" w14:textId="1512C80B">
          <w:pPr>
            <w:pStyle w:val="TOC1"/>
            <w:tabs>
              <w:tab w:val="right" w:leader="dot" w:pos="9350"/>
            </w:tabs>
            <w:rPr>
              <w:rFonts w:asciiTheme="minorHAnsi" w:hAnsiTheme="minorHAnsi" w:cstheme="minorBidi"/>
              <w:noProof/>
              <w:kern w:val="2"/>
              <w:sz w:val="24"/>
              <w:szCs w:val="24"/>
              <w14:ligatures w14:val="standardContextual"/>
            </w:rPr>
          </w:pPr>
          <w:hyperlink w:history="1" w:anchor="_Toc244073180">
            <w:r w:rsidRPr="0017208E">
              <w:rPr>
                <w:rStyle w:val="Hyperlink"/>
                <w:noProof/>
              </w:rPr>
              <w:t>4.</w:t>
            </w:r>
            <w:r>
              <w:rPr>
                <w:rFonts w:asciiTheme="minorHAnsi" w:hAnsiTheme="minorHAnsi" w:cstheme="minorBidi"/>
                <w:noProof/>
                <w:kern w:val="2"/>
                <w:sz w:val="24"/>
                <w:szCs w:val="24"/>
                <w14:ligatures w14:val="standardContextual"/>
              </w:rPr>
              <w:tab/>
            </w:r>
            <w:r w:rsidRPr="0017208E">
              <w:rPr>
                <w:rStyle w:val="Hyperlink"/>
                <w:noProof/>
              </w:rPr>
              <w:t>Climate Adaptation-Related General Order Updates</w:t>
            </w:r>
            <w:r>
              <w:rPr>
                <w:noProof/>
                <w:webHidden/>
              </w:rPr>
              <w:tab/>
            </w:r>
            <w:r>
              <w:rPr>
                <w:noProof/>
                <w:webHidden/>
              </w:rPr>
              <w:fldChar w:fldCharType="begin"/>
            </w:r>
            <w:r>
              <w:rPr>
                <w:noProof/>
                <w:webHidden/>
              </w:rPr>
              <w:instrText xml:space="preserve"> PAGEREF _Toc244073180 \h </w:instrText>
            </w:r>
            <w:r>
              <w:rPr>
                <w:noProof/>
                <w:webHidden/>
              </w:rPr>
            </w:r>
            <w:r>
              <w:rPr>
                <w:noProof/>
                <w:webHidden/>
              </w:rPr>
              <w:fldChar w:fldCharType="separate"/>
            </w:r>
            <w:r>
              <w:rPr>
                <w:noProof/>
                <w:webHidden/>
              </w:rPr>
              <w:t>5</w:t>
            </w:r>
            <w:r>
              <w:rPr>
                <w:noProof/>
                <w:webHidden/>
              </w:rPr>
              <w:fldChar w:fldCharType="end"/>
            </w:r>
          </w:hyperlink>
        </w:p>
        <w:p w:rsidR="00BB7950" w:rsidRDefault="00BB7950" w14:paraId="5778405F" w14:textId="3414780F">
          <w:pPr>
            <w:pStyle w:val="TOC2"/>
            <w:tabs>
              <w:tab w:val="right" w:leader="dot" w:pos="9350"/>
            </w:tabs>
            <w:rPr>
              <w:rFonts w:asciiTheme="minorHAnsi" w:hAnsiTheme="minorHAnsi" w:cstheme="minorBidi"/>
              <w:noProof/>
              <w:kern w:val="2"/>
              <w:sz w:val="24"/>
              <w:szCs w:val="24"/>
              <w14:ligatures w14:val="standardContextual"/>
            </w:rPr>
          </w:pPr>
          <w:hyperlink w:history="1" w:anchor="_Toc244073181">
            <w:r w:rsidRPr="0017208E">
              <w:rPr>
                <w:rStyle w:val="Hyperlink"/>
                <w:noProof/>
              </w:rPr>
              <w:t>4.1.</w:t>
            </w:r>
            <w:r>
              <w:rPr>
                <w:rFonts w:asciiTheme="minorHAnsi" w:hAnsiTheme="minorHAnsi" w:cstheme="minorBidi"/>
                <w:noProof/>
                <w:kern w:val="2"/>
                <w:sz w:val="24"/>
                <w:szCs w:val="24"/>
                <w14:ligatures w14:val="standardContextual"/>
              </w:rPr>
              <w:tab/>
            </w:r>
            <w:r w:rsidRPr="0017208E">
              <w:rPr>
                <w:rStyle w:val="Hyperlink"/>
                <w:noProof/>
              </w:rPr>
              <w:t>Party Comments</w:t>
            </w:r>
            <w:r>
              <w:rPr>
                <w:noProof/>
                <w:webHidden/>
              </w:rPr>
              <w:tab/>
            </w:r>
            <w:r>
              <w:rPr>
                <w:noProof/>
                <w:webHidden/>
              </w:rPr>
              <w:fldChar w:fldCharType="begin"/>
            </w:r>
            <w:r>
              <w:rPr>
                <w:noProof/>
                <w:webHidden/>
              </w:rPr>
              <w:instrText xml:space="preserve"> PAGEREF _Toc244073181 \h </w:instrText>
            </w:r>
            <w:r>
              <w:rPr>
                <w:noProof/>
                <w:webHidden/>
              </w:rPr>
            </w:r>
            <w:r>
              <w:rPr>
                <w:noProof/>
                <w:webHidden/>
              </w:rPr>
              <w:fldChar w:fldCharType="separate"/>
            </w:r>
            <w:r>
              <w:rPr>
                <w:noProof/>
                <w:webHidden/>
              </w:rPr>
              <w:t>5</w:t>
            </w:r>
            <w:r>
              <w:rPr>
                <w:noProof/>
                <w:webHidden/>
              </w:rPr>
              <w:fldChar w:fldCharType="end"/>
            </w:r>
          </w:hyperlink>
        </w:p>
        <w:p w:rsidR="00BB7950" w:rsidRDefault="00BB7950" w14:paraId="3B4A6244" w14:textId="3387517D">
          <w:pPr>
            <w:pStyle w:val="TOC2"/>
            <w:tabs>
              <w:tab w:val="right" w:leader="dot" w:pos="9350"/>
            </w:tabs>
            <w:rPr>
              <w:rFonts w:asciiTheme="minorHAnsi" w:hAnsiTheme="minorHAnsi" w:cstheme="minorBidi"/>
              <w:noProof/>
              <w:kern w:val="2"/>
              <w:sz w:val="24"/>
              <w:szCs w:val="24"/>
              <w14:ligatures w14:val="standardContextual"/>
            </w:rPr>
          </w:pPr>
          <w:hyperlink w:history="1" w:anchor="_Toc244073182">
            <w:r w:rsidRPr="0017208E">
              <w:rPr>
                <w:rStyle w:val="Hyperlink"/>
                <w:noProof/>
              </w:rPr>
              <w:t>4.2.</w:t>
            </w:r>
            <w:r>
              <w:rPr>
                <w:rFonts w:asciiTheme="minorHAnsi" w:hAnsiTheme="minorHAnsi" w:cstheme="minorBidi"/>
                <w:noProof/>
                <w:kern w:val="2"/>
                <w:sz w:val="24"/>
                <w:szCs w:val="24"/>
                <w14:ligatures w14:val="standardContextual"/>
              </w:rPr>
              <w:tab/>
            </w:r>
            <w:r w:rsidRPr="0017208E">
              <w:rPr>
                <w:rStyle w:val="Hyperlink"/>
                <w:noProof/>
              </w:rPr>
              <w:t>Discussion on Whether the Commission Should Update Any General Orders to Ensure they Appropriately Address Climate Adaptation Needs</w:t>
            </w:r>
            <w:r>
              <w:rPr>
                <w:noProof/>
                <w:webHidden/>
              </w:rPr>
              <w:tab/>
            </w:r>
            <w:r>
              <w:rPr>
                <w:noProof/>
                <w:webHidden/>
              </w:rPr>
              <w:fldChar w:fldCharType="begin"/>
            </w:r>
            <w:r>
              <w:rPr>
                <w:noProof/>
                <w:webHidden/>
              </w:rPr>
              <w:instrText xml:space="preserve"> PAGEREF _Toc244073182 \h </w:instrText>
            </w:r>
            <w:r>
              <w:rPr>
                <w:noProof/>
                <w:webHidden/>
              </w:rPr>
            </w:r>
            <w:r>
              <w:rPr>
                <w:noProof/>
                <w:webHidden/>
              </w:rPr>
              <w:fldChar w:fldCharType="separate"/>
            </w:r>
            <w:r>
              <w:rPr>
                <w:noProof/>
                <w:webHidden/>
              </w:rPr>
              <w:t>7</w:t>
            </w:r>
            <w:r>
              <w:rPr>
                <w:noProof/>
                <w:webHidden/>
              </w:rPr>
              <w:fldChar w:fldCharType="end"/>
            </w:r>
          </w:hyperlink>
        </w:p>
        <w:p w:rsidR="00BB7950" w:rsidRDefault="00BB7950" w14:paraId="2FA897CE" w14:textId="71D2D63F">
          <w:pPr>
            <w:pStyle w:val="TOC1"/>
            <w:tabs>
              <w:tab w:val="right" w:leader="dot" w:pos="9350"/>
            </w:tabs>
            <w:rPr>
              <w:rFonts w:asciiTheme="minorHAnsi" w:hAnsiTheme="minorHAnsi" w:cstheme="minorBidi"/>
              <w:noProof/>
              <w:kern w:val="2"/>
              <w:sz w:val="24"/>
              <w:szCs w:val="24"/>
              <w14:ligatures w14:val="standardContextual"/>
            </w:rPr>
          </w:pPr>
          <w:hyperlink w:history="1" w:anchor="_Toc244073183">
            <w:r w:rsidRPr="0017208E">
              <w:rPr>
                <w:rStyle w:val="Hyperlink"/>
                <w:noProof/>
              </w:rPr>
              <w:t>5.</w:t>
            </w:r>
            <w:r>
              <w:rPr>
                <w:rFonts w:asciiTheme="minorHAnsi" w:hAnsiTheme="minorHAnsi" w:cstheme="minorBidi"/>
                <w:noProof/>
                <w:kern w:val="2"/>
                <w:sz w:val="24"/>
                <w:szCs w:val="24"/>
                <w14:ligatures w14:val="standardContextual"/>
              </w:rPr>
              <w:tab/>
            </w:r>
            <w:r w:rsidRPr="0017208E">
              <w:rPr>
                <w:rStyle w:val="Hyperlink"/>
                <w:noProof/>
              </w:rPr>
              <w:t>Climate Adaptation Framework</w:t>
            </w:r>
            <w:r>
              <w:rPr>
                <w:noProof/>
                <w:webHidden/>
              </w:rPr>
              <w:tab/>
            </w:r>
            <w:r>
              <w:rPr>
                <w:noProof/>
                <w:webHidden/>
              </w:rPr>
              <w:fldChar w:fldCharType="begin"/>
            </w:r>
            <w:r>
              <w:rPr>
                <w:noProof/>
                <w:webHidden/>
              </w:rPr>
              <w:instrText xml:space="preserve"> PAGEREF _Toc244073183 \h </w:instrText>
            </w:r>
            <w:r>
              <w:rPr>
                <w:noProof/>
                <w:webHidden/>
              </w:rPr>
            </w:r>
            <w:r>
              <w:rPr>
                <w:noProof/>
                <w:webHidden/>
              </w:rPr>
              <w:fldChar w:fldCharType="separate"/>
            </w:r>
            <w:r>
              <w:rPr>
                <w:noProof/>
                <w:webHidden/>
              </w:rPr>
              <w:t>8</w:t>
            </w:r>
            <w:r>
              <w:rPr>
                <w:noProof/>
                <w:webHidden/>
              </w:rPr>
              <w:fldChar w:fldCharType="end"/>
            </w:r>
          </w:hyperlink>
        </w:p>
        <w:p w:rsidR="00BB7950" w:rsidRDefault="00BB7950" w14:paraId="71D49027" w14:textId="746BFACB">
          <w:pPr>
            <w:pStyle w:val="TOC2"/>
            <w:tabs>
              <w:tab w:val="right" w:leader="dot" w:pos="9350"/>
            </w:tabs>
            <w:rPr>
              <w:rFonts w:asciiTheme="minorHAnsi" w:hAnsiTheme="minorHAnsi" w:cstheme="minorBidi"/>
              <w:noProof/>
              <w:kern w:val="2"/>
              <w:sz w:val="24"/>
              <w:szCs w:val="24"/>
              <w14:ligatures w14:val="standardContextual"/>
            </w:rPr>
          </w:pPr>
          <w:hyperlink w:history="1" w:anchor="_Toc244073184">
            <w:r w:rsidRPr="0017208E">
              <w:rPr>
                <w:rStyle w:val="Hyperlink"/>
                <w:noProof/>
              </w:rPr>
              <w:t>5.1.</w:t>
            </w:r>
            <w:r>
              <w:rPr>
                <w:rFonts w:asciiTheme="minorHAnsi" w:hAnsiTheme="minorHAnsi" w:cstheme="minorBidi"/>
                <w:noProof/>
                <w:kern w:val="2"/>
                <w:sz w:val="24"/>
                <w:szCs w:val="24"/>
                <w14:ligatures w14:val="standardContextual"/>
              </w:rPr>
              <w:tab/>
            </w:r>
            <w:r w:rsidRPr="0017208E">
              <w:rPr>
                <w:rStyle w:val="Hyperlink"/>
                <w:noProof/>
              </w:rPr>
              <w:t>Party Comments</w:t>
            </w:r>
            <w:r>
              <w:rPr>
                <w:noProof/>
                <w:webHidden/>
              </w:rPr>
              <w:tab/>
            </w:r>
            <w:r>
              <w:rPr>
                <w:noProof/>
                <w:webHidden/>
              </w:rPr>
              <w:fldChar w:fldCharType="begin"/>
            </w:r>
            <w:r>
              <w:rPr>
                <w:noProof/>
                <w:webHidden/>
              </w:rPr>
              <w:instrText xml:space="preserve"> PAGEREF _Toc244073184 \h </w:instrText>
            </w:r>
            <w:r>
              <w:rPr>
                <w:noProof/>
                <w:webHidden/>
              </w:rPr>
            </w:r>
            <w:r>
              <w:rPr>
                <w:noProof/>
                <w:webHidden/>
              </w:rPr>
              <w:fldChar w:fldCharType="separate"/>
            </w:r>
            <w:r>
              <w:rPr>
                <w:noProof/>
                <w:webHidden/>
              </w:rPr>
              <w:t>12</w:t>
            </w:r>
            <w:r>
              <w:rPr>
                <w:noProof/>
                <w:webHidden/>
              </w:rPr>
              <w:fldChar w:fldCharType="end"/>
            </w:r>
          </w:hyperlink>
        </w:p>
        <w:p w:rsidR="00BB7950" w:rsidRDefault="00BB7950" w14:paraId="02AB0B9A" w14:textId="1127112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4073185">
            <w:r w:rsidRPr="0017208E">
              <w:rPr>
                <w:rStyle w:val="Hyperlink"/>
                <w:noProof/>
              </w:rPr>
              <w:t>5.1.1.</w:t>
            </w:r>
            <w:r>
              <w:rPr>
                <w:rFonts w:asciiTheme="minorHAnsi" w:hAnsiTheme="minorHAnsi" w:cstheme="minorBidi"/>
                <w:noProof/>
                <w:kern w:val="2"/>
                <w:sz w:val="24"/>
                <w:szCs w:val="24"/>
                <w14:ligatures w14:val="standardContextual"/>
              </w:rPr>
              <w:tab/>
            </w:r>
            <w:r w:rsidRPr="0017208E">
              <w:rPr>
                <w:rStyle w:val="Hyperlink"/>
                <w:noProof/>
              </w:rPr>
              <w:t>Approaches to Implementing the Climate Adaptation Framework</w:t>
            </w:r>
            <w:r>
              <w:rPr>
                <w:noProof/>
                <w:webHidden/>
              </w:rPr>
              <w:tab/>
            </w:r>
            <w:r>
              <w:rPr>
                <w:noProof/>
                <w:webHidden/>
              </w:rPr>
              <w:fldChar w:fldCharType="begin"/>
            </w:r>
            <w:r>
              <w:rPr>
                <w:noProof/>
                <w:webHidden/>
              </w:rPr>
              <w:instrText xml:space="preserve"> PAGEREF _Toc244073185 \h </w:instrText>
            </w:r>
            <w:r>
              <w:rPr>
                <w:noProof/>
                <w:webHidden/>
              </w:rPr>
            </w:r>
            <w:r>
              <w:rPr>
                <w:noProof/>
                <w:webHidden/>
              </w:rPr>
              <w:fldChar w:fldCharType="separate"/>
            </w:r>
            <w:r>
              <w:rPr>
                <w:noProof/>
                <w:webHidden/>
              </w:rPr>
              <w:t>13</w:t>
            </w:r>
            <w:r>
              <w:rPr>
                <w:noProof/>
                <w:webHidden/>
              </w:rPr>
              <w:fldChar w:fldCharType="end"/>
            </w:r>
          </w:hyperlink>
        </w:p>
        <w:p w:rsidR="00BB7950" w:rsidRDefault="00BB7950" w14:paraId="76E8C7EB" w14:textId="0F38DA2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4073186">
            <w:r w:rsidRPr="0017208E">
              <w:rPr>
                <w:rStyle w:val="Hyperlink"/>
                <w:noProof/>
              </w:rPr>
              <w:t>5.1.2.</w:t>
            </w:r>
            <w:r>
              <w:rPr>
                <w:rFonts w:asciiTheme="minorHAnsi" w:hAnsiTheme="minorHAnsi" w:cstheme="minorBidi"/>
                <w:noProof/>
                <w:kern w:val="2"/>
                <w:sz w:val="24"/>
                <w:szCs w:val="24"/>
                <w14:ligatures w14:val="standardContextual"/>
              </w:rPr>
              <w:tab/>
            </w:r>
            <w:r w:rsidRPr="0017208E">
              <w:rPr>
                <w:rStyle w:val="Hyperlink"/>
                <w:noProof/>
              </w:rPr>
              <w:t>Applicability and Project Thresholds</w:t>
            </w:r>
            <w:r>
              <w:rPr>
                <w:noProof/>
                <w:webHidden/>
              </w:rPr>
              <w:tab/>
            </w:r>
            <w:r>
              <w:rPr>
                <w:noProof/>
                <w:webHidden/>
              </w:rPr>
              <w:fldChar w:fldCharType="begin"/>
            </w:r>
            <w:r>
              <w:rPr>
                <w:noProof/>
                <w:webHidden/>
              </w:rPr>
              <w:instrText xml:space="preserve"> PAGEREF _Toc244073186 \h </w:instrText>
            </w:r>
            <w:r>
              <w:rPr>
                <w:noProof/>
                <w:webHidden/>
              </w:rPr>
            </w:r>
            <w:r>
              <w:rPr>
                <w:noProof/>
                <w:webHidden/>
              </w:rPr>
              <w:fldChar w:fldCharType="separate"/>
            </w:r>
            <w:r>
              <w:rPr>
                <w:noProof/>
                <w:webHidden/>
              </w:rPr>
              <w:t>15</w:t>
            </w:r>
            <w:r>
              <w:rPr>
                <w:noProof/>
                <w:webHidden/>
              </w:rPr>
              <w:fldChar w:fldCharType="end"/>
            </w:r>
          </w:hyperlink>
        </w:p>
        <w:p w:rsidR="00BB7950" w:rsidRDefault="00BB7950" w14:paraId="5B4A6C52" w14:textId="3912739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4073187">
            <w:r w:rsidRPr="0017208E">
              <w:rPr>
                <w:rStyle w:val="Hyperlink"/>
                <w:noProof/>
              </w:rPr>
              <w:t>5.1.3.</w:t>
            </w:r>
            <w:r>
              <w:rPr>
                <w:rFonts w:asciiTheme="minorHAnsi" w:hAnsiTheme="minorHAnsi" w:cstheme="minorBidi"/>
                <w:noProof/>
                <w:kern w:val="2"/>
                <w:sz w:val="24"/>
                <w:szCs w:val="24"/>
                <w14:ligatures w14:val="standardContextual"/>
              </w:rPr>
              <w:tab/>
            </w:r>
            <w:r w:rsidRPr="0017208E">
              <w:rPr>
                <w:rStyle w:val="Hyperlink"/>
                <w:noProof/>
              </w:rPr>
              <w:t>Technical Refinement of Policy Areas</w:t>
            </w:r>
            <w:r>
              <w:rPr>
                <w:noProof/>
                <w:webHidden/>
              </w:rPr>
              <w:tab/>
            </w:r>
            <w:r>
              <w:rPr>
                <w:noProof/>
                <w:webHidden/>
              </w:rPr>
              <w:fldChar w:fldCharType="begin"/>
            </w:r>
            <w:r>
              <w:rPr>
                <w:noProof/>
                <w:webHidden/>
              </w:rPr>
              <w:instrText xml:space="preserve"> PAGEREF _Toc244073187 \h </w:instrText>
            </w:r>
            <w:r>
              <w:rPr>
                <w:noProof/>
                <w:webHidden/>
              </w:rPr>
            </w:r>
            <w:r>
              <w:rPr>
                <w:noProof/>
                <w:webHidden/>
              </w:rPr>
              <w:fldChar w:fldCharType="separate"/>
            </w:r>
            <w:r>
              <w:rPr>
                <w:noProof/>
                <w:webHidden/>
              </w:rPr>
              <w:t>17</w:t>
            </w:r>
            <w:r>
              <w:rPr>
                <w:noProof/>
                <w:webHidden/>
              </w:rPr>
              <w:fldChar w:fldCharType="end"/>
            </w:r>
          </w:hyperlink>
        </w:p>
        <w:p w:rsidR="00BB7950" w:rsidRDefault="00BB7950" w14:paraId="512A7090" w14:textId="160630B6">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4073188">
            <w:r w:rsidRPr="0017208E">
              <w:rPr>
                <w:rStyle w:val="Hyperlink"/>
                <w:noProof/>
              </w:rPr>
              <w:t>5.1.4.</w:t>
            </w:r>
            <w:r>
              <w:rPr>
                <w:rFonts w:asciiTheme="minorHAnsi" w:hAnsiTheme="minorHAnsi" w:cstheme="minorBidi"/>
                <w:noProof/>
                <w:kern w:val="2"/>
                <w:sz w:val="24"/>
                <w:szCs w:val="24"/>
                <w14:ligatures w14:val="standardContextual"/>
              </w:rPr>
              <w:tab/>
            </w:r>
            <w:r w:rsidRPr="0017208E">
              <w:rPr>
                <w:rStyle w:val="Hyperlink"/>
                <w:noProof/>
              </w:rPr>
              <w:t>Framework Scope</w:t>
            </w:r>
            <w:r>
              <w:rPr>
                <w:noProof/>
                <w:webHidden/>
              </w:rPr>
              <w:tab/>
            </w:r>
            <w:r>
              <w:rPr>
                <w:noProof/>
                <w:webHidden/>
              </w:rPr>
              <w:fldChar w:fldCharType="begin"/>
            </w:r>
            <w:r>
              <w:rPr>
                <w:noProof/>
                <w:webHidden/>
              </w:rPr>
              <w:instrText xml:space="preserve"> PAGEREF _Toc244073188 \h </w:instrText>
            </w:r>
            <w:r>
              <w:rPr>
                <w:noProof/>
                <w:webHidden/>
              </w:rPr>
            </w:r>
            <w:r>
              <w:rPr>
                <w:noProof/>
                <w:webHidden/>
              </w:rPr>
              <w:fldChar w:fldCharType="separate"/>
            </w:r>
            <w:r>
              <w:rPr>
                <w:noProof/>
                <w:webHidden/>
              </w:rPr>
              <w:t>20</w:t>
            </w:r>
            <w:r>
              <w:rPr>
                <w:noProof/>
                <w:webHidden/>
              </w:rPr>
              <w:fldChar w:fldCharType="end"/>
            </w:r>
          </w:hyperlink>
        </w:p>
        <w:p w:rsidR="00BB7950" w:rsidRDefault="00BB7950" w14:paraId="642D17EE" w14:textId="12A30CA3">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4073189">
            <w:r w:rsidRPr="0017208E">
              <w:rPr>
                <w:rStyle w:val="Hyperlink"/>
                <w:noProof/>
              </w:rPr>
              <w:t>5.1.5.</w:t>
            </w:r>
            <w:r>
              <w:rPr>
                <w:rFonts w:asciiTheme="minorHAnsi" w:hAnsiTheme="minorHAnsi" w:cstheme="minorBidi"/>
                <w:noProof/>
                <w:kern w:val="2"/>
                <w:sz w:val="24"/>
                <w:szCs w:val="24"/>
                <w14:ligatures w14:val="standardContextual"/>
              </w:rPr>
              <w:tab/>
            </w:r>
            <w:r w:rsidRPr="0017208E">
              <w:rPr>
                <w:rStyle w:val="Hyperlink"/>
                <w:noProof/>
              </w:rPr>
              <w:t>Small and Multi-Jurisdictional Utilities and Other Load Serving Entities</w:t>
            </w:r>
            <w:r>
              <w:rPr>
                <w:noProof/>
                <w:webHidden/>
              </w:rPr>
              <w:tab/>
            </w:r>
            <w:r>
              <w:rPr>
                <w:noProof/>
                <w:webHidden/>
              </w:rPr>
              <w:fldChar w:fldCharType="begin"/>
            </w:r>
            <w:r>
              <w:rPr>
                <w:noProof/>
                <w:webHidden/>
              </w:rPr>
              <w:instrText xml:space="preserve"> PAGEREF _Toc244073189 \h </w:instrText>
            </w:r>
            <w:r>
              <w:rPr>
                <w:noProof/>
                <w:webHidden/>
              </w:rPr>
            </w:r>
            <w:r>
              <w:rPr>
                <w:noProof/>
                <w:webHidden/>
              </w:rPr>
              <w:fldChar w:fldCharType="separate"/>
            </w:r>
            <w:r>
              <w:rPr>
                <w:noProof/>
                <w:webHidden/>
              </w:rPr>
              <w:t>21</w:t>
            </w:r>
            <w:r>
              <w:rPr>
                <w:noProof/>
                <w:webHidden/>
              </w:rPr>
              <w:fldChar w:fldCharType="end"/>
            </w:r>
          </w:hyperlink>
        </w:p>
        <w:p w:rsidR="00BB7950" w:rsidRDefault="00BB7950" w14:paraId="30FBFA93" w14:textId="719D5473">
          <w:pPr>
            <w:pStyle w:val="TOC2"/>
            <w:tabs>
              <w:tab w:val="right" w:leader="dot" w:pos="9350"/>
            </w:tabs>
            <w:rPr>
              <w:rFonts w:asciiTheme="minorHAnsi" w:hAnsiTheme="minorHAnsi" w:cstheme="minorBidi"/>
              <w:noProof/>
              <w:kern w:val="2"/>
              <w:sz w:val="24"/>
              <w:szCs w:val="24"/>
              <w14:ligatures w14:val="standardContextual"/>
            </w:rPr>
          </w:pPr>
          <w:hyperlink w:history="1" w:anchor="_Toc244073190">
            <w:r w:rsidRPr="0017208E">
              <w:rPr>
                <w:rStyle w:val="Hyperlink"/>
                <w:noProof/>
              </w:rPr>
              <w:t>5.2.</w:t>
            </w:r>
            <w:r>
              <w:rPr>
                <w:rFonts w:asciiTheme="minorHAnsi" w:hAnsiTheme="minorHAnsi" w:cstheme="minorBidi"/>
                <w:noProof/>
                <w:kern w:val="2"/>
                <w:sz w:val="24"/>
                <w:szCs w:val="24"/>
                <w14:ligatures w14:val="standardContextual"/>
              </w:rPr>
              <w:tab/>
            </w:r>
            <w:r w:rsidRPr="0017208E">
              <w:rPr>
                <w:rStyle w:val="Hyperlink"/>
                <w:noProof/>
              </w:rPr>
              <w:t>Discussion</w:t>
            </w:r>
            <w:r>
              <w:rPr>
                <w:noProof/>
                <w:webHidden/>
              </w:rPr>
              <w:tab/>
            </w:r>
            <w:r>
              <w:rPr>
                <w:noProof/>
                <w:webHidden/>
              </w:rPr>
              <w:fldChar w:fldCharType="begin"/>
            </w:r>
            <w:r>
              <w:rPr>
                <w:noProof/>
                <w:webHidden/>
              </w:rPr>
              <w:instrText xml:space="preserve"> PAGEREF _Toc244073190 \h </w:instrText>
            </w:r>
            <w:r>
              <w:rPr>
                <w:noProof/>
                <w:webHidden/>
              </w:rPr>
            </w:r>
            <w:r>
              <w:rPr>
                <w:noProof/>
                <w:webHidden/>
              </w:rPr>
              <w:fldChar w:fldCharType="separate"/>
            </w:r>
            <w:r>
              <w:rPr>
                <w:noProof/>
                <w:webHidden/>
              </w:rPr>
              <w:t>21</w:t>
            </w:r>
            <w:r>
              <w:rPr>
                <w:noProof/>
                <w:webHidden/>
              </w:rPr>
              <w:fldChar w:fldCharType="end"/>
            </w:r>
          </w:hyperlink>
        </w:p>
        <w:p w:rsidR="00BB7950" w:rsidRDefault="00BB7950" w14:paraId="4DC8AF92" w14:textId="7A0A8B76">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4073191">
            <w:r w:rsidRPr="0017208E">
              <w:rPr>
                <w:rStyle w:val="Hyperlink"/>
                <w:noProof/>
              </w:rPr>
              <w:t>5.2.1.</w:t>
            </w:r>
            <w:r>
              <w:rPr>
                <w:rFonts w:asciiTheme="minorHAnsi" w:hAnsiTheme="minorHAnsi" w:cstheme="minorBidi"/>
                <w:noProof/>
                <w:kern w:val="2"/>
                <w:sz w:val="24"/>
                <w:szCs w:val="24"/>
                <w14:ligatures w14:val="standardContextual"/>
              </w:rPr>
              <w:tab/>
            </w:r>
            <w:r w:rsidRPr="0017208E">
              <w:rPr>
                <w:rStyle w:val="Hyperlink"/>
                <w:noProof/>
              </w:rPr>
              <w:t>Whether SPD’s Proposed Framework Supports the Incorporation of Climate Adaptation Into Planning and Safety Processes</w:t>
            </w:r>
            <w:r>
              <w:rPr>
                <w:noProof/>
                <w:webHidden/>
              </w:rPr>
              <w:tab/>
            </w:r>
            <w:r>
              <w:rPr>
                <w:noProof/>
                <w:webHidden/>
              </w:rPr>
              <w:fldChar w:fldCharType="begin"/>
            </w:r>
            <w:r>
              <w:rPr>
                <w:noProof/>
                <w:webHidden/>
              </w:rPr>
              <w:instrText xml:space="preserve"> PAGEREF _Toc244073191 \h </w:instrText>
            </w:r>
            <w:r>
              <w:rPr>
                <w:noProof/>
                <w:webHidden/>
              </w:rPr>
            </w:r>
            <w:r>
              <w:rPr>
                <w:noProof/>
                <w:webHidden/>
              </w:rPr>
              <w:fldChar w:fldCharType="separate"/>
            </w:r>
            <w:r>
              <w:rPr>
                <w:noProof/>
                <w:webHidden/>
              </w:rPr>
              <w:t>21</w:t>
            </w:r>
            <w:r>
              <w:rPr>
                <w:noProof/>
                <w:webHidden/>
              </w:rPr>
              <w:fldChar w:fldCharType="end"/>
            </w:r>
          </w:hyperlink>
        </w:p>
        <w:p w:rsidR="00BB7950" w:rsidRDefault="00BB7950" w14:paraId="27044989" w14:textId="51ED278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4073192">
            <w:r w:rsidRPr="0017208E">
              <w:rPr>
                <w:rStyle w:val="Hyperlink"/>
                <w:noProof/>
              </w:rPr>
              <w:t>5.2.2.</w:t>
            </w:r>
            <w:r>
              <w:rPr>
                <w:rFonts w:asciiTheme="minorHAnsi" w:hAnsiTheme="minorHAnsi" w:cstheme="minorBidi"/>
                <w:noProof/>
                <w:kern w:val="2"/>
                <w:sz w:val="24"/>
                <w:szCs w:val="24"/>
                <w14:ligatures w14:val="standardContextual"/>
              </w:rPr>
              <w:tab/>
            </w:r>
            <w:r w:rsidRPr="0017208E">
              <w:rPr>
                <w:rStyle w:val="Hyperlink"/>
                <w:noProof/>
              </w:rPr>
              <w:t>Scope of the Framework</w:t>
            </w:r>
            <w:r>
              <w:rPr>
                <w:noProof/>
                <w:webHidden/>
              </w:rPr>
              <w:tab/>
            </w:r>
            <w:r>
              <w:rPr>
                <w:noProof/>
                <w:webHidden/>
              </w:rPr>
              <w:fldChar w:fldCharType="begin"/>
            </w:r>
            <w:r>
              <w:rPr>
                <w:noProof/>
                <w:webHidden/>
              </w:rPr>
              <w:instrText xml:space="preserve"> PAGEREF _Toc244073192 \h </w:instrText>
            </w:r>
            <w:r>
              <w:rPr>
                <w:noProof/>
                <w:webHidden/>
              </w:rPr>
            </w:r>
            <w:r>
              <w:rPr>
                <w:noProof/>
                <w:webHidden/>
              </w:rPr>
              <w:fldChar w:fldCharType="separate"/>
            </w:r>
            <w:r>
              <w:rPr>
                <w:noProof/>
                <w:webHidden/>
              </w:rPr>
              <w:t>22</w:t>
            </w:r>
            <w:r>
              <w:rPr>
                <w:noProof/>
                <w:webHidden/>
              </w:rPr>
              <w:fldChar w:fldCharType="end"/>
            </w:r>
          </w:hyperlink>
        </w:p>
        <w:p w:rsidR="00BB7950" w:rsidRDefault="00BB7950" w14:paraId="6A85C9E9" w14:textId="6736F88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4073193">
            <w:r w:rsidRPr="0017208E">
              <w:rPr>
                <w:rStyle w:val="Hyperlink"/>
                <w:noProof/>
              </w:rPr>
              <w:t>5.2.3.</w:t>
            </w:r>
            <w:r>
              <w:rPr>
                <w:rFonts w:asciiTheme="minorHAnsi" w:hAnsiTheme="minorHAnsi" w:cstheme="minorBidi"/>
                <w:noProof/>
                <w:kern w:val="2"/>
                <w:sz w:val="24"/>
                <w:szCs w:val="24"/>
                <w14:ligatures w14:val="standardContextual"/>
              </w:rPr>
              <w:tab/>
            </w:r>
            <w:r w:rsidRPr="0017208E">
              <w:rPr>
                <w:rStyle w:val="Hyperlink"/>
                <w:noProof/>
              </w:rPr>
              <w:t>Process</w:t>
            </w:r>
            <w:r>
              <w:rPr>
                <w:noProof/>
                <w:webHidden/>
              </w:rPr>
              <w:tab/>
            </w:r>
            <w:r>
              <w:rPr>
                <w:noProof/>
                <w:webHidden/>
              </w:rPr>
              <w:fldChar w:fldCharType="begin"/>
            </w:r>
            <w:r>
              <w:rPr>
                <w:noProof/>
                <w:webHidden/>
              </w:rPr>
              <w:instrText xml:space="preserve"> PAGEREF _Toc244073193 \h </w:instrText>
            </w:r>
            <w:r>
              <w:rPr>
                <w:noProof/>
                <w:webHidden/>
              </w:rPr>
            </w:r>
            <w:r>
              <w:rPr>
                <w:noProof/>
                <w:webHidden/>
              </w:rPr>
              <w:fldChar w:fldCharType="separate"/>
            </w:r>
            <w:r>
              <w:rPr>
                <w:noProof/>
                <w:webHidden/>
              </w:rPr>
              <w:t>23</w:t>
            </w:r>
            <w:r>
              <w:rPr>
                <w:noProof/>
                <w:webHidden/>
              </w:rPr>
              <w:fldChar w:fldCharType="end"/>
            </w:r>
          </w:hyperlink>
        </w:p>
        <w:p w:rsidR="00BB7950" w:rsidRDefault="00BB7950" w14:paraId="299FD1E1" w14:textId="0B793195">
          <w:pPr>
            <w:pStyle w:val="TOC1"/>
            <w:tabs>
              <w:tab w:val="right" w:leader="dot" w:pos="9350"/>
            </w:tabs>
            <w:rPr>
              <w:rFonts w:asciiTheme="minorHAnsi" w:hAnsiTheme="minorHAnsi" w:cstheme="minorBidi"/>
              <w:noProof/>
              <w:kern w:val="2"/>
              <w:sz w:val="24"/>
              <w:szCs w:val="24"/>
              <w14:ligatures w14:val="standardContextual"/>
            </w:rPr>
          </w:pPr>
          <w:hyperlink w:history="1" w:anchor="_Toc244073194">
            <w:r w:rsidRPr="0017208E">
              <w:rPr>
                <w:rStyle w:val="Hyperlink"/>
                <w:noProof/>
              </w:rPr>
              <w:t>6.</w:t>
            </w:r>
            <w:r>
              <w:rPr>
                <w:rFonts w:asciiTheme="minorHAnsi" w:hAnsiTheme="minorHAnsi" w:cstheme="minorBidi"/>
                <w:noProof/>
                <w:kern w:val="2"/>
                <w:sz w:val="24"/>
                <w:szCs w:val="24"/>
                <w14:ligatures w14:val="standardContextual"/>
              </w:rPr>
              <w:tab/>
            </w:r>
            <w:r w:rsidRPr="0017208E">
              <w:rPr>
                <w:rStyle w:val="Hyperlink"/>
                <w:noProof/>
              </w:rPr>
              <w:t>Summary of Public Comment</w:t>
            </w:r>
            <w:r>
              <w:rPr>
                <w:noProof/>
                <w:webHidden/>
              </w:rPr>
              <w:tab/>
            </w:r>
            <w:r>
              <w:rPr>
                <w:noProof/>
                <w:webHidden/>
              </w:rPr>
              <w:fldChar w:fldCharType="begin"/>
            </w:r>
            <w:r>
              <w:rPr>
                <w:noProof/>
                <w:webHidden/>
              </w:rPr>
              <w:instrText xml:space="preserve"> PAGEREF _Toc244073194 \h </w:instrText>
            </w:r>
            <w:r>
              <w:rPr>
                <w:noProof/>
                <w:webHidden/>
              </w:rPr>
            </w:r>
            <w:r>
              <w:rPr>
                <w:noProof/>
                <w:webHidden/>
              </w:rPr>
              <w:fldChar w:fldCharType="separate"/>
            </w:r>
            <w:r>
              <w:rPr>
                <w:noProof/>
                <w:webHidden/>
              </w:rPr>
              <w:t>26</w:t>
            </w:r>
            <w:r>
              <w:rPr>
                <w:noProof/>
                <w:webHidden/>
              </w:rPr>
              <w:fldChar w:fldCharType="end"/>
            </w:r>
          </w:hyperlink>
        </w:p>
        <w:p w:rsidR="00BB7950" w:rsidRDefault="00BB7950" w14:paraId="73435D3B" w14:textId="3236A743">
          <w:pPr>
            <w:pStyle w:val="TOC1"/>
            <w:tabs>
              <w:tab w:val="right" w:leader="dot" w:pos="9350"/>
            </w:tabs>
            <w:rPr>
              <w:rFonts w:asciiTheme="minorHAnsi" w:hAnsiTheme="minorHAnsi" w:cstheme="minorBidi"/>
              <w:noProof/>
              <w:kern w:val="2"/>
              <w:sz w:val="24"/>
              <w:szCs w:val="24"/>
              <w14:ligatures w14:val="standardContextual"/>
            </w:rPr>
          </w:pPr>
          <w:hyperlink w:history="1" w:anchor="_Toc244073195">
            <w:r w:rsidRPr="0017208E">
              <w:rPr>
                <w:rStyle w:val="Hyperlink"/>
                <w:noProof/>
              </w:rPr>
              <w:t>7.</w:t>
            </w:r>
            <w:r>
              <w:rPr>
                <w:rFonts w:asciiTheme="minorHAnsi" w:hAnsiTheme="minorHAnsi" w:cstheme="minorBidi"/>
                <w:noProof/>
                <w:kern w:val="2"/>
                <w:sz w:val="24"/>
                <w:szCs w:val="24"/>
                <w14:ligatures w14:val="standardContextual"/>
              </w:rPr>
              <w:tab/>
            </w:r>
            <w:r w:rsidRPr="0017208E">
              <w:rPr>
                <w:rStyle w:val="Hyperlink"/>
                <w:noProof/>
              </w:rPr>
              <w:t>Conclusion</w:t>
            </w:r>
            <w:r>
              <w:rPr>
                <w:noProof/>
                <w:webHidden/>
              </w:rPr>
              <w:tab/>
            </w:r>
            <w:r>
              <w:rPr>
                <w:noProof/>
                <w:webHidden/>
              </w:rPr>
              <w:fldChar w:fldCharType="begin"/>
            </w:r>
            <w:r>
              <w:rPr>
                <w:noProof/>
                <w:webHidden/>
              </w:rPr>
              <w:instrText xml:space="preserve"> PAGEREF _Toc244073195 \h </w:instrText>
            </w:r>
            <w:r>
              <w:rPr>
                <w:noProof/>
                <w:webHidden/>
              </w:rPr>
            </w:r>
            <w:r>
              <w:rPr>
                <w:noProof/>
                <w:webHidden/>
              </w:rPr>
              <w:fldChar w:fldCharType="separate"/>
            </w:r>
            <w:r>
              <w:rPr>
                <w:noProof/>
                <w:webHidden/>
              </w:rPr>
              <w:t>26</w:t>
            </w:r>
            <w:r>
              <w:rPr>
                <w:noProof/>
                <w:webHidden/>
              </w:rPr>
              <w:fldChar w:fldCharType="end"/>
            </w:r>
          </w:hyperlink>
        </w:p>
        <w:p w:rsidR="00BB7950" w:rsidRDefault="00BB7950" w14:paraId="7A5C9EFC" w14:textId="338E1621">
          <w:pPr>
            <w:pStyle w:val="TOC1"/>
            <w:tabs>
              <w:tab w:val="right" w:leader="dot" w:pos="9350"/>
            </w:tabs>
            <w:rPr>
              <w:rFonts w:asciiTheme="minorHAnsi" w:hAnsiTheme="minorHAnsi" w:cstheme="minorBidi"/>
              <w:noProof/>
              <w:kern w:val="2"/>
              <w:sz w:val="24"/>
              <w:szCs w:val="24"/>
              <w14:ligatures w14:val="standardContextual"/>
            </w:rPr>
          </w:pPr>
          <w:hyperlink w:history="1" w:anchor="_Toc244073196">
            <w:r w:rsidRPr="0017208E">
              <w:rPr>
                <w:rStyle w:val="Hyperlink"/>
                <w:noProof/>
              </w:rPr>
              <w:t>8.</w:t>
            </w:r>
            <w:r>
              <w:rPr>
                <w:rFonts w:asciiTheme="minorHAnsi" w:hAnsiTheme="minorHAnsi" w:cstheme="minorBidi"/>
                <w:noProof/>
                <w:kern w:val="2"/>
                <w:sz w:val="24"/>
                <w:szCs w:val="24"/>
                <w14:ligatures w14:val="standardContextual"/>
              </w:rPr>
              <w:tab/>
            </w:r>
            <w:r w:rsidRPr="0017208E">
              <w:rPr>
                <w:rStyle w:val="Hyperlink"/>
                <w:noProof/>
              </w:rPr>
              <w:t>Comments on Proposed Decision</w:t>
            </w:r>
            <w:r>
              <w:rPr>
                <w:noProof/>
                <w:webHidden/>
              </w:rPr>
              <w:tab/>
            </w:r>
            <w:r>
              <w:rPr>
                <w:noProof/>
                <w:webHidden/>
              </w:rPr>
              <w:fldChar w:fldCharType="begin"/>
            </w:r>
            <w:r>
              <w:rPr>
                <w:noProof/>
                <w:webHidden/>
              </w:rPr>
              <w:instrText xml:space="preserve"> PAGEREF _Toc244073196 \h </w:instrText>
            </w:r>
            <w:r>
              <w:rPr>
                <w:noProof/>
                <w:webHidden/>
              </w:rPr>
            </w:r>
            <w:r>
              <w:rPr>
                <w:noProof/>
                <w:webHidden/>
              </w:rPr>
              <w:fldChar w:fldCharType="separate"/>
            </w:r>
            <w:r>
              <w:rPr>
                <w:noProof/>
                <w:webHidden/>
              </w:rPr>
              <w:t>27</w:t>
            </w:r>
            <w:r>
              <w:rPr>
                <w:noProof/>
                <w:webHidden/>
              </w:rPr>
              <w:fldChar w:fldCharType="end"/>
            </w:r>
          </w:hyperlink>
        </w:p>
        <w:p w:rsidR="00BB7950" w:rsidRDefault="00BB7950" w14:paraId="4E4C21CE" w14:textId="60789157">
          <w:pPr>
            <w:pStyle w:val="TOC1"/>
            <w:tabs>
              <w:tab w:val="right" w:leader="dot" w:pos="9350"/>
            </w:tabs>
            <w:rPr>
              <w:rFonts w:asciiTheme="minorHAnsi" w:hAnsiTheme="minorHAnsi" w:cstheme="minorBidi"/>
              <w:noProof/>
              <w:kern w:val="2"/>
              <w:sz w:val="24"/>
              <w:szCs w:val="24"/>
              <w14:ligatures w14:val="standardContextual"/>
            </w:rPr>
          </w:pPr>
          <w:hyperlink w:history="1" w:anchor="_Toc244073197">
            <w:r w:rsidRPr="0017208E">
              <w:rPr>
                <w:rStyle w:val="Hyperlink"/>
                <w:noProof/>
              </w:rPr>
              <w:t>9.</w:t>
            </w:r>
            <w:r>
              <w:rPr>
                <w:rFonts w:asciiTheme="minorHAnsi" w:hAnsiTheme="minorHAnsi" w:cstheme="minorBidi"/>
                <w:noProof/>
                <w:kern w:val="2"/>
                <w:sz w:val="24"/>
                <w:szCs w:val="24"/>
                <w14:ligatures w14:val="standardContextual"/>
              </w:rPr>
              <w:tab/>
            </w:r>
            <w:r w:rsidRPr="0017208E">
              <w:rPr>
                <w:rStyle w:val="Hyperlink"/>
                <w:noProof/>
              </w:rPr>
              <w:t>Assignment of Proceeding</w:t>
            </w:r>
            <w:r>
              <w:rPr>
                <w:noProof/>
                <w:webHidden/>
              </w:rPr>
              <w:tab/>
            </w:r>
            <w:r>
              <w:rPr>
                <w:noProof/>
                <w:webHidden/>
              </w:rPr>
              <w:fldChar w:fldCharType="begin"/>
            </w:r>
            <w:r>
              <w:rPr>
                <w:noProof/>
                <w:webHidden/>
              </w:rPr>
              <w:instrText xml:space="preserve"> PAGEREF _Toc244073197 \h </w:instrText>
            </w:r>
            <w:r>
              <w:rPr>
                <w:noProof/>
                <w:webHidden/>
              </w:rPr>
            </w:r>
            <w:r>
              <w:rPr>
                <w:noProof/>
                <w:webHidden/>
              </w:rPr>
              <w:fldChar w:fldCharType="separate"/>
            </w:r>
            <w:r>
              <w:rPr>
                <w:noProof/>
                <w:webHidden/>
              </w:rPr>
              <w:t>27</w:t>
            </w:r>
            <w:r>
              <w:rPr>
                <w:noProof/>
                <w:webHidden/>
              </w:rPr>
              <w:fldChar w:fldCharType="end"/>
            </w:r>
          </w:hyperlink>
        </w:p>
        <w:p w:rsidR="00BB7950" w:rsidRDefault="00BB7950" w14:paraId="59B9CA34" w14:textId="3E389CB4">
          <w:pPr>
            <w:pStyle w:val="TOC1"/>
            <w:tabs>
              <w:tab w:val="right" w:leader="dot" w:pos="9350"/>
            </w:tabs>
            <w:rPr>
              <w:rFonts w:asciiTheme="minorHAnsi" w:hAnsiTheme="minorHAnsi" w:cstheme="minorBidi"/>
              <w:noProof/>
              <w:kern w:val="2"/>
              <w:sz w:val="24"/>
              <w:szCs w:val="24"/>
              <w14:ligatures w14:val="standardContextual"/>
            </w:rPr>
          </w:pPr>
          <w:hyperlink w:history="1" w:anchor="_Toc244073198">
            <w:r w:rsidRPr="0017208E">
              <w:rPr>
                <w:rStyle w:val="Hyperlink"/>
                <w:noProof/>
              </w:rPr>
              <w:t>Findings of Fact</w:t>
            </w:r>
            <w:r>
              <w:rPr>
                <w:noProof/>
                <w:webHidden/>
              </w:rPr>
              <w:tab/>
            </w:r>
            <w:r>
              <w:rPr>
                <w:noProof/>
                <w:webHidden/>
              </w:rPr>
              <w:fldChar w:fldCharType="begin"/>
            </w:r>
            <w:r>
              <w:rPr>
                <w:noProof/>
                <w:webHidden/>
              </w:rPr>
              <w:instrText xml:space="preserve"> PAGEREF _Toc244073198 \h </w:instrText>
            </w:r>
            <w:r>
              <w:rPr>
                <w:noProof/>
                <w:webHidden/>
              </w:rPr>
            </w:r>
            <w:r>
              <w:rPr>
                <w:noProof/>
                <w:webHidden/>
              </w:rPr>
              <w:fldChar w:fldCharType="separate"/>
            </w:r>
            <w:r>
              <w:rPr>
                <w:noProof/>
                <w:webHidden/>
              </w:rPr>
              <w:t>28</w:t>
            </w:r>
            <w:r>
              <w:rPr>
                <w:noProof/>
                <w:webHidden/>
              </w:rPr>
              <w:fldChar w:fldCharType="end"/>
            </w:r>
          </w:hyperlink>
        </w:p>
        <w:p w:rsidR="00BB7950" w:rsidRDefault="00BB7950" w14:paraId="478F1C16" w14:textId="6BEB0730">
          <w:pPr>
            <w:pStyle w:val="TOC1"/>
            <w:tabs>
              <w:tab w:val="right" w:leader="dot" w:pos="9350"/>
            </w:tabs>
            <w:rPr>
              <w:rFonts w:asciiTheme="minorHAnsi" w:hAnsiTheme="minorHAnsi" w:cstheme="minorBidi"/>
              <w:noProof/>
              <w:kern w:val="2"/>
              <w:sz w:val="24"/>
              <w:szCs w:val="24"/>
              <w14:ligatures w14:val="standardContextual"/>
            </w:rPr>
          </w:pPr>
          <w:hyperlink w:history="1" w:anchor="_Toc244073199">
            <w:r w:rsidRPr="0017208E">
              <w:rPr>
                <w:rStyle w:val="Hyperlink"/>
                <w:noProof/>
              </w:rPr>
              <w:t>Conclusions of Law</w:t>
            </w:r>
            <w:r>
              <w:rPr>
                <w:noProof/>
                <w:webHidden/>
              </w:rPr>
              <w:tab/>
            </w:r>
            <w:r>
              <w:rPr>
                <w:noProof/>
                <w:webHidden/>
              </w:rPr>
              <w:fldChar w:fldCharType="begin"/>
            </w:r>
            <w:r>
              <w:rPr>
                <w:noProof/>
                <w:webHidden/>
              </w:rPr>
              <w:instrText xml:space="preserve"> PAGEREF _Toc244073199 \h </w:instrText>
            </w:r>
            <w:r>
              <w:rPr>
                <w:noProof/>
                <w:webHidden/>
              </w:rPr>
            </w:r>
            <w:r>
              <w:rPr>
                <w:noProof/>
                <w:webHidden/>
              </w:rPr>
              <w:fldChar w:fldCharType="separate"/>
            </w:r>
            <w:r>
              <w:rPr>
                <w:noProof/>
                <w:webHidden/>
              </w:rPr>
              <w:t>28</w:t>
            </w:r>
            <w:r>
              <w:rPr>
                <w:noProof/>
                <w:webHidden/>
              </w:rPr>
              <w:fldChar w:fldCharType="end"/>
            </w:r>
          </w:hyperlink>
        </w:p>
        <w:p w:rsidR="00BB7950" w:rsidRDefault="00BB7950" w14:paraId="583540BF" w14:textId="68EAB788">
          <w:pPr>
            <w:pStyle w:val="TOC1"/>
            <w:tabs>
              <w:tab w:val="right" w:leader="dot" w:pos="9350"/>
            </w:tabs>
            <w:rPr>
              <w:rFonts w:asciiTheme="minorHAnsi" w:hAnsiTheme="minorHAnsi" w:cstheme="minorBidi"/>
              <w:noProof/>
              <w:kern w:val="2"/>
              <w:sz w:val="24"/>
              <w:szCs w:val="24"/>
              <w14:ligatures w14:val="standardContextual"/>
            </w:rPr>
          </w:pPr>
          <w:hyperlink w:history="1" w:anchor="_Toc244073200">
            <w:r w:rsidRPr="0017208E">
              <w:rPr>
                <w:rStyle w:val="Hyperlink"/>
                <w:noProof/>
              </w:rPr>
              <w:t>ORDER</w:t>
            </w:r>
            <w:r>
              <w:rPr>
                <w:noProof/>
                <w:webHidden/>
              </w:rPr>
              <w:tab/>
            </w:r>
            <w:r>
              <w:rPr>
                <w:noProof/>
                <w:webHidden/>
              </w:rPr>
              <w:fldChar w:fldCharType="begin"/>
            </w:r>
            <w:r>
              <w:rPr>
                <w:noProof/>
                <w:webHidden/>
              </w:rPr>
              <w:instrText xml:space="preserve"> PAGEREF _Toc244073200 \h </w:instrText>
            </w:r>
            <w:r>
              <w:rPr>
                <w:noProof/>
                <w:webHidden/>
              </w:rPr>
            </w:r>
            <w:r>
              <w:rPr>
                <w:noProof/>
                <w:webHidden/>
              </w:rPr>
              <w:fldChar w:fldCharType="separate"/>
            </w:r>
            <w:r>
              <w:rPr>
                <w:noProof/>
                <w:webHidden/>
              </w:rPr>
              <w:t>29</w:t>
            </w:r>
            <w:r>
              <w:rPr>
                <w:noProof/>
                <w:webHidden/>
              </w:rPr>
              <w:fldChar w:fldCharType="end"/>
            </w:r>
          </w:hyperlink>
        </w:p>
        <w:p w:rsidR="00D82A43" w:rsidP="008C7413" w:rsidRDefault="008C7413" w14:paraId="039269F2" w14:textId="0E01C78A">
          <w:pPr>
            <w:pStyle w:val="TOC1"/>
            <w:tabs>
              <w:tab w:val="right" w:leader="dot" w:pos="9350"/>
            </w:tabs>
          </w:pPr>
          <w:r>
            <w:rPr>
              <w:rFonts w:asciiTheme="minorHAnsi" w:hAnsiTheme="minorHAnsi"/>
              <w:sz w:val="22"/>
            </w:rPr>
            <w:fldChar w:fldCharType="end"/>
          </w:r>
        </w:p>
      </w:sdtContent>
    </w:sdt>
    <w:p w:rsidRPr="00AE42F9" w:rsidR="00D44DB6" w:rsidP="00D44DB6" w:rsidRDefault="00AE42F9" w14:paraId="061AE53D" w14:textId="56916145">
      <w:pPr>
        <w:spacing w:line="240" w:lineRule="auto"/>
        <w:ind w:firstLine="0"/>
        <w:rPr>
          <w:rFonts w:cs="Arial"/>
          <w:szCs w:val="26"/>
        </w:rPr>
        <w:sectPr w:rsidRPr="00AE42F9" w:rsidR="00D44DB6" w:rsidSect="007F0FE4">
          <w:headerReference w:type="default" r:id="rId12"/>
          <w:footerReference w:type="default" r:id="rId13"/>
          <w:pgSz w:w="12240" w:h="15840"/>
          <w:pgMar w:top="1728" w:right="1440" w:bottom="1440" w:left="1440" w:header="720" w:footer="720" w:gutter="0"/>
          <w:cols w:space="720"/>
          <w:docGrid w:linePitch="360"/>
        </w:sectPr>
      </w:pPr>
      <w:r>
        <w:rPr>
          <w:rFonts w:cs="Arial"/>
          <w:i/>
          <w:szCs w:val="26"/>
        </w:rPr>
        <w:br/>
      </w:r>
      <w:r w:rsidR="00453D84">
        <w:rPr>
          <w:rFonts w:cs="Arial"/>
          <w:szCs w:val="26"/>
        </w:rPr>
        <w:t>Appendix A. Climate Adaptation Framework</w:t>
      </w:r>
    </w:p>
    <w:p w:rsidR="0098655A" w:rsidP="00D82A43" w:rsidRDefault="00160219" w14:paraId="50D911C7" w14:textId="2D824B6C">
      <w:pPr>
        <w:pStyle w:val="Main"/>
        <w:spacing w:after="240"/>
      </w:pPr>
      <w:r w:rsidRPr="00160219">
        <w:lastRenderedPageBreak/>
        <w:t xml:space="preserve">DECISION ESTABLISHING </w:t>
      </w:r>
      <w:proofErr w:type="gramStart"/>
      <w:r w:rsidRPr="00160219">
        <w:t>A CLIMATE</w:t>
      </w:r>
      <w:proofErr w:type="gramEnd"/>
      <w:r w:rsidRPr="00160219">
        <w:t xml:space="preserve"> ADAPTATION POLICY FRAMEWORK</w:t>
      </w:r>
    </w:p>
    <w:p w:rsidR="005A148C" w:rsidP="006F4FD4" w:rsidRDefault="005A148C" w14:paraId="328BD71C" w14:textId="77777777">
      <w:pPr>
        <w:pStyle w:val="Dummy"/>
      </w:pPr>
      <w:bookmarkStart w:name="_Toc8123714" w:id="1"/>
      <w:bookmarkStart w:name="_Toc244073175" w:id="2"/>
      <w:r>
        <w:t>Summary</w:t>
      </w:r>
      <w:bookmarkEnd w:id="1"/>
      <w:bookmarkEnd w:id="2"/>
    </w:p>
    <w:p w:rsidR="006F2493" w:rsidP="006E6574" w:rsidRDefault="00A422D3" w14:paraId="4A8CD360" w14:textId="797ADA63">
      <w:pPr>
        <w:pStyle w:val="Standard"/>
      </w:pPr>
      <w:r>
        <w:t>In this decision,</w:t>
      </w:r>
      <w:r w:rsidR="00B60C32">
        <w:t xml:space="preserve"> we decline to adopt modifications to existing General Orders or adopt a new General Order to address Climate Adaptation. Rather,</w:t>
      </w:r>
      <w:r>
        <w:t xml:space="preserve"> we adopt the framework proposed by Safety Policy Division with modifications. Upon issuance of this decision, this framework will apply to new </w:t>
      </w:r>
      <w:r w:rsidR="00E46229">
        <w:t>a</w:t>
      </w:r>
      <w:r>
        <w:t>pplications filed by</w:t>
      </w:r>
      <w:r w:rsidR="00FD7EAA">
        <w:t xml:space="preserve"> </w:t>
      </w:r>
      <w:r>
        <w:t xml:space="preserve">any investor-owned </w:t>
      </w:r>
      <w:r w:rsidR="002703C5">
        <w:t>utility</w:t>
      </w:r>
      <w:r>
        <w:t xml:space="preserve"> </w:t>
      </w:r>
      <w:r w:rsidR="00FB3236">
        <w:t xml:space="preserve">(IOU) </w:t>
      </w:r>
      <w:r>
        <w:t xml:space="preserve">that </w:t>
      </w:r>
      <w:r w:rsidR="00D602A0">
        <w:t xml:space="preserve">is required to </w:t>
      </w:r>
      <w:r>
        <w:t>file both C</w:t>
      </w:r>
      <w:r w:rsidR="002703C5">
        <w:t xml:space="preserve">limate </w:t>
      </w:r>
      <w:r>
        <w:t>A</w:t>
      </w:r>
      <w:r w:rsidR="002703C5">
        <w:t xml:space="preserve">daptation </w:t>
      </w:r>
      <w:r>
        <w:t>V</w:t>
      </w:r>
      <w:r w:rsidR="002703C5">
        <w:t xml:space="preserve">ulnerability </w:t>
      </w:r>
      <w:r>
        <w:t>A</w:t>
      </w:r>
      <w:r w:rsidR="002703C5">
        <w:t>ssessment</w:t>
      </w:r>
      <w:r>
        <w:t>s and R</w:t>
      </w:r>
      <w:r w:rsidR="002703C5">
        <w:t xml:space="preserve">isk </w:t>
      </w:r>
      <w:r>
        <w:t>A</w:t>
      </w:r>
      <w:r w:rsidR="002703C5">
        <w:t xml:space="preserve">ssessment </w:t>
      </w:r>
      <w:r>
        <w:t>M</w:t>
      </w:r>
      <w:r w:rsidR="002703C5">
        <w:t xml:space="preserve">itigation </w:t>
      </w:r>
      <w:r>
        <w:t>P</w:t>
      </w:r>
      <w:r w:rsidR="002703C5">
        <w:t xml:space="preserve">hase </w:t>
      </w:r>
      <w:r w:rsidR="00E46229">
        <w:t>a</w:t>
      </w:r>
      <w:r w:rsidR="002703C5">
        <w:t>pplications</w:t>
      </w:r>
      <w:r w:rsidR="00D602A0">
        <w:t xml:space="preserve"> in the future</w:t>
      </w:r>
      <w:r>
        <w:t xml:space="preserve">. This currently </w:t>
      </w:r>
      <w:r w:rsidR="0056211E">
        <w:t xml:space="preserve">includes </w:t>
      </w:r>
      <w:r w:rsidR="00B60C32">
        <w:t>Pacific Gas and Electric Company (PG&amp;E), Southern California Edison Company (SCE), Southern California Gas Company (SoCalGas), and San Diego Gas &amp; Electric Company (SDG&amp;E).</w:t>
      </w:r>
    </w:p>
    <w:p w:rsidR="00B60C32" w:rsidP="006E6574" w:rsidRDefault="00A422D3" w14:paraId="5E371CD7" w14:textId="469C9507">
      <w:pPr>
        <w:pStyle w:val="Standard"/>
      </w:pPr>
      <w:r>
        <w:t xml:space="preserve"> As such, all </w:t>
      </w:r>
      <w:r w:rsidR="00B81A5D">
        <w:t xml:space="preserve">future </w:t>
      </w:r>
      <w:r w:rsidR="00E46229">
        <w:t>a</w:t>
      </w:r>
      <w:r>
        <w:t xml:space="preserve">pplications filed by PG&amp;E, SCE, SoCalGas, and SDG&amp;E will be screened through questions related to the five policy areas of Repetitive Loss and Failure, Site Selection, Design and Engineering, Equipment Tolerance, and Climate Risk Modeling to determine if the </w:t>
      </w:r>
      <w:r w:rsidR="00832195">
        <w:t>climate adaptation considerations apply to them</w:t>
      </w:r>
      <w:r>
        <w:t>.</w:t>
      </w:r>
      <w:r w:rsidR="00B81A5D">
        <w:t xml:space="preserve"> The outcome </w:t>
      </w:r>
      <w:r w:rsidR="00A0463D">
        <w:t xml:space="preserve">of this screening </w:t>
      </w:r>
      <w:r w:rsidR="00B81A5D">
        <w:t>will be</w:t>
      </w:r>
      <w:r w:rsidR="00275850">
        <w:t xml:space="preserve"> an annual joint IOU workshop,</w:t>
      </w:r>
      <w:r>
        <w:t xml:space="preserve"> </w:t>
      </w:r>
      <w:r w:rsidR="00275850">
        <w:t>s</w:t>
      </w:r>
      <w:r>
        <w:t xml:space="preserve">tarting in 2028, to summarize the integration of climate adaptation across the five policy areas into </w:t>
      </w:r>
      <w:r w:rsidR="00E46229">
        <w:t>a</w:t>
      </w:r>
      <w:r>
        <w:t xml:space="preserve">pplications filed with the Commission. </w:t>
      </w:r>
      <w:r w:rsidR="006E25BB">
        <w:t>PG&amp;E, SCE, SoCalGas, and SDG&amp;E</w:t>
      </w:r>
      <w:r>
        <w:t xml:space="preserve"> are additionally </w:t>
      </w:r>
      <w:r w:rsidR="00620770">
        <w:t xml:space="preserve">each </w:t>
      </w:r>
      <w:r>
        <w:t>required to file annual report</w:t>
      </w:r>
      <w:r w:rsidR="00620770">
        <w:t>s</w:t>
      </w:r>
      <w:r>
        <w:t xml:space="preserve"> by May 1</w:t>
      </w:r>
      <w:r w:rsidRPr="00420FA1" w:rsidR="00FD559A">
        <w:rPr>
          <w:vertAlign w:val="superscript"/>
        </w:rPr>
        <w:t>st</w:t>
      </w:r>
      <w:r w:rsidR="00FD559A">
        <w:t xml:space="preserve"> of</w:t>
      </w:r>
      <w:r>
        <w:t xml:space="preserve"> each year with specific information to aid tracking and monitoring of climate adaptation activities</w:t>
      </w:r>
      <w:r w:rsidR="00F17888">
        <w:t xml:space="preserve">, aiding the Commission, its staff, and intervenors in evaluating </w:t>
      </w:r>
      <w:r w:rsidR="00403BAD">
        <w:t xml:space="preserve">the efficacy of </w:t>
      </w:r>
      <w:r w:rsidR="00853CE6">
        <w:t xml:space="preserve">climate adaptation </w:t>
      </w:r>
      <w:r w:rsidR="00D24713">
        <w:t xml:space="preserve">policy to </w:t>
      </w:r>
      <w:r w:rsidR="004D2616">
        <w:t xml:space="preserve">inform </w:t>
      </w:r>
      <w:r w:rsidR="00BC0AC3">
        <w:t>IOU filings</w:t>
      </w:r>
      <w:r>
        <w:t xml:space="preserve">. </w:t>
      </w:r>
    </w:p>
    <w:p w:rsidR="00A31996" w:rsidP="006E6574" w:rsidRDefault="00A31996" w14:paraId="2C7315F8" w14:textId="6C85A5D0">
      <w:pPr>
        <w:pStyle w:val="Standard"/>
      </w:pPr>
      <w:r>
        <w:t xml:space="preserve">This proceeding </w:t>
      </w:r>
      <w:r w:rsidR="00E27159">
        <w:t>remains open</w:t>
      </w:r>
      <w:r>
        <w:t>.</w:t>
      </w:r>
    </w:p>
    <w:p w:rsidRPr="00121089" w:rsidR="005A148C" w:rsidP="006F4FD4" w:rsidRDefault="002C7FE9" w14:paraId="5B268A7E" w14:textId="77777777">
      <w:pPr>
        <w:pStyle w:val="Heading1"/>
        <w:numPr>
          <w:ilvl w:val="0"/>
          <w:numId w:val="1"/>
        </w:numPr>
      </w:pPr>
      <w:bookmarkStart w:name="_Toc8123715" w:id="3"/>
      <w:bookmarkStart w:name="_Toc244073176" w:id="4"/>
      <w:r w:rsidRPr="00121089">
        <w:lastRenderedPageBreak/>
        <w:t>Background</w:t>
      </w:r>
      <w:bookmarkEnd w:id="3"/>
      <w:bookmarkEnd w:id="4"/>
    </w:p>
    <w:p w:rsidRPr="0031026F" w:rsidR="0031026F" w:rsidP="0031026F" w:rsidRDefault="0031026F" w14:paraId="6AC73E26" w14:textId="5808AF6B">
      <w:pPr>
        <w:pStyle w:val="Standard"/>
      </w:pPr>
      <w:r w:rsidRPr="0031026F">
        <w:t xml:space="preserve">The California Public Utilities Commission (Commission) </w:t>
      </w:r>
      <w:r w:rsidR="00B65A79">
        <w:t>opened</w:t>
      </w:r>
      <w:r w:rsidRPr="0031026F">
        <w:t xml:space="preserve"> Rulemaking (R.) 18</w:t>
      </w:r>
      <w:r w:rsidRPr="0031026F">
        <w:noBreakHyphen/>
        <w:t>04</w:t>
      </w:r>
      <w:r w:rsidRPr="0031026F">
        <w:noBreakHyphen/>
        <w:t>019 on April 26, 2018</w:t>
      </w:r>
      <w:r>
        <w:t>,</w:t>
      </w:r>
      <w:r w:rsidRPr="0031026F">
        <w:t xml:space="preserve"> to consider strategies to integrate climate change adaptation matters in relevant Commission proceedings.  As the Order Instituting Rulemaking (OIR) states, climate adaptation planning in a time of worsening climate impacts is a prudent next step to ensure the safety and reliability of services provided by regulated utilities.</w:t>
      </w:r>
    </w:p>
    <w:p w:rsidR="004D45E9" w:rsidP="00153813" w:rsidRDefault="00706B59" w14:paraId="08E91D34" w14:textId="77777777">
      <w:pPr>
        <w:pStyle w:val="Standard"/>
      </w:pPr>
      <w:r>
        <w:t>In Phase 1 of this proceeding, t</w:t>
      </w:r>
      <w:r w:rsidRPr="0031026F" w:rsidR="0031026F">
        <w:t xml:space="preserve">he Commission </w:t>
      </w:r>
      <w:r w:rsidR="00573196">
        <w:t>considered</w:t>
      </w:r>
      <w:r w:rsidR="00547BC8">
        <w:t xml:space="preserve"> issues regarding </w:t>
      </w:r>
      <w:r w:rsidR="009B4472">
        <w:t>the definition of climate change adaptation</w:t>
      </w:r>
      <w:r w:rsidR="00830C62">
        <w:t xml:space="preserve">, climate adaptation data sources, models, and tools, </w:t>
      </w:r>
      <w:r w:rsidR="00D23B28">
        <w:t xml:space="preserve">prioritization of </w:t>
      </w:r>
      <w:r w:rsidR="00A718AF">
        <w:t>actions to address climate-change-related needs of vulnerable and disadvantaged communities (DVC</w:t>
      </w:r>
      <w:r w:rsidR="008464AE">
        <w:t xml:space="preserve">s), </w:t>
      </w:r>
      <w:r w:rsidR="00E43FCF">
        <w:t>and vulnerability assessments.</w:t>
      </w:r>
      <w:r w:rsidRPr="0031026F" w:rsidR="0031026F">
        <w:t xml:space="preserve"> </w:t>
      </w:r>
      <w:r w:rsidR="0006631E">
        <w:t>The Commission resolved these issues in</w:t>
      </w:r>
      <w:r w:rsidRPr="0031026F" w:rsidR="0031026F">
        <w:t xml:space="preserve"> Decision (D.) 19</w:t>
      </w:r>
      <w:r w:rsidRPr="0031026F" w:rsidR="0031026F">
        <w:noBreakHyphen/>
        <w:t>10</w:t>
      </w:r>
      <w:r w:rsidRPr="0031026F" w:rsidR="0031026F">
        <w:noBreakHyphen/>
        <w:t>054,</w:t>
      </w:r>
      <w:r w:rsidRPr="0031026F" w:rsidR="0031026F">
        <w:rPr>
          <w:i/>
          <w:iCs/>
        </w:rPr>
        <w:t xml:space="preserve"> Decision Addressing Phase 1 Topics 1 and 2</w:t>
      </w:r>
      <w:r w:rsidRPr="0031026F" w:rsidR="0031026F">
        <w:t xml:space="preserve"> and D.20</w:t>
      </w:r>
      <w:r w:rsidRPr="0031026F" w:rsidR="0031026F">
        <w:noBreakHyphen/>
        <w:t>08</w:t>
      </w:r>
      <w:r w:rsidRPr="0031026F" w:rsidR="0031026F">
        <w:noBreakHyphen/>
        <w:t xml:space="preserve">046, </w:t>
      </w:r>
      <w:r w:rsidRPr="0031026F" w:rsidR="0031026F">
        <w:rPr>
          <w:i/>
          <w:iCs/>
        </w:rPr>
        <w:t>Decision on Energy Utility Climate Change Vulnerability Assessments and Climate Adaptation in Disadvantaged Communities (Phase 1, Topics 4 and 5)</w:t>
      </w:r>
      <w:r w:rsidR="004D45E9">
        <w:t>.</w:t>
      </w:r>
    </w:p>
    <w:p w:rsidRPr="00125A25" w:rsidR="002C7FE9" w:rsidP="00153813" w:rsidRDefault="004D45E9" w14:paraId="709BE301" w14:textId="6B857DAE">
      <w:pPr>
        <w:pStyle w:val="Standard"/>
      </w:pPr>
      <w:r>
        <w:t xml:space="preserve">In Phase 2 of this proceeding, the Commission considered issues regarding </w:t>
      </w:r>
      <w:r w:rsidR="00500CE3">
        <w:t>refinements to the Climate Adaptation and Vulnerability Assessments (CAVAs)</w:t>
      </w:r>
      <w:r w:rsidR="00B71C19">
        <w:t xml:space="preserve"> for large IOUs, linkages between CAVAs and General Rate Case (GRC) proceedings, linkages </w:t>
      </w:r>
      <w:r w:rsidR="00E62931">
        <w:t>between the present proceeding and other Commission proceeding</w:t>
      </w:r>
      <w:r w:rsidR="00244E6F">
        <w:t>s</w:t>
      </w:r>
      <w:r w:rsidR="00E62931">
        <w:t xml:space="preserve"> beyond Risk Assessment Mitigation</w:t>
      </w:r>
      <w:r w:rsidR="005357D4">
        <w:t xml:space="preserve"> Phase (RAMP) and GRC proceedings, and cross-cutting issues </w:t>
      </w:r>
      <w:r w:rsidR="00465DBA">
        <w:t>including the creation of a climate adaptation lexicon</w:t>
      </w:r>
      <w:r w:rsidR="00EA33AD">
        <w:t>. The Commission resolved these issues in</w:t>
      </w:r>
      <w:r w:rsidR="007C21DD">
        <w:t xml:space="preserve"> </w:t>
      </w:r>
      <w:r w:rsidR="009D413C">
        <w:t>D.</w:t>
      </w:r>
      <w:r w:rsidR="0017134A">
        <w:t xml:space="preserve">24-08-005, </w:t>
      </w:r>
      <w:r w:rsidR="0017134A">
        <w:rPr>
          <w:i/>
          <w:iCs/>
        </w:rPr>
        <w:t>Phase 2 Decision Updating Climate Change Adapt</w:t>
      </w:r>
      <w:r w:rsidR="00C24287">
        <w:rPr>
          <w:i/>
          <w:iCs/>
        </w:rPr>
        <w:t xml:space="preserve">ation Modeling Requirements and Refining </w:t>
      </w:r>
      <w:r w:rsidR="00540502">
        <w:rPr>
          <w:i/>
          <w:iCs/>
        </w:rPr>
        <w:t>the Climate Adaptation and Vulnerability Assessments.</w:t>
      </w:r>
      <w:r w:rsidR="00E839E6">
        <w:rPr>
          <w:i/>
          <w:iCs/>
        </w:rPr>
        <w:t xml:space="preserve"> </w:t>
      </w:r>
      <w:r w:rsidR="00125A25">
        <w:t xml:space="preserve">Additional refinements to the </w:t>
      </w:r>
      <w:r w:rsidR="00987D68">
        <w:t>CAVA related to Community Engagement Plans and adaptive capacity</w:t>
      </w:r>
      <w:r w:rsidR="00E839E6">
        <w:t xml:space="preserve"> will be addressed in a subsequent decision in the present proceeding.</w:t>
      </w:r>
    </w:p>
    <w:p w:rsidR="007C21DD" w:rsidP="00153813" w:rsidRDefault="00242506" w14:paraId="17B70C17" w14:textId="6859D503">
      <w:pPr>
        <w:pStyle w:val="Standard"/>
      </w:pPr>
      <w:r>
        <w:lastRenderedPageBreak/>
        <w:t xml:space="preserve">On </w:t>
      </w:r>
      <w:r w:rsidR="00967B91">
        <w:t xml:space="preserve">April </w:t>
      </w:r>
      <w:r w:rsidR="00C15F5A">
        <w:t>10</w:t>
      </w:r>
      <w:r w:rsidR="00967B91">
        <w:t xml:space="preserve">, 2025, </w:t>
      </w:r>
      <w:r w:rsidR="00A9449F">
        <w:t>the Assigned Commissioner</w:t>
      </w:r>
      <w:r w:rsidR="00607F82">
        <w:t xml:space="preserve"> issued</w:t>
      </w:r>
      <w:r w:rsidR="00A9449F">
        <w:t xml:space="preserve"> a ruling</w:t>
      </w:r>
      <w:r w:rsidR="00607F82">
        <w:t xml:space="preserve"> </w:t>
      </w:r>
      <w:r w:rsidR="00767E6F">
        <w:t>noticing</w:t>
      </w:r>
      <w:r w:rsidR="00185DBA">
        <w:t xml:space="preserve"> </w:t>
      </w:r>
      <w:r w:rsidR="008C0B8F">
        <w:t xml:space="preserve">a </w:t>
      </w:r>
      <w:r w:rsidR="009658BD">
        <w:t>Safety Policy Division (SPD) S</w:t>
      </w:r>
      <w:r w:rsidR="00B838C0">
        <w:t xml:space="preserve">taff-led workshop </w:t>
      </w:r>
      <w:r w:rsidR="00F708C0">
        <w:t xml:space="preserve">opening </w:t>
      </w:r>
      <w:r w:rsidR="001C77E2">
        <w:t>Phase 3</w:t>
      </w:r>
      <w:r w:rsidR="00767E6F">
        <w:t xml:space="preserve"> of the present proceeding</w:t>
      </w:r>
      <w:r w:rsidR="0064295C">
        <w:t xml:space="preserve"> and</w:t>
      </w:r>
      <w:r w:rsidR="00F708C0">
        <w:t xml:space="preserve"> addressing</w:t>
      </w:r>
      <w:r w:rsidR="00F7043A">
        <w:t xml:space="preserve"> the need for updates to General Orders (GOs) to reflect climate adaptation</w:t>
      </w:r>
      <w:r w:rsidR="00AD7EFD">
        <w:t>.</w:t>
      </w:r>
      <w:r w:rsidR="0064295C">
        <w:t xml:space="preserve"> </w:t>
      </w:r>
      <w:r w:rsidR="00A9449F">
        <w:t>On April 17, 2025, SPD held the workshop.</w:t>
      </w:r>
      <w:r w:rsidR="00AD7EFD">
        <w:t xml:space="preserve"> </w:t>
      </w:r>
      <w:r w:rsidR="0007349E">
        <w:t xml:space="preserve">On August 18, 2025, </w:t>
      </w:r>
      <w:r w:rsidR="00C11D69">
        <w:t xml:space="preserve">the Assigned Commissioner issued a ruling </w:t>
      </w:r>
      <w:r w:rsidR="00E247B2">
        <w:t xml:space="preserve">providing </w:t>
      </w:r>
      <w:r w:rsidR="00CC7693">
        <w:t xml:space="preserve">post-workshop questions for comment. </w:t>
      </w:r>
      <w:r w:rsidR="00133B48">
        <w:t>San Diego Gas &amp; Electric</w:t>
      </w:r>
      <w:r w:rsidR="0004043B">
        <w:t xml:space="preserve"> Company (SDG&amp;E</w:t>
      </w:r>
      <w:r w:rsidR="00927961">
        <w:t>)</w:t>
      </w:r>
      <w:r w:rsidR="00BC7BAF">
        <w:t>, Southern California Gas Company (SoCalGas), Southern California Edison Company (SCE)</w:t>
      </w:r>
      <w:r w:rsidR="00960CDC">
        <w:t xml:space="preserve">, and Pacific Gas and Electric Company (PG&amp;E) filed opening comments on September 8, 2025. </w:t>
      </w:r>
      <w:r w:rsidR="003A18BF">
        <w:t xml:space="preserve">Public Advocates Office at the California Public Utilities Commission (Cal Advocates), </w:t>
      </w:r>
      <w:r w:rsidR="009F635B">
        <w:t xml:space="preserve">Small Business Utility Advocates (SBUA), </w:t>
      </w:r>
      <w:r w:rsidR="00B3243C">
        <w:t xml:space="preserve">and SCE filed reply comments on </w:t>
      </w:r>
      <w:r w:rsidR="005E6DB4">
        <w:t>September 18, 2025.</w:t>
      </w:r>
    </w:p>
    <w:p w:rsidRPr="007C21DD" w:rsidR="0002461D" w:rsidP="00153813" w:rsidRDefault="00515F79" w14:paraId="792B446C" w14:textId="6E8B3FF0">
      <w:pPr>
        <w:pStyle w:val="Standard"/>
      </w:pPr>
      <w:r>
        <w:t xml:space="preserve">On April 13, 2026, </w:t>
      </w:r>
      <w:r w:rsidR="0031736A">
        <w:t>the Assigned Commissioner issued a ruling</w:t>
      </w:r>
      <w:r w:rsidR="007C5765">
        <w:t xml:space="preserve"> </w:t>
      </w:r>
      <w:r w:rsidR="00CF31EA">
        <w:t xml:space="preserve">providing questions for comment and </w:t>
      </w:r>
      <w:r w:rsidR="00C3656C">
        <w:t xml:space="preserve">entering </w:t>
      </w:r>
      <w:r w:rsidR="00EC3AC4">
        <w:t>SPD Staff’s</w:t>
      </w:r>
      <w:r w:rsidR="00176639">
        <w:t xml:space="preserve"> proposed</w:t>
      </w:r>
      <w:r w:rsidR="00EC3AC4">
        <w:t xml:space="preserve"> </w:t>
      </w:r>
      <w:r w:rsidR="00543AAA">
        <w:t xml:space="preserve">Climate Adaptation Framework </w:t>
      </w:r>
      <w:r w:rsidR="00036BC9">
        <w:t xml:space="preserve">into the record of this proceeding. </w:t>
      </w:r>
      <w:r w:rsidR="00EE4C27">
        <w:t>California Water Association (CWA),</w:t>
      </w:r>
      <w:r w:rsidR="00FA6F59">
        <w:rPr>
          <w:rStyle w:val="FootnoteReference"/>
        </w:rPr>
        <w:footnoteReference w:id="2"/>
      </w:r>
      <w:r w:rsidR="00EE4C27">
        <w:t xml:space="preserve"> </w:t>
      </w:r>
      <w:r w:rsidR="00824BBD">
        <w:t xml:space="preserve">Alpine Natural Gas Operating Company, LLC (Alpine), </w:t>
      </w:r>
      <w:r w:rsidR="004F7686">
        <w:t xml:space="preserve">PG&amp;E, SDG&amp;E, SBUA, SoCalGas, </w:t>
      </w:r>
      <w:r w:rsidR="00D226FD">
        <w:t>PacifiCorp d/b/a Pacific Power (</w:t>
      </w:r>
      <w:r w:rsidR="00B43F7D">
        <w:t>Pacifi</w:t>
      </w:r>
      <w:r w:rsidR="00D813FC">
        <w:t>Corp</w:t>
      </w:r>
      <w:r w:rsidR="00D226FD">
        <w:t>)</w:t>
      </w:r>
      <w:r w:rsidR="00D813FC">
        <w:t xml:space="preserve">, </w:t>
      </w:r>
      <w:r w:rsidR="00D34AA0">
        <w:t>SCE, and jointly Bear Valley Electric Service, Inc. (Bear Valley)</w:t>
      </w:r>
      <w:r w:rsidR="00886D2A">
        <w:t xml:space="preserve"> and</w:t>
      </w:r>
      <w:r w:rsidR="00D34AA0">
        <w:t xml:space="preserve"> </w:t>
      </w:r>
      <w:r w:rsidR="00886D2A">
        <w:t>Liberty Utilities, LLC (Liberty)</w:t>
      </w:r>
      <w:r w:rsidR="000803BD">
        <w:t>, filed opening comments</w:t>
      </w:r>
      <w:r w:rsidR="00FA62DA">
        <w:t xml:space="preserve"> by </w:t>
      </w:r>
      <w:r w:rsidR="00FA6F59">
        <w:t>May 15, 2026</w:t>
      </w:r>
      <w:r w:rsidR="000803BD">
        <w:t>. PG&amp;E</w:t>
      </w:r>
      <w:r w:rsidR="000803BD">
        <w:rPr>
          <w:rStyle w:val="FootnoteReference"/>
        </w:rPr>
        <w:footnoteReference w:id="3"/>
      </w:r>
      <w:r w:rsidR="000803BD">
        <w:t xml:space="preserve"> and SCE</w:t>
      </w:r>
      <w:r w:rsidR="00FA62DA">
        <w:rPr>
          <w:rStyle w:val="FootnoteReference"/>
        </w:rPr>
        <w:footnoteReference w:id="4"/>
      </w:r>
      <w:r w:rsidR="000803BD">
        <w:t xml:space="preserve"> filed reply comments</w:t>
      </w:r>
      <w:r w:rsidR="00325D97">
        <w:t xml:space="preserve"> by May 26, 2026</w:t>
      </w:r>
      <w:r w:rsidR="000803BD">
        <w:t>.</w:t>
      </w:r>
    </w:p>
    <w:p w:rsidR="00683B2C" w:rsidP="006F4FD4" w:rsidRDefault="00683B2C" w14:paraId="7578DD05" w14:textId="77777777">
      <w:pPr>
        <w:pStyle w:val="Heading2"/>
      </w:pPr>
      <w:bookmarkStart w:name="_Toc244073177" w:id="5"/>
      <w:r>
        <w:t>Submission Date</w:t>
      </w:r>
      <w:bookmarkEnd w:id="5"/>
    </w:p>
    <w:p w:rsidR="00683B2C" w:rsidP="00B34BC6" w:rsidRDefault="00683B2C" w14:paraId="50D1F6A3" w14:textId="0583B651">
      <w:pPr>
        <w:pStyle w:val="Standard"/>
      </w:pPr>
      <w:r w:rsidRPr="00FF0265">
        <w:t xml:space="preserve">This matter was submitted on </w:t>
      </w:r>
      <w:r w:rsidR="00EA68BB">
        <w:t>May 26, 2026</w:t>
      </w:r>
      <w:r w:rsidR="00F342E1">
        <w:t>,</w:t>
      </w:r>
      <w:r w:rsidRPr="00FF0265">
        <w:t xml:space="preserve"> upon </w:t>
      </w:r>
      <w:r w:rsidR="004E1FAB">
        <w:t xml:space="preserve">filing of reply comments on </w:t>
      </w:r>
      <w:proofErr w:type="gramStart"/>
      <w:r w:rsidR="004E1FAB">
        <w:t xml:space="preserve">the </w:t>
      </w:r>
      <w:r w:rsidR="0076538B">
        <w:t>April</w:t>
      </w:r>
      <w:proofErr w:type="gramEnd"/>
      <w:r w:rsidR="0076538B">
        <w:t xml:space="preserve"> 13, </w:t>
      </w:r>
      <w:r w:rsidR="006D2F6A">
        <w:t>2026,</w:t>
      </w:r>
      <w:r w:rsidR="00B7196A">
        <w:t xml:space="preserve"> Assigned Commissioner’s Ruling.</w:t>
      </w:r>
    </w:p>
    <w:p w:rsidR="005A148C" w:rsidP="00627CB2" w:rsidRDefault="0063491C" w14:paraId="21EF9DCA" w14:textId="46B6A25A">
      <w:pPr>
        <w:pStyle w:val="Heading1"/>
        <w:numPr>
          <w:ilvl w:val="0"/>
          <w:numId w:val="1"/>
        </w:numPr>
      </w:pPr>
      <w:bookmarkStart w:name="_Toc8123718" w:id="6"/>
      <w:bookmarkStart w:name="_Toc244073178" w:id="7"/>
      <w:r>
        <w:lastRenderedPageBreak/>
        <w:t>Jurisdiction</w:t>
      </w:r>
      <w:bookmarkEnd w:id="6"/>
      <w:bookmarkEnd w:id="7"/>
    </w:p>
    <w:p w:rsidR="004820AC" w:rsidP="004820AC" w:rsidRDefault="004820AC" w14:paraId="1A0F8356" w14:textId="2339B2CC">
      <w:pPr>
        <w:pStyle w:val="Standard"/>
        <w:rPr>
          <w:rFonts w:asciiTheme="minorHAnsi" w:hAnsiTheme="minorHAnsi"/>
          <w:sz w:val="24"/>
          <w:szCs w:val="24"/>
        </w:rPr>
      </w:pPr>
      <w:r>
        <w:t>The Commission has broad authority and jurisdiction over investor-owned public utilities, as provided in state statute, including Public Utilities (Pub. Util.) Code Sections 216, 222, 228, 399.11 through 399.31, 451, 761 784, 950 through 969.</w:t>
      </w:r>
    </w:p>
    <w:p w:rsidRPr="00806A41" w:rsidR="004820AC" w:rsidP="004820AC" w:rsidRDefault="004820AC" w14:paraId="602E4924" w14:textId="77777777">
      <w:pPr>
        <w:pStyle w:val="Standard"/>
        <w:rPr>
          <w:szCs w:val="26"/>
        </w:rPr>
      </w:pPr>
      <w:proofErr w:type="gramStart"/>
      <w:r>
        <w:t xml:space="preserve">In </w:t>
      </w:r>
      <w:r w:rsidRPr="00806A41">
        <w:rPr>
          <w:szCs w:val="26"/>
        </w:rPr>
        <w:t>particular, public</w:t>
      </w:r>
      <w:proofErr w:type="gramEnd"/>
      <w:r w:rsidRPr="00806A41">
        <w:rPr>
          <w:szCs w:val="26"/>
        </w:rPr>
        <w:t xml:space="preserve"> utilities have a responsibility to furnish and maintain service and facilities as necessary to promote public health and safety:</w:t>
      </w:r>
    </w:p>
    <w:p w:rsidRPr="00806A41" w:rsidR="004820AC" w:rsidP="00160219" w:rsidRDefault="004820AC" w14:paraId="6AB8CE2E" w14:textId="195F2C7F">
      <w:pPr>
        <w:pStyle w:val="BlockQuote0"/>
        <w:tabs>
          <w:tab w:val="left" w:pos="7920"/>
        </w:tabs>
        <w:rPr>
          <w:rFonts w:ascii="Book Antiqua" w:hAnsi="Book Antiqua"/>
          <w:sz w:val="26"/>
          <w:szCs w:val="26"/>
        </w:rPr>
      </w:pPr>
      <w:r w:rsidRPr="00806A41">
        <w:rPr>
          <w:rFonts w:ascii="Book Antiqua" w:hAnsi="Book Antiqua"/>
          <w:sz w:val="26"/>
          <w:szCs w:val="26"/>
        </w:rPr>
        <w:t>Every public utility shall furnish and maintain such adequate, efficient, just, and reasonable service, instrumentalities, equipment, and facilities… as are necessary to promote the safety, health, comfort, and convenience of its patrons, employees, and the public. (Pub. Util. Code § 451.)</w:t>
      </w:r>
    </w:p>
    <w:p w:rsidRPr="00806A41" w:rsidR="004820AC" w:rsidP="004820AC" w:rsidRDefault="004820AC" w14:paraId="4ECAAE53" w14:textId="77777777">
      <w:pPr>
        <w:pStyle w:val="Standard"/>
        <w:rPr>
          <w:szCs w:val="26"/>
        </w:rPr>
      </w:pPr>
      <w:r w:rsidRPr="00806A41">
        <w:rPr>
          <w:szCs w:val="26"/>
        </w:rPr>
        <w:t>The Commission also has broad responsibility and authority to protect public health and safety:</w:t>
      </w:r>
    </w:p>
    <w:p w:rsidRPr="00806A41" w:rsidR="004820AC" w:rsidP="00160219" w:rsidRDefault="004820AC" w14:paraId="508E8A68" w14:textId="77777777">
      <w:pPr>
        <w:pStyle w:val="BlockQuote0"/>
        <w:rPr>
          <w:rFonts w:ascii="Book Antiqua" w:hAnsi="Book Antiqua"/>
          <w:sz w:val="26"/>
          <w:szCs w:val="26"/>
        </w:rPr>
      </w:pPr>
      <w:r w:rsidRPr="00806A41">
        <w:rPr>
          <w:rFonts w:ascii="Book Antiqua" w:hAnsi="Book Antiqua"/>
          <w:sz w:val="26"/>
          <w:szCs w:val="26"/>
        </w:rPr>
        <w:t>The commission may supervise and regulate every public utility in the State and may do all things, whether specifically designated in this part or in addition thereto, which are necessary and convenient in the exercise of such power and jurisdiction.  (Pub. Util. Code § 701.)</w:t>
      </w:r>
    </w:p>
    <w:p w:rsidRPr="0063491C" w:rsidR="0063491C" w:rsidP="00511311" w:rsidRDefault="004820AC" w14:paraId="0085084E" w14:textId="40E6DA5B">
      <w:pPr>
        <w:pStyle w:val="Standard"/>
      </w:pPr>
      <w:r w:rsidRPr="00806A41">
        <w:rPr>
          <w:szCs w:val="26"/>
        </w:rPr>
        <w:t>We recognize these broad</w:t>
      </w:r>
      <w:r>
        <w:t xml:space="preserve"> authorities as we consider strategies for integrating climate change adaptation standards into our processes and those of the investor-owned utilities.</w:t>
      </w:r>
    </w:p>
    <w:p w:rsidR="005A148C" w:rsidP="00627CB2" w:rsidRDefault="005939A5" w14:paraId="0A9C5B7A" w14:textId="77777777">
      <w:pPr>
        <w:pStyle w:val="Heading1"/>
        <w:numPr>
          <w:ilvl w:val="0"/>
          <w:numId w:val="1"/>
        </w:numPr>
      </w:pPr>
      <w:bookmarkStart w:name="_Toc8123719" w:id="8"/>
      <w:bookmarkStart w:name="_Toc244073179" w:id="9"/>
      <w:r>
        <w:t xml:space="preserve">Issues Before the </w:t>
      </w:r>
      <w:bookmarkEnd w:id="8"/>
      <w:r w:rsidR="008A08BF">
        <w:t>Commission</w:t>
      </w:r>
      <w:bookmarkEnd w:id="9"/>
    </w:p>
    <w:p w:rsidR="00782D1E" w:rsidP="00A44E8D" w:rsidRDefault="00782D1E" w14:paraId="7EB9B71C" w14:textId="2F6AFCE3">
      <w:pPr>
        <w:pStyle w:val="Standard"/>
      </w:pPr>
      <w:r>
        <w:t xml:space="preserve">The issues addressed in this decision are: </w:t>
      </w:r>
    </w:p>
    <w:p w:rsidR="00B60C32" w:rsidRDefault="00D42EB8" w14:paraId="285A76CB" w14:textId="5077279D">
      <w:pPr>
        <w:pStyle w:val="ListBullet"/>
      </w:pPr>
      <w:r>
        <w:t xml:space="preserve">Task 6 of the </w:t>
      </w:r>
      <w:r w:rsidR="00A95423">
        <w:t>Assigned Commissioner’s Phase 2 Scoping Ruling:</w:t>
      </w:r>
      <w:r w:rsidR="00B60C32">
        <w:t xml:space="preserve"> </w:t>
      </w:r>
      <w:r w:rsidR="00170497">
        <w:t>Should the Commission update any General Orders to ensure the</w:t>
      </w:r>
      <w:r w:rsidR="00E6273E">
        <w:t>y</w:t>
      </w:r>
      <w:r w:rsidR="00170497">
        <w:t xml:space="preserve"> appropriately </w:t>
      </w:r>
      <w:r w:rsidR="008A0CC1">
        <w:t>address</w:t>
      </w:r>
      <w:r w:rsidR="00170497">
        <w:t xml:space="preserve"> climate adaptation needs?</w:t>
      </w:r>
      <w:r w:rsidR="00FA19CE">
        <w:t xml:space="preserve"> If so, which General Orders merit consideration? What process should be used to update them?</w:t>
      </w:r>
    </w:p>
    <w:p w:rsidR="00782D1E" w:rsidP="00B60C32" w:rsidRDefault="008A04A9" w14:paraId="73B92E70" w14:textId="175250C8">
      <w:pPr>
        <w:pStyle w:val="ListBullet"/>
      </w:pPr>
      <w:r>
        <w:t>Task 5 of the Assigned Commissioner’s Phase 2 Scoping Ruling:</w:t>
      </w:r>
      <w:r w:rsidR="00B60C32">
        <w:t xml:space="preserve"> </w:t>
      </w:r>
      <w:r w:rsidRPr="00782D1E">
        <w:t>Should the Commission consider adopting additional general strategies and guidance for climate adaptation for use by all energy utilities?</w:t>
      </w:r>
    </w:p>
    <w:p w:rsidR="00DD1904" w:rsidP="00DD1904" w:rsidRDefault="00806A41" w14:paraId="4DF4F6CF" w14:textId="61D83ECF">
      <w:pPr>
        <w:pStyle w:val="Standard"/>
      </w:pPr>
      <w:r>
        <w:lastRenderedPageBreak/>
        <w:t>T</w:t>
      </w:r>
      <w:r w:rsidR="009B6110">
        <w:t>his proceeding remains open.</w:t>
      </w:r>
    </w:p>
    <w:p w:rsidR="00453D84" w:rsidP="00627CB2" w:rsidRDefault="00453D84" w14:paraId="6EB52A89" w14:textId="77777777">
      <w:pPr>
        <w:pStyle w:val="Heading1"/>
        <w:numPr>
          <w:ilvl w:val="0"/>
          <w:numId w:val="1"/>
        </w:numPr>
      </w:pPr>
      <w:bookmarkStart w:name="_Toc244073180" w:id="10"/>
      <w:r>
        <w:t>Climate Adaptation-Related General Order Updates</w:t>
      </w:r>
      <w:bookmarkEnd w:id="10"/>
    </w:p>
    <w:p w:rsidRPr="001B11B3" w:rsidR="001B11B3" w:rsidP="00C93223" w:rsidRDefault="001B11B3" w14:paraId="1FB9B666" w14:textId="3ACF6CAA">
      <w:pPr>
        <w:pStyle w:val="Standard"/>
      </w:pPr>
      <w:proofErr w:type="gramStart"/>
      <w:r w:rsidRPr="001B11B3">
        <w:t>The June</w:t>
      </w:r>
      <w:proofErr w:type="gramEnd"/>
      <w:r w:rsidRPr="001B11B3">
        <w:t xml:space="preserve"> 2, </w:t>
      </w:r>
      <w:proofErr w:type="gramStart"/>
      <w:r w:rsidRPr="001B11B3">
        <w:t>2023</w:t>
      </w:r>
      <w:proofErr w:type="gramEnd"/>
      <w:r w:rsidRPr="001B11B3">
        <w:t xml:space="preserve"> Assigned Commissioner’s Phase 2 Scoping Memo and Ruling identified Phase 2, Task </w:t>
      </w:r>
      <w:r w:rsidR="008D3D3D">
        <w:t>6 to consider modifications or additions to the Commission’s General Orders (GO)</w:t>
      </w:r>
      <w:r w:rsidR="00527737">
        <w:t xml:space="preserve"> to address climate adaptation. </w:t>
      </w:r>
      <w:r w:rsidRPr="00926F95" w:rsidR="00926F95">
        <w:t xml:space="preserve">As discussed further throughout this decision, while we decline to adopt changes to General Orders, per Task 6, we do apply other strategies to further incorporate climate adaptation policy into utility application and review processes.  </w:t>
      </w:r>
    </w:p>
    <w:p w:rsidR="004F5D16" w:rsidP="006F4FD4" w:rsidRDefault="00453D84" w14:paraId="38A7D79A" w14:textId="18A49B40">
      <w:pPr>
        <w:pStyle w:val="Heading2"/>
      </w:pPr>
      <w:bookmarkStart w:name="_Toc244073181" w:id="11"/>
      <w:r>
        <w:t xml:space="preserve">Party </w:t>
      </w:r>
      <w:r w:rsidR="002571A9">
        <w:t>Comments</w:t>
      </w:r>
      <w:bookmarkEnd w:id="11"/>
    </w:p>
    <w:p w:rsidR="0028291A" w:rsidP="0028291A" w:rsidRDefault="003162C4" w14:paraId="7AAA73B9" w14:textId="338832AC">
      <w:pPr>
        <w:pStyle w:val="Standard"/>
      </w:pPr>
      <w:proofErr w:type="gramStart"/>
      <w:r>
        <w:t>The August</w:t>
      </w:r>
      <w:proofErr w:type="gramEnd"/>
      <w:r>
        <w:t xml:space="preserve"> 18, 2025, Assigned Commissioner’s Ruling</w:t>
      </w:r>
      <w:r w:rsidR="00DB00EE">
        <w:t xml:space="preserve"> </w:t>
      </w:r>
      <w:r w:rsidR="009459A6">
        <w:t>stated that the goal of Task 6</w:t>
      </w:r>
      <w:r w:rsidR="00301644">
        <w:t xml:space="preserve"> is to adequately incorporate climate adaptation considerations into energy utility planning processes and safety requirements for electrical infrastructure and equipment to improve ratepayer safety, reliability, and resilience while having positive or neutral impacts on ratepayer affordability. It further asks </w:t>
      </w:r>
      <w:r w:rsidR="00D5260C">
        <w:t xml:space="preserve">whether modifying existing GOs is the most effective mechanism for achieving this goal and, if so, which </w:t>
      </w:r>
      <w:r w:rsidR="00EA5F4B">
        <w:t>GOs are most important to modify to achieve this goal.</w:t>
      </w:r>
      <w:r w:rsidR="00FE0273">
        <w:t xml:space="preserve"> </w:t>
      </w:r>
      <w:r w:rsidR="00B5419C">
        <w:t>Overall, n</w:t>
      </w:r>
      <w:r w:rsidR="00FE0273">
        <w:t xml:space="preserve">o parties are strongly opposed </w:t>
      </w:r>
      <w:r w:rsidR="00356C36">
        <w:t>or strongly support</w:t>
      </w:r>
      <w:r w:rsidR="006063B9">
        <w:t>ive of</w:t>
      </w:r>
      <w:r w:rsidR="00FE0273">
        <w:t xml:space="preserve"> modifying </w:t>
      </w:r>
      <w:r w:rsidR="00A74CE6">
        <w:t xml:space="preserve">GOs or creating a standalone </w:t>
      </w:r>
      <w:r w:rsidR="00B5419C">
        <w:t>Climate Adaptation GO.</w:t>
      </w:r>
    </w:p>
    <w:p w:rsidR="00EA5F4B" w:rsidP="0028291A" w:rsidRDefault="00D47105" w14:paraId="6E4EFBD7" w14:textId="769266EB">
      <w:pPr>
        <w:pStyle w:val="Standard"/>
      </w:pPr>
      <w:r>
        <w:t xml:space="preserve">SDG&amp;E </w:t>
      </w:r>
      <w:r w:rsidR="00B630DA">
        <w:t xml:space="preserve">asserts that </w:t>
      </w:r>
      <w:r w:rsidR="00B54A49">
        <w:t xml:space="preserve">the CAVA framework, process, and cadence are sufficient for providing immediate guidance on </w:t>
      </w:r>
      <w:r w:rsidR="00CD4DA5">
        <w:t xml:space="preserve">near-term </w:t>
      </w:r>
      <w:r w:rsidR="00E442C8">
        <w:t>climate-related decisions but notes that a dedicated Climate Adaptation GO could enhance CAVAs by offering long-term consistency across the state and help guide climate resilience investments.</w:t>
      </w:r>
      <w:r w:rsidR="008F40FA">
        <w:rPr>
          <w:rStyle w:val="FootnoteReference"/>
        </w:rPr>
        <w:footnoteReference w:id="5"/>
      </w:r>
      <w:r w:rsidR="00E442C8">
        <w:t xml:space="preserve"> SDG&amp;E</w:t>
      </w:r>
      <w:r w:rsidR="008F40FA">
        <w:t xml:space="preserve"> recommends piloting updates to individual GOs through a single GO first</w:t>
      </w:r>
      <w:r w:rsidR="0027690C">
        <w:t xml:space="preserve">. </w:t>
      </w:r>
      <w:r w:rsidR="00D14F82">
        <w:t xml:space="preserve">If the Commission were to update GOs, </w:t>
      </w:r>
      <w:r w:rsidR="003C1DD2">
        <w:t xml:space="preserve">SDG&amp;E </w:t>
      </w:r>
      <w:r w:rsidR="003C1DD2">
        <w:lastRenderedPageBreak/>
        <w:t>recommends GOs 165, 128, 95, and 166</w:t>
      </w:r>
      <w:r w:rsidR="00166233">
        <w:t xml:space="preserve"> for updating to incorporate climate adaptation</w:t>
      </w:r>
      <w:r w:rsidR="00D058A2">
        <w:t xml:space="preserve"> needs</w:t>
      </w:r>
      <w:r w:rsidR="00166233">
        <w:t>.</w:t>
      </w:r>
      <w:r w:rsidR="008D1DA7">
        <w:rPr>
          <w:rStyle w:val="FootnoteReference"/>
        </w:rPr>
        <w:footnoteReference w:id="6"/>
      </w:r>
      <w:r w:rsidR="00166233">
        <w:t xml:space="preserve"> </w:t>
      </w:r>
      <w:r w:rsidR="0027690C">
        <w:t>Cal Advocates</w:t>
      </w:r>
      <w:r w:rsidR="00776164">
        <w:t xml:space="preserve"> supports </w:t>
      </w:r>
      <w:r w:rsidR="00BF1BED">
        <w:t>SDG&amp;E’s recommendation</w:t>
      </w:r>
      <w:r w:rsidR="00A82B4B">
        <w:t>s to</w:t>
      </w:r>
      <w:r w:rsidR="00BF1BED">
        <w:t xml:space="preserve"> </w:t>
      </w:r>
      <w:r w:rsidR="00117743">
        <w:t xml:space="preserve">pilot updating GOs by first revising a single GO as well as </w:t>
      </w:r>
      <w:r w:rsidR="00EF5C61">
        <w:t>SDG&amp;E’s position that a dedicated Climate Adaptation GO could enhance CAVAs</w:t>
      </w:r>
      <w:r w:rsidR="0027690C">
        <w:t>.</w:t>
      </w:r>
      <w:r w:rsidR="0027690C">
        <w:rPr>
          <w:rStyle w:val="FootnoteReference"/>
        </w:rPr>
        <w:footnoteReference w:id="7"/>
      </w:r>
      <w:r w:rsidR="00493FD8">
        <w:t xml:space="preserve"> SBUA also supports SDG&amp;E’s approach</w:t>
      </w:r>
      <w:r w:rsidR="008C2FC9">
        <w:t>.</w:t>
      </w:r>
      <w:r w:rsidR="00BB453D">
        <w:rPr>
          <w:rStyle w:val="FootnoteReference"/>
        </w:rPr>
        <w:footnoteReference w:id="8"/>
      </w:r>
    </w:p>
    <w:p w:rsidR="00D14F82" w:rsidP="0028291A" w:rsidRDefault="00925C3E" w14:paraId="618B2B70" w14:textId="02AB7CEA">
      <w:pPr>
        <w:pStyle w:val="Standard"/>
      </w:pPr>
      <w:r>
        <w:t xml:space="preserve">SCE does not identify any </w:t>
      </w:r>
      <w:r w:rsidR="007C04B1">
        <w:t>specific modifications to GOs that are necessary to ensure safety, reliability, and resilience and re</w:t>
      </w:r>
      <w:r w:rsidR="004F0D19">
        <w:t xml:space="preserve">commends that any discussion about GOs be aligned with the groundwork already laid by CAVAs and </w:t>
      </w:r>
      <w:r w:rsidR="00355E71">
        <w:t>RAMPs</w:t>
      </w:r>
      <w:r w:rsidR="0004392F">
        <w:t>. SCE further notes that GOs provide a baselin</w:t>
      </w:r>
      <w:r w:rsidR="009A70EA">
        <w:t>e for design standards but SCE also considers industry standards</w:t>
      </w:r>
      <w:r w:rsidR="00596DC3">
        <w:t xml:space="preserve"> that may result in it </w:t>
      </w:r>
      <w:r w:rsidR="005F68B5">
        <w:t>going beyond the GO benchmark.</w:t>
      </w:r>
      <w:r w:rsidR="00F85816">
        <w:rPr>
          <w:rStyle w:val="FootnoteReference"/>
        </w:rPr>
        <w:footnoteReference w:id="9"/>
      </w:r>
      <w:r w:rsidR="002C2B0F">
        <w:t xml:space="preserve"> SCE asserts that</w:t>
      </w:r>
      <w:r w:rsidR="000D395C">
        <w:t xml:space="preserve"> </w:t>
      </w:r>
      <w:r w:rsidR="002C2B0F">
        <w:t>GOs should not be modified where it is more effective to incorporate climate projections in complementary planning processes or internal standards</w:t>
      </w:r>
      <w:r w:rsidR="000D395C">
        <w:t xml:space="preserve"> </w:t>
      </w:r>
      <w:r w:rsidR="00EB38D1">
        <w:t>but</w:t>
      </w:r>
      <w:r w:rsidR="000D395C">
        <w:t xml:space="preserve"> that GOs should be modified where they reference out-of-date dat</w:t>
      </w:r>
      <w:r w:rsidR="009946B4">
        <w:t>a that should be updated with new climate-informed information</w:t>
      </w:r>
      <w:r w:rsidR="003F3DE7">
        <w:t xml:space="preserve"> (e.g., where historical exposure data is used to guide design decisions today)</w:t>
      </w:r>
      <w:r w:rsidR="009946B4">
        <w:t>.</w:t>
      </w:r>
      <w:r w:rsidR="009946B4">
        <w:rPr>
          <w:rStyle w:val="FootnoteReference"/>
        </w:rPr>
        <w:footnoteReference w:id="10"/>
      </w:r>
    </w:p>
    <w:p w:rsidRPr="0028291A" w:rsidR="003F3DE7" w:rsidP="0028291A" w:rsidRDefault="00245E46" w14:paraId="47F60B6A" w14:textId="2CF00F8A">
      <w:pPr>
        <w:pStyle w:val="Standard"/>
      </w:pPr>
      <w:r>
        <w:t xml:space="preserve">PG&amp;E sees modifying GOs as a potentially useful tool </w:t>
      </w:r>
      <w:r w:rsidR="00807444">
        <w:t>but recommends against it be</w:t>
      </w:r>
      <w:r w:rsidR="008E7A64">
        <w:t>ing</w:t>
      </w:r>
      <w:r w:rsidR="00807444">
        <w:t xml:space="preserve"> the primary or sole mechanism for achieving the Task 6 goal.</w:t>
      </w:r>
      <w:r w:rsidR="008E7A64">
        <w:t xml:space="preserve"> PG&amp;E does not identify any GOs that might be relevant </w:t>
      </w:r>
      <w:r w:rsidR="00635217">
        <w:t xml:space="preserve">to the present </w:t>
      </w:r>
      <w:r w:rsidR="00635217">
        <w:lastRenderedPageBreak/>
        <w:t>proceeding.</w:t>
      </w:r>
      <w:r w:rsidR="00635217">
        <w:rPr>
          <w:rStyle w:val="FootnoteReference"/>
        </w:rPr>
        <w:footnoteReference w:id="11"/>
      </w:r>
      <w:r w:rsidR="00817873">
        <w:t xml:space="preserve"> PG&amp;E </w:t>
      </w:r>
      <w:r w:rsidR="00724505">
        <w:t xml:space="preserve">notes that </w:t>
      </w:r>
      <w:r w:rsidR="00874F9E">
        <w:t>it is making progress on the Task 6 goal through the existing CAVA process.</w:t>
      </w:r>
      <w:r w:rsidR="00874F9E">
        <w:rPr>
          <w:rStyle w:val="FootnoteReference"/>
        </w:rPr>
        <w:footnoteReference w:id="12"/>
      </w:r>
    </w:p>
    <w:p w:rsidR="008A04A9" w:rsidP="00534E80" w:rsidRDefault="008A04A9" w14:paraId="1732DA2E" w14:textId="141A32D1">
      <w:pPr>
        <w:pStyle w:val="Heading2"/>
      </w:pPr>
      <w:bookmarkStart w:name="_Toc244073182" w:id="12"/>
      <w:r>
        <w:t xml:space="preserve">Discussion </w:t>
      </w:r>
      <w:r w:rsidR="008B43A6">
        <w:t xml:space="preserve">on </w:t>
      </w:r>
      <w:r>
        <w:t>Whether the Commission Should Update Any General Orders to Ensure they Appropriately Address Climate Adaptation Needs</w:t>
      </w:r>
      <w:bookmarkEnd w:id="12"/>
      <w:r>
        <w:t xml:space="preserve"> </w:t>
      </w:r>
    </w:p>
    <w:p w:rsidR="00AB789E" w:rsidP="008A04A9" w:rsidRDefault="00482279" w14:paraId="526F04DD" w14:textId="77777777">
      <w:pPr>
        <w:pStyle w:val="Standard"/>
      </w:pPr>
      <w:r>
        <w:t xml:space="preserve">We consider </w:t>
      </w:r>
      <w:r w:rsidR="00795DB7">
        <w:t xml:space="preserve">here </w:t>
      </w:r>
      <w:r w:rsidR="002C4104">
        <w:t xml:space="preserve">two questions. First, we consider </w:t>
      </w:r>
      <w:r w:rsidR="00795DB7">
        <w:t>whether the Commission should update any GOs to ensure they appropriately address climate adaptation needs</w:t>
      </w:r>
      <w:r w:rsidR="009B5D3A">
        <w:t>. S</w:t>
      </w:r>
      <w:r w:rsidR="00795DB7">
        <w:t>pecifically,</w:t>
      </w:r>
      <w:r w:rsidR="009B5D3A">
        <w:t xml:space="preserve"> we</w:t>
      </w:r>
      <w:r w:rsidR="00AB789E">
        <w:t xml:space="preserve"> examine</w:t>
      </w:r>
      <w:r w:rsidR="00795DB7">
        <w:t xml:space="preserve"> the stated goal of ensuring adequate incorporation of climate adaptation considerations into energy utility planning a</w:t>
      </w:r>
      <w:r w:rsidR="009B5D3A">
        <w:t>nd processes to improve ratepayer safety, reliability, and resilience while having a positive or neutral impact on ratepayer affordability.</w:t>
      </w:r>
      <w:r w:rsidR="00AB789E">
        <w:t xml:space="preserve"> Second, we consider whether a standalone Climate Adaptation GO would effectively address this goal.</w:t>
      </w:r>
      <w:r w:rsidR="009B5D3A">
        <w:t xml:space="preserve"> </w:t>
      </w:r>
    </w:p>
    <w:p w:rsidR="008A04A9" w:rsidP="008A04A9" w:rsidRDefault="008A04A9" w14:paraId="14E8CFA9" w14:textId="1EDB289D">
      <w:pPr>
        <w:pStyle w:val="Standard"/>
      </w:pPr>
      <w:r>
        <w:t>As noted in Section 4</w:t>
      </w:r>
      <w:r w:rsidR="00453D84">
        <w:t>.1</w:t>
      </w:r>
      <w:r>
        <w:t xml:space="preserve">, no party strongly opposes direct modifications of individual GOs to incorporate climate adaptation needs or a standalone Climate Adaptation GO. </w:t>
      </w:r>
      <w:r w:rsidRPr="00EB24A0">
        <w:t>IOUs</w:t>
      </w:r>
      <w:r w:rsidRPr="00934871">
        <w:t>,</w:t>
      </w:r>
      <w:r w:rsidRPr="00EB24A0">
        <w:t xml:space="preserve"> however</w:t>
      </w:r>
      <w:r w:rsidRPr="00934871">
        <w:t>,</w:t>
      </w:r>
      <w:r w:rsidRPr="00EB24A0">
        <w:t xml:space="preserve"> argue</w:t>
      </w:r>
      <w:r>
        <w:t xml:space="preserve"> that modifying GOs would be burdensome and in some cases may be redundant with current utility practices. The goal of modifying GOs was to address low impact and immediate opportunities as it relates to climate adaptation. This could mean that when building new infrastructure, a utility is also taking into consideration the risks of climate change and thus reducing the need to do so </w:t>
      </w:r>
      <w:proofErr w:type="gramStart"/>
      <w:r>
        <w:t>at a later date</w:t>
      </w:r>
      <w:proofErr w:type="gramEnd"/>
      <w:r>
        <w:t xml:space="preserve">. However, based on comments it is clear there are unknown risks with modifying GOs, including risks of redundancy that could result in unnecessary additional costs or other inefficiencies. As such, we do not find that at this time there is sufficient </w:t>
      </w:r>
      <w:r>
        <w:lastRenderedPageBreak/>
        <w:t xml:space="preserve">evidence to support that modifying several GOs would improve climate adaptation’s incorporation into infrastructure planning and safety processes. </w:t>
      </w:r>
    </w:p>
    <w:p w:rsidR="008A04A9" w:rsidP="008A04A9" w:rsidRDefault="008A04A9" w14:paraId="42733BAB" w14:textId="2CE46BF4">
      <w:pPr>
        <w:pStyle w:val="Standard"/>
      </w:pPr>
      <w:r>
        <w:t xml:space="preserve">We agree, in principle, with an incremental approach </w:t>
      </w:r>
      <w:proofErr w:type="gramStart"/>
      <w:r>
        <w:t>similar to</w:t>
      </w:r>
      <w:proofErr w:type="gramEnd"/>
      <w:r>
        <w:t xml:space="preserve"> that suggested by SDG&amp;E.</w:t>
      </w:r>
      <w:r>
        <w:rPr>
          <w:rStyle w:val="FootnoteReference"/>
        </w:rPr>
        <w:footnoteReference w:id="13"/>
      </w:r>
      <w:r>
        <w:t xml:space="preserve"> There are merits to piloting changes to GOs before modifying several individual GOs, as the impact to utility planning and building could be evaluated through this incremental implementation. Specifically, the impact to cost, affordability, and infrastructure resiliency could be monitored prior to broader GO changes. </w:t>
      </w:r>
      <w:r w:rsidR="00E63AB7">
        <w:t>W</w:t>
      </w:r>
      <w:r>
        <w:t>e also find that it is premature to develop a standalone Climate Adaptation GO as a pilot. Given changes to the timing of CAVA filings in D.24-08-005</w:t>
      </w:r>
      <w:r>
        <w:rPr>
          <w:rStyle w:val="FootnoteReference"/>
        </w:rPr>
        <w:footnoteReference w:id="14"/>
      </w:r>
      <w:r>
        <w:t xml:space="preserve"> that were intended to allow for the incorporation of climate adaptation vulnerability considerations into RAMP filings, and subsequent GRC filings, it is premature to modify specific GOs or develop a standalone Climate Adaptation GO before assessing how effective these CAVA filing changes are. </w:t>
      </w:r>
    </w:p>
    <w:p w:rsidR="00996BF2" w:rsidP="00627CB2" w:rsidRDefault="00E01E1B" w14:paraId="5845FF0A" w14:textId="7DE49FB7">
      <w:pPr>
        <w:pStyle w:val="Heading1"/>
        <w:numPr>
          <w:ilvl w:val="0"/>
          <w:numId w:val="1"/>
        </w:numPr>
      </w:pPr>
      <w:bookmarkStart w:name="_Toc244073183" w:id="13"/>
      <w:r>
        <w:t>Climate Adaptation Framework</w:t>
      </w:r>
      <w:bookmarkEnd w:id="13"/>
    </w:p>
    <w:p w:rsidR="008E16BD" w:rsidP="008E16BD" w:rsidRDefault="00E22210" w14:paraId="05A484BF" w14:textId="30D739B4">
      <w:pPr>
        <w:pStyle w:val="Standard"/>
      </w:pPr>
      <w:r>
        <w:t>SPD</w:t>
      </w:r>
      <w:r w:rsidR="005959A5">
        <w:t xml:space="preserve">, in its </w:t>
      </w:r>
      <w:r w:rsidR="79D6A4FB">
        <w:t xml:space="preserve">proposed </w:t>
      </w:r>
      <w:r w:rsidR="005959A5">
        <w:t>Climate Adaptation Framework (the Framework)</w:t>
      </w:r>
      <w:r w:rsidR="001A313E">
        <w:t xml:space="preserve"> issued with the April 13, 2026, Assigned Commissioner’s Ruling</w:t>
      </w:r>
      <w:r w:rsidR="005959A5">
        <w:t>,</w:t>
      </w:r>
      <w:r>
        <w:t xml:space="preserve"> </w:t>
      </w:r>
      <w:r w:rsidR="00A3439C">
        <w:t>asserts</w:t>
      </w:r>
      <w:r>
        <w:t xml:space="preserve"> that </w:t>
      </w:r>
      <w:r w:rsidR="00940D9A">
        <w:t xml:space="preserve">the scale, complexity, uncertainty, and interdependencies of climate change </w:t>
      </w:r>
      <w:r w:rsidR="000E256A">
        <w:t>necessitate</w:t>
      </w:r>
      <w:r w:rsidR="00940D9A">
        <w:t xml:space="preserve"> establishing a uniform collection of information and data on the use of climate </w:t>
      </w:r>
      <w:r w:rsidR="00A3439C">
        <w:t>adaptation hazard and risk requirements established by the Commission.</w:t>
      </w:r>
      <w:r w:rsidR="000E256A">
        <w:t xml:space="preserve"> To address this need, </w:t>
      </w:r>
      <w:r w:rsidR="004864E5">
        <w:t xml:space="preserve">which addresses issue 5 Task 2 in the Amended Scoping Ruling, </w:t>
      </w:r>
      <w:r w:rsidR="000E256A">
        <w:t xml:space="preserve">SPD developed the </w:t>
      </w:r>
      <w:r w:rsidR="004864E5">
        <w:t xml:space="preserve">Climate Adaptation </w:t>
      </w:r>
      <w:r w:rsidR="000E256A">
        <w:t xml:space="preserve">Framework. </w:t>
      </w:r>
      <w:r w:rsidR="005F4E71">
        <w:t xml:space="preserve">SPD examined </w:t>
      </w:r>
      <w:r w:rsidR="00500534">
        <w:t>existing regulatory requirements</w:t>
      </w:r>
      <w:r w:rsidR="004A59B8">
        <w:t xml:space="preserve"> through an</w:t>
      </w:r>
      <w:r w:rsidR="008F3E93">
        <w:t xml:space="preserve"> analysis</w:t>
      </w:r>
      <w:r w:rsidR="00326FF9">
        <w:t xml:space="preserve"> of existing </w:t>
      </w:r>
      <w:r w:rsidR="00326FF9">
        <w:lastRenderedPageBreak/>
        <w:t>GOs</w:t>
      </w:r>
      <w:r w:rsidR="0040416B">
        <w:t>, Commission decisions, and workshop</w:t>
      </w:r>
      <w:r w:rsidR="002B7E06">
        <w:t xml:space="preserve"> participation materials, among other</w:t>
      </w:r>
      <w:r w:rsidR="00091156">
        <w:t xml:space="preserve"> sources</w:t>
      </w:r>
      <w:r w:rsidR="00EC3E7E">
        <w:t xml:space="preserve">. </w:t>
      </w:r>
      <w:r w:rsidR="00BB54F3">
        <w:t xml:space="preserve">Using a screening process to </w:t>
      </w:r>
      <w:r w:rsidR="006A6462">
        <w:t xml:space="preserve">identify GOs that could be modified to better account </w:t>
      </w:r>
      <w:r w:rsidR="00F2616F">
        <w:t>for a changing climate and</w:t>
      </w:r>
      <w:r w:rsidR="003C6405">
        <w:t xml:space="preserve"> common policy themes, SPD</w:t>
      </w:r>
      <w:r w:rsidR="00F2616F">
        <w:t xml:space="preserve"> </w:t>
      </w:r>
      <w:r w:rsidR="00A90C99">
        <w:t>developed</w:t>
      </w:r>
      <w:r w:rsidR="00D404ED">
        <w:t xml:space="preserve"> </w:t>
      </w:r>
      <w:r w:rsidR="00471243">
        <w:t xml:space="preserve">five </w:t>
      </w:r>
      <w:r w:rsidR="008E16BD">
        <w:t xml:space="preserve">climate adaptation policy areas: </w:t>
      </w:r>
    </w:p>
    <w:p w:rsidR="008E16BD" w:rsidP="00806A41" w:rsidRDefault="008E16BD" w14:paraId="308C80FA" w14:textId="6AE009E4">
      <w:pPr>
        <w:pStyle w:val="ListNum"/>
        <w:numPr>
          <w:ilvl w:val="0"/>
          <w:numId w:val="19"/>
        </w:numPr>
        <w:ind w:left="1080" w:right="1440"/>
      </w:pPr>
      <w:r w:rsidRPr="00CA21DA">
        <w:rPr>
          <w:b/>
          <w:bCs/>
        </w:rPr>
        <w:t>Repetitive Loss and Failure</w:t>
      </w:r>
      <w:r w:rsidR="00955F82">
        <w:t>: the recurring damage, failure, or service disruption impacting the same utility asset over time</w:t>
      </w:r>
      <w:r w:rsidR="002B19D1">
        <w:t xml:space="preserve">, typically driven by persistent or worsening underlying conditions. This can </w:t>
      </w:r>
      <w:r w:rsidR="00CA21DA">
        <w:t>also include the loss, degradation, or unsafe operation of a utility system that prevents it from performing its intended function in compliance with Commission safety, reliability, and service standards.</w:t>
      </w:r>
    </w:p>
    <w:p w:rsidR="008E16BD" w:rsidP="00806A41" w:rsidRDefault="008E16BD" w14:paraId="0D6DF538" w14:textId="0BFDE0CC">
      <w:pPr>
        <w:pStyle w:val="ListNum"/>
        <w:numPr>
          <w:ilvl w:val="0"/>
          <w:numId w:val="19"/>
        </w:numPr>
        <w:ind w:left="1080" w:right="1440"/>
      </w:pPr>
      <w:r w:rsidRPr="00A20190">
        <w:rPr>
          <w:b/>
          <w:bCs/>
        </w:rPr>
        <w:t>Site Selection</w:t>
      </w:r>
      <w:r w:rsidR="00CA21DA">
        <w:t xml:space="preserve">: </w:t>
      </w:r>
      <w:r w:rsidR="00F95B96">
        <w:t xml:space="preserve">the process by which locations for utility infrastructure projects are identified, evaluated, and approved to ensure they </w:t>
      </w:r>
      <w:r w:rsidR="00A20190">
        <w:t>are safe, cost-effective, and consistent with Commission policy and regulations.</w:t>
      </w:r>
    </w:p>
    <w:p w:rsidR="008E16BD" w:rsidP="00806A41" w:rsidRDefault="008E16BD" w14:paraId="20C6A4C7" w14:textId="22BD8311">
      <w:pPr>
        <w:pStyle w:val="ListNum"/>
        <w:numPr>
          <w:ilvl w:val="0"/>
          <w:numId w:val="19"/>
        </w:numPr>
        <w:ind w:left="1080" w:right="1440"/>
      </w:pPr>
      <w:r w:rsidRPr="008D3E06">
        <w:rPr>
          <w:b/>
          <w:bCs/>
        </w:rPr>
        <w:t>Design and Engineering</w:t>
      </w:r>
      <w:r w:rsidR="00A20190">
        <w:t xml:space="preserve">: the physical modification, replacement, or new construction of utility infrastructure regulated </w:t>
      </w:r>
      <w:r w:rsidR="008D3E06">
        <w:t>by the Commission. This can also refer to the substantial rebuilding, replacement, or reconfiguration of existing infrastructure.</w:t>
      </w:r>
    </w:p>
    <w:p w:rsidR="008E16BD" w:rsidP="00806A41" w:rsidRDefault="008E16BD" w14:paraId="73378887" w14:textId="45B4F913">
      <w:pPr>
        <w:pStyle w:val="ListNum"/>
        <w:numPr>
          <w:ilvl w:val="0"/>
          <w:numId w:val="19"/>
        </w:numPr>
        <w:ind w:left="1080" w:right="1440"/>
      </w:pPr>
      <w:r w:rsidRPr="00806A41">
        <w:rPr>
          <w:b/>
          <w:bCs/>
        </w:rPr>
        <w:t>Equipment Tolerance</w:t>
      </w:r>
      <w:r w:rsidRPr="00806A41" w:rsidR="008D3E06">
        <w:rPr>
          <w:b/>
          <w:bCs/>
        </w:rPr>
        <w:t xml:space="preserve">: </w:t>
      </w:r>
      <w:r w:rsidRPr="00416AB4" w:rsidR="000468D6">
        <w:t>the</w:t>
      </w:r>
      <w:r w:rsidRPr="007771D9" w:rsidR="000468D6">
        <w:t xml:space="preserve"> ability</w:t>
      </w:r>
      <w:r w:rsidR="000468D6">
        <w:t xml:space="preserve"> of utility equipment to safely and reliably perform within specified physical, electrical, mechanical, and environmental limits</w:t>
      </w:r>
      <w:r w:rsidR="00244E71">
        <w:t xml:space="preserve"> over its intended service life, especially during </w:t>
      </w:r>
      <w:r w:rsidR="00946403">
        <w:t xml:space="preserve">the </w:t>
      </w:r>
      <w:r w:rsidR="00244E71">
        <w:t>extreme events</w:t>
      </w:r>
      <w:r w:rsidR="00946403">
        <w:t xml:space="preserve"> anticipated under a changing climate</w:t>
      </w:r>
      <w:r w:rsidR="00244E71">
        <w:t>.</w:t>
      </w:r>
    </w:p>
    <w:p w:rsidR="00DF3951" w:rsidP="00806A41" w:rsidRDefault="008E16BD" w14:paraId="3C405EC4" w14:textId="77777777">
      <w:pPr>
        <w:pStyle w:val="ListNum"/>
        <w:numPr>
          <w:ilvl w:val="0"/>
          <w:numId w:val="19"/>
        </w:numPr>
        <w:ind w:left="1080" w:right="1440"/>
      </w:pPr>
      <w:r w:rsidRPr="00806A41">
        <w:rPr>
          <w:b/>
          <w:bCs/>
        </w:rPr>
        <w:t>Climate Risk Modeling</w:t>
      </w:r>
      <w:r w:rsidRPr="00806A41" w:rsidR="00946403">
        <w:rPr>
          <w:b/>
          <w:bCs/>
        </w:rPr>
        <w:t>:</w:t>
      </w:r>
      <w:r w:rsidR="00946403">
        <w:t xml:space="preserve"> the science-based methods that utilities and regulators use to identify, evaluate, and manage risks to regulated infrastructure and operations arising from current and projected climate conditions.</w:t>
      </w:r>
      <w:r w:rsidR="00BA4877">
        <w:t xml:space="preserve"> This includes modeling climate risks, assessing asset exposure and vulnerability, estimating the likelihood</w:t>
      </w:r>
      <w:r w:rsidR="00B040BE">
        <w:t xml:space="preserve"> and consequences of hazards, and integrating these results into planning, inspections, maintenance, reconstruction, and emergency preparedness</w:t>
      </w:r>
      <w:r w:rsidR="00DF3951">
        <w:t>.</w:t>
      </w:r>
    </w:p>
    <w:p w:rsidR="00D50907" w:rsidP="00DF3951" w:rsidRDefault="000C1352" w14:paraId="4A9BEF25" w14:textId="20573D73">
      <w:pPr>
        <w:pStyle w:val="ListNum"/>
        <w:numPr>
          <w:ilvl w:val="0"/>
          <w:numId w:val="0"/>
        </w:numPr>
        <w:spacing w:line="360" w:lineRule="auto"/>
        <w:ind w:firstLine="720"/>
      </w:pPr>
      <w:r>
        <w:lastRenderedPageBreak/>
        <w:t>Using these five policy areas</w:t>
      </w:r>
      <w:r w:rsidR="00751FFB">
        <w:t xml:space="preserve"> SPD proposes a three</w:t>
      </w:r>
      <w:r w:rsidR="0017744C">
        <w:t>-</w:t>
      </w:r>
      <w:r w:rsidR="00751FFB">
        <w:t xml:space="preserve">step process, </w:t>
      </w:r>
      <w:r w:rsidR="009D1873">
        <w:t>described</w:t>
      </w:r>
      <w:r w:rsidR="002B7E06">
        <w:t xml:space="preserve"> </w:t>
      </w:r>
      <w:r w:rsidR="00DF3951">
        <w:t xml:space="preserve">below, </w:t>
      </w:r>
      <w:r w:rsidR="00C87936">
        <w:t xml:space="preserve">to apply to all </w:t>
      </w:r>
      <w:r w:rsidR="0090769D">
        <w:t>applications</w:t>
      </w:r>
      <w:r w:rsidR="00CE34A7">
        <w:t xml:space="preserve"> </w:t>
      </w:r>
      <w:r w:rsidR="002C35F8">
        <w:t>or filings</w:t>
      </w:r>
      <w:r w:rsidR="00790794">
        <w:t xml:space="preserve"> </w:t>
      </w:r>
      <w:r w:rsidR="00EA5AB3">
        <w:t xml:space="preserve">filed </w:t>
      </w:r>
      <w:r w:rsidR="000835A2">
        <w:t>before</w:t>
      </w:r>
      <w:r w:rsidR="00790794">
        <w:t xml:space="preserve"> the Commission</w:t>
      </w:r>
      <w:r w:rsidR="0090769D">
        <w:t xml:space="preserve"> related to infrastructure planning, construction, maintenance, and risk management</w:t>
      </w:r>
      <w:r w:rsidR="00AC2F91">
        <w:t>;</w:t>
      </w:r>
      <w:r w:rsidR="008B23BE">
        <w:t xml:space="preserve"> including, but not limited to, application</w:t>
      </w:r>
      <w:r w:rsidR="0015664E">
        <w:t>s</w:t>
      </w:r>
      <w:r w:rsidR="008B23BE">
        <w:t xml:space="preserve"> filed pursuant to GO 131-E</w:t>
      </w:r>
      <w:r w:rsidR="006D5D0A">
        <w:t xml:space="preserve">, GO 177, and emergency response </w:t>
      </w:r>
      <w:r w:rsidR="00DB7736">
        <w:t>filings pursuant to GO 166 and D.21-06-034</w:t>
      </w:r>
      <w:r w:rsidR="00AC1C0A">
        <w:t xml:space="preserve">, filed </w:t>
      </w:r>
      <w:r w:rsidR="003A207F">
        <w:t xml:space="preserve">with the Commission </w:t>
      </w:r>
      <w:r w:rsidR="00AC1C0A">
        <w:t xml:space="preserve">by energy </w:t>
      </w:r>
      <w:r w:rsidR="003A207F">
        <w:t>IOUs.</w:t>
      </w:r>
      <w:r w:rsidR="00146144">
        <w:t xml:space="preserve"> SPD </w:t>
      </w:r>
      <w:r w:rsidR="00684E48">
        <w:t>proposes that the three-step process be implemented as guidance</w:t>
      </w:r>
      <w:r w:rsidR="006F22B9">
        <w:t xml:space="preserve"> (i.e., as optional)</w:t>
      </w:r>
      <w:r w:rsidR="00684E48">
        <w:t xml:space="preserve"> and not a</w:t>
      </w:r>
      <w:r w:rsidR="006F22B9">
        <w:t xml:space="preserve"> </w:t>
      </w:r>
      <w:r w:rsidR="00684E48">
        <w:t>requirement.</w:t>
      </w:r>
    </w:p>
    <w:p w:rsidR="009763AD" w:rsidP="00AC2F91" w:rsidRDefault="009763AD" w14:paraId="0468FDCC" w14:textId="42CB647F">
      <w:pPr>
        <w:pStyle w:val="ListNum"/>
        <w:numPr>
          <w:ilvl w:val="0"/>
          <w:numId w:val="0"/>
        </w:numPr>
        <w:spacing w:after="0" w:line="360" w:lineRule="auto"/>
        <w:ind w:firstLine="720"/>
      </w:pPr>
      <w:r>
        <w:t>The first step in the</w:t>
      </w:r>
      <w:r w:rsidR="009A5282">
        <w:t xml:space="preserve"> proposed</w:t>
      </w:r>
      <w:r>
        <w:t xml:space="preserve"> process</w:t>
      </w:r>
      <w:r w:rsidR="009D1873">
        <w:t xml:space="preserve"> is </w:t>
      </w:r>
      <w:r w:rsidR="00F458D3">
        <w:t>to screen applications</w:t>
      </w:r>
      <w:r w:rsidR="0015664E">
        <w:t xml:space="preserve"> or filings</w:t>
      </w:r>
      <w:r w:rsidR="00F458D3">
        <w:t xml:space="preserve"> for relevance to the five policy areas</w:t>
      </w:r>
      <w:r w:rsidR="005C2157">
        <w:t xml:space="preserve"> using a </w:t>
      </w:r>
      <w:r w:rsidR="00665150">
        <w:t xml:space="preserve">“yes/no” </w:t>
      </w:r>
      <w:r w:rsidR="00FE5C44">
        <w:t>screening question per policy area (Table 1).</w:t>
      </w:r>
    </w:p>
    <w:p w:rsidRPr="00806A41" w:rsidR="00AA0E39" w:rsidP="00AC2F91" w:rsidRDefault="00AA0E39" w14:paraId="165F5343" w14:textId="50C0A1B5">
      <w:pPr>
        <w:pStyle w:val="Caption"/>
        <w:keepNext/>
        <w:spacing w:after="120"/>
        <w:jc w:val="center"/>
        <w:rPr>
          <w:rFonts w:ascii="Arial" w:hAnsi="Arial" w:cs="Arial"/>
          <w:b/>
          <w:bCs/>
          <w:i w:val="0"/>
          <w:iCs w:val="0"/>
          <w:color w:val="auto"/>
          <w:sz w:val="26"/>
          <w:szCs w:val="26"/>
        </w:rPr>
      </w:pPr>
      <w:r w:rsidRPr="00806A41">
        <w:rPr>
          <w:rFonts w:ascii="Arial" w:hAnsi="Arial" w:cs="Arial"/>
          <w:b/>
          <w:bCs/>
          <w:i w:val="0"/>
          <w:iCs w:val="0"/>
          <w:color w:val="auto"/>
          <w:sz w:val="26"/>
          <w:szCs w:val="26"/>
        </w:rPr>
        <w:t xml:space="preserve">Table </w:t>
      </w:r>
      <w:r w:rsidRPr="00806A41">
        <w:rPr>
          <w:rFonts w:ascii="Arial" w:hAnsi="Arial" w:cs="Arial"/>
          <w:b/>
          <w:bCs/>
          <w:i w:val="0"/>
          <w:iCs w:val="0"/>
          <w:color w:val="auto"/>
          <w:sz w:val="26"/>
          <w:szCs w:val="26"/>
        </w:rPr>
        <w:fldChar w:fldCharType="begin"/>
      </w:r>
      <w:r w:rsidRPr="00806A41">
        <w:rPr>
          <w:rFonts w:ascii="Arial" w:hAnsi="Arial" w:cs="Arial"/>
          <w:b/>
          <w:bCs/>
          <w:i w:val="0"/>
          <w:iCs w:val="0"/>
          <w:color w:val="auto"/>
          <w:sz w:val="26"/>
          <w:szCs w:val="26"/>
        </w:rPr>
        <w:instrText xml:space="preserve"> SEQ Table \* ARABIC </w:instrText>
      </w:r>
      <w:r w:rsidRPr="00806A41">
        <w:rPr>
          <w:rFonts w:ascii="Arial" w:hAnsi="Arial" w:cs="Arial"/>
          <w:b/>
          <w:bCs/>
          <w:i w:val="0"/>
          <w:iCs w:val="0"/>
          <w:color w:val="auto"/>
          <w:sz w:val="26"/>
          <w:szCs w:val="26"/>
        </w:rPr>
        <w:fldChar w:fldCharType="separate"/>
      </w:r>
      <w:r w:rsidRPr="00806A41">
        <w:rPr>
          <w:rFonts w:ascii="Arial" w:hAnsi="Arial" w:cs="Arial"/>
          <w:b/>
          <w:bCs/>
          <w:i w:val="0"/>
          <w:iCs w:val="0"/>
          <w:noProof/>
          <w:color w:val="auto"/>
          <w:sz w:val="26"/>
          <w:szCs w:val="26"/>
        </w:rPr>
        <w:t>1</w:t>
      </w:r>
      <w:r w:rsidRPr="00806A41">
        <w:rPr>
          <w:rFonts w:ascii="Arial" w:hAnsi="Arial" w:cs="Arial"/>
          <w:b/>
          <w:bCs/>
          <w:i w:val="0"/>
          <w:iCs w:val="0"/>
          <w:noProof/>
          <w:color w:val="auto"/>
          <w:sz w:val="26"/>
          <w:szCs w:val="26"/>
        </w:rPr>
        <w:fldChar w:fldCharType="end"/>
      </w:r>
      <w:r w:rsidRPr="00806A41" w:rsidR="00AC2F91">
        <w:rPr>
          <w:rFonts w:ascii="Arial" w:hAnsi="Arial" w:cs="Arial"/>
          <w:b/>
          <w:bCs/>
          <w:i w:val="0"/>
          <w:iCs w:val="0"/>
          <w:color w:val="auto"/>
          <w:sz w:val="26"/>
          <w:szCs w:val="26"/>
        </w:rPr>
        <w:br/>
      </w:r>
      <w:r w:rsidRPr="00806A41">
        <w:rPr>
          <w:rFonts w:ascii="Arial" w:hAnsi="Arial" w:cs="Arial"/>
          <w:b/>
          <w:bCs/>
          <w:i w:val="0"/>
          <w:iCs w:val="0"/>
          <w:color w:val="auto"/>
          <w:sz w:val="26"/>
          <w:szCs w:val="26"/>
        </w:rPr>
        <w:t>Step 1: Screening Questions</w:t>
      </w:r>
    </w:p>
    <w:tbl>
      <w:tblPr>
        <w:tblStyle w:val="TableGrid"/>
        <w:tblW w:w="9568" w:type="dxa"/>
        <w:jc w:val="center"/>
        <w:tblLook w:val="04A0" w:firstRow="1" w:lastRow="0" w:firstColumn="1" w:lastColumn="0" w:noHBand="0" w:noVBand="1"/>
      </w:tblPr>
      <w:tblGrid>
        <w:gridCol w:w="3055"/>
        <w:gridCol w:w="6513"/>
      </w:tblGrid>
      <w:tr w:rsidRPr="00AC2F91" w:rsidR="00665150" w:rsidTr="00AC2F91" w14:paraId="51138A3A" w14:textId="77777777">
        <w:trPr>
          <w:jc w:val="center"/>
        </w:trPr>
        <w:tc>
          <w:tcPr>
            <w:tcW w:w="3055" w:type="dxa"/>
          </w:tcPr>
          <w:p w:rsidRPr="00AC2F91" w:rsidR="00665150" w:rsidP="00AC2F91" w:rsidRDefault="007E4161" w14:paraId="6C9F5413" w14:textId="416B6A9C">
            <w:pPr>
              <w:pStyle w:val="ListNum"/>
              <w:numPr>
                <w:ilvl w:val="0"/>
                <w:numId w:val="0"/>
              </w:numPr>
              <w:rPr>
                <w:rFonts w:ascii="Arial" w:hAnsi="Arial" w:cs="Arial"/>
                <w:b/>
                <w:bCs/>
              </w:rPr>
            </w:pPr>
            <w:r w:rsidRPr="00AC2F91">
              <w:rPr>
                <w:rFonts w:ascii="Arial" w:hAnsi="Arial" w:cs="Arial"/>
                <w:b/>
                <w:bCs/>
              </w:rPr>
              <w:t xml:space="preserve">Climate Adaptation </w:t>
            </w:r>
            <w:r w:rsidRPr="00AC2F91" w:rsidR="00665150">
              <w:rPr>
                <w:rFonts w:ascii="Arial" w:hAnsi="Arial" w:cs="Arial"/>
                <w:b/>
                <w:bCs/>
              </w:rPr>
              <w:t>Policy Area</w:t>
            </w:r>
          </w:p>
        </w:tc>
        <w:tc>
          <w:tcPr>
            <w:tcW w:w="6513" w:type="dxa"/>
          </w:tcPr>
          <w:p w:rsidRPr="00AC2F91" w:rsidR="00665150" w:rsidP="00416AB4" w:rsidRDefault="007E4161" w14:paraId="37694DBF" w14:textId="21D3431C">
            <w:pPr>
              <w:pStyle w:val="ListNum"/>
              <w:numPr>
                <w:ilvl w:val="0"/>
                <w:numId w:val="0"/>
              </w:numPr>
              <w:rPr>
                <w:rFonts w:ascii="Arial" w:hAnsi="Arial" w:cs="Arial"/>
                <w:b/>
                <w:bCs/>
              </w:rPr>
            </w:pPr>
            <w:r w:rsidRPr="00AC2F91">
              <w:rPr>
                <w:rFonts w:ascii="Arial" w:hAnsi="Arial" w:cs="Arial"/>
                <w:b/>
                <w:bCs/>
              </w:rPr>
              <w:t xml:space="preserve">Screening </w:t>
            </w:r>
            <w:r w:rsidRPr="00AC2F91" w:rsidR="00665150">
              <w:rPr>
                <w:rFonts w:ascii="Arial" w:hAnsi="Arial" w:cs="Arial"/>
                <w:b/>
                <w:bCs/>
              </w:rPr>
              <w:t>Question</w:t>
            </w:r>
          </w:p>
        </w:tc>
      </w:tr>
      <w:tr w:rsidRPr="00AC2F91" w:rsidR="00665150" w:rsidTr="00AC2F91" w14:paraId="14F8B609" w14:textId="77777777">
        <w:trPr>
          <w:jc w:val="center"/>
        </w:trPr>
        <w:tc>
          <w:tcPr>
            <w:tcW w:w="3055" w:type="dxa"/>
          </w:tcPr>
          <w:p w:rsidRPr="00AC2F91" w:rsidR="00665150" w:rsidP="00D15918" w:rsidRDefault="00180C46" w14:paraId="75AABF57" w14:textId="03276176">
            <w:pPr>
              <w:pStyle w:val="ListNum"/>
              <w:numPr>
                <w:ilvl w:val="0"/>
                <w:numId w:val="0"/>
              </w:numPr>
              <w:rPr>
                <w:b/>
                <w:bCs/>
              </w:rPr>
            </w:pPr>
            <w:r w:rsidRPr="00AC2F91">
              <w:rPr>
                <w:b/>
                <w:bCs/>
                <w:sz w:val="22"/>
              </w:rPr>
              <w:t>Repetitive Loss and Failure</w:t>
            </w:r>
          </w:p>
        </w:tc>
        <w:tc>
          <w:tcPr>
            <w:tcW w:w="6513" w:type="dxa"/>
          </w:tcPr>
          <w:p w:rsidRPr="00AC2F91" w:rsidR="00665150" w:rsidP="00D15918" w:rsidRDefault="009E04B8" w14:paraId="327B5881" w14:textId="17722B5E">
            <w:pPr>
              <w:pStyle w:val="ListNum"/>
              <w:numPr>
                <w:ilvl w:val="0"/>
                <w:numId w:val="0"/>
              </w:numPr>
            </w:pPr>
            <w:r w:rsidRPr="00AC2F91">
              <w:t xml:space="preserve">Does the application address assets with a history of recurring damage or failure and </w:t>
            </w:r>
            <w:proofErr w:type="gramStart"/>
            <w:r w:rsidRPr="00AC2F91">
              <w:t>factor</w:t>
            </w:r>
            <w:proofErr w:type="gramEnd"/>
            <w:r w:rsidRPr="00AC2F91">
              <w:t xml:space="preserve"> in future climate </w:t>
            </w:r>
            <w:r w:rsidRPr="00AC2F91" w:rsidR="00D15918">
              <w:t>risk?</w:t>
            </w:r>
          </w:p>
        </w:tc>
      </w:tr>
      <w:tr w:rsidRPr="00AC2F91" w:rsidR="00665150" w:rsidTr="00AC2F91" w14:paraId="12DC6E9B" w14:textId="77777777">
        <w:trPr>
          <w:jc w:val="center"/>
        </w:trPr>
        <w:tc>
          <w:tcPr>
            <w:tcW w:w="3055" w:type="dxa"/>
          </w:tcPr>
          <w:p w:rsidRPr="00AC2F91" w:rsidR="00665150" w:rsidP="00D15918" w:rsidRDefault="009E04B8" w14:paraId="246C2CB2" w14:textId="71348108">
            <w:pPr>
              <w:pStyle w:val="ListNum"/>
              <w:numPr>
                <w:ilvl w:val="0"/>
                <w:numId w:val="0"/>
              </w:numPr>
              <w:rPr>
                <w:b/>
                <w:bCs/>
              </w:rPr>
            </w:pPr>
            <w:r w:rsidRPr="00AC2F91">
              <w:rPr>
                <w:b/>
                <w:bCs/>
                <w:sz w:val="22"/>
              </w:rPr>
              <w:t>Site Selection</w:t>
            </w:r>
          </w:p>
        </w:tc>
        <w:tc>
          <w:tcPr>
            <w:tcW w:w="6513" w:type="dxa"/>
          </w:tcPr>
          <w:p w:rsidRPr="00AC2F91" w:rsidR="00665150" w:rsidP="00D15918" w:rsidRDefault="00D15918" w14:paraId="64FB6FB2" w14:textId="59E67CB6">
            <w:pPr>
              <w:pStyle w:val="ListNum"/>
              <w:numPr>
                <w:ilvl w:val="0"/>
                <w:numId w:val="0"/>
              </w:numPr>
            </w:pPr>
            <w:r w:rsidRPr="00AC2F91">
              <w:t>Does the application involve selecting a location for new infrastructure or evaluating the safety of existing sites?</w:t>
            </w:r>
          </w:p>
        </w:tc>
      </w:tr>
      <w:tr w:rsidRPr="00AC2F91" w:rsidR="00665150" w:rsidTr="00AC2F91" w14:paraId="4E183026" w14:textId="77777777">
        <w:trPr>
          <w:jc w:val="center"/>
        </w:trPr>
        <w:tc>
          <w:tcPr>
            <w:tcW w:w="3055" w:type="dxa"/>
          </w:tcPr>
          <w:p w:rsidRPr="00AC2F91" w:rsidR="00665150" w:rsidP="00D15918" w:rsidRDefault="009E04B8" w14:paraId="2D8BED3A" w14:textId="30B48A49">
            <w:pPr>
              <w:pStyle w:val="ListNum"/>
              <w:numPr>
                <w:ilvl w:val="0"/>
                <w:numId w:val="0"/>
              </w:numPr>
              <w:rPr>
                <w:b/>
                <w:bCs/>
              </w:rPr>
            </w:pPr>
            <w:r w:rsidRPr="00AC2F91">
              <w:rPr>
                <w:b/>
                <w:bCs/>
                <w:sz w:val="22"/>
              </w:rPr>
              <w:t>Design and Engineering</w:t>
            </w:r>
          </w:p>
        </w:tc>
        <w:tc>
          <w:tcPr>
            <w:tcW w:w="6513" w:type="dxa"/>
          </w:tcPr>
          <w:p w:rsidRPr="00AC2F91" w:rsidR="00665150" w:rsidP="00D15918" w:rsidRDefault="00D15918" w14:paraId="6C189765" w14:textId="41E6A398">
            <w:pPr>
              <w:pStyle w:val="ListNum"/>
              <w:numPr>
                <w:ilvl w:val="0"/>
                <w:numId w:val="0"/>
              </w:numPr>
            </w:pPr>
            <w:r w:rsidRPr="00AC2F91">
              <w:t>Does the application propose design standards, material selection, or construction of physical assets?</w:t>
            </w:r>
          </w:p>
        </w:tc>
      </w:tr>
      <w:tr w:rsidRPr="00AC2F91" w:rsidR="00665150" w:rsidTr="00AC2F91" w14:paraId="4F8CD793" w14:textId="77777777">
        <w:trPr>
          <w:jc w:val="center"/>
        </w:trPr>
        <w:tc>
          <w:tcPr>
            <w:tcW w:w="3055" w:type="dxa"/>
          </w:tcPr>
          <w:p w:rsidRPr="00AC2F91" w:rsidR="00665150" w:rsidP="00D15918" w:rsidRDefault="009E04B8" w14:paraId="10FC052A" w14:textId="1EFFFA39">
            <w:pPr>
              <w:pStyle w:val="ListNum"/>
              <w:numPr>
                <w:ilvl w:val="0"/>
                <w:numId w:val="0"/>
              </w:numPr>
              <w:rPr>
                <w:b/>
                <w:bCs/>
                <w:sz w:val="22"/>
              </w:rPr>
            </w:pPr>
            <w:r w:rsidRPr="00AC2F91">
              <w:rPr>
                <w:b/>
                <w:bCs/>
                <w:sz w:val="22"/>
              </w:rPr>
              <w:t>Equipment Tolerance</w:t>
            </w:r>
          </w:p>
        </w:tc>
        <w:tc>
          <w:tcPr>
            <w:tcW w:w="6513" w:type="dxa"/>
          </w:tcPr>
          <w:p w:rsidRPr="00AC2F91" w:rsidR="00665150" w:rsidP="00D15918" w:rsidRDefault="00AA0E39" w14:paraId="2F5ECA31" w14:textId="6BD1C6FB">
            <w:pPr>
              <w:pStyle w:val="ListNum"/>
              <w:numPr>
                <w:ilvl w:val="0"/>
                <w:numId w:val="0"/>
              </w:numPr>
            </w:pPr>
            <w:r w:rsidRPr="00AC2F91">
              <w:t>Does the application specify equipment ratings (e.g., thermal, wind, load) or replacement of aging assets?</w:t>
            </w:r>
          </w:p>
        </w:tc>
      </w:tr>
      <w:tr w:rsidRPr="00AC2F91" w:rsidR="00665150" w:rsidTr="00AC2F91" w14:paraId="7D8A862C" w14:textId="77777777">
        <w:trPr>
          <w:jc w:val="center"/>
        </w:trPr>
        <w:tc>
          <w:tcPr>
            <w:tcW w:w="3055" w:type="dxa"/>
          </w:tcPr>
          <w:p w:rsidRPr="00AC2F91" w:rsidR="00665150" w:rsidP="00D15918" w:rsidRDefault="009E04B8" w14:paraId="6936FB44" w14:textId="1094AF50">
            <w:pPr>
              <w:pStyle w:val="ListNum"/>
              <w:numPr>
                <w:ilvl w:val="0"/>
                <w:numId w:val="0"/>
              </w:numPr>
              <w:rPr>
                <w:b/>
                <w:bCs/>
                <w:sz w:val="22"/>
              </w:rPr>
            </w:pPr>
            <w:r w:rsidRPr="00AC2F91">
              <w:rPr>
                <w:b/>
                <w:bCs/>
                <w:sz w:val="22"/>
              </w:rPr>
              <w:t>Climate Risk Modeling</w:t>
            </w:r>
          </w:p>
        </w:tc>
        <w:tc>
          <w:tcPr>
            <w:tcW w:w="6513" w:type="dxa"/>
          </w:tcPr>
          <w:p w:rsidRPr="00AC2F91" w:rsidR="00665150" w:rsidP="00D15918" w:rsidRDefault="00AA0E39" w14:paraId="7D5249E0" w14:textId="5B81085B">
            <w:pPr>
              <w:pStyle w:val="ListNum"/>
              <w:numPr>
                <w:ilvl w:val="0"/>
                <w:numId w:val="0"/>
              </w:numPr>
            </w:pPr>
            <w:r w:rsidRPr="00AC2F91">
              <w:t>Does the application rely on weather data, risk forecasting, or long-term planning assumptions?</w:t>
            </w:r>
          </w:p>
        </w:tc>
      </w:tr>
    </w:tbl>
    <w:p w:rsidR="00DA3FC8" w:rsidP="00AC2F91" w:rsidRDefault="003A207F" w14:paraId="304FBE17" w14:textId="17B76855">
      <w:pPr>
        <w:pStyle w:val="ListNum"/>
        <w:numPr>
          <w:ilvl w:val="0"/>
          <w:numId w:val="0"/>
        </w:numPr>
        <w:spacing w:before="160" w:line="360" w:lineRule="auto"/>
        <w:ind w:firstLine="720"/>
      </w:pPr>
      <w:r>
        <w:t xml:space="preserve">If the answer to any of the questions in Step 1 </w:t>
      </w:r>
      <w:r w:rsidR="002A5CC0">
        <w:t xml:space="preserve">is “yes,” the application </w:t>
      </w:r>
      <w:r w:rsidR="009A5282">
        <w:t xml:space="preserve">or filing </w:t>
      </w:r>
      <w:r w:rsidR="00090582">
        <w:t xml:space="preserve">would </w:t>
      </w:r>
      <w:r w:rsidR="002A5CC0">
        <w:t xml:space="preserve">go to Step 2, policy area analysis. For Step 2, </w:t>
      </w:r>
      <w:r w:rsidR="009A5282">
        <w:t xml:space="preserve">SPD proposes that </w:t>
      </w:r>
      <w:r w:rsidR="002A5CC0">
        <w:t xml:space="preserve">the </w:t>
      </w:r>
      <w:r w:rsidR="00533EB1">
        <w:t>applicant</w:t>
      </w:r>
      <w:r w:rsidR="002A5CC0">
        <w:t xml:space="preserve"> must </w:t>
      </w:r>
      <w:r w:rsidR="00033619">
        <w:t xml:space="preserve">explain </w:t>
      </w:r>
      <w:r w:rsidR="00CD6007">
        <w:t>within the application</w:t>
      </w:r>
      <w:r w:rsidR="009A5282">
        <w:t xml:space="preserve"> or filing</w:t>
      </w:r>
      <w:r w:rsidR="00CD6007">
        <w:t xml:space="preserve"> </w:t>
      </w:r>
      <w:r w:rsidR="00033619">
        <w:t>how the application</w:t>
      </w:r>
      <w:r w:rsidR="008669EE">
        <w:t xml:space="preserve"> or </w:t>
      </w:r>
      <w:r w:rsidR="008669EE">
        <w:lastRenderedPageBreak/>
        <w:t>filing</w:t>
      </w:r>
      <w:r w:rsidR="00033619">
        <w:t xml:space="preserve"> relates to the </w:t>
      </w:r>
      <w:r w:rsidR="008669EE">
        <w:t xml:space="preserve">IOU’s </w:t>
      </w:r>
      <w:r w:rsidR="00033619">
        <w:t>most recent CAVA, RAMP</w:t>
      </w:r>
      <w:r w:rsidR="00745223">
        <w:t xml:space="preserve">, and any other of the </w:t>
      </w:r>
      <w:r w:rsidR="008669EE">
        <w:t xml:space="preserve">IOU’s </w:t>
      </w:r>
      <w:r w:rsidR="00745223">
        <w:t>climate adaptation analysis and planning efforts. If there is no relationship</w:t>
      </w:r>
      <w:r w:rsidR="00D53B35">
        <w:t xml:space="preserve">, the </w:t>
      </w:r>
      <w:r w:rsidR="008669EE">
        <w:t>IOU</w:t>
      </w:r>
      <w:r w:rsidR="00D53B35">
        <w:t xml:space="preserve"> </w:t>
      </w:r>
      <w:r w:rsidR="00AC2234">
        <w:t xml:space="preserve">must </w:t>
      </w:r>
      <w:r w:rsidR="00D53B35">
        <w:t>explicitly state so and explain why.</w:t>
      </w:r>
      <w:r w:rsidR="001A21B8">
        <w:t xml:space="preserve"> For each of the applicable policy areas </w:t>
      </w:r>
      <w:r w:rsidR="004B0FF8">
        <w:t xml:space="preserve">(i.e., those for which the answer in Step 1 was “yes”), </w:t>
      </w:r>
      <w:r w:rsidR="008669EE">
        <w:t xml:space="preserve">SPD proposes that </w:t>
      </w:r>
      <w:r w:rsidR="004B0FF8">
        <w:t xml:space="preserve">the </w:t>
      </w:r>
      <w:r w:rsidR="008669EE">
        <w:t>IOU</w:t>
      </w:r>
      <w:r w:rsidR="00146144">
        <w:t xml:space="preserve"> provide</w:t>
      </w:r>
      <w:r w:rsidR="001D4798">
        <w:t xml:space="preserve"> a narrative explanation</w:t>
      </w:r>
      <w:r w:rsidR="00024FEA">
        <w:t xml:space="preserve"> that addresses each </w:t>
      </w:r>
      <w:r w:rsidR="00DA3FC8">
        <w:t>of the following topics:</w:t>
      </w:r>
    </w:p>
    <w:p w:rsidR="005E55FB" w:rsidP="00AC2F91" w:rsidRDefault="005E55FB" w14:paraId="421EBDFC" w14:textId="435DC912">
      <w:pPr>
        <w:pStyle w:val="ListNum"/>
        <w:numPr>
          <w:ilvl w:val="6"/>
          <w:numId w:val="15"/>
        </w:numPr>
        <w:ind w:right="1440"/>
      </w:pPr>
      <w:r>
        <w:t xml:space="preserve">Describe the climate risks (i.e., expected conditions) that may </w:t>
      </w:r>
      <w:proofErr w:type="gramStart"/>
      <w:r>
        <w:t>impact</w:t>
      </w:r>
      <w:proofErr w:type="gramEnd"/>
      <w:r>
        <w:t xml:space="preserve"> the proposal in the future.</w:t>
      </w:r>
    </w:p>
    <w:p w:rsidR="005E55FB" w:rsidP="00806A41" w:rsidRDefault="00C62AC5" w14:paraId="56DECFED" w14:textId="2558B008">
      <w:pPr>
        <w:pStyle w:val="ListNum"/>
        <w:numPr>
          <w:ilvl w:val="7"/>
          <w:numId w:val="15"/>
        </w:numPr>
        <w:ind w:left="1440" w:right="1440"/>
      </w:pPr>
      <w:r>
        <w:t>Include the risks that may have been addressed during the planning and design of the proposal.</w:t>
      </w:r>
    </w:p>
    <w:p w:rsidR="00C62AC5" w:rsidP="00AC2F91" w:rsidRDefault="00C62AC5" w14:paraId="1D84CC44" w14:textId="3C226309">
      <w:pPr>
        <w:pStyle w:val="ListNum"/>
        <w:numPr>
          <w:ilvl w:val="6"/>
          <w:numId w:val="15"/>
        </w:numPr>
        <w:ind w:right="1440"/>
      </w:pPr>
      <w:r>
        <w:t>Describe what modeling was used to base this analysis upon, such as the modeling methodology and time horizon(s) considered.</w:t>
      </w:r>
    </w:p>
    <w:p w:rsidR="00C62AC5" w:rsidP="00AC2F91" w:rsidRDefault="00A42866" w14:paraId="0041789A" w14:textId="4A778614">
      <w:pPr>
        <w:pStyle w:val="ListNum"/>
        <w:numPr>
          <w:ilvl w:val="6"/>
          <w:numId w:val="15"/>
        </w:numPr>
        <w:ind w:right="1440"/>
      </w:pPr>
      <w:r>
        <w:t>Describe the historical concerns for the specific location/project</w:t>
      </w:r>
      <w:r w:rsidR="00AA00F1">
        <w:t>, including</w:t>
      </w:r>
      <w:r w:rsidR="00417E0D">
        <w:t>:</w:t>
      </w:r>
    </w:p>
    <w:p w:rsidR="00AA00F1" w:rsidP="00806A41" w:rsidRDefault="00AA00F1" w14:paraId="05ADEDF2" w14:textId="606E290E">
      <w:pPr>
        <w:pStyle w:val="ListNum"/>
        <w:numPr>
          <w:ilvl w:val="7"/>
          <w:numId w:val="15"/>
        </w:numPr>
        <w:ind w:left="1440" w:right="1440"/>
      </w:pPr>
      <w:r>
        <w:t xml:space="preserve">Reconstruction from disaster and mitigation measures for </w:t>
      </w:r>
      <w:r w:rsidR="00C531FB">
        <w:t>projected climate change conditions.</w:t>
      </w:r>
    </w:p>
    <w:p w:rsidR="00C531FB" w:rsidP="00806A41" w:rsidRDefault="00C531FB" w14:paraId="4D38A3A2" w14:textId="5B3F14C4">
      <w:pPr>
        <w:pStyle w:val="ListNum"/>
        <w:numPr>
          <w:ilvl w:val="7"/>
          <w:numId w:val="15"/>
        </w:numPr>
        <w:ind w:left="1440" w:right="1440"/>
      </w:pPr>
      <w:r>
        <w:t>Repetitive loss from climate change conditions.</w:t>
      </w:r>
    </w:p>
    <w:p w:rsidR="00C531FB" w:rsidP="00806A41" w:rsidRDefault="00C531FB" w14:paraId="63B0C7E7" w14:textId="5542867A">
      <w:pPr>
        <w:pStyle w:val="ListNum"/>
        <w:numPr>
          <w:ilvl w:val="7"/>
          <w:numId w:val="15"/>
        </w:numPr>
        <w:ind w:left="1440" w:right="1440"/>
      </w:pPr>
      <w:r>
        <w:t>History of system failure tied to climate change conditions.</w:t>
      </w:r>
    </w:p>
    <w:p w:rsidR="00C531FB" w:rsidP="00627CB2" w:rsidRDefault="00C531FB" w14:paraId="60A42161" w14:textId="7BCC1F4C">
      <w:pPr>
        <w:pStyle w:val="ListNum"/>
        <w:numPr>
          <w:ilvl w:val="6"/>
          <w:numId w:val="1"/>
        </w:numPr>
        <w:ind w:right="1440"/>
      </w:pPr>
      <w:r>
        <w:t>Explain how the above climate risks and historical concerns are addressed in the application. This should include those climate risks and historical concerns addressed in the planning and design process.</w:t>
      </w:r>
    </w:p>
    <w:p w:rsidR="00F7581D" w:rsidP="00AC2F91" w:rsidRDefault="00304AE2" w14:paraId="17E58AB4" w14:textId="39DB9B66">
      <w:pPr>
        <w:pStyle w:val="ListNum"/>
        <w:numPr>
          <w:ilvl w:val="6"/>
          <w:numId w:val="15"/>
        </w:numPr>
        <w:ind w:right="1440"/>
      </w:pPr>
      <w:r>
        <w:t>Provide other c</w:t>
      </w:r>
      <w:r w:rsidR="00F7581D">
        <w:t>onsiderations when identified climate risks and historical concerns are not fully addressed.</w:t>
      </w:r>
    </w:p>
    <w:p w:rsidR="00F7581D" w:rsidP="00AC2F91" w:rsidRDefault="005B622D" w14:paraId="51AC18F8" w14:textId="25440885">
      <w:pPr>
        <w:pStyle w:val="ListNum"/>
        <w:numPr>
          <w:ilvl w:val="6"/>
          <w:numId w:val="15"/>
        </w:numPr>
        <w:ind w:right="1440"/>
      </w:pPr>
      <w:r>
        <w:t>Provide a</w:t>
      </w:r>
      <w:r w:rsidR="00F7581D">
        <w:t xml:space="preserve">dditional analysis and data related to climate adaptation </w:t>
      </w:r>
      <w:r>
        <w:t>for</w:t>
      </w:r>
      <w:r w:rsidR="00F7581D">
        <w:t xml:space="preserve"> the application in question.</w:t>
      </w:r>
    </w:p>
    <w:p w:rsidR="00304AE2" w:rsidP="00AC2F91" w:rsidRDefault="00304AE2" w14:paraId="6422651D" w14:textId="47E6C13D">
      <w:pPr>
        <w:pStyle w:val="ListNum"/>
        <w:numPr>
          <w:ilvl w:val="6"/>
          <w:numId w:val="15"/>
        </w:numPr>
        <w:ind w:right="1440"/>
      </w:pPr>
      <w:r>
        <w:t xml:space="preserve">Where </w:t>
      </w:r>
      <w:r w:rsidR="005B622D">
        <w:t xml:space="preserve">a </w:t>
      </w:r>
      <w:r>
        <w:t>reasonable effort to identify climate risks was made and no climate risks to the proposed action are identified, no further discussion may be necessary.</w:t>
      </w:r>
    </w:p>
    <w:p w:rsidR="00800245" w:rsidP="00DF3951" w:rsidRDefault="00800245" w14:paraId="3982CA74" w14:textId="5E13DBF4">
      <w:pPr>
        <w:pStyle w:val="ListNum"/>
        <w:numPr>
          <w:ilvl w:val="0"/>
          <w:numId w:val="0"/>
        </w:numPr>
        <w:spacing w:line="360" w:lineRule="auto"/>
        <w:ind w:firstLine="720"/>
      </w:pPr>
      <w:r>
        <w:lastRenderedPageBreak/>
        <w:t xml:space="preserve">Step 3 </w:t>
      </w:r>
      <w:r w:rsidR="00E63995">
        <w:t>of the</w:t>
      </w:r>
      <w:r w:rsidR="006B11B5">
        <w:t xml:space="preserve"> proposed</w:t>
      </w:r>
      <w:r w:rsidR="00E63995">
        <w:t xml:space="preserve"> Framework</w:t>
      </w:r>
      <w:r w:rsidR="00EC4D23">
        <w:t xml:space="preserve"> is tracking and monitoring </w:t>
      </w:r>
      <w:r w:rsidR="005C6BB5">
        <w:t>the</w:t>
      </w:r>
      <w:r w:rsidR="00EC4D23">
        <w:t xml:space="preserve"> implementation of the Framework. </w:t>
      </w:r>
      <w:r w:rsidR="007F3BC2">
        <w:t xml:space="preserve">SPD proposes in </w:t>
      </w:r>
      <w:r w:rsidR="005C6BB5">
        <w:t>Step</w:t>
      </w:r>
      <w:r w:rsidR="00EC4D23">
        <w:t xml:space="preserve"> 3</w:t>
      </w:r>
      <w:r w:rsidR="00065664">
        <w:t xml:space="preserve"> </w:t>
      </w:r>
      <w:r w:rsidR="007F3BC2">
        <w:t xml:space="preserve">that </w:t>
      </w:r>
      <w:r w:rsidR="00065664">
        <w:t>the IOUs provide an annual report summarizing, at minimum, how the Framework was integrated into applicable filings during the annual reporting period.</w:t>
      </w:r>
      <w:r w:rsidR="00636AE5">
        <w:t xml:space="preserve"> </w:t>
      </w:r>
      <w:r w:rsidR="007F3BC2">
        <w:t xml:space="preserve">As </w:t>
      </w:r>
      <w:r w:rsidR="00F37E6A">
        <w:t>proposed</w:t>
      </w:r>
      <w:r w:rsidR="007F3BC2">
        <w:t>, t</w:t>
      </w:r>
      <w:r w:rsidR="00636AE5">
        <w:t xml:space="preserve">he annual report </w:t>
      </w:r>
      <w:r w:rsidR="00E310AA">
        <w:t xml:space="preserve">would </w:t>
      </w:r>
      <w:r w:rsidR="008714A3">
        <w:t>identify:</w:t>
      </w:r>
    </w:p>
    <w:p w:rsidR="008714A3" w:rsidP="00AC2F91" w:rsidRDefault="008714A3" w14:paraId="7DF5141D" w14:textId="3A416013">
      <w:pPr>
        <w:pStyle w:val="ListNum"/>
        <w:numPr>
          <w:ilvl w:val="0"/>
          <w:numId w:val="20"/>
        </w:numPr>
        <w:ind w:right="1440"/>
      </w:pPr>
      <w:r>
        <w:t>The number of applications or filings filed during the reporting period,</w:t>
      </w:r>
    </w:p>
    <w:p w:rsidR="008714A3" w:rsidP="00AC2F91" w:rsidRDefault="007630B4" w14:paraId="666EC9D4" w14:textId="3485AC6C">
      <w:pPr>
        <w:pStyle w:val="ListNum"/>
        <w:numPr>
          <w:ilvl w:val="0"/>
          <w:numId w:val="20"/>
        </w:numPr>
        <w:ind w:right="1440"/>
      </w:pPr>
      <w:r>
        <w:t>The number of reports for which no climate change risks are identified,</w:t>
      </w:r>
    </w:p>
    <w:p w:rsidR="007630B4" w:rsidP="00AC2F91" w:rsidRDefault="00C011AE" w14:paraId="05D370B7" w14:textId="159B709A">
      <w:pPr>
        <w:pStyle w:val="ListNum"/>
        <w:numPr>
          <w:ilvl w:val="0"/>
          <w:numId w:val="20"/>
        </w:numPr>
        <w:ind w:right="1440"/>
      </w:pPr>
      <w:r>
        <w:t>The applications or filings that the Framework applies to,</w:t>
      </w:r>
    </w:p>
    <w:p w:rsidR="00C011AE" w:rsidP="00AC2F91" w:rsidRDefault="00E43D9A" w14:paraId="0E9AE4D5" w14:textId="0F85B7C8">
      <w:pPr>
        <w:pStyle w:val="ListNum"/>
        <w:numPr>
          <w:ilvl w:val="0"/>
          <w:numId w:val="20"/>
        </w:numPr>
        <w:ind w:right="1440"/>
      </w:pPr>
      <w:r>
        <w:t>The applications or filings the IOU identified as having no climate risk,</w:t>
      </w:r>
    </w:p>
    <w:p w:rsidR="00E43D9A" w:rsidP="00AC2F91" w:rsidRDefault="00E43D9A" w14:paraId="6060A30F" w14:textId="0442E931">
      <w:pPr>
        <w:pStyle w:val="ListNum"/>
        <w:numPr>
          <w:ilvl w:val="0"/>
          <w:numId w:val="20"/>
        </w:numPr>
        <w:ind w:right="1440"/>
      </w:pPr>
      <w:r>
        <w:t>The applications or filings</w:t>
      </w:r>
      <w:r w:rsidR="00142B46">
        <w:t xml:space="preserve"> in which the IOU addressed all identified climate risks without modifications or additions ordered by the Commission in its approval to how climate risks were addressed</w:t>
      </w:r>
      <w:r w:rsidR="007235E3">
        <w:t xml:space="preserve">, and </w:t>
      </w:r>
    </w:p>
    <w:p w:rsidRPr="00D50907" w:rsidR="007235E3" w:rsidP="00AC2F91" w:rsidRDefault="007235E3" w14:paraId="0338A6D2" w14:textId="094B439B">
      <w:pPr>
        <w:pStyle w:val="ListNum"/>
        <w:numPr>
          <w:ilvl w:val="0"/>
          <w:numId w:val="20"/>
        </w:numPr>
        <w:spacing w:after="160"/>
        <w:ind w:right="1440"/>
      </w:pPr>
      <w:r>
        <w:t>A narrative summary explanation of each of the climate risks that the IOU identified but that the Commission determined required modifications or additions to the application or filing to show how those climate risks were addressed prior to approval.</w:t>
      </w:r>
    </w:p>
    <w:p w:rsidR="00E01E1B" w:rsidP="006F4FD4" w:rsidRDefault="00453D84" w14:paraId="27D093C6" w14:textId="52D76113">
      <w:pPr>
        <w:pStyle w:val="Heading2"/>
        <w:numPr>
          <w:ilvl w:val="1"/>
          <w:numId w:val="40"/>
        </w:numPr>
      </w:pPr>
      <w:bookmarkStart w:name="_Toc244073184" w:id="14"/>
      <w:r>
        <w:t xml:space="preserve">Party </w:t>
      </w:r>
      <w:r w:rsidR="00D50907">
        <w:t>Comments</w:t>
      </w:r>
      <w:bookmarkEnd w:id="14"/>
    </w:p>
    <w:p w:rsidR="00A01931" w:rsidP="00744D8F" w:rsidRDefault="0072138C" w14:paraId="085AB1C9" w14:textId="478804E9">
      <w:pPr>
        <w:pStyle w:val="Standard"/>
      </w:pPr>
      <w:r>
        <w:t xml:space="preserve">We structure a review of comments on the Framework </w:t>
      </w:r>
      <w:r w:rsidR="004E617B">
        <w:t xml:space="preserve">by the </w:t>
      </w:r>
      <w:r w:rsidR="008F1B0E">
        <w:t>question categories</w:t>
      </w:r>
      <w:r w:rsidR="004E617B">
        <w:t xml:space="preserve"> posed in </w:t>
      </w:r>
      <w:proofErr w:type="gramStart"/>
      <w:r w:rsidR="004E617B">
        <w:t>the April</w:t>
      </w:r>
      <w:proofErr w:type="gramEnd"/>
      <w:r w:rsidR="004E617B">
        <w:t xml:space="preserve"> 13, 2026, Assigned</w:t>
      </w:r>
      <w:r w:rsidR="00897437">
        <w:t xml:space="preserve"> Commissioner’s Ruling. In general, </w:t>
      </w:r>
      <w:r w:rsidR="00D6142D">
        <w:t>PG&amp;E</w:t>
      </w:r>
      <w:r w:rsidR="007C5E53">
        <w:t xml:space="preserve">, </w:t>
      </w:r>
      <w:r w:rsidR="00BB475B">
        <w:t xml:space="preserve">SCE, </w:t>
      </w:r>
      <w:r w:rsidR="007C5E53">
        <w:t>SoCalGas,</w:t>
      </w:r>
      <w:r w:rsidR="00BB475B">
        <w:t xml:space="preserve"> and SDG&amp;E</w:t>
      </w:r>
      <w:r w:rsidR="00943460">
        <w:t xml:space="preserve"> oppose </w:t>
      </w:r>
      <w:r w:rsidR="00A72453">
        <w:t xml:space="preserve">the establishment of the Framework as a set of requirements for IOUs to include </w:t>
      </w:r>
      <w:r w:rsidR="009A01B6">
        <w:t>when filing applications before the Commission</w:t>
      </w:r>
      <w:r w:rsidR="007C7C11">
        <w:t>, noting that it is duplicative of other efforts</w:t>
      </w:r>
      <w:r w:rsidR="008078B2">
        <w:t>, including CAVAs and RAMPs,</w:t>
      </w:r>
      <w:r w:rsidR="007C7C11">
        <w:t xml:space="preserve"> and undermines streamlining efforts for GO 131-E.</w:t>
      </w:r>
      <w:r w:rsidR="00543B43">
        <w:t xml:space="preserve"> SBUA supports </w:t>
      </w:r>
      <w:r w:rsidR="009D0209">
        <w:t>establishment of the Framework</w:t>
      </w:r>
      <w:r w:rsidR="00543B43">
        <w:t xml:space="preserve">. The </w:t>
      </w:r>
      <w:r w:rsidR="000E31F6">
        <w:t>S</w:t>
      </w:r>
      <w:r w:rsidR="00C51F9E">
        <w:t xml:space="preserve">mall and </w:t>
      </w:r>
      <w:r w:rsidR="000E31F6">
        <w:t>M</w:t>
      </w:r>
      <w:r w:rsidR="00C51F9E">
        <w:t>ulti-</w:t>
      </w:r>
      <w:r w:rsidR="000E31F6">
        <w:t>J</w:t>
      </w:r>
      <w:r w:rsidR="00C51F9E">
        <w:t xml:space="preserve">urisdictional </w:t>
      </w:r>
      <w:r w:rsidR="000E31F6">
        <w:lastRenderedPageBreak/>
        <w:t>U</w:t>
      </w:r>
      <w:r w:rsidR="00C51F9E">
        <w:t>tilit</w:t>
      </w:r>
      <w:r w:rsidR="00BD2609">
        <w:t>ie</w:t>
      </w:r>
      <w:r w:rsidR="000E31F6">
        <w:t>s</w:t>
      </w:r>
      <w:r w:rsidR="00BD2609">
        <w:t xml:space="preserve"> (SMJUs)</w:t>
      </w:r>
      <w:r w:rsidR="000E31F6">
        <w:t>,</w:t>
      </w:r>
      <w:r w:rsidR="004B7DB5">
        <w:t xml:space="preserve"> namely, Bear Valley, Liberty, Alpine, </w:t>
      </w:r>
      <w:r w:rsidR="00DD0B44">
        <w:t>and PacifiCorp</w:t>
      </w:r>
      <w:r w:rsidR="000E31F6">
        <w:t>,</w:t>
      </w:r>
      <w:r w:rsidR="00DD0B44">
        <w:t xml:space="preserve"> </w:t>
      </w:r>
      <w:r w:rsidR="004B6568">
        <w:t xml:space="preserve">and CWA </w:t>
      </w:r>
      <w:r w:rsidR="00DD0B44">
        <w:t>argue they should be exempt from any requirements under the Framework</w:t>
      </w:r>
      <w:r w:rsidR="001F5C8B">
        <w:t>.</w:t>
      </w:r>
    </w:p>
    <w:p w:rsidR="00816738" w:rsidP="00627CB2" w:rsidRDefault="00821C34" w14:paraId="3C4F728D" w14:textId="05502E0A">
      <w:pPr>
        <w:pStyle w:val="Heading3"/>
        <w:numPr>
          <w:ilvl w:val="2"/>
          <w:numId w:val="1"/>
        </w:numPr>
      </w:pPr>
      <w:bookmarkStart w:name="_Toc244073185" w:id="15"/>
      <w:r>
        <w:t>Approaches to Implementing the Climate Adaptation Framework</w:t>
      </w:r>
      <w:bookmarkEnd w:id="15"/>
    </w:p>
    <w:p w:rsidR="00BA4796" w:rsidP="00821C34" w:rsidRDefault="00BA4796" w14:paraId="2C82D18C" w14:textId="6A7AFC87">
      <w:pPr>
        <w:pStyle w:val="Standard"/>
      </w:pPr>
      <w:r>
        <w:t xml:space="preserve">PG&amp;E </w:t>
      </w:r>
      <w:r w:rsidR="00CF54A0">
        <w:t>oppose</w:t>
      </w:r>
      <w:r w:rsidR="0086139A">
        <w:t>s</w:t>
      </w:r>
      <w:r w:rsidR="00CF54A0">
        <w:t xml:space="preserve"> implementation of the Framework.</w:t>
      </w:r>
      <w:r w:rsidR="0086139A">
        <w:t xml:space="preserve"> PG&amp;E </w:t>
      </w:r>
      <w:r w:rsidR="007B0419">
        <w:t>argues that for the Framework to be effective</w:t>
      </w:r>
      <w:r w:rsidR="00CB4AD1">
        <w:t>, the Framework should enhance existing risk-based decision-making structures and avoid duplicative reporting</w:t>
      </w:r>
      <w:r w:rsidR="0083453F">
        <w:t>. PG&amp;E opposes creating a new, narrowly focused reporting requirement o</w:t>
      </w:r>
      <w:r w:rsidR="00654AD0">
        <w:t>n</w:t>
      </w:r>
      <w:r w:rsidR="0083453F">
        <w:t xml:space="preserve"> how climate change</w:t>
      </w:r>
      <w:r w:rsidR="00654AD0">
        <w:t xml:space="preserve"> is considered in project-level decision-making.</w:t>
      </w:r>
      <w:r w:rsidR="003201DA">
        <w:t xml:space="preserve"> PG&amp;E notes that </w:t>
      </w:r>
      <w:r w:rsidR="00B570C8">
        <w:t xml:space="preserve">it </w:t>
      </w:r>
      <w:r w:rsidR="003201DA">
        <w:t>is unclear how project level disclosures using the Framework would be viewed against the existing Risk-Based Decision-Making Framework.</w:t>
      </w:r>
      <w:r w:rsidR="003201DA">
        <w:rPr>
          <w:rStyle w:val="FootnoteReference"/>
        </w:rPr>
        <w:footnoteReference w:id="15"/>
      </w:r>
      <w:r w:rsidR="00B16747">
        <w:t xml:space="preserve"> PG&amp;E recommends that the Framework be explored </w:t>
      </w:r>
      <w:r w:rsidR="004D11B5">
        <w:t>as a pilot.</w:t>
      </w:r>
      <w:r w:rsidR="004D11B5">
        <w:rPr>
          <w:rStyle w:val="FootnoteReference"/>
        </w:rPr>
        <w:footnoteReference w:id="16"/>
      </w:r>
    </w:p>
    <w:p w:rsidR="00C129DF" w:rsidP="00821C34" w:rsidRDefault="00E8176B" w14:paraId="088E06D5" w14:textId="063AF36F">
      <w:pPr>
        <w:pStyle w:val="Standard"/>
      </w:pPr>
      <w:r>
        <w:t xml:space="preserve">SDG&amp;E opposes implementation of the Framework as </w:t>
      </w:r>
      <w:r w:rsidR="00AF42A6">
        <w:t>a new set of filing rules or screening requirements but does support the Framework</w:t>
      </w:r>
      <w:r w:rsidR="00A02ACA">
        <w:t xml:space="preserve"> as a </w:t>
      </w:r>
      <w:r w:rsidR="00A358E1">
        <w:br/>
      </w:r>
      <w:r w:rsidR="00A02ACA">
        <w:t>principles-based guide. SDG&amp;E asserts that the CAVA remains the foundational source of climate vulnerability data and analysis</w:t>
      </w:r>
      <w:r w:rsidR="006C49A4">
        <w:t>. SDG&amp;E further states that</w:t>
      </w:r>
      <w:r w:rsidRPr="00EA3E25" w:rsidR="008B2D38">
        <w:t xml:space="preserve"> the Framework should serve to clari</w:t>
      </w:r>
      <w:r w:rsidRPr="00EA3E25" w:rsidR="00383B1B">
        <w:t>fy how the existing information is considered proportionately and where decision-relevant</w:t>
      </w:r>
      <w:r w:rsidRPr="00EA3E25" w:rsidR="00A852E3">
        <w:t xml:space="preserve"> without introducing new requirements, datasets, models, metrics, or procedural complexity in regulatory applications or filings</w:t>
      </w:r>
      <w:r w:rsidR="00A852E3">
        <w:t>.</w:t>
      </w:r>
      <w:r w:rsidR="00A852E3">
        <w:rPr>
          <w:rStyle w:val="FootnoteReference"/>
        </w:rPr>
        <w:footnoteReference w:id="17"/>
      </w:r>
      <w:r w:rsidR="008B2D38">
        <w:t xml:space="preserve"> </w:t>
      </w:r>
      <w:r w:rsidR="00A852E3">
        <w:t xml:space="preserve">SDG&amp;E opposes </w:t>
      </w:r>
      <w:r w:rsidR="007C3359">
        <w:t xml:space="preserve">creating a new standalone metric or expanding existing CAVA requirements. SDG&amp;E notes that the Commission </w:t>
      </w:r>
      <w:r w:rsidR="007D5407">
        <w:t xml:space="preserve">already requires the IOUs to transparently integrate climate data, models, and </w:t>
      </w:r>
      <w:r w:rsidR="007D5407">
        <w:lastRenderedPageBreak/>
        <w:t xml:space="preserve">projections in their RAMP filings through the </w:t>
      </w:r>
      <w:r w:rsidR="00C300A3">
        <w:t>Risk-Based Decision-Making Framework.</w:t>
      </w:r>
      <w:r w:rsidR="00C300A3">
        <w:rPr>
          <w:rStyle w:val="FootnoteReference"/>
        </w:rPr>
        <w:footnoteReference w:id="18"/>
      </w:r>
      <w:r w:rsidR="00AD0CAD">
        <w:t xml:space="preserve"> SDG&amp;E argues that the Framework should not apply to areas where climate impacts are already considered.</w:t>
      </w:r>
      <w:r w:rsidR="00AD0CAD">
        <w:rPr>
          <w:rStyle w:val="FootnoteReference"/>
        </w:rPr>
        <w:footnoteReference w:id="19"/>
      </w:r>
    </w:p>
    <w:p w:rsidR="0034022A" w:rsidP="00821C34" w:rsidRDefault="00A038C8" w14:paraId="6E45EC6C" w14:textId="77777777">
      <w:pPr>
        <w:pStyle w:val="Standard"/>
      </w:pPr>
      <w:r>
        <w:t>SCE oppose</w:t>
      </w:r>
      <w:r w:rsidR="009473C4">
        <w:t>s implementation of the</w:t>
      </w:r>
      <w:r w:rsidR="00720D54">
        <w:t xml:space="preserve"> Framework. </w:t>
      </w:r>
      <w:r w:rsidR="00BB6BD9">
        <w:t xml:space="preserve">SCE notes that </w:t>
      </w:r>
      <w:r w:rsidR="006F6B09">
        <w:t xml:space="preserve">a </w:t>
      </w:r>
      <w:r w:rsidR="00B80716">
        <w:t xml:space="preserve">climate adaptation governance structure and </w:t>
      </w:r>
      <w:r w:rsidR="006F6B09">
        <w:t>regulatory construct already exists</w:t>
      </w:r>
      <w:r w:rsidR="00E30F18">
        <w:t xml:space="preserve"> and, as such, the Framework is duplicative.</w:t>
      </w:r>
      <w:r w:rsidR="00B80716">
        <w:t xml:space="preserve"> Specifically, </w:t>
      </w:r>
      <w:r w:rsidR="00E30F18">
        <w:t xml:space="preserve">SCE notes that </w:t>
      </w:r>
      <w:r w:rsidR="00B80716">
        <w:t xml:space="preserve">the Commission has directed the </w:t>
      </w:r>
      <w:r w:rsidR="00E30F18">
        <w:t xml:space="preserve">sequential </w:t>
      </w:r>
      <w:r w:rsidR="00B80716">
        <w:t>filing of CAVAs and RAMPs</w:t>
      </w:r>
      <w:r w:rsidR="00E30F18">
        <w:t xml:space="preserve"> </w:t>
      </w:r>
      <w:r w:rsidR="00FC59CB">
        <w:t>to ensure that the analysis undertaken in CAVA</w:t>
      </w:r>
      <w:r w:rsidR="00D1038E">
        <w:t xml:space="preserve"> filings</w:t>
      </w:r>
      <w:r w:rsidR="00FC59CB">
        <w:t xml:space="preserve"> informs RAMP filings, which subsequently inform GRC filings.</w:t>
      </w:r>
      <w:r w:rsidR="000A6466">
        <w:rPr>
          <w:rStyle w:val="FootnoteReference"/>
        </w:rPr>
        <w:footnoteReference w:id="20"/>
      </w:r>
      <w:r w:rsidR="00B12ACB">
        <w:t xml:space="preserve"> </w:t>
      </w:r>
      <w:r w:rsidR="009C6845">
        <w:t xml:space="preserve">SCE recommends that </w:t>
      </w:r>
      <w:r w:rsidR="008F23C5">
        <w:t xml:space="preserve">if the Commission implements the </w:t>
      </w:r>
      <w:r w:rsidRPr="005540E0" w:rsidR="008F23C5">
        <w:t xml:space="preserve">Framework, </w:t>
      </w:r>
      <w:r w:rsidRPr="005540E0" w:rsidR="00253D7B">
        <w:t xml:space="preserve">the IOUs should </w:t>
      </w:r>
      <w:r w:rsidRPr="005540E0" w:rsidR="00AB78D8">
        <w:t>only be required to share a narrow, implementation-focused narrative of which climate change vulnerabilities were uncovered, what climate adaptation measures incorporated into a given application, and why</w:t>
      </w:r>
      <w:r w:rsidR="00AB78D8">
        <w:t>.</w:t>
      </w:r>
      <w:r w:rsidR="00BF7727">
        <w:rPr>
          <w:rStyle w:val="FootnoteReference"/>
        </w:rPr>
        <w:footnoteReference w:id="21"/>
      </w:r>
    </w:p>
    <w:p w:rsidR="00744C93" w:rsidP="00821C34" w:rsidRDefault="001135AC" w14:paraId="676C672D" w14:textId="77777777">
      <w:pPr>
        <w:pStyle w:val="Standard"/>
      </w:pPr>
      <w:r>
        <w:t>SBUA supports the Framework and recommends that the cost effectiveness of climate adaptation measures be assessed by comparing the capital and operating costs of climate</w:t>
      </w:r>
      <w:r w:rsidR="009A45A2">
        <w:t xml:space="preserve"> adaptation measures against the value of avoided damages and maintained service. SBUA further suggests that </w:t>
      </w:r>
      <w:r w:rsidR="00A03C93">
        <w:t>the cost effectiveness analysis should include intangible benefits and costs</w:t>
      </w:r>
      <w:r w:rsidR="0052502A">
        <w:t>, such as environmental and social benefits and costs.</w:t>
      </w:r>
      <w:r w:rsidR="0052502A">
        <w:rPr>
          <w:rStyle w:val="FootnoteReference"/>
        </w:rPr>
        <w:footnoteReference w:id="22"/>
      </w:r>
      <w:r w:rsidR="00F976BD">
        <w:t xml:space="preserve"> </w:t>
      </w:r>
      <w:r w:rsidR="000B278F">
        <w:t xml:space="preserve">SBUA </w:t>
      </w:r>
      <w:r w:rsidR="008350DD">
        <w:t xml:space="preserve">suggests several possible metrics to measure utility progress implementing climate adaptation actions under the Framework. </w:t>
      </w:r>
      <w:r w:rsidR="00B36574">
        <w:t>These include</w:t>
      </w:r>
      <w:r w:rsidR="000C7A4C">
        <w:t xml:space="preserve"> the percentage of customers experiencing </w:t>
      </w:r>
      <w:r w:rsidR="000C7A4C">
        <w:lastRenderedPageBreak/>
        <w:t xml:space="preserve">complete interruptions of utility services and associated durations of complete interruption; percentage of customers experiencing degradation of utility services and associated </w:t>
      </w:r>
      <w:r w:rsidR="000F53F8">
        <w:t xml:space="preserve">durations of degraded service; proportion of customers experiencing interruption of utility services which are </w:t>
      </w:r>
      <w:r w:rsidR="00955D38">
        <w:t>in DVCs; proportion of customers experiencing degradation of utility services which are in DVCs</w:t>
      </w:r>
      <w:r w:rsidR="00D422F6">
        <w:t>; and the number of customers protected from significant infrastructure damage risk.</w:t>
      </w:r>
      <w:r w:rsidR="00321E6F">
        <w:t xml:space="preserve"> SBUA also recommends that IOUs should be required to report on cost-effectiveness considerations, given the tension between climate adaptation and affordability.</w:t>
      </w:r>
      <w:r w:rsidR="003F2E39">
        <w:rPr>
          <w:rStyle w:val="FootnoteReference"/>
        </w:rPr>
        <w:footnoteReference w:id="23"/>
      </w:r>
      <w:r w:rsidR="00744C93">
        <w:t xml:space="preserve"> </w:t>
      </w:r>
    </w:p>
    <w:p w:rsidR="00821C34" w:rsidP="00821C34" w:rsidRDefault="00744C93" w14:paraId="4FAB57B0" w14:textId="09FDC32F">
      <w:pPr>
        <w:pStyle w:val="Standard"/>
      </w:pPr>
      <w:r>
        <w:t>Both PG&amp;E</w:t>
      </w:r>
      <w:r w:rsidR="00B4544F">
        <w:rPr>
          <w:rStyle w:val="FootnoteReference"/>
        </w:rPr>
        <w:footnoteReference w:id="24"/>
      </w:r>
      <w:r>
        <w:t xml:space="preserve"> and SCE</w:t>
      </w:r>
      <w:r w:rsidR="00AA5A03">
        <w:rPr>
          <w:rStyle w:val="FootnoteReference"/>
        </w:rPr>
        <w:footnoteReference w:id="25"/>
      </w:r>
      <w:r>
        <w:t xml:space="preserve"> oppose SBUA’s proposed metrics</w:t>
      </w:r>
      <w:r w:rsidR="007C513E">
        <w:t xml:space="preserve"> on the grounds that they are </w:t>
      </w:r>
      <w:r w:rsidR="00241A0B">
        <w:t xml:space="preserve">unnecessary and </w:t>
      </w:r>
      <w:r w:rsidR="007C513E">
        <w:t>duplicative of RAMP</w:t>
      </w:r>
      <w:r w:rsidR="00B4544F">
        <w:t xml:space="preserve"> and CAVA analyses.</w:t>
      </w:r>
    </w:p>
    <w:p w:rsidR="00821C34" w:rsidP="00627CB2" w:rsidRDefault="00821C34" w14:paraId="4268D388" w14:textId="0AA19549">
      <w:pPr>
        <w:pStyle w:val="Heading3"/>
        <w:numPr>
          <w:ilvl w:val="2"/>
          <w:numId w:val="1"/>
        </w:numPr>
      </w:pPr>
      <w:bookmarkStart w:name="_Toc244073186" w:id="16"/>
      <w:r>
        <w:t>Applicability and Project Thresholds</w:t>
      </w:r>
      <w:bookmarkEnd w:id="16"/>
    </w:p>
    <w:p w:rsidR="00ED1278" w:rsidP="00821C34" w:rsidRDefault="009B0451" w14:paraId="2C852A63" w14:textId="3F65CFAC">
      <w:pPr>
        <w:pStyle w:val="Standard"/>
      </w:pPr>
      <w:r>
        <w:t>PG&amp;E argues that the Framework should exclude administrative filings, filing</w:t>
      </w:r>
      <w:r w:rsidR="00D87023">
        <w:t>s</w:t>
      </w:r>
      <w:r>
        <w:t xml:space="preserve"> involving no significant changes in asset design, </w:t>
      </w:r>
      <w:r w:rsidR="00D622B2">
        <w:t>filings related to Public Safety Power Shutoffs</w:t>
      </w:r>
      <w:r w:rsidR="0075308E">
        <w:t xml:space="preserve"> and operational wildfire mitigation reporting, and </w:t>
      </w:r>
      <w:r>
        <w:t xml:space="preserve">filings related to GO 131-E, </w:t>
      </w:r>
      <w:r w:rsidR="0057685F">
        <w:t>GO 177, or GO 166</w:t>
      </w:r>
      <w:r w:rsidR="0075308E">
        <w:t>.</w:t>
      </w:r>
      <w:r w:rsidR="002024D9">
        <w:rPr>
          <w:rStyle w:val="FootnoteReference"/>
        </w:rPr>
        <w:footnoteReference w:id="26"/>
      </w:r>
      <w:r w:rsidR="00163D04">
        <w:t xml:space="preserve"> </w:t>
      </w:r>
      <w:r w:rsidRPr="00096261" w:rsidR="00163D04">
        <w:t xml:space="preserve">Further, PG&amp;E recommends against a screening criteria </w:t>
      </w:r>
      <w:r w:rsidRPr="00096261" w:rsidR="006334B8">
        <w:t xml:space="preserve">approach </w:t>
      </w:r>
      <w:r w:rsidRPr="00096261" w:rsidR="00163D04">
        <w:t xml:space="preserve">for </w:t>
      </w:r>
      <w:r w:rsidR="0000245C">
        <w:t xml:space="preserve">determining </w:t>
      </w:r>
      <w:r w:rsidRPr="00096261" w:rsidR="00163D04">
        <w:t>which applications the Framework should apply</w:t>
      </w:r>
      <w:r w:rsidR="00FD3B7D">
        <w:t>.</w:t>
      </w:r>
      <w:r w:rsidRPr="00096261" w:rsidR="00163D04">
        <w:t xml:space="preserve"> </w:t>
      </w:r>
      <w:r w:rsidR="00FD3B7D">
        <w:t xml:space="preserve">PG&amp;E </w:t>
      </w:r>
      <w:r w:rsidR="00D94F98">
        <w:t>i</w:t>
      </w:r>
      <w:r w:rsidRPr="00096261" w:rsidR="00163D04">
        <w:t xml:space="preserve">nstead </w:t>
      </w:r>
      <w:r w:rsidRPr="00096261" w:rsidR="002024D9">
        <w:t>proposes a focus on the strategic application of climate change projections in the updating of asset design standards.</w:t>
      </w:r>
      <w:r w:rsidRPr="00096261" w:rsidR="00EC5C41">
        <w:t xml:space="preserve"> PG&amp;E </w:t>
      </w:r>
      <w:r w:rsidRPr="00096261" w:rsidR="00EF31BE">
        <w:t>argues</w:t>
      </w:r>
      <w:r w:rsidRPr="00096261" w:rsidR="00EC5C41">
        <w:t xml:space="preserve"> that </w:t>
      </w:r>
      <w:r w:rsidRPr="00096261" w:rsidR="00EF31BE">
        <w:t xml:space="preserve">a </w:t>
      </w:r>
      <w:r w:rsidRPr="00096261" w:rsidR="00EC5C41">
        <w:t xml:space="preserve">screening criteria approach creates </w:t>
      </w:r>
      <w:r w:rsidRPr="00096261" w:rsidR="00961983">
        <w:t xml:space="preserve">unnecessary administrative burden and cost by </w:t>
      </w:r>
      <w:r w:rsidRPr="00096261" w:rsidR="005F349E">
        <w:t>including</w:t>
      </w:r>
      <w:r w:rsidR="005F349E">
        <w:t xml:space="preserve"> routin</w:t>
      </w:r>
      <w:r w:rsidR="00EF31BE">
        <w:t>e</w:t>
      </w:r>
      <w:r w:rsidR="005F349E">
        <w:t xml:space="preserve"> filings that do not have a significant climate adaptation consideration</w:t>
      </w:r>
      <w:r w:rsidR="0040537F">
        <w:t>,</w:t>
      </w:r>
      <w:r w:rsidR="00EF31BE">
        <w:t xml:space="preserve"> which must then be filtered out</w:t>
      </w:r>
      <w:r w:rsidR="005F349E">
        <w:t>.</w:t>
      </w:r>
      <w:r w:rsidR="00DF223E">
        <w:t xml:space="preserve"> As such, </w:t>
      </w:r>
      <w:r w:rsidR="00DF223E">
        <w:lastRenderedPageBreak/>
        <w:t xml:space="preserve">PG&amp;E argues that </w:t>
      </w:r>
      <w:r w:rsidR="00F600A9">
        <w:t>applying the Framework only to the utilities’ largest strategic decision-making processes</w:t>
      </w:r>
      <w:r w:rsidR="00A358E1">
        <w:t>,</w:t>
      </w:r>
      <w:r w:rsidR="009F028E">
        <w:t xml:space="preserve"> rather </w:t>
      </w:r>
      <w:r w:rsidR="0046644F">
        <w:t xml:space="preserve">than </w:t>
      </w:r>
      <w:r w:rsidR="009F028E">
        <w:t>a multitude of project-level applications</w:t>
      </w:r>
      <w:r w:rsidR="00A358E1">
        <w:t>,</w:t>
      </w:r>
      <w:r w:rsidR="009F028E">
        <w:t xml:space="preserve"> is preferred.</w:t>
      </w:r>
      <w:r w:rsidR="00771FA0">
        <w:rPr>
          <w:rStyle w:val="FootnoteReference"/>
        </w:rPr>
        <w:footnoteReference w:id="27"/>
      </w:r>
      <w:r w:rsidR="004B6D46">
        <w:t xml:space="preserve"> If the Commission establishes a dollar-threshold value for application of the Framework, PG&amp;E recommends a </w:t>
      </w:r>
      <w:r w:rsidR="002B45E7">
        <w:t>cumulative $100 million over four years for capital programs and $15 million in the test year for expense programs, as</w:t>
      </w:r>
      <w:r w:rsidR="00DB7858">
        <w:t xml:space="preserve"> outlined</w:t>
      </w:r>
      <w:r w:rsidR="001A1826">
        <w:t xml:space="preserve"> in the CAVA Investment Proposal Guidelines set forth in D.24-08-005.</w:t>
      </w:r>
      <w:r w:rsidR="00DB7858">
        <w:rPr>
          <w:rStyle w:val="FootnoteReference"/>
        </w:rPr>
        <w:footnoteReference w:id="28"/>
      </w:r>
    </w:p>
    <w:p w:rsidR="00943AD1" w:rsidP="00821C34" w:rsidRDefault="00943AD1" w14:paraId="72D4F90D" w14:textId="0D89A3EA">
      <w:pPr>
        <w:pStyle w:val="Standard"/>
      </w:pPr>
      <w:r>
        <w:t xml:space="preserve">SDG&amp;E </w:t>
      </w:r>
      <w:r w:rsidR="00457DBA">
        <w:t xml:space="preserve">recommends that all thresholds for use of the Framework </w:t>
      </w:r>
      <w:r w:rsidR="00930258">
        <w:t xml:space="preserve">be </w:t>
      </w:r>
      <w:r w:rsidR="00CF736F">
        <w:t>applied proportionally</w:t>
      </w:r>
      <w:r w:rsidR="000A2287">
        <w:t>,</w:t>
      </w:r>
      <w:r w:rsidR="00CF736F">
        <w:t xml:space="preserve"> in a decision-relevant way</w:t>
      </w:r>
      <w:r w:rsidR="000A2287">
        <w:t>,</w:t>
      </w:r>
      <w:r w:rsidR="00CF736F">
        <w:t xml:space="preserve"> </w:t>
      </w:r>
      <w:r w:rsidR="004610CF">
        <w:t>and</w:t>
      </w:r>
      <w:r w:rsidR="00CF736F">
        <w:t xml:space="preserve"> should </w:t>
      </w:r>
      <w:r w:rsidR="00457DBA">
        <w:t>align with RAMP, RDF</w:t>
      </w:r>
      <w:r w:rsidR="00463A3D">
        <w:t xml:space="preserve">, and SPD-37 </w:t>
      </w:r>
      <w:r w:rsidRPr="00096261" w:rsidR="00463A3D">
        <w:t>guidelines focusing on risk prioritization rather than capital expenditure thresholds alone</w:t>
      </w:r>
      <w:r w:rsidRPr="00096261" w:rsidR="00CF736F">
        <w:t>.</w:t>
      </w:r>
      <w:r w:rsidRPr="00096261" w:rsidR="004E5494">
        <w:t xml:space="preserve"> </w:t>
      </w:r>
      <w:r w:rsidRPr="00096261" w:rsidR="000A2287">
        <w:t xml:space="preserve">SDG&amp;E views the </w:t>
      </w:r>
      <w:r w:rsidRPr="00096261" w:rsidR="00095611">
        <w:t>Framework</w:t>
      </w:r>
      <w:r w:rsidRPr="00096261" w:rsidR="00CC5CB8">
        <w:t xml:space="preserve"> as a principles-based guide,</w:t>
      </w:r>
      <w:r w:rsidRPr="00096261" w:rsidR="00111256">
        <w:t xml:space="preserve"> as guardrails around existing practice, not as a new process.</w:t>
      </w:r>
      <w:r w:rsidRPr="00096261" w:rsidR="00CC5CB8">
        <w:rPr>
          <w:rStyle w:val="FootnoteReference"/>
        </w:rPr>
        <w:footnoteReference w:id="29"/>
      </w:r>
    </w:p>
    <w:p w:rsidR="00E233D0" w:rsidP="00821C34" w:rsidRDefault="00E233D0" w14:paraId="3BBBC217" w14:textId="23D7BFBE">
      <w:pPr>
        <w:pStyle w:val="Standard"/>
      </w:pPr>
      <w:r>
        <w:t>SoCalGas</w:t>
      </w:r>
      <w:r w:rsidR="00DE1F93">
        <w:t xml:space="preserve"> argues that the Framework is unnecessary given the Commission’s integration of climate change adaptation into utility processes through the four-year cycle. If the Framework is adopted, SoCalGas recommends that applications </w:t>
      </w:r>
      <w:r w:rsidR="000E0516">
        <w:t xml:space="preserve">not </w:t>
      </w:r>
      <w:r w:rsidR="00DE1F93">
        <w:t>related to GO 177</w:t>
      </w:r>
      <w:r w:rsidR="000E0516">
        <w:t>’s</w:t>
      </w:r>
      <w:r w:rsidR="00A633C8">
        <w:t xml:space="preserve"> Certificate of Public Convenience and Necessity</w:t>
      </w:r>
      <w:r w:rsidR="00890554">
        <w:t xml:space="preserve"> </w:t>
      </w:r>
      <w:r w:rsidR="0015611B">
        <w:t>(CPCN)</w:t>
      </w:r>
      <w:r w:rsidR="00890554">
        <w:t xml:space="preserve"> be excluded from the Framework</w:t>
      </w:r>
      <w:r w:rsidR="0015611B">
        <w:t xml:space="preserve"> and highlights the CPCN as the </w:t>
      </w:r>
      <w:r w:rsidR="00BB3320">
        <w:t>appropriate time for application of the Framework</w:t>
      </w:r>
      <w:r w:rsidR="00890554">
        <w:t>.</w:t>
      </w:r>
      <w:r w:rsidR="00D05CC3">
        <w:rPr>
          <w:rStyle w:val="FootnoteReference"/>
        </w:rPr>
        <w:footnoteReference w:id="30"/>
      </w:r>
      <w:r w:rsidR="00BD05A9">
        <w:t xml:space="preserve"> SoCalGas supports a threshold of $75 million</w:t>
      </w:r>
      <w:r w:rsidR="00076144">
        <w:t>, which aligns with GO 177.</w:t>
      </w:r>
      <w:r w:rsidR="00076144">
        <w:rPr>
          <w:rStyle w:val="FootnoteReference"/>
        </w:rPr>
        <w:footnoteReference w:id="31"/>
      </w:r>
    </w:p>
    <w:p w:rsidR="00821C34" w:rsidP="00821C34" w:rsidRDefault="00683160" w14:paraId="7F4C54BE" w14:textId="619E21B8">
      <w:pPr>
        <w:pStyle w:val="Standard"/>
      </w:pPr>
      <w:r>
        <w:t>SCE opposes implementation of the Framework bec</w:t>
      </w:r>
      <w:r w:rsidR="00F36DAC">
        <w:t>ause</w:t>
      </w:r>
      <w:r w:rsidR="00876860">
        <w:t xml:space="preserve"> </w:t>
      </w:r>
      <w:r>
        <w:t xml:space="preserve">its project-by-project approach will </w:t>
      </w:r>
      <w:r w:rsidR="009D26BA">
        <w:t>invite serial challenges to projects</w:t>
      </w:r>
      <w:r w:rsidR="00876860">
        <w:t>. SCE argues that</w:t>
      </w:r>
      <w:r w:rsidR="009D26BA">
        <w:t xml:space="preserve"> </w:t>
      </w:r>
      <w:r w:rsidR="00876860">
        <w:t xml:space="preserve">this </w:t>
      </w:r>
      <w:r w:rsidR="00876860">
        <w:lastRenderedPageBreak/>
        <w:t>project-by-project approach</w:t>
      </w:r>
      <w:r w:rsidR="009D26BA">
        <w:t xml:space="preserve"> would</w:t>
      </w:r>
      <w:r w:rsidR="00A358E1">
        <w:t>,</w:t>
      </w:r>
      <w:r w:rsidR="009D26BA">
        <w:t xml:space="preserve"> </w:t>
      </w:r>
      <w:r w:rsidR="00B6182C">
        <w:t>“</w:t>
      </w:r>
      <w:r w:rsidR="00A358E1">
        <w:t>…</w:t>
      </w:r>
      <w:r w:rsidR="00B6182C">
        <w:t xml:space="preserve">erode years of deliberate </w:t>
      </w:r>
      <w:r w:rsidR="00D60ED6">
        <w:t xml:space="preserve">streamlining reform efforts…designed to accelerate the critically important energy infrastructure </w:t>
      </w:r>
      <w:r w:rsidR="00030A9B">
        <w:t>development necessary to achieve California’s clean energy goals.”</w:t>
      </w:r>
      <w:r w:rsidR="00030A9B">
        <w:rPr>
          <w:rStyle w:val="FootnoteReference"/>
        </w:rPr>
        <w:footnoteReference w:id="32"/>
      </w:r>
      <w:r w:rsidR="00030A9B">
        <w:t xml:space="preserve"> </w:t>
      </w:r>
      <w:r w:rsidR="00CB0BDF">
        <w:t xml:space="preserve">SCE notes that implementation of the framework could most significantly </w:t>
      </w:r>
      <w:r w:rsidR="00DC58CD">
        <w:t>affect projects governed by GO 131-E.</w:t>
      </w:r>
      <w:r w:rsidR="00CD4D45">
        <w:t xml:space="preserve"> While SCE recommends against adopting the Framework, they request that if the Framework is adopted, GO 131-E projects b</w:t>
      </w:r>
      <w:r w:rsidR="00F34D63">
        <w:t>e</w:t>
      </w:r>
      <w:r w:rsidR="00CD4D45">
        <w:t xml:space="preserve"> exempted from the Framework’s scope.</w:t>
      </w:r>
      <w:r w:rsidR="0076471B">
        <w:rPr>
          <w:rStyle w:val="FootnoteReference"/>
        </w:rPr>
        <w:footnoteReference w:id="33"/>
      </w:r>
    </w:p>
    <w:p w:rsidR="00105011" w:rsidP="00821C34" w:rsidRDefault="00105011" w14:paraId="28703BFE" w14:textId="52C5FB8A">
      <w:pPr>
        <w:pStyle w:val="Standard"/>
      </w:pPr>
      <w:r>
        <w:t>SBUA recommends applying the Framework to all application and filings with significant outla</w:t>
      </w:r>
      <w:r w:rsidR="00EA75AF">
        <w:t>ys,</w:t>
      </w:r>
      <w:r w:rsidR="00B100F4">
        <w:rPr>
          <w:rStyle w:val="FootnoteReference"/>
        </w:rPr>
        <w:footnoteReference w:id="34"/>
      </w:r>
      <w:r w:rsidR="00EA75AF">
        <w:t xml:space="preserve"> </w:t>
      </w:r>
      <w:r w:rsidR="004F581D">
        <w:t xml:space="preserve">though SBUA does not clearly state what the threshold for a </w:t>
      </w:r>
      <w:r w:rsidR="00BA1E14">
        <w:t>“</w:t>
      </w:r>
      <w:r w:rsidR="004F581D">
        <w:t>significant</w:t>
      </w:r>
      <w:r w:rsidR="00BA1E14">
        <w:t>”</w:t>
      </w:r>
      <w:r w:rsidR="004F581D">
        <w:t xml:space="preserve"> outlay would be</w:t>
      </w:r>
      <w:r w:rsidR="006A1403">
        <w:t>, providing an example of $500,000 or less than 5</w:t>
      </w:r>
      <w:r w:rsidR="007623B1">
        <w:t xml:space="preserve"> percent</w:t>
      </w:r>
      <w:r w:rsidR="006A1403">
        <w:t xml:space="preserve"> of a utility’s Climate Adaptation Budget, whichever is lower, or, alternatively, a multi-criteria assessment</w:t>
      </w:r>
      <w:r w:rsidR="00742EF1">
        <w:t xml:space="preserve"> based on risk exposure</w:t>
      </w:r>
      <w:r w:rsidR="004F581D">
        <w:t>.</w:t>
      </w:r>
      <w:r w:rsidR="00B100F4">
        <w:rPr>
          <w:rStyle w:val="FootnoteReference"/>
        </w:rPr>
        <w:footnoteReference w:id="35"/>
      </w:r>
    </w:p>
    <w:p w:rsidRPr="00235031" w:rsidR="00821C34" w:rsidP="00627CB2" w:rsidRDefault="00821C34" w14:paraId="1A5368B7" w14:textId="0DCAB780">
      <w:pPr>
        <w:pStyle w:val="Heading3"/>
        <w:numPr>
          <w:ilvl w:val="2"/>
          <w:numId w:val="1"/>
        </w:numPr>
      </w:pPr>
      <w:bookmarkStart w:name="_Toc244073187" w:id="17"/>
      <w:r>
        <w:t xml:space="preserve">Technical Refinement of </w:t>
      </w:r>
      <w:r w:rsidRPr="00235031">
        <w:t>Policy Areas</w:t>
      </w:r>
      <w:bookmarkEnd w:id="17"/>
    </w:p>
    <w:p w:rsidR="00F57B70" w:rsidP="00821C34" w:rsidRDefault="007A7DE0" w14:paraId="788250B7" w14:textId="77777777">
      <w:pPr>
        <w:pStyle w:val="Standard"/>
      </w:pPr>
      <w:r>
        <w:t xml:space="preserve">PG&amp;E argues that the five </w:t>
      </w:r>
      <w:r w:rsidR="002772EA">
        <w:t>policy areas</w:t>
      </w:r>
      <w:r>
        <w:t xml:space="preserve"> </w:t>
      </w:r>
      <w:r w:rsidR="003E0A61">
        <w:t xml:space="preserve">(i.e., Equipment Tolerance, Repetitive Loss and Failure, Climate Risk Modeling, Site Selection, and Design and Engineering) are insufficiently defined and targeted. As such, PG&amp;E </w:t>
      </w:r>
      <w:r>
        <w:t xml:space="preserve">has objections or proposed expansions for each of the </w:t>
      </w:r>
      <w:r w:rsidR="003E0A61">
        <w:t>five policy areas.</w:t>
      </w:r>
      <w:r w:rsidR="00EF10E6">
        <w:t xml:space="preserve"> </w:t>
      </w:r>
    </w:p>
    <w:p w:rsidR="00C86400" w:rsidP="00821C34" w:rsidRDefault="00607282" w14:paraId="2C04EA27" w14:textId="404C7F4C">
      <w:pPr>
        <w:pStyle w:val="Standard"/>
      </w:pPr>
      <w:r>
        <w:t xml:space="preserve">First, PG&amp;E </w:t>
      </w:r>
      <w:r w:rsidR="00C86400">
        <w:t>recommends</w:t>
      </w:r>
      <w:r w:rsidR="009E378A">
        <w:t xml:space="preserve"> that the Equipment Tolerance policy area </w:t>
      </w:r>
      <w:r w:rsidR="002F49BA">
        <w:t>should include an alternative to equipment tolerance of designed redundancy and designs that allow equipment to fail safely and have engineering controls</w:t>
      </w:r>
      <w:r w:rsidR="00971986">
        <w:t xml:space="preserve"> as well as additional information on what the Commission would consider reasonable </w:t>
      </w:r>
      <w:r w:rsidR="00971986">
        <w:lastRenderedPageBreak/>
        <w:t>safety factors</w:t>
      </w:r>
      <w:r w:rsidR="00F57B70">
        <w:t xml:space="preserve"> when using climate protection in engineering equipment tolerance and critical threshold decisions.</w:t>
      </w:r>
      <w:r w:rsidR="0089562C">
        <w:t xml:space="preserve"> </w:t>
      </w:r>
    </w:p>
    <w:p w:rsidR="00C63164" w:rsidP="00821C34" w:rsidRDefault="00C86400" w14:paraId="4D7D9B02" w14:textId="7F81B5EE">
      <w:pPr>
        <w:pStyle w:val="Standard"/>
      </w:pPr>
      <w:r>
        <w:t>Second, PG&amp;E recommends that Repetitive Loss and Failure have more refined lan</w:t>
      </w:r>
      <w:r w:rsidR="00743A78">
        <w:t>guage to explicitly include the timeframe of expected life of assets in relation to repetitive losses and failures of assets.</w:t>
      </w:r>
      <w:r>
        <w:t xml:space="preserve"> </w:t>
      </w:r>
      <w:r w:rsidR="00696F89">
        <w:t xml:space="preserve">Relatedly, PG&amp;E </w:t>
      </w:r>
      <w:r w:rsidR="00D1591C">
        <w:t>argues</w:t>
      </w:r>
      <w:r w:rsidR="00696F89">
        <w:t xml:space="preserve"> that root cause analysis of repetitive loss and failure events</w:t>
      </w:r>
      <w:r w:rsidR="00D1591C">
        <w:t xml:space="preserve"> should not include a presumption </w:t>
      </w:r>
      <w:r w:rsidR="007723AE">
        <w:t xml:space="preserve">that a clear connection to climate change impact can be </w:t>
      </w:r>
      <w:r w:rsidR="00FD6FC9">
        <w:t>documented</w:t>
      </w:r>
      <w:r w:rsidR="007723AE">
        <w:t xml:space="preserve"> or proven</w:t>
      </w:r>
      <w:r w:rsidR="00C63164">
        <w:t>.</w:t>
      </w:r>
    </w:p>
    <w:p w:rsidR="007F6094" w:rsidP="00821C34" w:rsidRDefault="00C63164" w14:paraId="6098DB91" w14:textId="77777777">
      <w:pPr>
        <w:pStyle w:val="Standard"/>
      </w:pPr>
      <w:r>
        <w:t>Third, PG&amp;E objects to the inclusion of Climate Risk Modeling</w:t>
      </w:r>
      <w:r w:rsidR="00A04666">
        <w:t xml:space="preserve">, as this is more appropriate for the RDF and </w:t>
      </w:r>
      <w:r w:rsidR="007F6094">
        <w:t>is generally duplicative of other efforts.</w:t>
      </w:r>
    </w:p>
    <w:p w:rsidR="00FD5C1A" w:rsidP="00821C34" w:rsidRDefault="007F6094" w14:paraId="6B2BB6E6" w14:textId="77777777">
      <w:pPr>
        <w:pStyle w:val="Standard"/>
      </w:pPr>
      <w:r>
        <w:t xml:space="preserve">Fourth, PG&amp;E argues that Site Selection is </w:t>
      </w:r>
      <w:r w:rsidR="00836609">
        <w:t>more appropriate at a strategic level rather than a project-by-project evaluation</w:t>
      </w:r>
      <w:r w:rsidR="00E25720">
        <w:t xml:space="preserve"> and should </w:t>
      </w:r>
      <w:r w:rsidR="00996F27">
        <w:t>focus on</w:t>
      </w:r>
      <w:r w:rsidR="007D4AEE">
        <w:t xml:space="preserve"> </w:t>
      </w:r>
      <w:r w:rsidR="00996F27">
        <w:t>the assumptions and data sources PG&amp;E uses in its climate hazard assessments for the CAVA</w:t>
      </w:r>
      <w:r w:rsidR="007D4AEE">
        <w:t xml:space="preserve"> rather than </w:t>
      </w:r>
      <w:r w:rsidR="00F92712">
        <w:t>undertaking project level evaluation of each site</w:t>
      </w:r>
      <w:r w:rsidR="00FD5C1A">
        <w:t>.</w:t>
      </w:r>
    </w:p>
    <w:p w:rsidR="007A7DE0" w:rsidP="00821C34" w:rsidRDefault="00FD5C1A" w14:paraId="4A4738FB" w14:textId="42A23A40">
      <w:pPr>
        <w:pStyle w:val="Standard"/>
      </w:pPr>
      <w:r>
        <w:t xml:space="preserve">Finally, PG&amp;E </w:t>
      </w:r>
      <w:r w:rsidR="0068435A">
        <w:t xml:space="preserve">recommends that Design and Engineering include customer demand changes that can impact operations of assets, such as how </w:t>
      </w:r>
      <w:r w:rsidR="00A6288F">
        <w:t>higher loads due to larger temperature variations can stress aging infrastructure over time.</w:t>
      </w:r>
      <w:r w:rsidRPr="0089562C" w:rsidR="0089562C">
        <w:rPr>
          <w:rStyle w:val="FootnoteReference"/>
        </w:rPr>
        <w:footnoteReference w:id="36"/>
      </w:r>
    </w:p>
    <w:p w:rsidR="002772EA" w:rsidP="00821C34" w:rsidRDefault="002772EA" w14:paraId="3953B25C" w14:textId="6CC41B32">
      <w:pPr>
        <w:pStyle w:val="Standard"/>
      </w:pPr>
      <w:r w:rsidRPr="00096261">
        <w:t>SDG&amp;E views the five policy areas</w:t>
      </w:r>
      <w:r w:rsidRPr="00096261" w:rsidR="004D328F">
        <w:t xml:space="preserve"> as sufficient as high-level guidance to help identify where climate adaptation considerations may be relevant.</w:t>
      </w:r>
      <w:r w:rsidRPr="00096261" w:rsidR="0062320B">
        <w:t xml:space="preserve"> SDG&amp;E warns against the redundancy</w:t>
      </w:r>
      <w:r w:rsidRPr="00096261" w:rsidR="00713C2D">
        <w:t xml:space="preserve"> that could result</w:t>
      </w:r>
      <w:r w:rsidRPr="00096261" w:rsidR="0062320B">
        <w:t xml:space="preserve"> </w:t>
      </w:r>
      <w:r w:rsidRPr="00096261" w:rsidR="000A1F36">
        <w:t xml:space="preserve">if the five policy areas </w:t>
      </w:r>
      <w:r w:rsidRPr="00096261" w:rsidR="00A975CA">
        <w:t xml:space="preserve">function as a new checklist for regulatory filings </w:t>
      </w:r>
      <w:r w:rsidRPr="00096261" w:rsidR="00F250A6">
        <w:t>instead of drawing on existing CAVA insights and addresses gaps where they exist</w:t>
      </w:r>
      <w:r w:rsidR="00F250A6">
        <w:t>.</w:t>
      </w:r>
      <w:r w:rsidR="00F250A6">
        <w:rPr>
          <w:rStyle w:val="FootnoteReference"/>
        </w:rPr>
        <w:footnoteReference w:id="37"/>
      </w:r>
      <w:r w:rsidR="001E42F3">
        <w:t xml:space="preserve"> SDG&amp;E recommends applying the five policy areas through a consistent risk-based sequence rather than by </w:t>
      </w:r>
      <w:r w:rsidR="001E42F3">
        <w:lastRenderedPageBreak/>
        <w:t>tailoring them to specific application type.</w:t>
      </w:r>
      <w:r w:rsidR="00B80305">
        <w:t xml:space="preserve"> SDG&amp;E </w:t>
      </w:r>
      <w:r w:rsidR="002C1A71">
        <w:t xml:space="preserve">notes that material risk prioritization already occurs through existing CAVA, RAMP, and GRC processes and asserts that </w:t>
      </w:r>
      <w:r w:rsidR="002A1131">
        <w:t>requiring separate, application-specific ranking of all policy areas could be onerous, duplicative, and increase costs to customers without improving decision quality.</w:t>
      </w:r>
      <w:r w:rsidR="001E42F3">
        <w:rPr>
          <w:rStyle w:val="FootnoteReference"/>
        </w:rPr>
        <w:footnoteReference w:id="38"/>
      </w:r>
    </w:p>
    <w:p w:rsidR="00076144" w:rsidP="00821C34" w:rsidRDefault="008A735F" w14:paraId="44284B01" w14:textId="334B7EA3">
      <w:pPr>
        <w:pStyle w:val="Standard"/>
      </w:pPr>
      <w:r>
        <w:t xml:space="preserve">Like PG&amp;E, </w:t>
      </w:r>
      <w:r w:rsidR="00076144">
        <w:t xml:space="preserve">SoCalGas argues that the five policy </w:t>
      </w:r>
      <w:r w:rsidR="00D352F8">
        <w:t>areas’</w:t>
      </w:r>
      <w:r w:rsidR="00076144">
        <w:t xml:space="preserve"> definitions are </w:t>
      </w:r>
      <w:r>
        <w:t xml:space="preserve">extremely </w:t>
      </w:r>
      <w:proofErr w:type="gramStart"/>
      <w:r>
        <w:t>broad</w:t>
      </w:r>
      <w:r w:rsidR="00A358E1">
        <w:t>,</w:t>
      </w:r>
      <w:r>
        <w:t xml:space="preserve"> and</w:t>
      </w:r>
      <w:proofErr w:type="gramEnd"/>
      <w:r>
        <w:t xml:space="preserve"> could subject thousands of very minor projects to evaluation </w:t>
      </w:r>
      <w:r w:rsidR="007B063D">
        <w:t xml:space="preserve">according to the Framework. SoCalGas recommends </w:t>
      </w:r>
      <w:r w:rsidR="00BB3320">
        <w:t xml:space="preserve">two </w:t>
      </w:r>
      <w:r w:rsidR="007B063D">
        <w:t>revisions to the definitions</w:t>
      </w:r>
      <w:r w:rsidR="00B90412">
        <w:t xml:space="preserve">. </w:t>
      </w:r>
      <w:r w:rsidRPr="0066559D" w:rsidR="00BB3320">
        <w:t xml:space="preserve">First, SoCalGas recommends that the </w:t>
      </w:r>
      <w:r w:rsidRPr="0066559D" w:rsidR="004A4DC4">
        <w:t>definition for Equipment Tolerance include the word “and” between “electrical</w:t>
      </w:r>
      <w:r w:rsidRPr="0066559D" w:rsidR="008D2DFA">
        <w:t>,” and “mechanical</w:t>
      </w:r>
      <w:r w:rsidR="00A358E1">
        <w:t>,</w:t>
      </w:r>
      <w:r w:rsidRPr="0066559D" w:rsidR="008D2DFA">
        <w:t>” and that the phrase “</w:t>
      </w:r>
      <w:r w:rsidR="00A358E1">
        <w:t>…</w:t>
      </w:r>
      <w:r w:rsidRPr="0066559D" w:rsidR="008D2DFA">
        <w:t>and environmental” be removed</w:t>
      </w:r>
      <w:r w:rsidRPr="0066559D" w:rsidR="00B90412">
        <w:t>.</w:t>
      </w:r>
      <w:r w:rsidRPr="0066559D" w:rsidR="008D2DFA">
        <w:t xml:space="preserve"> Second, SoCalGas recommends that </w:t>
      </w:r>
      <w:r w:rsidRPr="0066559D" w:rsidR="002A5060">
        <w:t>Climate Risk Modeling be removed in entirety, since this topic is already addressed in D.19-10-054 and D.24-08-005.</w:t>
      </w:r>
      <w:r w:rsidRPr="0066559D" w:rsidR="00B90412">
        <w:rPr>
          <w:rStyle w:val="FootnoteReference"/>
        </w:rPr>
        <w:footnoteReference w:id="39"/>
      </w:r>
      <w:r w:rsidR="009E3D6A">
        <w:t xml:space="preserve"> Notwithstanding its position on the five policy areas, SoCalGas </w:t>
      </w:r>
      <w:r w:rsidR="00A53620">
        <w:t>notes that activities required of the Framework are duplicative of those performed in the CAVA</w:t>
      </w:r>
      <w:r w:rsidR="007A3FA8">
        <w:t xml:space="preserve"> and </w:t>
      </w:r>
      <w:r w:rsidR="00C7215A">
        <w:t>highlights the existing CAVA-RAMP-GRC regulatory construct.</w:t>
      </w:r>
      <w:r w:rsidR="00C7215A">
        <w:rPr>
          <w:rStyle w:val="FootnoteReference"/>
        </w:rPr>
        <w:footnoteReference w:id="40"/>
      </w:r>
    </w:p>
    <w:p w:rsidR="00E617D0" w:rsidP="00593F7C" w:rsidRDefault="00013D6E" w14:paraId="7F22F60C" w14:textId="727A504A">
      <w:pPr>
        <w:pStyle w:val="Standard"/>
      </w:pPr>
      <w:r>
        <w:t xml:space="preserve">SCE recommends several refinements </w:t>
      </w:r>
      <w:r w:rsidR="00DD5209">
        <w:t>to</w:t>
      </w:r>
      <w:r>
        <w:t xml:space="preserve"> the policy areas in the Framework</w:t>
      </w:r>
      <w:r w:rsidR="00295913">
        <w:t xml:space="preserve"> and recommends that the definitions in the Framework should be revisited over time based on implementation experience.</w:t>
      </w:r>
      <w:r w:rsidR="00EA0CCF">
        <w:t xml:space="preserve"> These include </w:t>
      </w:r>
      <w:r w:rsidR="00712D4C">
        <w:t>clearly distinguishing between forward-looking climate projections and historical or present-day conditions; clarifying that policy area</w:t>
      </w:r>
      <w:r w:rsidR="00035394">
        <w:t>s apply to both legacy and new infrastructure</w:t>
      </w:r>
      <w:r w:rsidR="00A358E1">
        <w:t>,</w:t>
      </w:r>
      <w:r w:rsidR="00035394">
        <w:t xml:space="preserve"> while recognizing differences in how adaptations may be implemented; </w:t>
      </w:r>
      <w:r w:rsidR="006F7B28">
        <w:t>clarifying</w:t>
      </w:r>
      <w:r w:rsidR="006E0F2C">
        <w:t xml:space="preserve"> expectations for climate risk modeling</w:t>
      </w:r>
      <w:r w:rsidR="00A358E1">
        <w:t>,</w:t>
      </w:r>
      <w:r w:rsidR="006F7B28">
        <w:t xml:space="preserve"> and arguing that</w:t>
      </w:r>
      <w:r w:rsidR="006E0F2C">
        <w:t xml:space="preserve"> </w:t>
      </w:r>
      <w:r w:rsidR="006E0F2C">
        <w:lastRenderedPageBreak/>
        <w:t>RAMP</w:t>
      </w:r>
      <w:r w:rsidR="006F7B28">
        <w:t xml:space="preserve"> and CAVA analyses are</w:t>
      </w:r>
      <w:r w:rsidR="00DB12D3">
        <w:t xml:space="preserve"> more appropriate venues for climate risk modeling; </w:t>
      </w:r>
      <w:r w:rsidR="007876AF">
        <w:t>including illustrative examples of concepts like repetitive loss and failure, site selection, and design consideration, in support</w:t>
      </w:r>
      <w:r w:rsidR="00A358E1">
        <w:t xml:space="preserve"> of</w:t>
      </w:r>
      <w:r w:rsidR="007876AF">
        <w:t xml:space="preserve"> consistent interpretation</w:t>
      </w:r>
      <w:r w:rsidR="00E97AC0">
        <w:t>; and distinguishing between the establishment of core climate change models and methods</w:t>
      </w:r>
      <w:r w:rsidR="00C558AD">
        <w:t xml:space="preserve"> in CAVAs and Commission decisions and application-level use of those models and methods in the Climate Risk Modeling </w:t>
      </w:r>
      <w:r w:rsidR="00DD5209">
        <w:t>policy area.</w:t>
      </w:r>
      <w:r w:rsidR="00295913">
        <w:rPr>
          <w:rStyle w:val="FootnoteReference"/>
        </w:rPr>
        <w:footnoteReference w:id="41"/>
      </w:r>
    </w:p>
    <w:p w:rsidR="009A155E" w:rsidP="00593F7C" w:rsidRDefault="009A155E" w14:paraId="54535E3D" w14:textId="26653563">
      <w:pPr>
        <w:pStyle w:val="Standard"/>
      </w:pPr>
      <w:r>
        <w:t>SBUA recommends that the five policy areas should be applied to those utility applications that are most susceptible to climate events, though it provides no definition of how “most susceptible” should be determined.</w:t>
      </w:r>
      <w:r w:rsidR="00BA1E14">
        <w:rPr>
          <w:rStyle w:val="FootnoteReference"/>
        </w:rPr>
        <w:footnoteReference w:id="42"/>
      </w:r>
      <w:r w:rsidR="0052772D">
        <w:t xml:space="preserve"> SBUA recommends emerging technologies be given special assessment for climate vulnerabilities</w:t>
      </w:r>
      <w:r w:rsidR="00190BDF">
        <w:t>, given their newness.</w:t>
      </w:r>
      <w:r w:rsidR="00190BDF">
        <w:rPr>
          <w:rStyle w:val="FootnoteReference"/>
        </w:rPr>
        <w:footnoteReference w:id="43"/>
      </w:r>
    </w:p>
    <w:p w:rsidRPr="00821C34" w:rsidR="00821C34" w:rsidP="00627CB2" w:rsidRDefault="00821C34" w14:paraId="29CEDE9C" w14:textId="2A0972AD">
      <w:pPr>
        <w:pStyle w:val="Heading3"/>
        <w:numPr>
          <w:ilvl w:val="2"/>
          <w:numId w:val="1"/>
        </w:numPr>
      </w:pPr>
      <w:bookmarkStart w:name="_Toc244073188" w:id="18"/>
      <w:r>
        <w:t>Framework Scope</w:t>
      </w:r>
      <w:bookmarkEnd w:id="18"/>
    </w:p>
    <w:p w:rsidR="00744D8F" w:rsidP="00744D8F" w:rsidRDefault="00C77193" w14:paraId="79D6E3AB" w14:textId="7CA6ACC9">
      <w:pPr>
        <w:pStyle w:val="Standard"/>
      </w:pPr>
      <w:r>
        <w:t xml:space="preserve">SCE </w:t>
      </w:r>
      <w:r w:rsidR="00A63CDE">
        <w:t>argues that the Framework’s scope should be limited to new applications and should exclude advice letters, compliance filings, informational reports, and other non-application submissions</w:t>
      </w:r>
      <w:r w:rsidR="008F01D1">
        <w:rPr>
          <w:rStyle w:val="FootnoteReference"/>
        </w:rPr>
        <w:footnoteReference w:id="44"/>
      </w:r>
      <w:r w:rsidR="003D0F81">
        <w:t xml:space="preserve"> a</w:t>
      </w:r>
      <w:r w:rsidR="00F20A48">
        <w:t>s well as near-term and backward</w:t>
      </w:r>
      <w:r w:rsidR="00361CA1">
        <w:t>-</w:t>
      </w:r>
      <w:r w:rsidR="00F20A48">
        <w:t>looking operational filings, including Public Safety Power Shutoffs.</w:t>
      </w:r>
      <w:r w:rsidR="00F20A48">
        <w:rPr>
          <w:rStyle w:val="FootnoteReference"/>
        </w:rPr>
        <w:footnoteReference w:id="45"/>
      </w:r>
      <w:r w:rsidR="008E3030">
        <w:t xml:space="preserve"> SCE </w:t>
      </w:r>
      <w:r w:rsidR="00DF05E3">
        <w:t>argues</w:t>
      </w:r>
      <w:r w:rsidR="008E3030">
        <w:t xml:space="preserve"> </w:t>
      </w:r>
      <w:r w:rsidR="00670AA7">
        <w:t xml:space="preserve">that applying the Framework </w:t>
      </w:r>
      <w:r w:rsidR="008D0D58">
        <w:t xml:space="preserve">to </w:t>
      </w:r>
      <w:r w:rsidR="00DF05E3">
        <w:t>non-application filings w</w:t>
      </w:r>
      <w:r w:rsidR="00293685">
        <w:t>ould effectively impo</w:t>
      </w:r>
      <w:r w:rsidR="003F2BD6">
        <w:t>se new analytic and narrative expec</w:t>
      </w:r>
      <w:r w:rsidR="00CE7CCA">
        <w:t xml:space="preserve">tations on activities and </w:t>
      </w:r>
      <w:r w:rsidR="00CE7CCA">
        <w:lastRenderedPageBreak/>
        <w:t>programs that have already been reviewed and approved in GRCs and that this raise</w:t>
      </w:r>
      <w:r w:rsidR="00F861D3">
        <w:t>s</w:t>
      </w:r>
      <w:r w:rsidR="00CE7CCA">
        <w:t xml:space="preserve"> concerns of </w:t>
      </w:r>
      <w:r w:rsidR="00D759E2">
        <w:t xml:space="preserve">retroactive </w:t>
      </w:r>
      <w:r w:rsidR="00D419FE">
        <w:t xml:space="preserve">standard-setting and </w:t>
      </w:r>
      <w:r w:rsidR="00F861D3">
        <w:t>regulatory uncertainty.</w:t>
      </w:r>
      <w:r w:rsidR="00FB006B">
        <w:rPr>
          <w:rStyle w:val="FootnoteReference"/>
        </w:rPr>
        <w:footnoteReference w:id="46"/>
      </w:r>
    </w:p>
    <w:p w:rsidR="003C6A75" w:rsidP="00627CB2" w:rsidRDefault="000A7F4F" w14:paraId="4DE0DA3E" w14:textId="1712C8F5">
      <w:pPr>
        <w:pStyle w:val="Heading3"/>
        <w:numPr>
          <w:ilvl w:val="2"/>
          <w:numId w:val="1"/>
        </w:numPr>
      </w:pPr>
      <w:bookmarkStart w:name="_Toc244073189" w:id="19"/>
      <w:r>
        <w:t>Small and Multi-Jurisdictional</w:t>
      </w:r>
      <w:r w:rsidR="00551CE2">
        <w:t xml:space="preserve"> Utilities</w:t>
      </w:r>
      <w:r w:rsidR="003F20BC">
        <w:t xml:space="preserve"> and Other Load Serving Entities</w:t>
      </w:r>
      <w:bookmarkEnd w:id="19"/>
    </w:p>
    <w:p w:rsidR="00D93008" w:rsidP="00094223" w:rsidRDefault="003F20BC" w14:paraId="6B0BFF03" w14:textId="15648A53">
      <w:pPr>
        <w:pStyle w:val="Standard"/>
      </w:pPr>
      <w:r>
        <w:t>The SMJUs all oppose application of the Framework to SMJUs</w:t>
      </w:r>
      <w:r w:rsidR="00C43C08">
        <w:t xml:space="preserve"> due to their </w:t>
      </w:r>
      <w:r w:rsidR="0016390D">
        <w:t xml:space="preserve">size and related </w:t>
      </w:r>
      <w:r w:rsidR="00C43C08">
        <w:t>resource constraints</w:t>
      </w:r>
      <w:r>
        <w:t>.</w:t>
      </w:r>
      <w:r w:rsidR="00700E36">
        <w:rPr>
          <w:rStyle w:val="FootnoteReference"/>
        </w:rPr>
        <w:footnoteReference w:id="47"/>
      </w:r>
      <w:r>
        <w:t xml:space="preserve"> CWA opposes application of the Framework to </w:t>
      </w:r>
      <w:r w:rsidR="00C43C08">
        <w:t>water utilities due to the unique needs of water utilities relative to energy utilities.</w:t>
      </w:r>
      <w:r w:rsidR="00951EA6">
        <w:rPr>
          <w:rStyle w:val="FootnoteReference"/>
        </w:rPr>
        <w:footnoteReference w:id="48"/>
      </w:r>
      <w:r w:rsidR="00C43C08">
        <w:t xml:space="preserve"> </w:t>
      </w:r>
      <w:r w:rsidR="00D93008">
        <w:t>PG&amp;E</w:t>
      </w:r>
      <w:r w:rsidR="00A828B7">
        <w:t xml:space="preserve"> supports the SMJUs’ position that SMJUs should be exempt from the </w:t>
      </w:r>
      <w:r w:rsidR="00890830">
        <w:t>Framework.</w:t>
      </w:r>
    </w:p>
    <w:p w:rsidRPr="00094223" w:rsidR="00094223" w:rsidP="00094223" w:rsidRDefault="007101D3" w14:paraId="7A176DC3" w14:textId="56D2AB8C">
      <w:pPr>
        <w:pStyle w:val="Standard"/>
      </w:pPr>
      <w:r>
        <w:t>SBUA supports application of the Framework to SMJUs.</w:t>
      </w:r>
      <w:r>
        <w:rPr>
          <w:rStyle w:val="FootnoteReference"/>
        </w:rPr>
        <w:footnoteReference w:id="49"/>
      </w:r>
    </w:p>
    <w:p w:rsidR="00A30C67" w:rsidP="00534E80" w:rsidRDefault="00A30C67" w14:paraId="1AEC0354" w14:textId="46D03BE5">
      <w:pPr>
        <w:pStyle w:val="Heading2"/>
      </w:pPr>
      <w:bookmarkStart w:name="_Toc244073190" w:id="20"/>
      <w:r>
        <w:t>Discussion</w:t>
      </w:r>
      <w:bookmarkEnd w:id="20"/>
    </w:p>
    <w:p w:rsidR="00A30C67" w:rsidP="00806A41" w:rsidRDefault="003D42D7" w14:paraId="260BF591" w14:textId="495B8B57">
      <w:pPr>
        <w:pStyle w:val="Standard"/>
      </w:pPr>
      <w:r>
        <w:t>W</w:t>
      </w:r>
      <w:r w:rsidR="00040C80">
        <w:t>e consider</w:t>
      </w:r>
      <w:r w:rsidR="00304A7B">
        <w:t xml:space="preserve"> whether SPD’s proposed</w:t>
      </w:r>
      <w:r w:rsidR="00040C80">
        <w:t xml:space="preserve"> Framework </w:t>
      </w:r>
      <w:r w:rsidR="00892FF6">
        <w:t xml:space="preserve">adequately incorporates climate adaptation considerations into energy utility planning processes and safety requirements for electrical infrastructure </w:t>
      </w:r>
      <w:r w:rsidR="003536E0">
        <w:t>and equipment to improve ratepayer safety, reliability, and resilience while having a positive or neutral impact on ratepayer affordability.</w:t>
      </w:r>
    </w:p>
    <w:p w:rsidR="008A42FD" w:rsidP="00627CB2" w:rsidRDefault="008A42FD" w14:paraId="0B4D8EF6" w14:textId="3E43FB60">
      <w:pPr>
        <w:pStyle w:val="Heading3"/>
        <w:numPr>
          <w:ilvl w:val="2"/>
          <w:numId w:val="1"/>
        </w:numPr>
      </w:pPr>
      <w:bookmarkStart w:name="_Toc244073191" w:id="21"/>
      <w:r>
        <w:t xml:space="preserve">Whether SPD’s Proposed Framework Supports the </w:t>
      </w:r>
      <w:r w:rsidR="002822A0">
        <w:t xml:space="preserve">Incorporation of Climate Adaptation </w:t>
      </w:r>
      <w:proofErr w:type="gramStart"/>
      <w:r w:rsidR="002822A0">
        <w:t>Into</w:t>
      </w:r>
      <w:proofErr w:type="gramEnd"/>
      <w:r w:rsidR="002822A0">
        <w:t xml:space="preserve"> Planning and Safety Processes</w:t>
      </w:r>
      <w:bookmarkEnd w:id="21"/>
      <w:r>
        <w:t xml:space="preserve"> </w:t>
      </w:r>
    </w:p>
    <w:p w:rsidR="00775958" w:rsidP="00414186" w:rsidRDefault="000802FF" w14:paraId="562B9A6D" w14:textId="0B173F3E">
      <w:pPr>
        <w:pStyle w:val="Standard"/>
      </w:pPr>
      <w:r>
        <w:t>W</w:t>
      </w:r>
      <w:r w:rsidR="005D1768">
        <w:t xml:space="preserve">e are persuaded that </w:t>
      </w:r>
      <w:r w:rsidR="007D54DE">
        <w:t>the Framework</w:t>
      </w:r>
      <w:r w:rsidR="00767E43">
        <w:t>, as modified</w:t>
      </w:r>
      <w:r w:rsidR="00751AFC">
        <w:t xml:space="preserve"> in this Decision</w:t>
      </w:r>
      <w:r w:rsidR="00767E43">
        <w:t>,</w:t>
      </w:r>
      <w:r w:rsidR="00FC5E2E">
        <w:t xml:space="preserve"> provides the highest likelihood of achieving the stated goal of Task </w:t>
      </w:r>
      <w:r w:rsidR="001F3F2F">
        <w:t>5</w:t>
      </w:r>
      <w:r w:rsidR="007D54DE">
        <w:t>.</w:t>
      </w:r>
      <w:r w:rsidR="00BA6C71">
        <w:t xml:space="preserve"> </w:t>
      </w:r>
      <w:r w:rsidR="007D54DE">
        <w:t>T</w:t>
      </w:r>
      <w:r w:rsidR="00BA6C71">
        <w:t xml:space="preserve">he Framework allows for a tighter </w:t>
      </w:r>
      <w:r w:rsidR="004C56E1">
        <w:t xml:space="preserve">coupling between the work undertaken in the </w:t>
      </w:r>
      <w:r w:rsidR="004C56E1">
        <w:lastRenderedPageBreak/>
        <w:t>CAVAs</w:t>
      </w:r>
      <w:r w:rsidR="00FE2C30">
        <w:t>, RAMPs, and other risk assessment tools</w:t>
      </w:r>
      <w:r w:rsidR="004C56E1">
        <w:t xml:space="preserve"> and the multitude of </w:t>
      </w:r>
      <w:r w:rsidR="00C11416">
        <w:t xml:space="preserve">individual IOU </w:t>
      </w:r>
      <w:r w:rsidR="00A84E24">
        <w:t>planning and infr</w:t>
      </w:r>
      <w:r w:rsidR="00F205E7">
        <w:t xml:space="preserve">astructure </w:t>
      </w:r>
      <w:r w:rsidR="00DC0B6B">
        <w:t>applications</w:t>
      </w:r>
      <w:r w:rsidR="00D2174B">
        <w:t xml:space="preserve"> </w:t>
      </w:r>
      <w:r w:rsidR="005100C4">
        <w:t>that appear before the Commission</w:t>
      </w:r>
      <w:r w:rsidR="0031494A">
        <w:t>, ensuring that climate adaptation consideration</w:t>
      </w:r>
      <w:r w:rsidR="00205F7F">
        <w:t>s</w:t>
      </w:r>
      <w:r w:rsidR="00023FD2">
        <w:t xml:space="preserve"> are made explicit and are included where relevant</w:t>
      </w:r>
      <w:r w:rsidR="00C11416">
        <w:t>.</w:t>
      </w:r>
      <w:r w:rsidR="00A862FC">
        <w:t xml:space="preserve"> In this manner, this approach </w:t>
      </w:r>
      <w:r w:rsidR="002713B2">
        <w:t xml:space="preserve">supports the objective of Task </w:t>
      </w:r>
      <w:r w:rsidR="001F3F2F">
        <w:t>5</w:t>
      </w:r>
      <w:r w:rsidR="002713B2">
        <w:t xml:space="preserve"> to </w:t>
      </w:r>
      <w:r w:rsidR="00FD4514">
        <w:t>better incorporate climate adaptation into planning and safety</w:t>
      </w:r>
      <w:r w:rsidR="00DE2324">
        <w:t>.</w:t>
      </w:r>
      <w:r w:rsidR="00B759F3">
        <w:t xml:space="preserve"> Further, this </w:t>
      </w:r>
      <w:r w:rsidR="00775958">
        <w:t xml:space="preserve">approach </w:t>
      </w:r>
      <w:r w:rsidR="009A15AB">
        <w:t>will provide information that c</w:t>
      </w:r>
      <w:r w:rsidR="00C1135F">
        <w:t>an</w:t>
      </w:r>
      <w:r w:rsidR="009A15AB">
        <w:t xml:space="preserve"> inform future Commission consideration of GO modifications to address climate adaptation</w:t>
      </w:r>
      <w:r w:rsidR="00361DDA">
        <w:t xml:space="preserve"> and </w:t>
      </w:r>
      <w:r w:rsidR="006019C5">
        <w:t>support assessment of the CAVA filing changes</w:t>
      </w:r>
      <w:r w:rsidR="00BC4FAD">
        <w:t xml:space="preserve"> established in</w:t>
      </w:r>
      <w:r w:rsidR="006019C5">
        <w:t xml:space="preserve"> D.24-08-005</w:t>
      </w:r>
      <w:r w:rsidR="00175404">
        <w:t xml:space="preserve"> to determine whether </w:t>
      </w:r>
      <w:r w:rsidR="00AE0417">
        <w:t xml:space="preserve">the changes are effectively supporting the </w:t>
      </w:r>
      <w:r w:rsidR="006019C5">
        <w:t>incorporation of climate adaptation considerations into RAMP filings, GRC filings</w:t>
      </w:r>
      <w:r w:rsidR="00AE0417">
        <w:t xml:space="preserve">, and other relevant </w:t>
      </w:r>
      <w:r w:rsidR="00067536">
        <w:t>a</w:t>
      </w:r>
      <w:r w:rsidR="00AE0417">
        <w:t>pplications</w:t>
      </w:r>
      <w:r w:rsidR="009A15AB">
        <w:t>.</w:t>
      </w:r>
      <w:r w:rsidR="00C11416">
        <w:t xml:space="preserve"> </w:t>
      </w:r>
      <w:r w:rsidR="00AE0417">
        <w:t>Leveraging the report</w:t>
      </w:r>
      <w:r w:rsidR="00AB5AA5">
        <w:t>ing proposed in the SPD Framework</w:t>
      </w:r>
      <w:r w:rsidR="00AE0417">
        <w:t xml:space="preserve">, </w:t>
      </w:r>
      <w:r w:rsidR="007E2701">
        <w:t>the</w:t>
      </w:r>
      <w:r w:rsidR="00775958">
        <w:t xml:space="preserve"> Commission may consider modifications of individual GOs to incorporate climate adaptation considerations</w:t>
      </w:r>
      <w:r w:rsidRPr="00517C23" w:rsidR="00775958">
        <w:t xml:space="preserve"> </w:t>
      </w:r>
      <w:r w:rsidR="00775958">
        <w:t>or a standalone Climate Adaptation GO.</w:t>
      </w:r>
    </w:p>
    <w:p w:rsidR="00A96C12" w:rsidP="00414186" w:rsidRDefault="005100C4" w14:paraId="016B165E" w14:textId="3BF236C3">
      <w:pPr>
        <w:pStyle w:val="Standard"/>
      </w:pPr>
      <w:r>
        <w:t xml:space="preserve">As such, we </w:t>
      </w:r>
      <w:r w:rsidRPr="00446614" w:rsidR="00446614">
        <w:t xml:space="preserve">adopt the Framework, with </w:t>
      </w:r>
      <w:r w:rsidR="009A15AB">
        <w:t xml:space="preserve">the following </w:t>
      </w:r>
      <w:r w:rsidRPr="00446614" w:rsidR="00446614">
        <w:t>modifications.</w:t>
      </w:r>
      <w:r w:rsidR="000970E3">
        <w:t xml:space="preserve"> </w:t>
      </w:r>
    </w:p>
    <w:p w:rsidRPr="000F2B90" w:rsidR="000F2B90" w:rsidP="00FA76DB" w:rsidRDefault="000F2B90" w14:paraId="6F128F8D" w14:textId="04CA9092">
      <w:pPr>
        <w:pStyle w:val="Heading3"/>
        <w:numPr>
          <w:ilvl w:val="2"/>
          <w:numId w:val="17"/>
        </w:numPr>
      </w:pPr>
      <w:bookmarkStart w:name="_Toc244073192" w:id="22"/>
      <w:r w:rsidRPr="000F2B90">
        <w:t>Scope</w:t>
      </w:r>
      <w:r w:rsidR="00351ECA">
        <w:t xml:space="preserve"> of the Framework</w:t>
      </w:r>
      <w:bookmarkEnd w:id="22"/>
    </w:p>
    <w:p w:rsidR="004D52EE" w:rsidP="00FA444D" w:rsidRDefault="00425D5F" w14:paraId="0BC7D89E" w14:textId="1C1AC911">
      <w:pPr>
        <w:pStyle w:val="Standard"/>
      </w:pPr>
      <w:r>
        <w:t>We agree with SCE</w:t>
      </w:r>
      <w:r w:rsidR="00854C04">
        <w:t xml:space="preserve"> </w:t>
      </w:r>
      <w:r w:rsidR="00887F8B">
        <w:t xml:space="preserve">that the Framework should </w:t>
      </w:r>
      <w:r w:rsidR="00F938D9">
        <w:t xml:space="preserve">apply only to new </w:t>
      </w:r>
      <w:r w:rsidR="00BF6DBC">
        <w:t xml:space="preserve">infrastructure </w:t>
      </w:r>
      <w:r w:rsidR="00F938D9">
        <w:t>applications and not to non-application filings.</w:t>
      </w:r>
      <w:r w:rsidR="00854C04">
        <w:t xml:space="preserve"> As SCE </w:t>
      </w:r>
      <w:r w:rsidR="0063019B">
        <w:t xml:space="preserve">argues, </w:t>
      </w:r>
      <w:r w:rsidR="00BA3FD7">
        <w:t xml:space="preserve">applying the Framework to non-application filings would </w:t>
      </w:r>
      <w:r w:rsidR="00AB31D9">
        <w:t xml:space="preserve">impose </w:t>
      </w:r>
      <w:r w:rsidR="0096243C">
        <w:t xml:space="preserve">upon </w:t>
      </w:r>
      <w:r w:rsidR="00B910E8">
        <w:t xml:space="preserve">activities and programs that have already been reviewed and approved in </w:t>
      </w:r>
      <w:r w:rsidR="000C081C">
        <w:t>GRCs, which are informed by both CAVAs and RAMPs.</w:t>
      </w:r>
      <w:r w:rsidR="00F938D9">
        <w:t xml:space="preserve"> </w:t>
      </w:r>
      <w:r w:rsidR="00D70A0B">
        <w:t xml:space="preserve">As such, we limit </w:t>
      </w:r>
      <w:r w:rsidR="005F3E26">
        <w:t xml:space="preserve">scope </w:t>
      </w:r>
      <w:r w:rsidR="00D70A0B">
        <w:t xml:space="preserve">of the Framework to </w:t>
      </w:r>
      <w:r w:rsidR="004956F7">
        <w:t xml:space="preserve">new </w:t>
      </w:r>
      <w:r w:rsidR="00215503">
        <w:t xml:space="preserve">infrastructure project </w:t>
      </w:r>
      <w:r w:rsidR="004956F7">
        <w:t>applications</w:t>
      </w:r>
      <w:r w:rsidR="00DC7AA1">
        <w:t>.</w:t>
      </w:r>
      <w:r w:rsidR="00E844BE">
        <w:t xml:space="preserve"> </w:t>
      </w:r>
      <w:r w:rsidR="00DC7AA1">
        <w:t xml:space="preserve">We further </w:t>
      </w:r>
      <w:r w:rsidR="0089379A">
        <w:t>clarify that the</w:t>
      </w:r>
      <w:r w:rsidR="00DC7AA1">
        <w:t xml:space="preserve"> Framework will apply to any IOU that files </w:t>
      </w:r>
      <w:r w:rsidR="00D4065A">
        <w:t xml:space="preserve">both </w:t>
      </w:r>
      <w:r w:rsidR="00DC7AA1">
        <w:t>CAVAs and RAMPs. Currently, that includes PG&amp;E, SDG&amp;E, SoCalGas, and S</w:t>
      </w:r>
      <w:r w:rsidR="005F3E26">
        <w:t>CE</w:t>
      </w:r>
      <w:r w:rsidR="00DC7AA1">
        <w:t>.</w:t>
      </w:r>
      <w:r w:rsidR="00286D23">
        <w:t xml:space="preserve"> W</w:t>
      </w:r>
      <w:r w:rsidR="00463B17">
        <w:t xml:space="preserve">hile </w:t>
      </w:r>
      <w:r w:rsidR="00672074">
        <w:t>SPD propose</w:t>
      </w:r>
      <w:r w:rsidR="002402D3">
        <w:t>s</w:t>
      </w:r>
      <w:r w:rsidR="00672074">
        <w:t xml:space="preserve"> the Framework as optional, we</w:t>
      </w:r>
      <w:r w:rsidR="00286D23">
        <w:t xml:space="preserve"> clarify that </w:t>
      </w:r>
      <w:r w:rsidR="006D26AA">
        <w:t>the Framework</w:t>
      </w:r>
      <w:r w:rsidR="00A07F39">
        <w:t>, as modified in this decision,</w:t>
      </w:r>
      <w:r w:rsidR="006D26AA">
        <w:t xml:space="preserve"> is </w:t>
      </w:r>
      <w:r w:rsidR="00D43CC9">
        <w:t>mandatory</w:t>
      </w:r>
      <w:r w:rsidR="00463B17">
        <w:t>.</w:t>
      </w:r>
      <w:r w:rsidR="00D861BE">
        <w:t xml:space="preserve"> </w:t>
      </w:r>
      <w:r w:rsidR="008D71D5">
        <w:t xml:space="preserve">An optional implementation may result in no implementation at all and thus </w:t>
      </w:r>
      <w:r w:rsidR="004C5FE5">
        <w:t xml:space="preserve">would not </w:t>
      </w:r>
      <w:r w:rsidR="001D61CA">
        <w:t>h</w:t>
      </w:r>
      <w:r w:rsidR="006A335B">
        <w:t>ave the intended impact.</w:t>
      </w:r>
    </w:p>
    <w:p w:rsidR="000F2B90" w:rsidP="00627CB2" w:rsidRDefault="000F2B90" w14:paraId="2673011F" w14:textId="09027CC3">
      <w:pPr>
        <w:pStyle w:val="Heading3"/>
        <w:numPr>
          <w:ilvl w:val="2"/>
          <w:numId w:val="1"/>
        </w:numPr>
      </w:pPr>
      <w:bookmarkStart w:name="_Toc244073193" w:id="23"/>
      <w:r>
        <w:lastRenderedPageBreak/>
        <w:t>Process</w:t>
      </w:r>
      <w:bookmarkEnd w:id="23"/>
    </w:p>
    <w:p w:rsidR="00996BED" w:rsidP="006F126A" w:rsidRDefault="0038592D" w14:paraId="19396083" w14:textId="1E044A50">
      <w:pPr>
        <w:pStyle w:val="Standard"/>
      </w:pPr>
      <w:r>
        <w:t>Step 1 will now be referred to as Identification.</w:t>
      </w:r>
      <w:r w:rsidR="00F4057D">
        <w:t xml:space="preserve"> </w:t>
      </w:r>
      <w:r w:rsidR="79B57C76">
        <w:t>To better reflect the Framework’s climate risk modeling definition, w</w:t>
      </w:r>
      <w:r w:rsidR="499EF0E1">
        <w:t xml:space="preserve">e modify the Climate Risk Modeling Screening Question to be: </w:t>
      </w:r>
      <w:r w:rsidR="69B279B9">
        <w:t>Does the application rely on historical weather data, climate projections, or climate</w:t>
      </w:r>
      <w:r w:rsidR="17D68C18">
        <w:t>-informed</w:t>
      </w:r>
      <w:r w:rsidR="69B279B9">
        <w:t xml:space="preserve"> risk forecasting?</w:t>
      </w:r>
      <w:r w:rsidR="26BA94B7">
        <w:t xml:space="preserve"> </w:t>
      </w:r>
      <w:r w:rsidR="2AD20D9B">
        <w:t>We</w:t>
      </w:r>
      <w:r w:rsidR="0057404C">
        <w:t xml:space="preserve"> make no </w:t>
      </w:r>
      <w:r w:rsidR="00F4057D">
        <w:t>additional modifications to Step 1</w:t>
      </w:r>
      <w:r w:rsidR="00CF0567">
        <w:t xml:space="preserve"> </w:t>
      </w:r>
      <w:r w:rsidR="00921C0C">
        <w:t>of</w:t>
      </w:r>
      <w:r w:rsidR="005E58D6">
        <w:t xml:space="preserve"> SPD’s proposed identification process</w:t>
      </w:r>
      <w:r w:rsidR="00F4057D">
        <w:t>.</w:t>
      </w:r>
      <w:r w:rsidR="00996BED">
        <w:t xml:space="preserve"> </w:t>
      </w:r>
      <w:r w:rsidR="00387503">
        <w:t xml:space="preserve">We find the </w:t>
      </w:r>
      <w:r w:rsidR="001356C2">
        <w:t>five climate adaptation policy areas for screening</w:t>
      </w:r>
      <w:r w:rsidR="00B44340">
        <w:t>—</w:t>
      </w:r>
      <w:r w:rsidR="00CA39A3">
        <w:t xml:space="preserve">1) </w:t>
      </w:r>
      <w:r w:rsidR="00B44340">
        <w:t xml:space="preserve">Repetitive Loss and Failure, </w:t>
      </w:r>
      <w:r w:rsidR="00CA39A3">
        <w:t xml:space="preserve">2) </w:t>
      </w:r>
      <w:r w:rsidR="00B44340">
        <w:t xml:space="preserve">Site Selection, </w:t>
      </w:r>
      <w:r w:rsidR="00CA39A3">
        <w:t xml:space="preserve">3) </w:t>
      </w:r>
      <w:r w:rsidR="00B44340">
        <w:t xml:space="preserve">Design and Engineering, </w:t>
      </w:r>
      <w:r w:rsidR="00CA39A3">
        <w:t xml:space="preserve">4) </w:t>
      </w:r>
      <w:r w:rsidR="00B44340">
        <w:t xml:space="preserve">Equipment Tolerance, and </w:t>
      </w:r>
      <w:r w:rsidR="00CA39A3">
        <w:t xml:space="preserve">5) </w:t>
      </w:r>
      <w:r w:rsidR="00B44340">
        <w:t>Climate Risk Modeling—</w:t>
      </w:r>
      <w:r w:rsidR="005F4B13">
        <w:t>will</w:t>
      </w:r>
      <w:r w:rsidR="00B44340">
        <w:t xml:space="preserve"> </w:t>
      </w:r>
      <w:r w:rsidR="005F4B13">
        <w:t xml:space="preserve">provide a </w:t>
      </w:r>
      <w:r w:rsidR="00B44340">
        <w:t>sufficient breadth of application topics relevant to climate adaptation</w:t>
      </w:r>
      <w:r w:rsidR="00916081">
        <w:t xml:space="preserve"> needs</w:t>
      </w:r>
      <w:r w:rsidR="00B44340">
        <w:t xml:space="preserve">. </w:t>
      </w:r>
      <w:r w:rsidR="00921C0C">
        <w:t>This is consistent with SDG&amp;E’s comments that the five policy areas are sufficient as high-level guidance to help identify where climate adaptation considerations may be relevant.</w:t>
      </w:r>
    </w:p>
    <w:p w:rsidR="00484D33" w:rsidP="006F126A" w:rsidRDefault="00591172" w14:paraId="1634E200" w14:textId="50193B7E">
      <w:pPr>
        <w:pStyle w:val="Standard"/>
      </w:pPr>
      <w:r>
        <w:t>Based on IOU comments, w</w:t>
      </w:r>
      <w:r w:rsidR="00ED2AB5">
        <w:t>e are</w:t>
      </w:r>
      <w:r w:rsidR="005100C4">
        <w:t xml:space="preserve"> </w:t>
      </w:r>
      <w:r w:rsidR="00ED2AB5">
        <w:t xml:space="preserve">persuaded </w:t>
      </w:r>
      <w:r w:rsidR="00C46695">
        <w:t xml:space="preserve">that </w:t>
      </w:r>
      <w:r w:rsidR="005100C4">
        <w:t>Step 2 of the Framework</w:t>
      </w:r>
      <w:r w:rsidR="006D168D">
        <w:t xml:space="preserve">, policy area analysis, </w:t>
      </w:r>
      <w:r w:rsidR="005100C4">
        <w:t xml:space="preserve">is duplicative of the efforts </w:t>
      </w:r>
      <w:r>
        <w:t xml:space="preserve">the IOUs already </w:t>
      </w:r>
      <w:r w:rsidR="005100C4">
        <w:t>undertake in the</w:t>
      </w:r>
      <w:r w:rsidR="0079433B">
        <w:t>ir CAVAs and RAMPs. We therefore</w:t>
      </w:r>
      <w:r w:rsidR="005100C4">
        <w:t xml:space="preserve"> </w:t>
      </w:r>
      <w:r w:rsidR="00F84A2F">
        <w:t>remove Step 2 from the Framework</w:t>
      </w:r>
      <w:r w:rsidR="003836AF">
        <w:t xml:space="preserve"> as duplicative efforts will not further </w:t>
      </w:r>
      <w:r w:rsidR="00513573">
        <w:t xml:space="preserve">the goal of Task </w:t>
      </w:r>
      <w:r w:rsidR="001F3F2F">
        <w:t>5</w:t>
      </w:r>
      <w:r w:rsidR="00513573">
        <w:t xml:space="preserve"> and could add </w:t>
      </w:r>
      <w:r w:rsidR="00893E45">
        <w:t xml:space="preserve">unnecessary </w:t>
      </w:r>
      <w:r w:rsidR="00A9484F">
        <w:t xml:space="preserve">cost </w:t>
      </w:r>
      <w:r w:rsidR="00E717F4">
        <w:t>that could be passed onto ratepayers</w:t>
      </w:r>
      <w:r w:rsidR="006F126A">
        <w:t xml:space="preserve">. </w:t>
      </w:r>
    </w:p>
    <w:p w:rsidR="000D3CAF" w:rsidP="006F126A" w:rsidRDefault="006F126A" w14:paraId="23775BE6" w14:textId="1A7DE4D7">
      <w:pPr>
        <w:pStyle w:val="Standard"/>
      </w:pPr>
      <w:r>
        <w:t xml:space="preserve">Step 3 is now </w:t>
      </w:r>
      <w:r w:rsidR="00B94219">
        <w:t>referred to as Tracking and Monitoring</w:t>
      </w:r>
      <w:r w:rsidR="002A75B8">
        <w:t>.</w:t>
      </w:r>
      <w:r w:rsidR="00B94219">
        <w:t xml:space="preserve"> </w:t>
      </w:r>
      <w:r w:rsidR="002A75B8">
        <w:t>A</w:t>
      </w:r>
      <w:r w:rsidR="003D2FB3">
        <w:t xml:space="preserve">s </w:t>
      </w:r>
      <w:r w:rsidR="00D56767">
        <w:t xml:space="preserve">the step previously referred to as Step 2 </w:t>
      </w:r>
      <w:r w:rsidR="00F41AD8">
        <w:t xml:space="preserve">will be removed, </w:t>
      </w:r>
      <w:r w:rsidR="00C24D3D">
        <w:t xml:space="preserve">this </w:t>
      </w:r>
      <w:r w:rsidR="003D2FB3">
        <w:t xml:space="preserve">step </w:t>
      </w:r>
      <w:r>
        <w:t>in</w:t>
      </w:r>
      <w:r w:rsidR="003D2FB3">
        <w:t xml:space="preserve"> the Framework</w:t>
      </w:r>
      <w:r w:rsidR="00591172">
        <w:t>,</w:t>
      </w:r>
      <w:r w:rsidR="002A75B8">
        <w:t xml:space="preserve"> Tracking and Monitoring</w:t>
      </w:r>
      <w:r w:rsidR="0041071A">
        <w:t>,</w:t>
      </w:r>
      <w:r w:rsidR="002A75B8">
        <w:t xml:space="preserve"> </w:t>
      </w:r>
      <w:r w:rsidR="00C8442E">
        <w:t xml:space="preserve">will be referred to as </w:t>
      </w:r>
      <w:r w:rsidR="002A75B8">
        <w:t>Step 2</w:t>
      </w:r>
      <w:r w:rsidR="00C8442E">
        <w:t xml:space="preserve"> going forward</w:t>
      </w:r>
      <w:r w:rsidR="003D2FB3">
        <w:t xml:space="preserve">. </w:t>
      </w:r>
      <w:r w:rsidR="00591172">
        <w:t xml:space="preserve">We find </w:t>
      </w:r>
      <w:r w:rsidR="00C06C91">
        <w:t xml:space="preserve">this </w:t>
      </w:r>
      <w:proofErr w:type="gramStart"/>
      <w:r w:rsidR="00C06C91">
        <w:t>step is</w:t>
      </w:r>
      <w:proofErr w:type="gramEnd"/>
      <w:r w:rsidR="00C06C91">
        <w:t xml:space="preserve"> </w:t>
      </w:r>
      <w:r w:rsidR="00A132D7">
        <w:t xml:space="preserve">necessary for furthering the goal of Task </w:t>
      </w:r>
      <w:r w:rsidR="00370A7D">
        <w:t>5</w:t>
      </w:r>
      <w:r w:rsidR="00F457B4">
        <w:t xml:space="preserve">, as it will provide for closer coupling between current IOU climate adaptation actions, like CAVA and RAMP, and </w:t>
      </w:r>
      <w:r w:rsidR="002A59AC">
        <w:t>will enabl</w:t>
      </w:r>
      <w:r w:rsidR="00BC4C4C">
        <w:t>e future action</w:t>
      </w:r>
      <w:r w:rsidR="00D91000">
        <w:t xml:space="preserve">, as necessary, based on the </w:t>
      </w:r>
      <w:r w:rsidR="006F1FA7">
        <w:t xml:space="preserve">findings. </w:t>
      </w:r>
      <w:r w:rsidR="00C474D5">
        <w:t xml:space="preserve">For Tracking and Monitoring, the IOUs </w:t>
      </w:r>
      <w:r w:rsidR="00B71961">
        <w:t>shall</w:t>
      </w:r>
      <w:r w:rsidR="00C474D5">
        <w:t xml:space="preserve"> </w:t>
      </w:r>
      <w:r w:rsidR="00C2143C">
        <w:t xml:space="preserve">host a joint annual workshop </w:t>
      </w:r>
      <w:r w:rsidR="0014278A">
        <w:t xml:space="preserve">to </w:t>
      </w:r>
      <w:r w:rsidR="00F462B8">
        <w:t>present where and how they have</w:t>
      </w:r>
      <w:r w:rsidR="0014278A">
        <w:t xml:space="preserve"> integrat</w:t>
      </w:r>
      <w:r w:rsidR="0022563B">
        <w:t>ed</w:t>
      </w:r>
      <w:r w:rsidR="0014278A">
        <w:t xml:space="preserve"> climate adaptation across the </w:t>
      </w:r>
      <w:r w:rsidR="00971E05">
        <w:t>five</w:t>
      </w:r>
      <w:r w:rsidR="00BE5EF5">
        <w:t xml:space="preserve"> policy </w:t>
      </w:r>
      <w:r w:rsidR="00BE5EF5">
        <w:lastRenderedPageBreak/>
        <w:t>areas</w:t>
      </w:r>
      <w:r w:rsidR="0052540E">
        <w:t xml:space="preserve"> into </w:t>
      </w:r>
      <w:r w:rsidR="0022563B">
        <w:t xml:space="preserve">the </w:t>
      </w:r>
      <w:r w:rsidR="0052540E">
        <w:t>applications</w:t>
      </w:r>
      <w:r w:rsidR="004D0C7F">
        <w:t xml:space="preserve"> </w:t>
      </w:r>
      <w:r w:rsidR="0022563B">
        <w:t>that each IOU has</w:t>
      </w:r>
      <w:r w:rsidR="0052540E">
        <w:t xml:space="preserve"> filed with the Commission</w:t>
      </w:r>
      <w:r w:rsidR="002A5EE4">
        <w:t xml:space="preserve"> </w:t>
      </w:r>
      <w:r w:rsidR="00A2362B">
        <w:t xml:space="preserve">over the last year </w:t>
      </w:r>
      <w:r w:rsidR="002A5EE4">
        <w:t>and issue annual report</w:t>
      </w:r>
      <w:r w:rsidR="00C3586D">
        <w:t>s on an individual basis</w:t>
      </w:r>
      <w:r w:rsidR="00BE5EF5">
        <w:t>.</w:t>
      </w:r>
      <w:r w:rsidR="00271603">
        <w:t xml:space="preserve"> </w:t>
      </w:r>
      <w:r w:rsidR="000D3CAF">
        <w:t>Starting in 202</w:t>
      </w:r>
      <w:r w:rsidR="00A14733">
        <w:t>8</w:t>
      </w:r>
      <w:r w:rsidR="000D3CAF">
        <w:t>,</w:t>
      </w:r>
      <w:r w:rsidR="00FA6C59">
        <w:t xml:space="preserve"> the IOUs shall </w:t>
      </w:r>
      <w:r w:rsidR="00983A69">
        <w:t>provide notice of the workshop to all Commissioner offices,</w:t>
      </w:r>
      <w:r w:rsidR="00491D59">
        <w:t xml:space="preserve"> Office of </w:t>
      </w:r>
      <w:r w:rsidR="00632155">
        <w:t xml:space="preserve">Energy </w:t>
      </w:r>
      <w:r w:rsidR="00491D59">
        <w:t xml:space="preserve">Infrastructure </w:t>
      </w:r>
      <w:r w:rsidR="00632155">
        <w:t>Safety,</w:t>
      </w:r>
      <w:r w:rsidR="00BC5B7B">
        <w:t xml:space="preserve"> and</w:t>
      </w:r>
      <w:r w:rsidR="00983A69">
        <w:t xml:space="preserve"> </w:t>
      </w:r>
      <w:r w:rsidR="000424C9">
        <w:t>the service list</w:t>
      </w:r>
      <w:r w:rsidR="00BC5B7B">
        <w:t>s</w:t>
      </w:r>
      <w:r w:rsidR="000424C9">
        <w:t xml:space="preserve"> for the Climate Adaptation </w:t>
      </w:r>
      <w:r w:rsidR="00FF619D">
        <w:t>r</w:t>
      </w:r>
      <w:r w:rsidR="000424C9">
        <w:t>ulemaking</w:t>
      </w:r>
      <w:r w:rsidR="0047716B">
        <w:t xml:space="preserve">, </w:t>
      </w:r>
      <w:r w:rsidR="003F7858">
        <w:t xml:space="preserve">RAMP </w:t>
      </w:r>
      <w:r w:rsidR="00FF619D">
        <w:t xml:space="preserve">proceeding, and any successor proceedings addressing CAVAs or </w:t>
      </w:r>
      <w:r w:rsidR="00CB21D2">
        <w:t>RAMPs</w:t>
      </w:r>
      <w:r w:rsidR="00001E27">
        <w:t xml:space="preserve">. </w:t>
      </w:r>
      <w:r w:rsidR="00D50338">
        <w:t xml:space="preserve">The IOUs shall coordinate with SPD staff during the planning of the </w:t>
      </w:r>
      <w:r w:rsidR="00482251">
        <w:t xml:space="preserve">workshop </w:t>
      </w:r>
      <w:r w:rsidR="00BD6F73">
        <w:t xml:space="preserve">and must ensure SPD staff input is considered in the </w:t>
      </w:r>
      <w:r w:rsidR="009836DA">
        <w:t xml:space="preserve">planning of the agenda. </w:t>
      </w:r>
      <w:r w:rsidR="7C841D1B">
        <w:t xml:space="preserve">Each utility </w:t>
      </w:r>
      <w:r w:rsidR="00D237B8">
        <w:t>must</w:t>
      </w:r>
      <w:r w:rsidR="7C841D1B">
        <w:t xml:space="preserve"> present on their required annual report</w:t>
      </w:r>
      <w:r w:rsidR="00A05CA6">
        <w:t xml:space="preserve">, </w:t>
      </w:r>
      <w:r w:rsidR="7C841D1B">
        <w:t>areas of intersection with the RAMP and CAVA</w:t>
      </w:r>
      <w:r w:rsidR="00A05CA6">
        <w:t xml:space="preserve">, and any identified gaps observed </w:t>
      </w:r>
      <w:r w:rsidR="00443F7A">
        <w:t>in our approach to climate adaptation and planning</w:t>
      </w:r>
      <w:r w:rsidR="7C841D1B">
        <w:t xml:space="preserve">. </w:t>
      </w:r>
    </w:p>
    <w:p w:rsidR="004A0BD8" w:rsidP="006F126A" w:rsidRDefault="009C3B19" w14:paraId="1D52A9C4" w14:textId="29991F01">
      <w:pPr>
        <w:pStyle w:val="Standard"/>
      </w:pPr>
      <w:r>
        <w:t xml:space="preserve">Starting in 2028, </w:t>
      </w:r>
      <w:r w:rsidR="002A5EE4">
        <w:t xml:space="preserve">annual </w:t>
      </w:r>
      <w:r w:rsidR="00271603">
        <w:t>report</w:t>
      </w:r>
      <w:r w:rsidR="007630C0">
        <w:t>s</w:t>
      </w:r>
      <w:r w:rsidR="00271603">
        <w:t xml:space="preserve"> </w:t>
      </w:r>
      <w:r w:rsidR="002A5EE4">
        <w:t xml:space="preserve">shall be submitted on </w:t>
      </w:r>
      <w:r>
        <w:t xml:space="preserve">May 1 of each year </w:t>
      </w:r>
      <w:r w:rsidR="002F06D3">
        <w:t>with a reporting period of</w:t>
      </w:r>
      <w:r w:rsidR="00E04E83">
        <w:t xml:space="preserve"> the preceding 12</w:t>
      </w:r>
      <w:r w:rsidR="00B03448">
        <w:t xml:space="preserve"> </w:t>
      </w:r>
      <w:r w:rsidR="00E04E83">
        <w:t xml:space="preserve">months beginning April </w:t>
      </w:r>
      <w:r w:rsidR="00D33601">
        <w:t>1</w:t>
      </w:r>
      <w:r w:rsidR="00E04E83">
        <w:t xml:space="preserve"> and ending </w:t>
      </w:r>
      <w:r w:rsidR="00D33601">
        <w:t>March 31</w:t>
      </w:r>
      <w:r w:rsidR="00BF1121">
        <w:t xml:space="preserve"> of the filing year.</w:t>
      </w:r>
      <w:r w:rsidR="00076D10">
        <w:t xml:space="preserve"> We do not</w:t>
      </w:r>
      <w:r w:rsidR="001B62CC">
        <w:t xml:space="preserve"> find it necessary to move this deadline from May 1 to July 15 as SCE’s comments recommend.</w:t>
      </w:r>
      <w:r w:rsidR="00BF1121">
        <w:t xml:space="preserve"> </w:t>
      </w:r>
      <w:r w:rsidR="007630C0">
        <w:t>Each IOU</w:t>
      </w:r>
      <w:r w:rsidR="00BD52B5">
        <w:t>’s individual</w:t>
      </w:r>
      <w:r w:rsidR="007630C0">
        <w:t xml:space="preserve"> </w:t>
      </w:r>
      <w:r w:rsidR="00BD2609">
        <w:t xml:space="preserve">annual </w:t>
      </w:r>
      <w:r w:rsidR="004E2D6A">
        <w:t>report shall contain:</w:t>
      </w:r>
    </w:p>
    <w:p w:rsidR="004E2D6A" w:rsidP="00627CB2" w:rsidRDefault="00F7199F" w14:paraId="33D51A57" w14:textId="2BAE33DE">
      <w:pPr>
        <w:pStyle w:val="ListNum"/>
        <w:numPr>
          <w:ilvl w:val="6"/>
          <w:numId w:val="1"/>
        </w:numPr>
        <w:ind w:right="1440"/>
      </w:pPr>
      <w:r>
        <w:t>The number of infrastructure project applications the IOU is seeking Commission authorization for that have been filed</w:t>
      </w:r>
      <w:r w:rsidR="00057C9E">
        <w:t xml:space="preserve">, </w:t>
      </w:r>
      <w:r w:rsidR="00561466">
        <w:t>are in review</w:t>
      </w:r>
      <w:r w:rsidR="00057C9E">
        <w:t>,</w:t>
      </w:r>
      <w:r w:rsidR="00561466">
        <w:t xml:space="preserve"> or </w:t>
      </w:r>
      <w:r w:rsidR="00057C9E">
        <w:t>closed</w:t>
      </w:r>
      <w:r w:rsidR="00561466">
        <w:t xml:space="preserve"> during the reporting period</w:t>
      </w:r>
      <w:r w:rsidR="00DC2D71">
        <w:t>.</w:t>
      </w:r>
    </w:p>
    <w:p w:rsidR="002F06D3" w:rsidP="00627CB2" w:rsidRDefault="00CF4530" w14:paraId="7EE703BE" w14:textId="12EF52CE">
      <w:pPr>
        <w:pStyle w:val="ListNum"/>
        <w:numPr>
          <w:ilvl w:val="6"/>
          <w:numId w:val="1"/>
        </w:numPr>
        <w:ind w:right="1440"/>
      </w:pPr>
      <w:r>
        <w:t xml:space="preserve">The </w:t>
      </w:r>
      <w:r w:rsidR="00584640">
        <w:t>number</w:t>
      </w:r>
      <w:r>
        <w:t xml:space="preserve"> of </w:t>
      </w:r>
      <w:r w:rsidR="00C76466">
        <w:t xml:space="preserve">infrastructure </w:t>
      </w:r>
      <w:r w:rsidR="00061921">
        <w:t xml:space="preserve">project </w:t>
      </w:r>
      <w:r w:rsidR="000C2954">
        <w:t>applications</w:t>
      </w:r>
      <w:r w:rsidR="00B730CF">
        <w:t xml:space="preserve"> that </w:t>
      </w:r>
      <w:r w:rsidR="007F6F4A">
        <w:t xml:space="preserve">did </w:t>
      </w:r>
      <w:r w:rsidR="002F5E32">
        <w:t xml:space="preserve">not identify </w:t>
      </w:r>
      <w:r w:rsidR="00B0221A">
        <w:t xml:space="preserve">related </w:t>
      </w:r>
      <w:r w:rsidR="002F5E32">
        <w:t>climate change risks.</w:t>
      </w:r>
    </w:p>
    <w:p w:rsidR="00AC2F57" w:rsidP="00627CB2" w:rsidRDefault="00AD21A2" w14:paraId="167FAEDD" w14:textId="01A31CFC">
      <w:pPr>
        <w:pStyle w:val="ListNum"/>
        <w:numPr>
          <w:ilvl w:val="6"/>
          <w:numId w:val="1"/>
        </w:numPr>
        <w:ind w:right="1440"/>
      </w:pPr>
      <w:r>
        <w:t>For each</w:t>
      </w:r>
      <w:r w:rsidR="00061921">
        <w:t xml:space="preserve"> infrastructure project</w:t>
      </w:r>
      <w:r>
        <w:t xml:space="preserve"> </w:t>
      </w:r>
      <w:r w:rsidR="000C2954">
        <w:t>application</w:t>
      </w:r>
      <w:r>
        <w:t xml:space="preserve"> identified, </w:t>
      </w:r>
      <w:r w:rsidR="0009490B">
        <w:t>the report shall include</w:t>
      </w:r>
      <w:r w:rsidR="00C30BFF">
        <w:t xml:space="preserve"> the followin</w:t>
      </w:r>
      <w:r w:rsidR="00D11F84">
        <w:t>g</w:t>
      </w:r>
      <w:r w:rsidR="00583D8A">
        <w:t>. However, for applications w</w:t>
      </w:r>
      <w:r w:rsidR="0062425C">
        <w:t>ithout an identified climate risk</w:t>
      </w:r>
      <w:r w:rsidR="00DC16CB">
        <w:t>,</w:t>
      </w:r>
      <w:r w:rsidR="00AD5330">
        <w:t xml:space="preserve"> the report </w:t>
      </w:r>
      <w:r w:rsidR="00936F32">
        <w:t xml:space="preserve">shall only address </w:t>
      </w:r>
      <w:r w:rsidR="00B73580">
        <w:t>(a) and (b)</w:t>
      </w:r>
      <w:r w:rsidR="00AC2F57">
        <w:t>:</w:t>
      </w:r>
    </w:p>
    <w:p w:rsidR="00AC2F57" w:rsidP="00627CB2" w:rsidRDefault="00AA1E3A" w14:paraId="71773C4A" w14:textId="01B3D08B">
      <w:pPr>
        <w:pStyle w:val="ListAlpha"/>
        <w:numPr>
          <w:ilvl w:val="7"/>
          <w:numId w:val="1"/>
        </w:numPr>
        <w:ind w:left="1440" w:right="1440"/>
      </w:pPr>
      <w:r>
        <w:t xml:space="preserve">A description of the </w:t>
      </w:r>
      <w:r w:rsidR="000C2954">
        <w:t>application</w:t>
      </w:r>
      <w:r>
        <w:t xml:space="preserve">, including the </w:t>
      </w:r>
      <w:r w:rsidR="000C2954">
        <w:t>application</w:t>
      </w:r>
      <w:r>
        <w:t xml:space="preserve"> objective and any identified climate risk</w:t>
      </w:r>
      <w:r w:rsidR="002A5B86">
        <w:t>s</w:t>
      </w:r>
      <w:r w:rsidR="00DC5946">
        <w:t xml:space="preserve"> associated with the subject of the application</w:t>
      </w:r>
      <w:r w:rsidR="00B14D02">
        <w:t>, as well as</w:t>
      </w:r>
      <w:r w:rsidR="001306F5">
        <w:t xml:space="preserve"> the</w:t>
      </w:r>
      <w:r w:rsidR="00A86A8B">
        <w:t xml:space="preserve"> procedural status of the application as of the </w:t>
      </w:r>
      <w:r w:rsidR="005B7D43">
        <w:t>report’s filing date</w:t>
      </w:r>
      <w:r>
        <w:t>.</w:t>
      </w:r>
    </w:p>
    <w:p w:rsidR="00AA1E3A" w:rsidP="00627CB2" w:rsidRDefault="004D7901" w14:paraId="138E37AD" w14:textId="5494EB26">
      <w:pPr>
        <w:pStyle w:val="ListAlpha"/>
        <w:numPr>
          <w:ilvl w:val="7"/>
          <w:numId w:val="1"/>
        </w:numPr>
        <w:ind w:left="1440" w:right="1440"/>
      </w:pPr>
      <w:r>
        <w:lastRenderedPageBreak/>
        <w:t xml:space="preserve">The GOs that govern the </w:t>
      </w:r>
      <w:r w:rsidR="000C2954">
        <w:t>application</w:t>
      </w:r>
      <w:r w:rsidR="001B7CFF">
        <w:t>, based on the IOU</w:t>
      </w:r>
      <w:r w:rsidR="00995948">
        <w:t>’s assessment</w:t>
      </w:r>
      <w:r w:rsidR="00A113D2">
        <w:t xml:space="preserve"> of GO applicability</w:t>
      </w:r>
      <w:r>
        <w:t>.</w:t>
      </w:r>
    </w:p>
    <w:p w:rsidR="004D7901" w:rsidP="00627CB2" w:rsidRDefault="00DB2F74" w14:paraId="16ECE8A9" w14:textId="14A0D69C">
      <w:pPr>
        <w:pStyle w:val="ListAlpha"/>
        <w:numPr>
          <w:ilvl w:val="7"/>
          <w:numId w:val="1"/>
        </w:numPr>
        <w:ind w:left="1440" w:right="1440"/>
      </w:pPr>
      <w:r>
        <w:t xml:space="preserve">The hazard(s) identified </w:t>
      </w:r>
      <w:r w:rsidR="00FF4A9B">
        <w:t>in the CAVA, RAMP, and any other of the applicant’s climate adaptation analysis and planning efforts that are associated with th</w:t>
      </w:r>
      <w:r w:rsidR="00DC5946">
        <w:t>e</w:t>
      </w:r>
      <w:r w:rsidR="00FF4A9B">
        <w:t xml:space="preserve"> </w:t>
      </w:r>
      <w:r w:rsidR="000C2954">
        <w:t>application.</w:t>
      </w:r>
    </w:p>
    <w:p w:rsidR="00FF4A9B" w:rsidP="00627CB2" w:rsidRDefault="00442A5F" w14:paraId="436973B7" w14:textId="7A1CE5CE">
      <w:pPr>
        <w:pStyle w:val="ListAlpha"/>
        <w:numPr>
          <w:ilvl w:val="7"/>
          <w:numId w:val="1"/>
        </w:numPr>
        <w:ind w:left="1440" w:right="1440"/>
      </w:pPr>
      <w:r>
        <w:t xml:space="preserve">Historical concerns </w:t>
      </w:r>
      <w:r w:rsidR="006B3096">
        <w:t xml:space="preserve">about </w:t>
      </w:r>
      <w:r w:rsidR="000C2954">
        <w:t xml:space="preserve">specific </w:t>
      </w:r>
      <w:r w:rsidR="003D2A42">
        <w:t>locations associated</w:t>
      </w:r>
      <w:r w:rsidR="000C2954">
        <w:t xml:space="preserve"> </w:t>
      </w:r>
      <w:r w:rsidR="003D2A42">
        <w:t>with</w:t>
      </w:r>
      <w:r w:rsidR="00C924C8">
        <w:t xml:space="preserve"> the application</w:t>
      </w:r>
      <w:r w:rsidR="003D2A42">
        <w:t xml:space="preserve"> (e.g., for </w:t>
      </w:r>
      <w:proofErr w:type="gramStart"/>
      <w:r w:rsidR="003D2A42">
        <w:t>siting</w:t>
      </w:r>
      <w:proofErr w:type="gramEnd"/>
      <w:r w:rsidR="005102F2">
        <w:t xml:space="preserve"> the subject of the </w:t>
      </w:r>
      <w:r w:rsidR="0046592B">
        <w:t>infrastructure project</w:t>
      </w:r>
      <w:r w:rsidR="00CB4179">
        <w:t>(s)</w:t>
      </w:r>
      <w:r w:rsidR="0046592B">
        <w:t xml:space="preserve"> </w:t>
      </w:r>
      <w:r w:rsidR="00CB4179">
        <w:t>addressed by the</w:t>
      </w:r>
      <w:r w:rsidR="0046592B">
        <w:t xml:space="preserve"> </w:t>
      </w:r>
      <w:r w:rsidR="005102F2">
        <w:t>application</w:t>
      </w:r>
      <w:r w:rsidR="00FD56AA">
        <w:t>)</w:t>
      </w:r>
      <w:r w:rsidR="00C924C8">
        <w:t>.</w:t>
      </w:r>
      <w:r w:rsidR="00B01E98">
        <w:t xml:space="preserve"> This section should refer </w:t>
      </w:r>
      <w:r w:rsidR="006D576C">
        <w:t xml:space="preserve">specifically to the </w:t>
      </w:r>
      <w:r w:rsidR="00B644F0">
        <w:t xml:space="preserve">applicant’s </w:t>
      </w:r>
      <w:r w:rsidR="00644E48">
        <w:t>CAVA, RAMP, and any other climate adaptation analysis and planning efforts.</w:t>
      </w:r>
    </w:p>
    <w:p w:rsidR="000E4482" w:rsidP="00627CB2" w:rsidRDefault="006668C2" w14:paraId="044F4ED2" w14:textId="798DEB48">
      <w:pPr>
        <w:pStyle w:val="ListAlpha"/>
        <w:numPr>
          <w:ilvl w:val="7"/>
          <w:numId w:val="1"/>
        </w:numPr>
        <w:ind w:left="1440" w:right="1440"/>
      </w:pPr>
      <w:r>
        <w:t>Description of what modeling was use</w:t>
      </w:r>
      <w:r w:rsidR="00581A8C">
        <w:t>d to assess</w:t>
      </w:r>
      <w:r w:rsidR="00BA4300">
        <w:t xml:space="preserve"> and plan </w:t>
      </w:r>
      <w:r w:rsidR="00FD56AA">
        <w:t>the subject of an application</w:t>
      </w:r>
      <w:r w:rsidR="000A3056">
        <w:t xml:space="preserve"> and the time horizon(s) considered.</w:t>
      </w:r>
      <w:r w:rsidR="00E54907">
        <w:t xml:space="preserve"> This </w:t>
      </w:r>
      <w:r w:rsidR="00C94BD6">
        <w:t xml:space="preserve">section should </w:t>
      </w:r>
      <w:r w:rsidR="00BD3A11">
        <w:t xml:space="preserve">refer specifically to </w:t>
      </w:r>
      <w:r w:rsidR="00E35501">
        <w:t>the applicant’s CAVA, RAMP</w:t>
      </w:r>
      <w:r w:rsidR="008864F7">
        <w:t>, and any other climate adaptation analysis and planning efforts.</w:t>
      </w:r>
    </w:p>
    <w:p w:rsidR="00644E48" w:rsidP="00627CB2" w:rsidRDefault="00644E48" w14:paraId="696220E2" w14:textId="145DC7E4">
      <w:pPr>
        <w:pStyle w:val="ListAlpha"/>
        <w:numPr>
          <w:ilvl w:val="7"/>
          <w:numId w:val="1"/>
        </w:numPr>
        <w:ind w:left="1440" w:right="1440"/>
      </w:pPr>
      <w:r>
        <w:t xml:space="preserve">The actions taken to </w:t>
      </w:r>
      <w:r w:rsidR="005B5FD9">
        <w:t xml:space="preserve">adapt the </w:t>
      </w:r>
      <w:r w:rsidR="005F106C">
        <w:t>subject of the application</w:t>
      </w:r>
      <w:r w:rsidR="005B5FD9">
        <w:t xml:space="preserve"> for </w:t>
      </w:r>
      <w:r w:rsidR="00775344">
        <w:t xml:space="preserve">identified </w:t>
      </w:r>
      <w:r w:rsidR="00087853">
        <w:t>future climate risks.</w:t>
      </w:r>
    </w:p>
    <w:p w:rsidR="009859E0" w:rsidP="008A0372" w:rsidRDefault="00483207" w14:paraId="35DE9DC7" w14:textId="6FBC5F74">
      <w:pPr>
        <w:pStyle w:val="Standard"/>
      </w:pPr>
      <w:r>
        <w:t>The</w:t>
      </w:r>
      <w:r w:rsidR="00D84790">
        <w:t xml:space="preserve"> Framework </w:t>
      </w:r>
      <w:r>
        <w:t>will apply to any</w:t>
      </w:r>
      <w:r w:rsidR="00D84790">
        <w:t xml:space="preserve"> new</w:t>
      </w:r>
      <w:r w:rsidR="00C81EB8">
        <w:t xml:space="preserve"> infrastructure</w:t>
      </w:r>
      <w:r w:rsidR="00D84790">
        <w:t xml:space="preserve"> applications </w:t>
      </w:r>
      <w:r w:rsidR="00DD5176">
        <w:t>filed by the IOUs</w:t>
      </w:r>
      <w:r w:rsidR="000F39A9">
        <w:t>,</w:t>
      </w:r>
      <w:r w:rsidR="00727CFC">
        <w:t xml:space="preserve"> effective upon issuance of this </w:t>
      </w:r>
      <w:r w:rsidR="00143168">
        <w:t>decision.</w:t>
      </w:r>
    </w:p>
    <w:p w:rsidR="00FD46CE" w:rsidP="008A0372" w:rsidRDefault="00FD46CE" w14:paraId="026B1CF2" w14:textId="724730FE">
      <w:pPr>
        <w:pStyle w:val="Standard"/>
      </w:pPr>
      <w:r>
        <w:t xml:space="preserve">Following </w:t>
      </w:r>
      <w:r w:rsidR="005F216F">
        <w:t xml:space="preserve">submission </w:t>
      </w:r>
      <w:r>
        <w:t xml:space="preserve">of the required </w:t>
      </w:r>
      <w:r w:rsidR="005F216F">
        <w:t>annual report</w:t>
      </w:r>
      <w:r w:rsidR="00A21D57">
        <w:t>s</w:t>
      </w:r>
      <w:r w:rsidR="005F216F">
        <w:t>, the IOUs</w:t>
      </w:r>
      <w:r w:rsidR="00E41B8E">
        <w:t xml:space="preserve"> shall host a joint workshop no later than June 30 of each year to summarize the integration of climate adaptation across the five policy areas into applications filed with the Commission</w:t>
      </w:r>
      <w:r w:rsidR="002D4230">
        <w:t xml:space="preserve">, as described in </w:t>
      </w:r>
      <w:r w:rsidR="00A21D57">
        <w:t xml:space="preserve">each IOU’s </w:t>
      </w:r>
      <w:r w:rsidR="002D4230">
        <w:t>annual report.</w:t>
      </w:r>
    </w:p>
    <w:p w:rsidR="00554D48" w:rsidP="00554D48" w:rsidRDefault="00EF571F" w14:paraId="065DFEA7" w14:textId="3D96A951">
      <w:pPr>
        <w:pStyle w:val="Standard"/>
      </w:pPr>
      <w:r>
        <w:t xml:space="preserve">As </w:t>
      </w:r>
      <w:r w:rsidR="000E3B0A">
        <w:t xml:space="preserve">the </w:t>
      </w:r>
      <w:r w:rsidR="003F2BBD">
        <w:t>annual IOU-led</w:t>
      </w:r>
      <w:r w:rsidR="000E3B0A">
        <w:t xml:space="preserve"> workshops may identify need</w:t>
      </w:r>
      <w:r w:rsidR="00EA15B6">
        <w:t xml:space="preserve">ed changes to the reporting requirements, </w:t>
      </w:r>
      <w:r w:rsidR="00356842">
        <w:t xml:space="preserve">following the first reporting period and workshop </w:t>
      </w:r>
      <w:r w:rsidR="00EA15B6">
        <w:t>the IOU</w:t>
      </w:r>
      <w:r w:rsidR="000E3B0A">
        <w:t>s</w:t>
      </w:r>
      <w:r w:rsidR="00EA15B6">
        <w:t xml:space="preserve"> may file a joint</w:t>
      </w:r>
      <w:r w:rsidR="00EB500A">
        <w:t xml:space="preserve"> Tier 3</w:t>
      </w:r>
      <w:r w:rsidR="00EA15B6">
        <w:t xml:space="preserve"> </w:t>
      </w:r>
      <w:r w:rsidR="00605BDD">
        <w:t>A</w:t>
      </w:r>
      <w:r w:rsidR="00A56419">
        <w:t xml:space="preserve">dvice </w:t>
      </w:r>
      <w:r w:rsidR="00605BDD">
        <w:t>L</w:t>
      </w:r>
      <w:r w:rsidR="00A56419">
        <w:t>etter</w:t>
      </w:r>
      <w:r w:rsidR="00A4647E">
        <w:t xml:space="preserve"> resolved through Resolution</w:t>
      </w:r>
      <w:r w:rsidR="00F6577F">
        <w:t xml:space="preserve"> </w:t>
      </w:r>
      <w:r w:rsidR="0070148B">
        <w:t>within 60 days of the workshop</w:t>
      </w:r>
      <w:r w:rsidR="00A56419">
        <w:t xml:space="preserve"> to propose modifications to the reporting requirements. </w:t>
      </w:r>
      <w:r w:rsidR="00FF4C03">
        <w:t>Prior to filing a</w:t>
      </w:r>
      <w:r w:rsidR="00EB500A">
        <w:t xml:space="preserve"> Tier 3</w:t>
      </w:r>
      <w:r w:rsidR="00FF4C03">
        <w:t xml:space="preserve"> </w:t>
      </w:r>
      <w:r w:rsidR="00DB2B0E">
        <w:t>A</w:t>
      </w:r>
      <w:r w:rsidR="00FF4C03">
        <w:t xml:space="preserve">dvice </w:t>
      </w:r>
      <w:r w:rsidR="00DB2B0E">
        <w:t>L</w:t>
      </w:r>
      <w:r w:rsidR="00FF4C03">
        <w:t xml:space="preserve">etter, the IOUs should first </w:t>
      </w:r>
      <w:r w:rsidR="00DB2B0E">
        <w:t>meet and confer</w:t>
      </w:r>
      <w:r w:rsidR="00FF4C03">
        <w:t xml:space="preserve"> with SPD staff to </w:t>
      </w:r>
      <w:r w:rsidR="00371716">
        <w:t xml:space="preserve">discuss the potential changes. </w:t>
      </w:r>
      <w:r w:rsidR="00A56419">
        <w:t>A joint</w:t>
      </w:r>
      <w:r w:rsidR="00EB500A">
        <w:t xml:space="preserve"> Tier 3</w:t>
      </w:r>
      <w:r w:rsidR="00A56419">
        <w:t xml:space="preserve"> </w:t>
      </w:r>
      <w:r w:rsidR="00605BDD">
        <w:t>A</w:t>
      </w:r>
      <w:r w:rsidR="00E97A0B">
        <w:t xml:space="preserve">dvice </w:t>
      </w:r>
      <w:r w:rsidR="00605BDD">
        <w:t>L</w:t>
      </w:r>
      <w:r w:rsidR="00E97A0B">
        <w:t>etter</w:t>
      </w:r>
      <w:r w:rsidR="00A56419">
        <w:t xml:space="preserve"> </w:t>
      </w:r>
      <w:r w:rsidR="00371716">
        <w:t>must then include</w:t>
      </w:r>
      <w:r w:rsidR="00554D48">
        <w:t>:</w:t>
      </w:r>
    </w:p>
    <w:p w:rsidR="00554D48" w:rsidP="00B77483" w:rsidRDefault="00554D48" w14:paraId="57505AC0" w14:textId="77777777">
      <w:pPr>
        <w:pStyle w:val="Standard"/>
        <w:numPr>
          <w:ilvl w:val="0"/>
          <w:numId w:val="20"/>
        </w:numPr>
        <w:spacing w:after="120" w:line="240" w:lineRule="auto"/>
        <w:ind w:right="1440"/>
      </w:pPr>
      <w:r>
        <w:lastRenderedPageBreak/>
        <w:t>Proposed modifications to the reporting metrics,</w:t>
      </w:r>
    </w:p>
    <w:p w:rsidR="00C96298" w:rsidP="00B77483" w:rsidRDefault="00554D48" w14:paraId="7310CC85" w14:textId="77777777">
      <w:pPr>
        <w:pStyle w:val="Standard"/>
        <w:numPr>
          <w:ilvl w:val="0"/>
          <w:numId w:val="20"/>
        </w:numPr>
        <w:spacing w:after="120" w:line="240" w:lineRule="auto"/>
        <w:ind w:right="1440"/>
      </w:pPr>
      <w:r>
        <w:t xml:space="preserve">Justification for </w:t>
      </w:r>
      <w:r w:rsidR="005B456E">
        <w:t>why modifying the reporting metrics supports the objective of the report</w:t>
      </w:r>
      <w:r w:rsidR="00C96298">
        <w:t xml:space="preserve">, as outlined in this decision, </w:t>
      </w:r>
    </w:p>
    <w:p w:rsidRPr="00DD1904" w:rsidR="00EF571F" w:rsidP="00B77483" w:rsidRDefault="00C96298" w14:paraId="32109B88" w14:textId="6F6563D8">
      <w:pPr>
        <w:pStyle w:val="Standard"/>
        <w:numPr>
          <w:ilvl w:val="0"/>
          <w:numId w:val="20"/>
        </w:numPr>
        <w:spacing w:after="120" w:line="240" w:lineRule="auto"/>
        <w:ind w:right="1440"/>
      </w:pPr>
      <w:r>
        <w:t>How the IOUs</w:t>
      </w:r>
      <w:r w:rsidR="00B6408D">
        <w:t>’</w:t>
      </w:r>
      <w:r>
        <w:t xml:space="preserve"> proposal addresses</w:t>
      </w:r>
      <w:r w:rsidR="00B6408D">
        <w:t xml:space="preserve"> any</w:t>
      </w:r>
      <w:r>
        <w:t xml:space="preserve"> </w:t>
      </w:r>
      <w:r w:rsidR="00EA6878">
        <w:t xml:space="preserve">feedback </w:t>
      </w:r>
      <w:r w:rsidR="00B6408D">
        <w:t>that</w:t>
      </w:r>
      <w:r w:rsidR="00EA6878">
        <w:t xml:space="preserve"> SPD staff</w:t>
      </w:r>
      <w:r w:rsidR="00B6408D">
        <w:t xml:space="preserve"> provided</w:t>
      </w:r>
      <w:r w:rsidR="00241526">
        <w:t xml:space="preserve"> prior to filing</w:t>
      </w:r>
      <w:r w:rsidR="00B6408D">
        <w:t>.</w:t>
      </w:r>
    </w:p>
    <w:p w:rsidR="00603238" w:rsidP="00627CB2" w:rsidRDefault="00603238" w14:paraId="4EDD5F81" w14:textId="77777777">
      <w:pPr>
        <w:pStyle w:val="Heading1"/>
        <w:numPr>
          <w:ilvl w:val="0"/>
          <w:numId w:val="1"/>
        </w:numPr>
      </w:pPr>
      <w:bookmarkStart w:name="_Toc8123721" w:id="24"/>
      <w:bookmarkStart w:name="_Toc244073194" w:id="25"/>
      <w:r>
        <w:t>Summary of Public Comment</w:t>
      </w:r>
      <w:bookmarkEnd w:id="25"/>
    </w:p>
    <w:p w:rsidRPr="00C32FC9" w:rsidR="00603238" w:rsidP="00284D8D" w:rsidRDefault="00603238" w14:paraId="791AB280" w14:textId="1E037280">
      <w:pPr>
        <w:rPr>
          <w:rFonts w:ascii="Calibri" w:hAnsi="Calibri"/>
          <w:sz w:val="22"/>
        </w:rPr>
      </w:pPr>
      <w:r w:rsidRPr="00C32FC9">
        <w:t>Rule 1.18 allows any member of the public to submit written comment in any Commission proceeding using the “Public Comment” tab of the online Docket Card for that proceeding on the Commission’s website.  Rule 1.18(b) requires that relevant written comment submitted in a proceeding be summarized in the final decision issued in that proceeding.</w:t>
      </w:r>
      <w:r w:rsidR="006477D2">
        <w:t xml:space="preserve"> While several public comments have been filed on the Docket Card, </w:t>
      </w:r>
      <w:r w:rsidR="00A82BFB">
        <w:t>all</w:t>
      </w:r>
      <w:r w:rsidR="006477D2">
        <w:t xml:space="preserve"> comments </w:t>
      </w:r>
      <w:r w:rsidR="00140168">
        <w:t>address</w:t>
      </w:r>
      <w:r w:rsidR="006477D2">
        <w:t xml:space="preserve"> other phases of this proceeding and </w:t>
      </w:r>
      <w:r w:rsidR="00B16712">
        <w:t>do not address the topics of this decision.</w:t>
      </w:r>
    </w:p>
    <w:p w:rsidR="00FA1B4F" w:rsidP="00627CB2" w:rsidRDefault="005939A5" w14:paraId="526BCCD5" w14:textId="77777777">
      <w:pPr>
        <w:pStyle w:val="Heading1"/>
        <w:numPr>
          <w:ilvl w:val="0"/>
          <w:numId w:val="1"/>
        </w:numPr>
      </w:pPr>
      <w:bookmarkStart w:name="_Toc244073195" w:id="26"/>
      <w:r>
        <w:t>Conclusion</w:t>
      </w:r>
      <w:bookmarkEnd w:id="24"/>
      <w:bookmarkEnd w:id="26"/>
    </w:p>
    <w:p w:rsidRPr="00343E5C" w:rsidR="00343E5C" w:rsidP="00343E5C" w:rsidRDefault="002F6AB4" w14:paraId="0C9DFB85" w14:textId="275B3159">
      <w:pPr>
        <w:pStyle w:val="Standard"/>
      </w:pPr>
      <w:r>
        <w:t xml:space="preserve">In this decision, we have adopted the </w:t>
      </w:r>
      <w:r w:rsidR="00A46B92">
        <w:t>Framework proposed by SPD</w:t>
      </w:r>
      <w:r w:rsidR="00B71C93">
        <w:t xml:space="preserve"> with </w:t>
      </w:r>
      <w:r w:rsidR="00B05024">
        <w:t xml:space="preserve">the </w:t>
      </w:r>
      <w:r w:rsidR="00B71C93">
        <w:t>modifications</w:t>
      </w:r>
      <w:r w:rsidR="00623735">
        <w:t xml:space="preserve"> described above</w:t>
      </w:r>
      <w:r w:rsidR="00B71C93">
        <w:t xml:space="preserve">. </w:t>
      </w:r>
      <w:r w:rsidR="00A422D3">
        <w:t xml:space="preserve">Upon issuance of this decision, the Framework will apply to new applications filed by any IOU that files both CAVAs and RAMPs. This currently includes </w:t>
      </w:r>
      <w:r w:rsidR="00427076">
        <w:t xml:space="preserve">the large IOUs, </w:t>
      </w:r>
      <w:r w:rsidR="00A422D3">
        <w:t>PG&amp;E, SCE, SoCalGas, and SDG&amp;E. As such, a</w:t>
      </w:r>
      <w:r w:rsidR="008510AC">
        <w:t>ll applications</w:t>
      </w:r>
      <w:r w:rsidR="009601C9">
        <w:t xml:space="preserve"> filed by PG&amp;E, SCE, SoCalGas, and SDG&amp;E</w:t>
      </w:r>
      <w:r w:rsidR="008510AC">
        <w:t xml:space="preserve"> will </w:t>
      </w:r>
      <w:r w:rsidR="0073161E">
        <w:t xml:space="preserve">go through the Identification step where they will </w:t>
      </w:r>
      <w:r w:rsidR="008510AC">
        <w:t xml:space="preserve">be screened through </w:t>
      </w:r>
      <w:r w:rsidR="00CA5B98">
        <w:t xml:space="preserve">questions related to the five policy areas of Repetitive Loss and Failure, Site Selection, Design and Engineering, Equipment Tolerance, and Climate Risk Modeling to determine if the Framework </w:t>
      </w:r>
      <w:r w:rsidR="0073161E">
        <w:t xml:space="preserve">applies to them. </w:t>
      </w:r>
      <w:r w:rsidR="00827AD7">
        <w:t xml:space="preserve">The second step of the Framework is Tracking and Monitoring. </w:t>
      </w:r>
      <w:r w:rsidR="00427076">
        <w:t>Beginning</w:t>
      </w:r>
      <w:r w:rsidR="00827AD7">
        <w:t xml:space="preserve"> in </w:t>
      </w:r>
      <w:r w:rsidR="00752F36">
        <w:t>2028, the IOUs shall host a</w:t>
      </w:r>
      <w:r w:rsidR="00427076">
        <w:t>n</w:t>
      </w:r>
      <w:r w:rsidR="00752F36">
        <w:t xml:space="preserve"> annual workshop</w:t>
      </w:r>
      <w:r w:rsidR="00FA7EC0">
        <w:t xml:space="preserve"> as describe</w:t>
      </w:r>
      <w:r w:rsidR="00E84F8A">
        <w:t>d</w:t>
      </w:r>
      <w:r w:rsidR="00FA7EC0">
        <w:t xml:space="preserve"> above in this decision. The IOUs </w:t>
      </w:r>
      <w:r w:rsidR="00E84F8A">
        <w:t>shall</w:t>
      </w:r>
      <w:r w:rsidR="00FA7EC0">
        <w:t xml:space="preserve"> present how the five policy areas set out in the Framework have been incorporated into </w:t>
      </w:r>
      <w:r w:rsidR="00FA7EC0">
        <w:lastRenderedPageBreak/>
        <w:t xml:space="preserve">each of the applications filed with the </w:t>
      </w:r>
      <w:r w:rsidR="003E1F22">
        <w:t>Commission</w:t>
      </w:r>
      <w:r w:rsidR="00FA7EC0">
        <w:t xml:space="preserve"> by each IOU.</w:t>
      </w:r>
      <w:r w:rsidR="0030302B">
        <w:t xml:space="preserve"> The IOUs are additionally required to </w:t>
      </w:r>
      <w:r w:rsidR="007D326C">
        <w:t xml:space="preserve">file </w:t>
      </w:r>
      <w:r w:rsidR="005154DC">
        <w:t xml:space="preserve">individual </w:t>
      </w:r>
      <w:r w:rsidR="00C46E6C">
        <w:t>annual</w:t>
      </w:r>
      <w:r w:rsidR="007D326C">
        <w:t xml:space="preserve"> report</w:t>
      </w:r>
      <w:r w:rsidR="00894E06">
        <w:t>s</w:t>
      </w:r>
      <w:r w:rsidR="007D326C">
        <w:t xml:space="preserve"> by May 1 each year</w:t>
      </w:r>
      <w:r w:rsidR="00C46E6C">
        <w:t xml:space="preserve"> with specific information to aid tracking and monitoring of climate adaptation activities. </w:t>
      </w:r>
      <w:r w:rsidR="00A422D3">
        <w:t>This proceeding remains open.</w:t>
      </w:r>
    </w:p>
    <w:p w:rsidR="005939A5" w:rsidP="00627CB2" w:rsidRDefault="005939A5" w14:paraId="340058DE" w14:textId="77777777">
      <w:pPr>
        <w:pStyle w:val="Heading1"/>
        <w:numPr>
          <w:ilvl w:val="0"/>
          <w:numId w:val="1"/>
        </w:numPr>
      </w:pPr>
      <w:bookmarkStart w:name="_Toc8123723" w:id="27"/>
      <w:bookmarkStart w:name="_Toc244073196" w:id="28"/>
      <w:r>
        <w:t>Comments on Proposed Decision</w:t>
      </w:r>
      <w:bookmarkEnd w:id="27"/>
      <w:bookmarkEnd w:id="28"/>
    </w:p>
    <w:p w:rsidR="005939A5" w:rsidP="005C58FA" w:rsidRDefault="005C58FA" w14:paraId="0D305203" w14:textId="14BA3091">
      <w:pPr>
        <w:pStyle w:val="Standard"/>
      </w:pPr>
      <w:r w:rsidRPr="00792C45">
        <w:t xml:space="preserve">The proposed decision of Commissioner </w:t>
      </w:r>
      <w:r w:rsidR="00792C45">
        <w:t xml:space="preserve">Darcie </w:t>
      </w:r>
      <w:r w:rsidR="008120D4">
        <w:t xml:space="preserve">L. </w:t>
      </w:r>
      <w:r w:rsidR="00792C45">
        <w:t xml:space="preserve">Houck </w:t>
      </w:r>
      <w:r>
        <w:t xml:space="preserve">in this matter was mailed to the parties in accordance with Section 311 of the Public Utilities Code and comments were allowed under Rule 14.3 of the Commission’s Rules of Practice and Procedure.  </w:t>
      </w:r>
      <w:r w:rsidR="00092F53">
        <w:t xml:space="preserve">Comments were filed on October 15, 2026, by SoCalGas, PG&amp;E, and SCE. SoCalGas recommends that the </w:t>
      </w:r>
      <w:r w:rsidR="00037A5D">
        <w:t>Proposed Decision (</w:t>
      </w:r>
      <w:r w:rsidR="00092F53">
        <w:t>PD be modified to require each IOU to submit an individual annual report using a standardized template or use the annual Tier 1 advice letter as the reporting mechanism. SoCalGas also recommends that the PD circumscribe application of the Framework to infrastructure projects requiring Commission authorization under applicable GOs. SCE and PG&amp;E both support these recommendations in their comments. PG&amp;E additionally recommends revising the climate risk modeling screening question in the Framework to be more narrowly tailored to the objectives of the Framework. SCE additionally recommends extending the deadline for the IOU annual reports from May 1 to July 15. No reply comments were filed. Changes have been made throughout this decision in response to comments.</w:t>
      </w:r>
    </w:p>
    <w:p w:rsidR="005939A5" w:rsidP="00627CB2" w:rsidRDefault="005939A5" w14:paraId="11C6FCEF" w14:textId="77777777">
      <w:pPr>
        <w:pStyle w:val="Heading1"/>
        <w:numPr>
          <w:ilvl w:val="0"/>
          <w:numId w:val="1"/>
        </w:numPr>
      </w:pPr>
      <w:bookmarkStart w:name="_Toc8123724" w:id="29"/>
      <w:bookmarkStart w:name="_Toc244073197" w:id="30"/>
      <w:r>
        <w:t>Assignment of Proceeding</w:t>
      </w:r>
      <w:bookmarkEnd w:id="29"/>
      <w:bookmarkEnd w:id="30"/>
    </w:p>
    <w:p w:rsidR="005939A5" w:rsidP="006E6574" w:rsidRDefault="00CC5F67" w14:paraId="19E20703" w14:textId="672F5278">
      <w:pPr>
        <w:pStyle w:val="Standard"/>
      </w:pPr>
      <w:r>
        <w:t xml:space="preserve">Darcie </w:t>
      </w:r>
      <w:r w:rsidR="008120D4">
        <w:t xml:space="preserve">L. </w:t>
      </w:r>
      <w:r>
        <w:t>Houck</w:t>
      </w:r>
      <w:r w:rsidR="005939A5">
        <w:t xml:space="preserve"> is the assigned Commissioner</w:t>
      </w:r>
      <w:r w:rsidR="00793783">
        <w:t>,</w:t>
      </w:r>
      <w:r w:rsidR="005939A5">
        <w:t xml:space="preserve"> and </w:t>
      </w:r>
      <w:r>
        <w:t>Trevor Pratt and Jonathan Lakey</w:t>
      </w:r>
      <w:r w:rsidR="005939A5">
        <w:t xml:space="preserve"> </w:t>
      </w:r>
      <w:r>
        <w:t>are</w:t>
      </w:r>
      <w:r w:rsidR="005939A5">
        <w:t xml:space="preserve"> the assigned Administrative Law Judge</w:t>
      </w:r>
      <w:r>
        <w:t>s</w:t>
      </w:r>
      <w:r w:rsidR="005939A5">
        <w:t xml:space="preserve"> in this proceeding.</w:t>
      </w:r>
    </w:p>
    <w:p w:rsidR="005939A5" w:rsidP="006F4FD4" w:rsidRDefault="005939A5" w14:paraId="0F33BBAF" w14:textId="77777777">
      <w:pPr>
        <w:pStyle w:val="Dummy"/>
      </w:pPr>
      <w:bookmarkStart w:name="_Toc8123725" w:id="31"/>
      <w:bookmarkStart w:name="_Toc244073198" w:id="32"/>
      <w:r>
        <w:lastRenderedPageBreak/>
        <w:t>Findings of Fact</w:t>
      </w:r>
      <w:bookmarkEnd w:id="31"/>
      <w:bookmarkEnd w:id="32"/>
    </w:p>
    <w:p w:rsidR="0035579A" w:rsidP="004E1D53" w:rsidRDefault="0035579A" w14:paraId="4F57C7DC" w14:textId="01349616">
      <w:pPr>
        <w:pStyle w:val="FoF"/>
      </w:pPr>
      <w:r>
        <w:t>On April 10, 2025, the Assigned Commissioner issued a ruling noticing a Safety Policy Division Staff-led workshop opening Phase 3 of the present proceeding and addressing the need for updates to General Orders (GOs) to reflect climate adaptation.</w:t>
      </w:r>
    </w:p>
    <w:p w:rsidR="00FD35F1" w:rsidP="004E1D53" w:rsidRDefault="00CA28F9" w14:paraId="67540DEA" w14:textId="79BB51E0">
      <w:pPr>
        <w:pStyle w:val="FoF"/>
      </w:pPr>
      <w:proofErr w:type="gramStart"/>
      <w:r>
        <w:t>The April</w:t>
      </w:r>
      <w:proofErr w:type="gramEnd"/>
      <w:r>
        <w:t xml:space="preserve"> 13, </w:t>
      </w:r>
      <w:r w:rsidR="000C2B44">
        <w:t>2026,</w:t>
      </w:r>
      <w:r>
        <w:t xml:space="preserve"> Assigned Commissioner’s Ruling issued the Safety Policy Division </w:t>
      </w:r>
      <w:r w:rsidR="00FD35F1">
        <w:t>staff proposed Climate Adaptation Framework (the Framework).</w:t>
      </w:r>
    </w:p>
    <w:p w:rsidR="00A33E79" w:rsidP="004E1D53" w:rsidRDefault="00A33E79" w14:paraId="4B0B3FDC" w14:textId="637041F1">
      <w:pPr>
        <w:pStyle w:val="FoF"/>
      </w:pPr>
      <w:r>
        <w:t>The Framework proposed five climate adaptation policy areas and a three</w:t>
      </w:r>
      <w:r w:rsidR="00431622">
        <w:t>-</w:t>
      </w:r>
      <w:r>
        <w:t>step process for screening applications or filings for relevance to the five policy areas, subsequent policy are</w:t>
      </w:r>
      <w:r w:rsidR="00357515">
        <w:t>a</w:t>
      </w:r>
      <w:r>
        <w:t xml:space="preserve"> analysis, and tracking and monitoring.</w:t>
      </w:r>
    </w:p>
    <w:p w:rsidRPr="001E2A62" w:rsidR="008E6AE6" w:rsidP="004E1D53" w:rsidRDefault="004E1D53" w14:paraId="68AA46CE" w14:textId="0950412F">
      <w:pPr>
        <w:pStyle w:val="FoF"/>
      </w:pPr>
      <w:r>
        <w:t xml:space="preserve">Of the options considered, </w:t>
      </w:r>
      <w:r w:rsidR="00E13A66">
        <w:t>a modified version of</w:t>
      </w:r>
      <w:r>
        <w:t xml:space="preserve"> the Framework is the most likely to </w:t>
      </w:r>
      <w:r w:rsidR="00D3541F">
        <w:t xml:space="preserve">yield the desired goal of </w:t>
      </w:r>
      <w:r w:rsidR="001140FD">
        <w:t>ensuring adequate incorporation of climate adaptation considerations into energy utility planning and processes to improve ratepayer safety, reliability, and resilience while having positive or neutral impacts on ratepayer affordability.</w:t>
      </w:r>
    </w:p>
    <w:p w:rsidRPr="001E2A62" w:rsidR="00256313" w:rsidP="001E2A62" w:rsidRDefault="00256313" w14:paraId="4F9ACE65" w14:textId="506EDAE0">
      <w:pPr>
        <w:pStyle w:val="FoF"/>
      </w:pPr>
      <w:r>
        <w:t>The Framework</w:t>
      </w:r>
      <w:r w:rsidR="00E62D21">
        <w:t xml:space="preserve">, </w:t>
      </w:r>
      <w:r w:rsidR="00A2533A">
        <w:t>with modifications described in</w:t>
      </w:r>
      <w:r w:rsidR="00E62D21">
        <w:t xml:space="preserve"> this decision,</w:t>
      </w:r>
      <w:r>
        <w:t xml:space="preserve"> will enable the Commission to monitor the continuing implementation of climate adaptation planning to determine when</w:t>
      </w:r>
      <w:r w:rsidR="000D21C3">
        <w:t xml:space="preserve">, </w:t>
      </w:r>
      <w:r>
        <w:t>or if</w:t>
      </w:r>
      <w:r w:rsidR="000D21C3">
        <w:t>,</w:t>
      </w:r>
      <w:r>
        <w:t xml:space="preserve"> modifications to individual General Orders may be necessary.</w:t>
      </w:r>
    </w:p>
    <w:p w:rsidR="005939A5" w:rsidP="006F4FD4" w:rsidRDefault="005939A5" w14:paraId="676B2FE4" w14:textId="77777777">
      <w:pPr>
        <w:pStyle w:val="Dummy"/>
      </w:pPr>
      <w:bookmarkStart w:name="_Toc8123726" w:id="33"/>
      <w:bookmarkStart w:name="_Toc244073199" w:id="34"/>
      <w:r>
        <w:t>Conclusions of Law</w:t>
      </w:r>
      <w:bookmarkEnd w:id="33"/>
      <w:bookmarkEnd w:id="34"/>
    </w:p>
    <w:p w:rsidR="008F143D" w:rsidP="00534E80" w:rsidRDefault="001140FD" w14:paraId="23BDADEC" w14:textId="7C8EDCF2">
      <w:pPr>
        <w:pStyle w:val="OP"/>
      </w:pPr>
      <w:r>
        <w:t xml:space="preserve">The Framework should be adopted, with </w:t>
      </w:r>
      <w:r w:rsidR="00E62D21">
        <w:t>specified</w:t>
      </w:r>
      <w:r>
        <w:t xml:space="preserve"> modifications.</w:t>
      </w:r>
    </w:p>
    <w:p w:rsidR="008E3C68" w:rsidP="008E3C68" w:rsidRDefault="008E3C68" w14:paraId="330EE557" w14:textId="1C514528">
      <w:pPr>
        <w:pStyle w:val="OP"/>
        <w:rPr>
          <w:rFonts w:ascii="Aptos" w:hAnsi="Aptos"/>
          <w:sz w:val="24"/>
        </w:rPr>
      </w:pPr>
      <w:r>
        <w:t>It is reasonable to require the IOUs to file annual report</w:t>
      </w:r>
      <w:r w:rsidR="00F744C5">
        <w:t>s</w:t>
      </w:r>
      <w:r>
        <w:t xml:space="preserve"> with specific information to aid tracking and monitoring of climate adaptation activities.</w:t>
      </w:r>
    </w:p>
    <w:p w:rsidR="008E3C68" w:rsidP="008E3C68" w:rsidRDefault="008E3C68" w14:paraId="5D810A54" w14:textId="77777777">
      <w:pPr>
        <w:pStyle w:val="OP"/>
      </w:pPr>
      <w:r>
        <w:t>It is reasonable to require the IOUs to host a joint workshop each year to summarize the integration of climate adaptation across the five policy areas into applications filed with the Commission, as described in the annual report.</w:t>
      </w:r>
    </w:p>
    <w:p w:rsidR="006772AD" w:rsidP="008E3C68" w:rsidRDefault="00080127" w14:paraId="2F56540D" w14:textId="58C7B22A">
      <w:pPr>
        <w:pStyle w:val="OP"/>
      </w:pPr>
      <w:r>
        <w:lastRenderedPageBreak/>
        <w:t xml:space="preserve">The modified Framework </w:t>
      </w:r>
      <w:r w:rsidR="00981BB8">
        <w:t xml:space="preserve">will provide information that can inform future Commission </w:t>
      </w:r>
      <w:r w:rsidR="008A6D22">
        <w:t>c</w:t>
      </w:r>
      <w:r w:rsidR="00981BB8">
        <w:t>onsideration of General Order modifications to address climate adaptation and support assessment of the CAVA filing changes established in D.24-08-005.</w:t>
      </w:r>
    </w:p>
    <w:p w:rsidR="00981BB8" w:rsidP="00C93223" w:rsidRDefault="00981BB8" w14:paraId="4C05A910" w14:textId="77777777">
      <w:pPr>
        <w:pStyle w:val="OP"/>
        <w:numPr>
          <w:ilvl w:val="0"/>
          <w:numId w:val="0"/>
        </w:numPr>
        <w:ind w:left="540"/>
      </w:pPr>
    </w:p>
    <w:p w:rsidR="00BB0243" w:rsidP="000A6E05" w:rsidRDefault="005939A5" w14:paraId="3EC5F753" w14:textId="77777777">
      <w:pPr>
        <w:pStyle w:val="Mainex"/>
      </w:pPr>
      <w:bookmarkStart w:name="_Toc244073200" w:id="35"/>
      <w:r>
        <w:t>O</w:t>
      </w:r>
      <w:r w:rsidR="00722850">
        <w:t>RDER</w:t>
      </w:r>
      <w:bookmarkEnd w:id="35"/>
    </w:p>
    <w:p w:rsidR="00BB0243" w:rsidP="000A6E05" w:rsidRDefault="00BB0243" w14:paraId="4BADF4A8" w14:textId="77777777">
      <w:pPr>
        <w:keepNext/>
      </w:pPr>
      <w:r w:rsidRPr="00BB0243">
        <w:rPr>
          <w:b/>
        </w:rPr>
        <w:t>IT IS ORDERED</w:t>
      </w:r>
      <w:r>
        <w:t xml:space="preserve"> that:</w:t>
      </w:r>
    </w:p>
    <w:p w:rsidRPr="003817FF" w:rsidR="003817FF" w:rsidP="00534E80" w:rsidRDefault="003817FF" w14:paraId="3774BE79" w14:textId="77777777">
      <w:pPr>
        <w:pStyle w:val="OP"/>
        <w:numPr>
          <w:ilvl w:val="0"/>
          <w:numId w:val="43"/>
        </w:numPr>
        <w:rPr>
          <w:szCs w:val="26"/>
        </w:rPr>
      </w:pPr>
      <w:r>
        <w:t xml:space="preserve">The Climate Adaptation Framework in Attachment A </w:t>
      </w:r>
      <w:proofErr w:type="gramStart"/>
      <w:r>
        <w:t>is</w:t>
      </w:r>
      <w:proofErr w:type="gramEnd"/>
      <w:r>
        <w:t xml:space="preserve"> adopted. </w:t>
      </w:r>
    </w:p>
    <w:p w:rsidRPr="001C7708" w:rsidR="7B6AB6B3" w:rsidP="001C7708" w:rsidRDefault="2B5089DA" w14:paraId="41BF39B0" w14:textId="711A71D5">
      <w:pPr>
        <w:pStyle w:val="OP"/>
        <w:numPr>
          <w:ilvl w:val="0"/>
          <w:numId w:val="43"/>
        </w:numPr>
        <w:rPr>
          <w:szCs w:val="26"/>
        </w:rPr>
      </w:pPr>
      <w:r>
        <w:t>Southern California Edison</w:t>
      </w:r>
      <w:r w:rsidR="00DD1FFB">
        <w:t xml:space="preserve"> Company</w:t>
      </w:r>
      <w:r>
        <w:t xml:space="preserve">, Pacific Gas </w:t>
      </w:r>
      <w:r w:rsidR="00DD1FFB">
        <w:t>and</w:t>
      </w:r>
      <w:r>
        <w:t xml:space="preserve"> Electric</w:t>
      </w:r>
      <w:r w:rsidR="00DD1FFB">
        <w:t xml:space="preserve"> Company</w:t>
      </w:r>
      <w:r>
        <w:t>, San Diego Gas &amp; Electric</w:t>
      </w:r>
      <w:r w:rsidR="00DD1FFB">
        <w:t xml:space="preserve"> Company</w:t>
      </w:r>
      <w:r>
        <w:t>, and Southern California Gas</w:t>
      </w:r>
      <w:r w:rsidR="00DD1FFB">
        <w:t xml:space="preserve"> Company</w:t>
      </w:r>
      <w:r>
        <w:t xml:space="preserve"> shall </w:t>
      </w:r>
      <w:r w:rsidR="00D80801">
        <w:t xml:space="preserve">each </w:t>
      </w:r>
      <w:r>
        <w:t xml:space="preserve">prepare </w:t>
      </w:r>
      <w:r w:rsidR="05560559">
        <w:t>and</w:t>
      </w:r>
      <w:r w:rsidR="00487B6F">
        <w:t xml:space="preserve"> submit</w:t>
      </w:r>
      <w:r w:rsidR="00C53076">
        <w:t xml:space="preserve"> an</w:t>
      </w:r>
      <w:r w:rsidR="05560559">
        <w:t xml:space="preserve"> annual report </w:t>
      </w:r>
      <w:r w:rsidR="00487B6F">
        <w:t xml:space="preserve">to Safety Policy Division at the Commission </w:t>
      </w:r>
      <w:r w:rsidR="05560559">
        <w:t>by May 1 of</w:t>
      </w:r>
      <w:r>
        <w:t xml:space="preserve"> </w:t>
      </w:r>
      <w:r w:rsidR="05560559">
        <w:t>each year beginning in 2028</w:t>
      </w:r>
      <w:r>
        <w:t xml:space="preserve"> </w:t>
      </w:r>
      <w:r w:rsidR="05560559">
        <w:t xml:space="preserve">covering the period from April </w:t>
      </w:r>
      <w:r w:rsidR="004C2312">
        <w:t>1</w:t>
      </w:r>
      <w:r w:rsidR="05560559">
        <w:t xml:space="preserve"> through </w:t>
      </w:r>
      <w:r w:rsidR="004C2312">
        <w:t>March</w:t>
      </w:r>
      <w:r w:rsidR="05560559">
        <w:t xml:space="preserve"> </w:t>
      </w:r>
      <w:r w:rsidR="004C2312">
        <w:t>31</w:t>
      </w:r>
      <w:r w:rsidR="05560559">
        <w:t xml:space="preserve"> of the filing year.</w:t>
      </w:r>
      <w:r>
        <w:t xml:space="preserve"> </w:t>
      </w:r>
      <w:r w:rsidR="05560559">
        <w:t>The report</w:t>
      </w:r>
      <w:r w:rsidR="001F58B4">
        <w:t>s</w:t>
      </w:r>
      <w:r w:rsidR="05560559">
        <w:t xml:space="preserve"> shall contain</w:t>
      </w:r>
      <w:r w:rsidR="00493685">
        <w:t xml:space="preserve"> the elements described in Attachment A</w:t>
      </w:r>
      <w:r w:rsidR="00487B6F">
        <w:t xml:space="preserve"> and shall be served to the service list of the present </w:t>
      </w:r>
      <w:proofErr w:type="gramStart"/>
      <w:r w:rsidR="00487B6F">
        <w:t>proceeding</w:t>
      </w:r>
      <w:proofErr w:type="gramEnd"/>
      <w:r w:rsidR="00487B6F">
        <w:t xml:space="preserve"> or any successor proceeding(s)</w:t>
      </w:r>
      <w:r w:rsidR="00493685">
        <w:t>.</w:t>
      </w:r>
    </w:p>
    <w:p w:rsidR="412B2BF1" w:rsidP="00534E80" w:rsidRDefault="007B39C8" w14:paraId="058CF386" w14:textId="70A69EE7">
      <w:pPr>
        <w:pStyle w:val="OP"/>
      </w:pPr>
      <w:r>
        <w:t>By</w:t>
      </w:r>
      <w:r w:rsidR="48DAEB01">
        <w:t xml:space="preserve"> June 30 of each year</w:t>
      </w:r>
      <w:r w:rsidR="00A41AD7">
        <w:t>,</w:t>
      </w:r>
      <w:r w:rsidR="48DAEB01">
        <w:t xml:space="preserve"> beginning in 2028, Southern California Edison</w:t>
      </w:r>
      <w:r w:rsidR="00A41AD7">
        <w:t xml:space="preserve"> Company</w:t>
      </w:r>
      <w:r w:rsidR="48DAEB01">
        <w:t xml:space="preserve">, Pacific Gas </w:t>
      </w:r>
      <w:r w:rsidR="00A41AD7">
        <w:t>and</w:t>
      </w:r>
      <w:r w:rsidR="48DAEB01">
        <w:t xml:space="preserve"> </w:t>
      </w:r>
      <w:r w:rsidR="00A41AD7">
        <w:t>E</w:t>
      </w:r>
      <w:r w:rsidR="48DAEB01">
        <w:t>lectric</w:t>
      </w:r>
      <w:r w:rsidR="00A41AD7">
        <w:t xml:space="preserve"> Company</w:t>
      </w:r>
      <w:r w:rsidR="48DAEB01">
        <w:t>, San Diego Gas &amp; Electric</w:t>
      </w:r>
      <w:r w:rsidR="00A41AD7">
        <w:t xml:space="preserve"> Company</w:t>
      </w:r>
      <w:r w:rsidR="48DAEB01">
        <w:t xml:space="preserve">, and Southern California Gas </w:t>
      </w:r>
      <w:r w:rsidR="00A41AD7">
        <w:t xml:space="preserve">Company </w:t>
      </w:r>
      <w:r w:rsidR="48DAEB01">
        <w:t xml:space="preserve">shall hold a </w:t>
      </w:r>
      <w:r w:rsidR="37845D8E">
        <w:t>joint workshop</w:t>
      </w:r>
      <w:r w:rsidR="47A22FA1">
        <w:t xml:space="preserve"> summarizing and discussing </w:t>
      </w:r>
      <w:r w:rsidR="00183B39">
        <w:t xml:space="preserve">the </w:t>
      </w:r>
      <w:r w:rsidR="47A22FA1">
        <w:t xml:space="preserve">annual </w:t>
      </w:r>
      <w:r w:rsidR="00183B39">
        <w:t>joint</w:t>
      </w:r>
      <w:r w:rsidR="47A22FA1">
        <w:t xml:space="preserve"> report.</w:t>
      </w:r>
    </w:p>
    <w:p w:rsidR="00474B22" w:rsidP="00534E80" w:rsidRDefault="00B51500" w14:paraId="46AAE107" w14:textId="32F13A44">
      <w:pPr>
        <w:pStyle w:val="OP"/>
      </w:pPr>
      <w:r>
        <w:t>Following the first reporting period and workshop, Southern California Edison Company</w:t>
      </w:r>
      <w:r w:rsidR="00AB5472">
        <w:t xml:space="preserve"> (SCE)</w:t>
      </w:r>
      <w:r>
        <w:t>, Pacific Gas and Electric Company</w:t>
      </w:r>
      <w:r w:rsidR="00AB5472">
        <w:t xml:space="preserve"> (PG&amp;E)</w:t>
      </w:r>
      <w:r>
        <w:t>, San Diego Gas &amp; Electric Company</w:t>
      </w:r>
      <w:r w:rsidR="00AB5472">
        <w:t xml:space="preserve"> (SDG&amp;E)</w:t>
      </w:r>
      <w:r>
        <w:t>, and Southern California Gas Company</w:t>
      </w:r>
      <w:r w:rsidR="00AB5472">
        <w:t xml:space="preserve"> (SoCalGas)</w:t>
      </w:r>
      <w:r>
        <w:t xml:space="preserve"> may file a joint</w:t>
      </w:r>
      <w:r w:rsidR="00EB500A">
        <w:t xml:space="preserve"> Tier 3</w:t>
      </w:r>
      <w:r>
        <w:t xml:space="preserve"> </w:t>
      </w:r>
      <w:r w:rsidR="008B2FEA">
        <w:t>Advice Letter</w:t>
      </w:r>
      <w:r w:rsidR="008E6939">
        <w:t xml:space="preserve"> </w:t>
      </w:r>
      <w:r w:rsidR="00616C89">
        <w:t>within 60 days of the workshop each year</w:t>
      </w:r>
      <w:r w:rsidR="008B2FEA">
        <w:t xml:space="preserve"> to propose modifications to the reporting requirements. Prior to filing a </w:t>
      </w:r>
      <w:r w:rsidR="00EB500A">
        <w:t xml:space="preserve">Tier 3 </w:t>
      </w:r>
      <w:r w:rsidR="00AB5472">
        <w:t xml:space="preserve">Advice Letter, SCE, PG&amp;E, SDG&amp;E, and SoCalGas must </w:t>
      </w:r>
      <w:r w:rsidR="00474B22">
        <w:t xml:space="preserve">meet with Safety </w:t>
      </w:r>
      <w:r w:rsidR="00474B22">
        <w:lastRenderedPageBreak/>
        <w:t>Policy Division staff to discuss the potential changes. A joint</w:t>
      </w:r>
      <w:r w:rsidR="00EB500A">
        <w:t xml:space="preserve"> Tier 3</w:t>
      </w:r>
      <w:r w:rsidR="00474B22">
        <w:t xml:space="preserve"> Advice Letter must then include:</w:t>
      </w:r>
    </w:p>
    <w:p w:rsidR="00474B22" w:rsidP="00806A41" w:rsidRDefault="00474B22" w14:paraId="04A383C6" w14:textId="77777777">
      <w:pPr>
        <w:pStyle w:val="CoL"/>
        <w:numPr>
          <w:ilvl w:val="1"/>
          <w:numId w:val="4"/>
        </w:numPr>
        <w:spacing w:after="120" w:line="240" w:lineRule="auto"/>
        <w:ind w:left="1440" w:right="1440" w:hanging="360"/>
      </w:pPr>
      <w:r>
        <w:t>Proposed modifications to the reporting requirements,</w:t>
      </w:r>
    </w:p>
    <w:p w:rsidR="00474B22" w:rsidP="00806A41" w:rsidRDefault="00474B22" w14:paraId="2AAD3613" w14:textId="77777777">
      <w:pPr>
        <w:pStyle w:val="CoL"/>
        <w:numPr>
          <w:ilvl w:val="1"/>
          <w:numId w:val="4"/>
        </w:numPr>
        <w:spacing w:after="120" w:line="240" w:lineRule="auto"/>
        <w:ind w:left="1440" w:right="1440" w:hanging="360"/>
      </w:pPr>
      <w:r>
        <w:t>Justification for why modifying the reporting metrics supports the objective of the report, as outlined in this decision,</w:t>
      </w:r>
    </w:p>
    <w:p w:rsidR="00B51500" w:rsidP="00806A41" w:rsidRDefault="00474B22" w14:paraId="4738A491" w14:textId="716078EF">
      <w:pPr>
        <w:pStyle w:val="CoL"/>
        <w:numPr>
          <w:ilvl w:val="1"/>
          <w:numId w:val="4"/>
        </w:numPr>
        <w:spacing w:after="120" w:line="240" w:lineRule="auto"/>
        <w:ind w:left="1440" w:right="1440" w:hanging="360"/>
      </w:pPr>
      <w:proofErr w:type="gramStart"/>
      <w:r>
        <w:t>How the</w:t>
      </w:r>
      <w:proofErr w:type="gramEnd"/>
      <w:r>
        <w:t xml:space="preserve"> proposal addresses any feedback that Safety Policy Division staff provided prior to the filing. </w:t>
      </w:r>
      <w:r w:rsidR="00AB5472">
        <w:t xml:space="preserve"> </w:t>
      </w:r>
    </w:p>
    <w:p w:rsidR="00F6397D" w:rsidP="00534E80" w:rsidRDefault="00E23CBB" w14:paraId="02B1D225" w14:textId="523E8025">
      <w:pPr>
        <w:pStyle w:val="OP"/>
      </w:pPr>
      <w:r w:rsidRPr="001E2A62">
        <w:t>Rulemaking</w:t>
      </w:r>
      <w:r w:rsidR="00725F2F">
        <w:t xml:space="preserve"> 18-04-019</w:t>
      </w:r>
      <w:r w:rsidRPr="001E2A62">
        <w:t xml:space="preserve"> </w:t>
      </w:r>
      <w:r w:rsidR="00812F1F">
        <w:t>remains open</w:t>
      </w:r>
      <w:r w:rsidRPr="001E2A62">
        <w:t>.</w:t>
      </w:r>
    </w:p>
    <w:p w:rsidR="008F0116" w:rsidP="008F0116" w:rsidRDefault="008F0116" w14:paraId="7AD7786E" w14:textId="77777777">
      <w:r>
        <w:t>This order is effective today.</w:t>
      </w:r>
    </w:p>
    <w:p w:rsidR="00714CF2" w:rsidP="00816E05" w:rsidRDefault="008F0116" w14:paraId="37340D7F" w14:textId="1FB44FAE">
      <w:r>
        <w:t xml:space="preserve">Dated </w:t>
      </w:r>
      <w:r w:rsidR="000C2B44">
        <w:t>October __, 2026</w:t>
      </w:r>
      <w:r>
        <w:t>, at San Francisco, California</w:t>
      </w:r>
      <w:r w:rsidR="00B77483">
        <w:t>.</w:t>
      </w:r>
    </w:p>
    <w:p w:rsidR="00453D84" w:rsidRDefault="00453D84" w14:paraId="6E9F8FCE" w14:textId="2AD6EF59">
      <w:pPr>
        <w:spacing w:after="160" w:line="259" w:lineRule="auto"/>
        <w:ind w:firstLine="0"/>
      </w:pPr>
      <w:r>
        <w:br w:type="page"/>
      </w:r>
    </w:p>
    <w:p w:rsidR="00453D84" w:rsidP="00453D84" w:rsidRDefault="00453D84" w14:paraId="39BD12B4" w14:textId="77777777">
      <w:pPr>
        <w:jc w:val="center"/>
      </w:pPr>
    </w:p>
    <w:p w:rsidR="00453D84" w:rsidP="00453D84" w:rsidRDefault="00453D84" w14:paraId="12A8FCCE" w14:textId="42F7DBEE">
      <w:pPr>
        <w:jc w:val="center"/>
      </w:pPr>
      <w:r>
        <w:t>Appendix A</w:t>
      </w:r>
    </w:p>
    <w:p w:rsidR="00453D84" w:rsidP="00453D84" w:rsidRDefault="00453D84" w14:paraId="11C3763D" w14:textId="23B1349D">
      <w:pPr>
        <w:jc w:val="center"/>
      </w:pPr>
      <w:r>
        <w:t>Climate Adaptation Framework</w:t>
      </w:r>
    </w:p>
    <w:p w:rsidR="00453D84" w:rsidRDefault="00453D84" w14:paraId="447A539F" w14:textId="5FF1F689">
      <w:pPr>
        <w:spacing w:after="160" w:line="259" w:lineRule="auto"/>
        <w:ind w:firstLine="0"/>
      </w:pPr>
      <w:r>
        <w:br w:type="page"/>
      </w:r>
    </w:p>
    <w:p w:rsidRPr="00534E80" w:rsidR="009C4E29" w:rsidP="00534E80" w:rsidRDefault="009C4E29" w14:paraId="6D0B72FA" w14:textId="4A147185">
      <w:pPr>
        <w:pStyle w:val="Standard"/>
        <w:jc w:val="center"/>
        <w:rPr>
          <w:b/>
          <w:bCs/>
        </w:rPr>
      </w:pPr>
      <w:r w:rsidRPr="00534E80">
        <w:rPr>
          <w:b/>
          <w:bCs/>
        </w:rPr>
        <w:lastRenderedPageBreak/>
        <w:t>Climate Adaptation Framework</w:t>
      </w:r>
    </w:p>
    <w:p w:rsidR="009C4E29" w:rsidP="009C4E29" w:rsidRDefault="009C4E29" w14:paraId="0B26A44E" w14:textId="77777777">
      <w:pPr>
        <w:pStyle w:val="Standard"/>
      </w:pPr>
    </w:p>
    <w:p w:rsidR="009C4E29" w:rsidP="00534E80" w:rsidRDefault="00D03806" w14:paraId="398C0ED7" w14:textId="02A5FB43">
      <w:pPr>
        <w:pStyle w:val="Standard"/>
        <w:ind w:firstLine="0"/>
      </w:pPr>
      <w:r>
        <w:t>The five c</w:t>
      </w:r>
      <w:r w:rsidR="009C4E29">
        <w:t xml:space="preserve">limate adaptation policy areas: </w:t>
      </w:r>
    </w:p>
    <w:p w:rsidR="009C4E29" w:rsidP="00534E80" w:rsidRDefault="009C4E29" w14:paraId="4D221E34" w14:textId="77777777">
      <w:pPr>
        <w:pStyle w:val="ListNum"/>
        <w:numPr>
          <w:ilvl w:val="0"/>
          <w:numId w:val="41"/>
        </w:numPr>
        <w:ind w:right="1440"/>
      </w:pPr>
      <w:r w:rsidRPr="00CA21DA">
        <w:rPr>
          <w:b/>
          <w:bCs/>
        </w:rPr>
        <w:t>Repetitive Loss and Failure</w:t>
      </w:r>
      <w:r>
        <w:t>: the recurring damage, failure, or service disruption impacting the same utility asset over time, typically driven by persistent or worsening underlying conditions. This can also include the loss, degradation, or unsafe operation of a utility system that prevents it from performing its intended function in compliance with Commission safety, reliability, and service standards.</w:t>
      </w:r>
    </w:p>
    <w:p w:rsidR="009C4E29" w:rsidP="00534E80" w:rsidRDefault="009C4E29" w14:paraId="30ED9166" w14:textId="77777777">
      <w:pPr>
        <w:pStyle w:val="ListNum"/>
        <w:numPr>
          <w:ilvl w:val="0"/>
          <w:numId w:val="41"/>
        </w:numPr>
        <w:ind w:right="1440"/>
      </w:pPr>
      <w:r w:rsidRPr="009C4E29">
        <w:rPr>
          <w:b/>
          <w:bCs/>
        </w:rPr>
        <w:t>Site Selection</w:t>
      </w:r>
      <w:r>
        <w:t>: the process by which locations for utility infrastructure projects are identified, evaluated, and approved to ensure they are safe, cost-effective, and consistent with Commission policy and regulations.</w:t>
      </w:r>
    </w:p>
    <w:p w:rsidR="009C4E29" w:rsidP="00534E80" w:rsidRDefault="009C4E29" w14:paraId="24EFCE19" w14:textId="77777777">
      <w:pPr>
        <w:pStyle w:val="ListNum"/>
        <w:numPr>
          <w:ilvl w:val="0"/>
          <w:numId w:val="41"/>
        </w:numPr>
        <w:ind w:right="1440"/>
      </w:pPr>
      <w:r w:rsidRPr="009C4E29">
        <w:rPr>
          <w:b/>
          <w:bCs/>
        </w:rPr>
        <w:t>Design and Engineering</w:t>
      </w:r>
      <w:r>
        <w:t>: the physical modification, replacement, or new construction of utility infrastructure regulated by the Commission. This can also refer to the substantial rebuilding, replacement, or reconfiguration of existing infrastructure.</w:t>
      </w:r>
    </w:p>
    <w:p w:rsidR="009C4E29" w:rsidP="00534E80" w:rsidRDefault="009C4E29" w14:paraId="1EC258F8" w14:textId="77777777">
      <w:pPr>
        <w:pStyle w:val="ListNum"/>
        <w:numPr>
          <w:ilvl w:val="0"/>
          <w:numId w:val="41"/>
        </w:numPr>
        <w:ind w:right="1440"/>
      </w:pPr>
      <w:r w:rsidRPr="009C4E29">
        <w:rPr>
          <w:b/>
          <w:bCs/>
        </w:rPr>
        <w:t>Equipment Tolerance</w:t>
      </w:r>
      <w:r w:rsidRPr="00534E80">
        <w:t>: the</w:t>
      </w:r>
      <w:r>
        <w:t xml:space="preserve"> ability of utility equipment to safely and reliably perform within specified physical, electrical, mechanical, and environmental limits over its intended service life, especially during the extreme events anticipated under a changing climate.</w:t>
      </w:r>
    </w:p>
    <w:p w:rsidR="009C4E29" w:rsidP="00534E80" w:rsidRDefault="009C4E29" w14:paraId="20DBEB4D" w14:textId="77777777">
      <w:pPr>
        <w:pStyle w:val="ListNum"/>
        <w:numPr>
          <w:ilvl w:val="0"/>
          <w:numId w:val="41"/>
        </w:numPr>
        <w:ind w:right="1440"/>
      </w:pPr>
      <w:r w:rsidRPr="009C4E29">
        <w:rPr>
          <w:b/>
          <w:bCs/>
        </w:rPr>
        <w:t>Climate Risk Modeling</w:t>
      </w:r>
      <w:r w:rsidRPr="00534E80">
        <w:t>:</w:t>
      </w:r>
      <w:r>
        <w:t xml:space="preserve"> the science-based methods that utilities and regulators use to identify, evaluate, and manage risks to regulated infrastructure and operations arising from current and projected climate conditions. This includes modeling climate risks, assessing asset exposure and vulnerability, estimating the likelihood and consequences of hazards, and integrating these results into planning, inspections, maintenance, reconstruction, and emergency preparedness.</w:t>
      </w:r>
    </w:p>
    <w:p w:rsidR="009C4E29" w:rsidP="009C4E29" w:rsidRDefault="009C4E29" w14:paraId="5890989A" w14:textId="77777777">
      <w:pPr>
        <w:pStyle w:val="ListNum"/>
        <w:numPr>
          <w:ilvl w:val="0"/>
          <w:numId w:val="0"/>
        </w:numPr>
        <w:spacing w:after="0" w:line="360" w:lineRule="auto"/>
        <w:ind w:firstLine="720"/>
      </w:pPr>
    </w:p>
    <w:p w:rsidR="009C4E29" w:rsidP="00534E80" w:rsidRDefault="009C4E29" w14:paraId="0CCDFACD" w14:textId="3FFA338F">
      <w:pPr>
        <w:pStyle w:val="ListNum"/>
        <w:numPr>
          <w:ilvl w:val="0"/>
          <w:numId w:val="0"/>
        </w:numPr>
        <w:spacing w:after="0" w:line="360" w:lineRule="auto"/>
      </w:pPr>
      <w:r w:rsidRPr="00534E80">
        <w:rPr>
          <w:b/>
          <w:bCs/>
        </w:rPr>
        <w:lastRenderedPageBreak/>
        <w:t>Step 1</w:t>
      </w:r>
      <w:r w:rsidR="00684258">
        <w:rPr>
          <w:b/>
          <w:bCs/>
        </w:rPr>
        <w:t>:</w:t>
      </w:r>
      <w:r w:rsidRPr="00534E80" w:rsidR="009F2F6F">
        <w:rPr>
          <w:b/>
          <w:bCs/>
        </w:rPr>
        <w:t xml:space="preserve"> Identification</w:t>
      </w:r>
      <w:r>
        <w:t xml:space="preserve">. Applicable utilities will screen </w:t>
      </w:r>
      <w:r w:rsidR="0075742B">
        <w:t xml:space="preserve">infrastructure project </w:t>
      </w:r>
      <w:r>
        <w:t>Applications for relevance to the five policy areas using a “yes/no” screening question per policy area (Table 1).</w:t>
      </w:r>
    </w:p>
    <w:p w:rsidRPr="00806A41" w:rsidR="009C4E29" w:rsidP="009C4E29" w:rsidRDefault="009C4E29" w14:paraId="551B5241" w14:textId="77777777">
      <w:pPr>
        <w:pStyle w:val="Caption"/>
        <w:keepNext/>
        <w:spacing w:after="120"/>
        <w:jc w:val="center"/>
        <w:rPr>
          <w:rFonts w:ascii="Arial" w:hAnsi="Arial" w:cs="Arial"/>
          <w:b/>
          <w:bCs/>
          <w:i w:val="0"/>
          <w:iCs w:val="0"/>
          <w:color w:val="auto"/>
          <w:sz w:val="26"/>
          <w:szCs w:val="26"/>
        </w:rPr>
      </w:pPr>
      <w:r w:rsidRPr="00806A41">
        <w:rPr>
          <w:rFonts w:ascii="Arial" w:hAnsi="Arial" w:cs="Arial"/>
          <w:b/>
          <w:bCs/>
          <w:i w:val="0"/>
          <w:iCs w:val="0"/>
          <w:color w:val="auto"/>
          <w:sz w:val="26"/>
          <w:szCs w:val="26"/>
        </w:rPr>
        <w:t xml:space="preserve">Table </w:t>
      </w:r>
      <w:r w:rsidRPr="00806A41">
        <w:rPr>
          <w:rFonts w:ascii="Arial" w:hAnsi="Arial" w:cs="Arial"/>
          <w:b/>
          <w:bCs/>
          <w:i w:val="0"/>
          <w:iCs w:val="0"/>
          <w:color w:val="auto"/>
          <w:sz w:val="26"/>
          <w:szCs w:val="26"/>
        </w:rPr>
        <w:fldChar w:fldCharType="begin"/>
      </w:r>
      <w:r w:rsidRPr="00806A41">
        <w:rPr>
          <w:rFonts w:ascii="Arial" w:hAnsi="Arial" w:cs="Arial"/>
          <w:b/>
          <w:bCs/>
          <w:i w:val="0"/>
          <w:iCs w:val="0"/>
          <w:color w:val="auto"/>
          <w:sz w:val="26"/>
          <w:szCs w:val="26"/>
        </w:rPr>
        <w:instrText xml:space="preserve"> SEQ Table \* ARABIC </w:instrText>
      </w:r>
      <w:r w:rsidRPr="00806A41">
        <w:rPr>
          <w:rFonts w:ascii="Arial" w:hAnsi="Arial" w:cs="Arial"/>
          <w:b/>
          <w:bCs/>
          <w:i w:val="0"/>
          <w:iCs w:val="0"/>
          <w:color w:val="auto"/>
          <w:sz w:val="26"/>
          <w:szCs w:val="26"/>
        </w:rPr>
        <w:fldChar w:fldCharType="separate"/>
      </w:r>
      <w:r w:rsidRPr="00806A41">
        <w:rPr>
          <w:rFonts w:ascii="Arial" w:hAnsi="Arial" w:cs="Arial"/>
          <w:b/>
          <w:bCs/>
          <w:i w:val="0"/>
          <w:iCs w:val="0"/>
          <w:noProof/>
          <w:color w:val="auto"/>
          <w:sz w:val="26"/>
          <w:szCs w:val="26"/>
        </w:rPr>
        <w:t>1</w:t>
      </w:r>
      <w:r w:rsidRPr="00806A41">
        <w:rPr>
          <w:rFonts w:ascii="Arial" w:hAnsi="Arial" w:cs="Arial"/>
          <w:b/>
          <w:bCs/>
          <w:i w:val="0"/>
          <w:iCs w:val="0"/>
          <w:noProof/>
          <w:color w:val="auto"/>
          <w:sz w:val="26"/>
          <w:szCs w:val="26"/>
        </w:rPr>
        <w:fldChar w:fldCharType="end"/>
      </w:r>
      <w:r w:rsidRPr="00806A41">
        <w:rPr>
          <w:rFonts w:ascii="Arial" w:hAnsi="Arial" w:cs="Arial"/>
          <w:b/>
          <w:bCs/>
          <w:i w:val="0"/>
          <w:iCs w:val="0"/>
          <w:color w:val="auto"/>
          <w:sz w:val="26"/>
          <w:szCs w:val="26"/>
        </w:rPr>
        <w:br/>
        <w:t>Step 1: Screening Questions</w:t>
      </w:r>
    </w:p>
    <w:tbl>
      <w:tblPr>
        <w:tblStyle w:val="TableGrid"/>
        <w:tblW w:w="9568" w:type="dxa"/>
        <w:jc w:val="center"/>
        <w:tblLook w:val="04A0" w:firstRow="1" w:lastRow="0" w:firstColumn="1" w:lastColumn="0" w:noHBand="0" w:noVBand="1"/>
      </w:tblPr>
      <w:tblGrid>
        <w:gridCol w:w="3055"/>
        <w:gridCol w:w="6513"/>
      </w:tblGrid>
      <w:tr w:rsidRPr="00AC2F91" w:rsidR="009C4E29" w14:paraId="392D304C" w14:textId="77777777">
        <w:trPr>
          <w:jc w:val="center"/>
        </w:trPr>
        <w:tc>
          <w:tcPr>
            <w:tcW w:w="3055" w:type="dxa"/>
          </w:tcPr>
          <w:p w:rsidRPr="00AC2F91" w:rsidR="009C4E29" w:rsidRDefault="009C4E29" w14:paraId="142F61E8" w14:textId="77777777">
            <w:pPr>
              <w:pStyle w:val="ListNum"/>
              <w:numPr>
                <w:ilvl w:val="0"/>
                <w:numId w:val="0"/>
              </w:numPr>
              <w:rPr>
                <w:rFonts w:ascii="Arial" w:hAnsi="Arial" w:cs="Arial"/>
                <w:b/>
                <w:bCs/>
              </w:rPr>
            </w:pPr>
            <w:r w:rsidRPr="00AC2F91">
              <w:rPr>
                <w:rFonts w:ascii="Arial" w:hAnsi="Arial" w:cs="Arial"/>
                <w:b/>
                <w:bCs/>
              </w:rPr>
              <w:t>Climate Adaptation Policy Area</w:t>
            </w:r>
          </w:p>
        </w:tc>
        <w:tc>
          <w:tcPr>
            <w:tcW w:w="6513" w:type="dxa"/>
          </w:tcPr>
          <w:p w:rsidRPr="00AC2F91" w:rsidR="009C4E29" w:rsidP="00F53FC8" w:rsidRDefault="009C4E29" w14:paraId="78CBB009" w14:textId="77777777">
            <w:pPr>
              <w:pStyle w:val="ListNum"/>
              <w:numPr>
                <w:ilvl w:val="0"/>
                <w:numId w:val="0"/>
              </w:numPr>
              <w:rPr>
                <w:rFonts w:ascii="Arial" w:hAnsi="Arial" w:cs="Arial"/>
                <w:b/>
                <w:bCs/>
              </w:rPr>
            </w:pPr>
            <w:r w:rsidRPr="00AC2F91">
              <w:rPr>
                <w:rFonts w:ascii="Arial" w:hAnsi="Arial" w:cs="Arial"/>
                <w:b/>
                <w:bCs/>
              </w:rPr>
              <w:t>Screening Question</w:t>
            </w:r>
          </w:p>
        </w:tc>
      </w:tr>
      <w:tr w:rsidRPr="00AC2F91" w:rsidR="009C4E29" w14:paraId="2A4E58BA" w14:textId="77777777">
        <w:trPr>
          <w:jc w:val="center"/>
        </w:trPr>
        <w:tc>
          <w:tcPr>
            <w:tcW w:w="3055" w:type="dxa"/>
          </w:tcPr>
          <w:p w:rsidRPr="00AC2F91" w:rsidR="009C4E29" w:rsidRDefault="009C4E29" w14:paraId="15A2A429" w14:textId="77777777">
            <w:pPr>
              <w:pStyle w:val="ListNum"/>
              <w:numPr>
                <w:ilvl w:val="0"/>
                <w:numId w:val="0"/>
              </w:numPr>
              <w:rPr>
                <w:b/>
                <w:bCs/>
              </w:rPr>
            </w:pPr>
            <w:r w:rsidRPr="00AC2F91">
              <w:rPr>
                <w:b/>
                <w:bCs/>
                <w:sz w:val="22"/>
              </w:rPr>
              <w:t>Repetitive Loss and Failure</w:t>
            </w:r>
          </w:p>
        </w:tc>
        <w:tc>
          <w:tcPr>
            <w:tcW w:w="6513" w:type="dxa"/>
          </w:tcPr>
          <w:p w:rsidRPr="00AC2F91" w:rsidR="009C4E29" w:rsidRDefault="009C4E29" w14:paraId="1B80767D" w14:textId="77777777">
            <w:pPr>
              <w:pStyle w:val="ListNum"/>
              <w:numPr>
                <w:ilvl w:val="0"/>
                <w:numId w:val="0"/>
              </w:numPr>
            </w:pPr>
            <w:r w:rsidRPr="00AC2F91">
              <w:t xml:space="preserve">Does the application address assets with a history of recurring damage or failure and </w:t>
            </w:r>
            <w:proofErr w:type="gramStart"/>
            <w:r w:rsidRPr="00AC2F91">
              <w:t>factor</w:t>
            </w:r>
            <w:proofErr w:type="gramEnd"/>
            <w:r w:rsidRPr="00AC2F91">
              <w:t xml:space="preserve"> in future climate risk?</w:t>
            </w:r>
          </w:p>
        </w:tc>
      </w:tr>
      <w:tr w:rsidRPr="00AC2F91" w:rsidR="009C4E29" w14:paraId="61F89412" w14:textId="77777777">
        <w:trPr>
          <w:jc w:val="center"/>
        </w:trPr>
        <w:tc>
          <w:tcPr>
            <w:tcW w:w="3055" w:type="dxa"/>
          </w:tcPr>
          <w:p w:rsidRPr="00AC2F91" w:rsidR="009C4E29" w:rsidRDefault="009C4E29" w14:paraId="1AAE9DB5" w14:textId="77777777">
            <w:pPr>
              <w:pStyle w:val="ListNum"/>
              <w:numPr>
                <w:ilvl w:val="0"/>
                <w:numId w:val="0"/>
              </w:numPr>
              <w:rPr>
                <w:b/>
                <w:bCs/>
              </w:rPr>
            </w:pPr>
            <w:r w:rsidRPr="00AC2F91">
              <w:rPr>
                <w:b/>
                <w:bCs/>
                <w:sz w:val="22"/>
              </w:rPr>
              <w:t>Site Selection</w:t>
            </w:r>
          </w:p>
        </w:tc>
        <w:tc>
          <w:tcPr>
            <w:tcW w:w="6513" w:type="dxa"/>
          </w:tcPr>
          <w:p w:rsidRPr="00AC2F91" w:rsidR="009C4E29" w:rsidRDefault="009C4E29" w14:paraId="37E4DCD4" w14:textId="77777777">
            <w:pPr>
              <w:pStyle w:val="ListNum"/>
              <w:numPr>
                <w:ilvl w:val="0"/>
                <w:numId w:val="0"/>
              </w:numPr>
            </w:pPr>
            <w:r w:rsidRPr="00AC2F91">
              <w:t>Does the application involve selecting a location for new infrastructure or evaluating the safety of existing sites?</w:t>
            </w:r>
          </w:p>
        </w:tc>
      </w:tr>
      <w:tr w:rsidRPr="00AC2F91" w:rsidR="009C4E29" w14:paraId="38AE92D2" w14:textId="77777777">
        <w:trPr>
          <w:jc w:val="center"/>
        </w:trPr>
        <w:tc>
          <w:tcPr>
            <w:tcW w:w="3055" w:type="dxa"/>
          </w:tcPr>
          <w:p w:rsidRPr="00AC2F91" w:rsidR="009C4E29" w:rsidRDefault="009C4E29" w14:paraId="18555553" w14:textId="77777777">
            <w:pPr>
              <w:pStyle w:val="ListNum"/>
              <w:numPr>
                <w:ilvl w:val="0"/>
                <w:numId w:val="0"/>
              </w:numPr>
              <w:rPr>
                <w:b/>
                <w:bCs/>
              </w:rPr>
            </w:pPr>
            <w:r w:rsidRPr="00AC2F91">
              <w:rPr>
                <w:b/>
                <w:bCs/>
                <w:sz w:val="22"/>
              </w:rPr>
              <w:t>Design and Engineering</w:t>
            </w:r>
          </w:p>
        </w:tc>
        <w:tc>
          <w:tcPr>
            <w:tcW w:w="6513" w:type="dxa"/>
          </w:tcPr>
          <w:p w:rsidRPr="00AC2F91" w:rsidR="009C4E29" w:rsidRDefault="009C4E29" w14:paraId="1CB72261" w14:textId="77777777">
            <w:pPr>
              <w:pStyle w:val="ListNum"/>
              <w:numPr>
                <w:ilvl w:val="0"/>
                <w:numId w:val="0"/>
              </w:numPr>
            </w:pPr>
            <w:r w:rsidRPr="00AC2F91">
              <w:t>Does the application propose design standards, material selection, or construction of physical assets?</w:t>
            </w:r>
          </w:p>
        </w:tc>
      </w:tr>
      <w:tr w:rsidRPr="00AC2F91" w:rsidR="009C4E29" w14:paraId="78A9DAA1" w14:textId="77777777">
        <w:trPr>
          <w:jc w:val="center"/>
        </w:trPr>
        <w:tc>
          <w:tcPr>
            <w:tcW w:w="3055" w:type="dxa"/>
          </w:tcPr>
          <w:p w:rsidRPr="00AC2F91" w:rsidR="009C4E29" w:rsidRDefault="009C4E29" w14:paraId="1C4342E1" w14:textId="77777777">
            <w:pPr>
              <w:pStyle w:val="ListNum"/>
              <w:numPr>
                <w:ilvl w:val="0"/>
                <w:numId w:val="0"/>
              </w:numPr>
              <w:rPr>
                <w:b/>
                <w:bCs/>
                <w:sz w:val="22"/>
              </w:rPr>
            </w:pPr>
            <w:r w:rsidRPr="00AC2F91">
              <w:rPr>
                <w:b/>
                <w:bCs/>
                <w:sz w:val="22"/>
              </w:rPr>
              <w:t>Equipment Tolerance</w:t>
            </w:r>
          </w:p>
        </w:tc>
        <w:tc>
          <w:tcPr>
            <w:tcW w:w="6513" w:type="dxa"/>
          </w:tcPr>
          <w:p w:rsidRPr="00AC2F91" w:rsidR="009C4E29" w:rsidRDefault="009C4E29" w14:paraId="5B697B3E" w14:textId="77777777">
            <w:pPr>
              <w:pStyle w:val="ListNum"/>
              <w:numPr>
                <w:ilvl w:val="0"/>
                <w:numId w:val="0"/>
              </w:numPr>
            </w:pPr>
            <w:r w:rsidRPr="00AC2F91">
              <w:t>Does the application specify equipment ratings (e.g., thermal, wind, load) or replacement of aging assets?</w:t>
            </w:r>
          </w:p>
        </w:tc>
      </w:tr>
      <w:tr w:rsidRPr="00AC2F91" w:rsidR="009C4E29" w14:paraId="303347F5" w14:textId="77777777">
        <w:trPr>
          <w:jc w:val="center"/>
        </w:trPr>
        <w:tc>
          <w:tcPr>
            <w:tcW w:w="3055" w:type="dxa"/>
          </w:tcPr>
          <w:p w:rsidRPr="00AC2F91" w:rsidR="009C4E29" w:rsidRDefault="009C4E29" w14:paraId="27353BEA" w14:textId="77777777">
            <w:pPr>
              <w:pStyle w:val="ListNum"/>
              <w:numPr>
                <w:ilvl w:val="0"/>
                <w:numId w:val="0"/>
              </w:numPr>
              <w:rPr>
                <w:b/>
                <w:bCs/>
                <w:sz w:val="22"/>
              </w:rPr>
            </w:pPr>
            <w:r w:rsidRPr="00AC2F91">
              <w:rPr>
                <w:b/>
                <w:bCs/>
                <w:sz w:val="22"/>
              </w:rPr>
              <w:t>Climate Risk Modeling</w:t>
            </w:r>
          </w:p>
        </w:tc>
        <w:tc>
          <w:tcPr>
            <w:tcW w:w="6513" w:type="dxa"/>
          </w:tcPr>
          <w:p w:rsidRPr="00AC2F91" w:rsidR="009C4E29" w:rsidRDefault="009C4E29" w14:paraId="4048495D" w14:textId="1E8DE374">
            <w:pPr>
              <w:pStyle w:val="ListNum"/>
              <w:numPr>
                <w:ilvl w:val="0"/>
                <w:numId w:val="0"/>
              </w:numPr>
            </w:pPr>
            <w:r w:rsidRPr="00AC2F91">
              <w:t xml:space="preserve">Does the application rely on </w:t>
            </w:r>
            <w:r w:rsidR="00210925">
              <w:t xml:space="preserve">historical </w:t>
            </w:r>
            <w:r w:rsidRPr="00AC2F91">
              <w:t xml:space="preserve">weather </w:t>
            </w:r>
            <w:proofErr w:type="gramStart"/>
            <w:r w:rsidRPr="00AC2F91">
              <w:t xml:space="preserve">data, </w:t>
            </w:r>
            <w:r w:rsidRPr="00210925" w:rsidR="00210925">
              <w:t xml:space="preserve"> climate</w:t>
            </w:r>
            <w:proofErr w:type="gramEnd"/>
            <w:r w:rsidRPr="00210925" w:rsidR="00210925">
              <w:t xml:space="preserve"> projections, or climate-informed risk forecasting</w:t>
            </w:r>
            <w:r w:rsidRPr="00AC2F91">
              <w:t>?</w:t>
            </w:r>
          </w:p>
        </w:tc>
      </w:tr>
    </w:tbl>
    <w:p w:rsidR="009C4E29" w:rsidP="009C4E29" w:rsidRDefault="009C4E29" w14:paraId="0AF3AA4C" w14:textId="77777777">
      <w:pPr>
        <w:pStyle w:val="ListNum"/>
        <w:numPr>
          <w:ilvl w:val="0"/>
          <w:numId w:val="0"/>
        </w:numPr>
        <w:spacing w:line="360" w:lineRule="auto"/>
      </w:pPr>
    </w:p>
    <w:p w:rsidR="00DD1E0C" w:rsidRDefault="009C4E29" w14:paraId="6122B816" w14:textId="1D2C50D5">
      <w:pPr>
        <w:pStyle w:val="ListNum"/>
        <w:numPr>
          <w:ilvl w:val="0"/>
          <w:numId w:val="0"/>
        </w:numPr>
        <w:spacing w:line="360" w:lineRule="auto"/>
      </w:pPr>
      <w:r w:rsidRPr="00534E80">
        <w:rPr>
          <w:b/>
          <w:bCs/>
        </w:rPr>
        <w:t xml:space="preserve">Step </w:t>
      </w:r>
      <w:r w:rsidRPr="00534E80" w:rsidR="00DD1E0C">
        <w:rPr>
          <w:b/>
          <w:bCs/>
        </w:rPr>
        <w:t>2</w:t>
      </w:r>
      <w:r w:rsidR="00684258">
        <w:rPr>
          <w:b/>
          <w:bCs/>
        </w:rPr>
        <w:t>:</w:t>
      </w:r>
      <w:r w:rsidRPr="00534E80" w:rsidR="00DD1E0C">
        <w:rPr>
          <w:b/>
          <w:bCs/>
        </w:rPr>
        <w:t xml:space="preserve"> Tracking and Monitoring</w:t>
      </w:r>
      <w:r>
        <w:t xml:space="preserve">: The IOUs </w:t>
      </w:r>
      <w:r w:rsidR="00DD1E0C">
        <w:t xml:space="preserve">shall host a joint annual workshop and </w:t>
      </w:r>
      <w:r>
        <w:t xml:space="preserve">provide an annual report summarizing, at minimum, how the Framework was integrated into applicable filings during the annual reporting period. </w:t>
      </w:r>
    </w:p>
    <w:p w:rsidR="009C4E29" w:rsidP="00534E80" w:rsidRDefault="00DD1E0C" w14:paraId="47F14237" w14:textId="042C8F3A">
      <w:pPr>
        <w:pStyle w:val="ListNum"/>
        <w:numPr>
          <w:ilvl w:val="0"/>
          <w:numId w:val="0"/>
        </w:numPr>
        <w:spacing w:line="360" w:lineRule="auto"/>
      </w:pPr>
      <w:r>
        <w:t xml:space="preserve">Starting in 2028, </w:t>
      </w:r>
      <w:r w:rsidR="002249FF">
        <w:t xml:space="preserve">each IOU’s </w:t>
      </w:r>
      <w:r>
        <w:t xml:space="preserve">annual report shall be submitted </w:t>
      </w:r>
      <w:r w:rsidR="00487B6F">
        <w:t xml:space="preserve">to Safety Policy Division </w:t>
      </w:r>
      <w:r>
        <w:t xml:space="preserve">on May 1 of each year with the reporting period of the preceding 12 months beginning April 1 and ending March 31 of the filing year. </w:t>
      </w:r>
      <w:r w:rsidR="002249FF">
        <w:t xml:space="preserve">Each IOU’s </w:t>
      </w:r>
      <w:r w:rsidR="009C4E29">
        <w:t>annual report</w:t>
      </w:r>
      <w:r>
        <w:t xml:space="preserve"> shall contain</w:t>
      </w:r>
      <w:r w:rsidR="009C4E29">
        <w:t>:</w:t>
      </w:r>
    </w:p>
    <w:p w:rsidR="00B40B50" w:rsidP="00546BA6" w:rsidRDefault="00487B6F" w14:paraId="003AEFFE" w14:textId="655AB355">
      <w:pPr>
        <w:pStyle w:val="ListParagraph"/>
        <w:numPr>
          <w:ilvl w:val="1"/>
          <w:numId w:val="46"/>
        </w:numPr>
        <w:ind w:left="900" w:hanging="162"/>
      </w:pPr>
      <w:r w:rsidRPr="00487B6F">
        <w:lastRenderedPageBreak/>
        <w:t>The number of infrastructure project applications the IOU is seeking Commission authorization for that have been filed, are in review, or closed during the reporting period.</w:t>
      </w:r>
    </w:p>
    <w:p w:rsidR="00DD1E0C" w:rsidP="00534E80" w:rsidRDefault="00DD1E0C" w14:paraId="24EDCF57" w14:textId="372E0C32">
      <w:pPr>
        <w:pStyle w:val="OP"/>
        <w:numPr>
          <w:ilvl w:val="1"/>
          <w:numId w:val="4"/>
        </w:numPr>
        <w:spacing w:after="120" w:line="240" w:lineRule="auto"/>
        <w:ind w:left="907" w:right="1440" w:hanging="187"/>
      </w:pPr>
      <w:r>
        <w:t xml:space="preserve">The number of </w:t>
      </w:r>
      <w:r w:rsidR="0075742B">
        <w:t xml:space="preserve">infrastructure project </w:t>
      </w:r>
      <w:r>
        <w:t>applications that d</w:t>
      </w:r>
      <w:r w:rsidR="00B40B50">
        <w:t>id</w:t>
      </w:r>
      <w:r>
        <w:t xml:space="preserve"> not identify related</w:t>
      </w:r>
      <w:r w:rsidR="00BC0098">
        <w:t xml:space="preserve"> </w:t>
      </w:r>
      <w:r>
        <w:t>climate change risks.</w:t>
      </w:r>
    </w:p>
    <w:p w:rsidR="00DD1E0C" w:rsidP="00534E80" w:rsidRDefault="00DD1E0C" w14:paraId="523800B7" w14:textId="63CDDA96">
      <w:pPr>
        <w:pStyle w:val="OP"/>
        <w:numPr>
          <w:ilvl w:val="1"/>
          <w:numId w:val="4"/>
        </w:numPr>
        <w:spacing w:after="120" w:line="240" w:lineRule="auto"/>
        <w:ind w:left="907" w:right="1440" w:hanging="187"/>
      </w:pPr>
      <w:r>
        <w:t xml:space="preserve">For each </w:t>
      </w:r>
      <w:r w:rsidR="0075742B">
        <w:t xml:space="preserve">infrastructure project </w:t>
      </w:r>
      <w:r>
        <w:t>application identified, the report shall include</w:t>
      </w:r>
      <w:r w:rsidR="004B7AF1">
        <w:t xml:space="preserve"> the following. However, for applications without an identified climate risk, the report shall only address (a) and (b)</w:t>
      </w:r>
      <w:r>
        <w:t>:</w:t>
      </w:r>
    </w:p>
    <w:p w:rsidR="00DD1E0C" w:rsidP="00534E80" w:rsidRDefault="00DD1E0C" w14:paraId="49804A97" w14:textId="2D275C0A">
      <w:pPr>
        <w:pStyle w:val="ListAlpha"/>
        <w:numPr>
          <w:ilvl w:val="5"/>
          <w:numId w:val="23"/>
        </w:numPr>
        <w:ind w:left="1260" w:right="1440"/>
      </w:pPr>
      <w:r>
        <w:t>A description of the application, including the application objective and any identified climate risks associated with the subject of the application</w:t>
      </w:r>
      <w:r w:rsidR="00F41DA9">
        <w:t>, as well as the procedural status of the application as of the report’s filing date</w:t>
      </w:r>
      <w:r>
        <w:t>.</w:t>
      </w:r>
    </w:p>
    <w:p w:rsidR="00DD1E0C" w:rsidP="00534E80" w:rsidRDefault="00DD1E0C" w14:paraId="59BA6217" w14:textId="0098E1E1">
      <w:pPr>
        <w:pStyle w:val="ListAlpha"/>
        <w:numPr>
          <w:ilvl w:val="5"/>
          <w:numId w:val="23"/>
        </w:numPr>
        <w:ind w:left="1260" w:right="1440"/>
      </w:pPr>
      <w:r>
        <w:t>The GOs that govern the application</w:t>
      </w:r>
      <w:r w:rsidR="000F46C7">
        <w:t>, based on the IOU’s assessment of GO applicability.</w:t>
      </w:r>
      <w:r w:rsidRPr="002E74AC">
        <w:t xml:space="preserve"> </w:t>
      </w:r>
    </w:p>
    <w:p w:rsidR="00DD1E0C" w:rsidP="00534E80" w:rsidRDefault="00DD1E0C" w14:paraId="5E51E106" w14:textId="77777777">
      <w:pPr>
        <w:pStyle w:val="ListAlpha"/>
        <w:numPr>
          <w:ilvl w:val="5"/>
          <w:numId w:val="23"/>
        </w:numPr>
        <w:ind w:left="1260" w:right="1440"/>
      </w:pPr>
      <w:r>
        <w:t>The hazard(s) identified in the CAVA, RAMP, and any other of the applicant’s climate adaptation analysis and planning efforts that are associated with the application.</w:t>
      </w:r>
    </w:p>
    <w:p w:rsidR="00DD1E0C" w:rsidP="00534E80" w:rsidRDefault="00DD1E0C" w14:paraId="063286C3" w14:textId="39D326D6">
      <w:pPr>
        <w:pStyle w:val="ListAlpha"/>
        <w:numPr>
          <w:ilvl w:val="5"/>
          <w:numId w:val="23"/>
        </w:numPr>
        <w:tabs>
          <w:tab w:val="left" w:pos="1980"/>
        </w:tabs>
        <w:ind w:left="1260" w:right="1440"/>
      </w:pPr>
      <w:r>
        <w:t xml:space="preserve">Historical concerns about specific locations associated with the application (e.g., for </w:t>
      </w:r>
      <w:proofErr w:type="gramStart"/>
      <w:r>
        <w:t>siting</w:t>
      </w:r>
      <w:proofErr w:type="gramEnd"/>
      <w:r>
        <w:t xml:space="preserve"> the subject of the </w:t>
      </w:r>
      <w:r w:rsidR="000F46C7">
        <w:t xml:space="preserve">infrastructure project(s) addressed by the </w:t>
      </w:r>
      <w:r>
        <w:t>application). This section should refer specifically to the applicant’s CAVA, RAMP, and any other climate adaptation analysis and planning efforts.</w:t>
      </w:r>
    </w:p>
    <w:p w:rsidR="00DD1E0C" w:rsidP="00534E80" w:rsidRDefault="00DD1E0C" w14:paraId="5B68A9AD" w14:textId="77777777">
      <w:pPr>
        <w:pStyle w:val="ListAlpha"/>
        <w:numPr>
          <w:ilvl w:val="5"/>
          <w:numId w:val="23"/>
        </w:numPr>
        <w:ind w:left="1260" w:right="1440"/>
      </w:pPr>
      <w:r>
        <w:t>Description of what modeling was used to assess and plan the subject of an application and the time horizon(s) considered. This section should refer specifically to the applicant’s CAVA, RAMP, and any other climate adaptation analysis and planning efforts.</w:t>
      </w:r>
    </w:p>
    <w:p w:rsidRPr="007B39C8" w:rsidR="00DD1E0C" w:rsidP="00534E80" w:rsidRDefault="00DD1E0C" w14:paraId="59422C96" w14:textId="77777777">
      <w:pPr>
        <w:pStyle w:val="ListAlpha"/>
        <w:numPr>
          <w:ilvl w:val="5"/>
          <w:numId w:val="23"/>
        </w:numPr>
        <w:ind w:left="1260" w:right="1440"/>
        <w:rPr>
          <w:szCs w:val="26"/>
        </w:rPr>
      </w:pPr>
      <w:r>
        <w:t>The actions taken to adapt the subject of the application for identified future climate risks.</w:t>
      </w:r>
    </w:p>
    <w:p w:rsidRPr="00714CF2" w:rsidR="00453D84" w:rsidP="00534E80" w:rsidRDefault="00453D84" w14:paraId="608BD3B0" w14:textId="77777777">
      <w:pPr>
        <w:jc w:val="center"/>
      </w:pPr>
    </w:p>
    <w:sectPr w:rsidRPr="00714CF2" w:rsidR="00453D84" w:rsidSect="00D44DB6">
      <w:headerReference w:type="default" r:id="rId14"/>
      <w:footerReference w:type="default" r:id="rId15"/>
      <w:pgSz w:w="12240" w:h="15840"/>
      <w:pgMar w:top="1728" w:right="1440" w:bottom="1440" w:left="1440" w:header="720" w:footer="720" w:gutter="0"/>
      <w:pgNumType w:start="1"/>
      <w:cols w:space="720"/>
      <w:docGrid w:linePitch="360"/>
    </w:sectPr>
    <w:p>
      <w:r>
        <w:t xml:space="preserve"/>
      </w:r>
    </w:p>
    <w:p>
      <w:r>
        <w:t xml:space="preserve">Attachment 1: </w:t>
      </w:r>
    </w:p>
    <w:p>
      <w:hyperlink w:history="true" r:id="Ra2307e062a9240d4">
        <w:r w:rsidRPr="00CB1292">
          <w:rPr>
            <w:rStyle w:val="Hyperlink"/>
            <w:color w:val="2E74B5" w:themeColor="accent1" w:themeShade="BF"/>
            <w:u w:val="single"/>
          </w:rPr>
          <w:t>REDLINE (Rev. 1) R.18-04-019 DECISION ESTABLISHING A CLIMATE ADAPTATION POLICY FRAMEWORK.pdf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B7918" w14:textId="77777777" w:rsidR="005D4895" w:rsidRDefault="005D4895" w:rsidP="0098138E">
      <w:pPr>
        <w:spacing w:line="240" w:lineRule="auto"/>
      </w:pPr>
      <w:r>
        <w:separator/>
      </w:r>
    </w:p>
  </w:endnote>
  <w:endnote w:type="continuationSeparator" w:id="0">
    <w:p w14:paraId="44E86419" w14:textId="77777777" w:rsidR="005D4895" w:rsidRDefault="005D4895"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41F5" w14:textId="59AEE17A" w:rsidR="00B77483" w:rsidRPr="002036C1" w:rsidRDefault="00000000" w:rsidP="007E0FEE">
    <w:pPr>
      <w:tabs>
        <w:tab w:val="center" w:pos="4680"/>
      </w:tabs>
      <w:ind w:firstLine="0"/>
      <w:rPr>
        <w:noProof/>
      </w:rPr>
    </w:pPr>
    <w:sdt>
      <w:sdtPr>
        <w:id w:val="403957991"/>
        <w:docPartObj>
          <w:docPartGallery w:val="Page Numbers (Bottom of Page)"/>
          <w:docPartUnique/>
        </w:docPartObj>
      </w:sdtPr>
      <w:sdtEndPr>
        <w:rPr>
          <w:noProof/>
        </w:rPr>
      </w:sdtEndPr>
      <w:sdtContent>
        <w:r w:rsidR="00B73160" w:rsidRPr="00815D11">
          <w:rPr>
            <w:sz w:val="18"/>
            <w:szCs w:val="14"/>
          </w:rPr>
          <w:t>626679850</w:t>
        </w:r>
        <w:r w:rsidR="00B77483" w:rsidRPr="002036C1">
          <w:rPr>
            <w:rFonts w:cs="Arial"/>
            <w:sz w:val="16"/>
            <w:szCs w:val="16"/>
          </w:rPr>
          <w:tab/>
        </w:r>
        <w:r w:rsidR="00B77483" w:rsidRPr="002036C1">
          <w:t xml:space="preserve">- </w:t>
        </w:r>
        <w:r w:rsidR="00B77483" w:rsidRPr="002036C1">
          <w:fldChar w:fldCharType="begin"/>
        </w:r>
        <w:r w:rsidR="00B77483" w:rsidRPr="002036C1">
          <w:instrText xml:space="preserve"> PAGE   \* MERGEFORMAT </w:instrText>
        </w:r>
        <w:r w:rsidR="00B77483" w:rsidRPr="002036C1">
          <w:fldChar w:fldCharType="separate"/>
        </w:r>
        <w:r w:rsidR="00B77483" w:rsidRPr="002036C1">
          <w:rPr>
            <w:noProof/>
          </w:rPr>
          <w:t>2</w:t>
        </w:r>
        <w:r w:rsidR="00B77483" w:rsidRPr="002036C1">
          <w:rPr>
            <w:noProof/>
          </w:rPr>
          <w:fldChar w:fldCharType="end"/>
        </w:r>
      </w:sdtContent>
    </w:sdt>
    <w:r w:rsidR="00B77483" w:rsidRPr="002036C1">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07FA"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6CEE"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A083A" w14:textId="77777777" w:rsidR="005D4895" w:rsidRDefault="005D4895" w:rsidP="00DF58E7">
      <w:pPr>
        <w:spacing w:line="240" w:lineRule="auto"/>
        <w:ind w:firstLine="0"/>
      </w:pPr>
      <w:r>
        <w:separator/>
      </w:r>
    </w:p>
  </w:footnote>
  <w:footnote w:type="continuationSeparator" w:id="0">
    <w:p w14:paraId="53D08EEC" w14:textId="77777777" w:rsidR="005D4895" w:rsidRDefault="005D4895" w:rsidP="00DF58E7">
      <w:pPr>
        <w:spacing w:line="240" w:lineRule="auto"/>
        <w:ind w:firstLine="0"/>
      </w:pPr>
      <w:r>
        <w:continuationSeparator/>
      </w:r>
    </w:p>
  </w:footnote>
  <w:footnote w:type="continuationNotice" w:id="1">
    <w:p w14:paraId="6188227B" w14:textId="77777777" w:rsidR="005D4895" w:rsidRPr="00DF58E7" w:rsidRDefault="005D4895"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09F417A3" w14:textId="4D6CE05D" w:rsidR="00FA6F59" w:rsidRDefault="00FA6F59">
      <w:pPr>
        <w:pStyle w:val="FootnoteText"/>
      </w:pPr>
      <w:r>
        <w:rPr>
          <w:rStyle w:val="FootnoteReference"/>
        </w:rPr>
        <w:footnoteRef/>
      </w:r>
      <w:r>
        <w:t xml:space="preserve"> Filed opening comments on </w:t>
      </w:r>
      <w:r w:rsidR="00325D97">
        <w:t>April 30, 2026</w:t>
      </w:r>
    </w:p>
  </w:footnote>
  <w:footnote w:id="3">
    <w:p w14:paraId="69923E3E" w14:textId="1AD634F2" w:rsidR="000803BD" w:rsidRDefault="000803BD">
      <w:pPr>
        <w:pStyle w:val="FootnoteText"/>
      </w:pPr>
      <w:r>
        <w:rPr>
          <w:rStyle w:val="FootnoteReference"/>
        </w:rPr>
        <w:footnoteRef/>
      </w:r>
      <w:r>
        <w:t xml:space="preserve"> Filed </w:t>
      </w:r>
      <w:r w:rsidR="00FA62DA">
        <w:t xml:space="preserve">reply comments </w:t>
      </w:r>
      <w:r>
        <w:t xml:space="preserve">on </w:t>
      </w:r>
      <w:r w:rsidR="00FA62DA">
        <w:t>May 22, 2026</w:t>
      </w:r>
    </w:p>
  </w:footnote>
  <w:footnote w:id="4">
    <w:p w14:paraId="7EF06054" w14:textId="7FD53EDA" w:rsidR="00FA62DA" w:rsidRDefault="00FA62DA">
      <w:pPr>
        <w:pStyle w:val="FootnoteText"/>
      </w:pPr>
      <w:r>
        <w:rPr>
          <w:rStyle w:val="FootnoteReference"/>
        </w:rPr>
        <w:footnoteRef/>
      </w:r>
      <w:r>
        <w:t xml:space="preserve"> Filed reply comments on May 26, 2026.</w:t>
      </w:r>
    </w:p>
  </w:footnote>
  <w:footnote w:id="5">
    <w:p w14:paraId="6E5AE98C" w14:textId="52B0C3B1" w:rsidR="008F40FA" w:rsidRDefault="008F40FA">
      <w:pPr>
        <w:pStyle w:val="FootnoteText"/>
      </w:pPr>
      <w:r>
        <w:rPr>
          <w:rStyle w:val="FootnoteReference"/>
        </w:rPr>
        <w:footnoteRef/>
      </w:r>
      <w:r>
        <w:t xml:space="preserve"> SDG&amp;E Opening Comments on </w:t>
      </w:r>
      <w:proofErr w:type="gramStart"/>
      <w:r>
        <w:t>the August</w:t>
      </w:r>
      <w:proofErr w:type="gramEnd"/>
      <w:r>
        <w:t xml:space="preserve"> 18, 2025, Assigned Commissioner’s Ruling</w:t>
      </w:r>
      <w:r w:rsidR="0027690C">
        <w:t xml:space="preserve"> at 5</w:t>
      </w:r>
      <w:r>
        <w:t>.</w:t>
      </w:r>
    </w:p>
  </w:footnote>
  <w:footnote w:id="6">
    <w:p w14:paraId="5AAD25D4" w14:textId="196D79B1" w:rsidR="008D1DA7" w:rsidRPr="008D1DA7" w:rsidRDefault="008D1DA7">
      <w:pPr>
        <w:pStyle w:val="FootnoteText"/>
      </w:pPr>
      <w:r>
        <w:rPr>
          <w:rStyle w:val="FootnoteReference"/>
        </w:rPr>
        <w:footnoteRef/>
      </w:r>
      <w:r>
        <w:t xml:space="preserve"> </w:t>
      </w:r>
      <w:r>
        <w:rPr>
          <w:i/>
          <w:iCs/>
        </w:rPr>
        <w:t>Id</w:t>
      </w:r>
      <w:r>
        <w:t>.</w:t>
      </w:r>
      <w:r w:rsidR="00EC5653">
        <w:t xml:space="preserve"> at 6.</w:t>
      </w:r>
    </w:p>
  </w:footnote>
  <w:footnote w:id="7">
    <w:p w14:paraId="3FA37F0C" w14:textId="4A65B49D" w:rsidR="0027690C" w:rsidRDefault="0027690C">
      <w:pPr>
        <w:pStyle w:val="FootnoteText"/>
      </w:pPr>
      <w:r>
        <w:rPr>
          <w:rStyle w:val="FootnoteReference"/>
        </w:rPr>
        <w:footnoteRef/>
      </w:r>
      <w:r>
        <w:t xml:space="preserve"> Cal Advocates Reply Comments on the August 18, 2025, Assigned Commissioner’s Ruling at </w:t>
      </w:r>
      <w:r w:rsidR="00EF5C61">
        <w:t>1 – 3.</w:t>
      </w:r>
    </w:p>
  </w:footnote>
  <w:footnote w:id="8">
    <w:p w14:paraId="13305FEB" w14:textId="361786CE" w:rsidR="00BB453D" w:rsidRDefault="00BB453D">
      <w:pPr>
        <w:pStyle w:val="FootnoteText"/>
      </w:pPr>
      <w:r>
        <w:rPr>
          <w:rStyle w:val="FootnoteReference"/>
        </w:rPr>
        <w:footnoteRef/>
      </w:r>
      <w:r>
        <w:t xml:space="preserve"> SBUA Reply Comments on </w:t>
      </w:r>
      <w:proofErr w:type="gramStart"/>
      <w:r>
        <w:t>the August</w:t>
      </w:r>
      <w:proofErr w:type="gramEnd"/>
      <w:r>
        <w:t xml:space="preserve"> 18, 2026, Assigned Commissioner’s Ruling at </w:t>
      </w:r>
      <w:r w:rsidR="00907782">
        <w:t>5.</w:t>
      </w:r>
    </w:p>
  </w:footnote>
  <w:footnote w:id="9">
    <w:p w14:paraId="6522AE16" w14:textId="77777777" w:rsidR="00F85816" w:rsidRDefault="00F85816" w:rsidP="00F85816">
      <w:pPr>
        <w:pStyle w:val="FootnoteText"/>
      </w:pPr>
      <w:r>
        <w:rPr>
          <w:rStyle w:val="FootnoteReference"/>
        </w:rPr>
        <w:footnoteRef/>
      </w:r>
      <w:r>
        <w:t xml:space="preserve"> SCE Opening Comments on the August 18, 2025, Assigned Commissioner’s Ruling at 9 – 10.</w:t>
      </w:r>
    </w:p>
  </w:footnote>
  <w:footnote w:id="10">
    <w:p w14:paraId="6EC33128" w14:textId="31AB2879" w:rsidR="009946B4" w:rsidRPr="009946B4" w:rsidRDefault="009946B4">
      <w:pPr>
        <w:pStyle w:val="FootnoteText"/>
      </w:pPr>
      <w:r>
        <w:rPr>
          <w:rStyle w:val="FootnoteReference"/>
        </w:rPr>
        <w:footnoteRef/>
      </w:r>
      <w:r>
        <w:t xml:space="preserve"> </w:t>
      </w:r>
      <w:r>
        <w:rPr>
          <w:i/>
          <w:iCs/>
        </w:rPr>
        <w:t>Id</w:t>
      </w:r>
      <w:r>
        <w:t>. a</w:t>
      </w:r>
      <w:r w:rsidR="00EB38D1">
        <w:t>t 10 – 11.</w:t>
      </w:r>
    </w:p>
  </w:footnote>
  <w:footnote w:id="11">
    <w:p w14:paraId="28115B1A" w14:textId="42F84B1C" w:rsidR="00635217" w:rsidRDefault="00635217">
      <w:pPr>
        <w:pStyle w:val="FootnoteText"/>
      </w:pPr>
      <w:r>
        <w:rPr>
          <w:rStyle w:val="FootnoteReference"/>
        </w:rPr>
        <w:footnoteRef/>
      </w:r>
      <w:r>
        <w:t xml:space="preserve"> PG&amp;E Opening Comments on the August 18, 2025, Assigned Commissioner’s Ruling at </w:t>
      </w:r>
      <w:r w:rsidR="004E5FDC">
        <w:t>A-7 – A-9.</w:t>
      </w:r>
    </w:p>
  </w:footnote>
  <w:footnote w:id="12">
    <w:p w14:paraId="1090DB35" w14:textId="039CEADE" w:rsidR="00874F9E" w:rsidRPr="00E77975" w:rsidRDefault="00874F9E">
      <w:pPr>
        <w:pStyle w:val="FootnoteText"/>
      </w:pPr>
      <w:r>
        <w:rPr>
          <w:rStyle w:val="FootnoteReference"/>
        </w:rPr>
        <w:footnoteRef/>
      </w:r>
      <w:r>
        <w:t xml:space="preserve"> </w:t>
      </w:r>
      <w:r w:rsidR="00E77975">
        <w:rPr>
          <w:i/>
          <w:iCs/>
        </w:rPr>
        <w:t>Id</w:t>
      </w:r>
      <w:r w:rsidR="00E77975">
        <w:t>. at A-9 – A-10.</w:t>
      </w:r>
    </w:p>
  </w:footnote>
  <w:footnote w:id="13">
    <w:p w14:paraId="59C4EE94" w14:textId="77777777" w:rsidR="008A04A9" w:rsidRDefault="008A04A9" w:rsidP="008A04A9">
      <w:pPr>
        <w:pStyle w:val="FootnoteText"/>
      </w:pPr>
      <w:r>
        <w:rPr>
          <w:rStyle w:val="FootnoteReference"/>
        </w:rPr>
        <w:footnoteRef/>
      </w:r>
      <w:r>
        <w:t xml:space="preserve"> SDG&amp;E Opening Comments on September 8, 2025, Assigned Commissioner’s Ruling at 5.</w:t>
      </w:r>
    </w:p>
  </w:footnote>
  <w:footnote w:id="14">
    <w:p w14:paraId="73018D56" w14:textId="77777777" w:rsidR="008A04A9" w:rsidRDefault="008A04A9" w:rsidP="008A04A9">
      <w:pPr>
        <w:pStyle w:val="FootnoteText"/>
      </w:pPr>
      <w:r>
        <w:rPr>
          <w:rStyle w:val="FootnoteReference"/>
        </w:rPr>
        <w:footnoteRef/>
      </w:r>
      <w:r>
        <w:t xml:space="preserve"> D.24-08-005 at Ordering Paragraph 1.</w:t>
      </w:r>
    </w:p>
  </w:footnote>
  <w:footnote w:id="15">
    <w:p w14:paraId="056F0148" w14:textId="7566071C" w:rsidR="003201DA" w:rsidRDefault="003201DA">
      <w:pPr>
        <w:pStyle w:val="FootnoteText"/>
      </w:pPr>
      <w:r>
        <w:rPr>
          <w:rStyle w:val="FootnoteReference"/>
        </w:rPr>
        <w:footnoteRef/>
      </w:r>
      <w:r>
        <w:t xml:space="preserve"> PG&amp;E Opening Comments on April 13, 2026, Assigned Commissioner’s Ruling at 5.</w:t>
      </w:r>
    </w:p>
  </w:footnote>
  <w:footnote w:id="16">
    <w:p w14:paraId="19EDF376" w14:textId="7FE5E69A" w:rsidR="004D11B5" w:rsidRPr="004D11B5" w:rsidRDefault="004D11B5">
      <w:pPr>
        <w:pStyle w:val="FootnoteText"/>
      </w:pPr>
      <w:r>
        <w:rPr>
          <w:rStyle w:val="FootnoteReference"/>
        </w:rPr>
        <w:footnoteRef/>
      </w:r>
      <w:r>
        <w:t xml:space="preserve"> </w:t>
      </w:r>
      <w:r>
        <w:rPr>
          <w:i/>
          <w:iCs/>
        </w:rPr>
        <w:t xml:space="preserve">Id. </w:t>
      </w:r>
      <w:r>
        <w:t>at 6.</w:t>
      </w:r>
    </w:p>
  </w:footnote>
  <w:footnote w:id="17">
    <w:p w14:paraId="508E5152" w14:textId="18B23714" w:rsidR="00A852E3" w:rsidRDefault="00A852E3">
      <w:pPr>
        <w:pStyle w:val="FootnoteText"/>
      </w:pPr>
      <w:r>
        <w:rPr>
          <w:rStyle w:val="FootnoteReference"/>
        </w:rPr>
        <w:footnoteRef/>
      </w:r>
      <w:r>
        <w:t xml:space="preserve"> SDG&amp;E Opening Comments on April 13, 2026, Assigned Commissioner’s Ruling at 3.</w:t>
      </w:r>
    </w:p>
  </w:footnote>
  <w:footnote w:id="18">
    <w:p w14:paraId="0EE26519" w14:textId="42FFB29A" w:rsidR="00C300A3" w:rsidRPr="00237A95" w:rsidRDefault="00C300A3">
      <w:pPr>
        <w:pStyle w:val="FootnoteText"/>
      </w:pPr>
      <w:r>
        <w:rPr>
          <w:rStyle w:val="FootnoteReference"/>
        </w:rPr>
        <w:footnoteRef/>
      </w:r>
      <w:r>
        <w:t xml:space="preserve"> </w:t>
      </w:r>
      <w:r w:rsidR="00237A95">
        <w:rPr>
          <w:i/>
          <w:iCs/>
        </w:rPr>
        <w:t>Id</w:t>
      </w:r>
      <w:r w:rsidR="00237A95">
        <w:t>. at 3 – 4.</w:t>
      </w:r>
    </w:p>
  </w:footnote>
  <w:footnote w:id="19">
    <w:p w14:paraId="1A6EF856" w14:textId="1B9C9F93" w:rsidR="00AD0CAD" w:rsidRPr="00AD0CAD" w:rsidRDefault="00AD0CAD" w:rsidP="00AD0CAD">
      <w:pPr>
        <w:pStyle w:val="FootnoteText"/>
      </w:pPr>
      <w:r>
        <w:rPr>
          <w:rStyle w:val="FootnoteReference"/>
        </w:rPr>
        <w:footnoteRef/>
      </w:r>
      <w:r>
        <w:t xml:space="preserve"> </w:t>
      </w:r>
      <w:r>
        <w:rPr>
          <w:i/>
          <w:iCs/>
        </w:rPr>
        <w:t>Id</w:t>
      </w:r>
      <w:r>
        <w:t>. at 5.</w:t>
      </w:r>
    </w:p>
  </w:footnote>
  <w:footnote w:id="20">
    <w:p w14:paraId="41DEEDD9" w14:textId="72C102ED" w:rsidR="000A6466" w:rsidRDefault="000A6466">
      <w:pPr>
        <w:pStyle w:val="FootnoteText"/>
      </w:pPr>
      <w:r>
        <w:rPr>
          <w:rStyle w:val="FootnoteReference"/>
        </w:rPr>
        <w:footnoteRef/>
      </w:r>
      <w:r>
        <w:t xml:space="preserve"> SCE Opening Comments on April 13, 2026, </w:t>
      </w:r>
      <w:r w:rsidR="00A609A9">
        <w:t>Assigned Commissioner’s Ruling</w:t>
      </w:r>
      <w:r w:rsidR="00302348">
        <w:t xml:space="preserve"> at 3 – 4.</w:t>
      </w:r>
    </w:p>
  </w:footnote>
  <w:footnote w:id="21">
    <w:p w14:paraId="66DB8042" w14:textId="15C231BB" w:rsidR="00BF7727" w:rsidRPr="00BF7727" w:rsidRDefault="00BF7727">
      <w:pPr>
        <w:pStyle w:val="FootnoteText"/>
      </w:pPr>
      <w:r>
        <w:rPr>
          <w:rStyle w:val="FootnoteReference"/>
        </w:rPr>
        <w:footnoteRef/>
      </w:r>
      <w:r>
        <w:t xml:space="preserve"> </w:t>
      </w:r>
      <w:r>
        <w:rPr>
          <w:i/>
          <w:iCs/>
        </w:rPr>
        <w:t>Id.</w:t>
      </w:r>
      <w:r>
        <w:t xml:space="preserve"> at 10.</w:t>
      </w:r>
    </w:p>
  </w:footnote>
  <w:footnote w:id="22">
    <w:p w14:paraId="604F3D06" w14:textId="2EBC731F" w:rsidR="0052502A" w:rsidRDefault="0052502A">
      <w:pPr>
        <w:pStyle w:val="FootnoteText"/>
      </w:pPr>
      <w:r>
        <w:rPr>
          <w:rStyle w:val="FootnoteReference"/>
        </w:rPr>
        <w:footnoteRef/>
      </w:r>
      <w:r>
        <w:t xml:space="preserve"> SBUA Opening Comments on April 13, 2026, Assigned Commissioner’s Ruling at 1 – 2.</w:t>
      </w:r>
    </w:p>
  </w:footnote>
  <w:footnote w:id="23">
    <w:p w14:paraId="60459C4D" w14:textId="53C9FD2B" w:rsidR="003F2E39" w:rsidRPr="003F2E39" w:rsidRDefault="003F2E39">
      <w:pPr>
        <w:pStyle w:val="FootnoteText"/>
      </w:pPr>
      <w:r>
        <w:rPr>
          <w:rStyle w:val="FootnoteReference"/>
        </w:rPr>
        <w:footnoteRef/>
      </w:r>
      <w:r>
        <w:t xml:space="preserve"> </w:t>
      </w:r>
      <w:r>
        <w:rPr>
          <w:i/>
          <w:iCs/>
        </w:rPr>
        <w:t>Id.</w:t>
      </w:r>
      <w:r>
        <w:t xml:space="preserve"> at 2 – 3.</w:t>
      </w:r>
    </w:p>
  </w:footnote>
  <w:footnote w:id="24">
    <w:p w14:paraId="526A0D79" w14:textId="74549652" w:rsidR="00B4544F" w:rsidRDefault="00B4544F">
      <w:pPr>
        <w:pStyle w:val="FootnoteText"/>
      </w:pPr>
      <w:r>
        <w:rPr>
          <w:rStyle w:val="FootnoteReference"/>
        </w:rPr>
        <w:footnoteRef/>
      </w:r>
      <w:r>
        <w:t xml:space="preserve"> PG&amp;E Reply Comments on April 13, 2026, Assigned Commissioner’s Ruling at</w:t>
      </w:r>
      <w:r w:rsidR="00AA5A03">
        <w:t xml:space="preserve"> 4.</w:t>
      </w:r>
    </w:p>
  </w:footnote>
  <w:footnote w:id="25">
    <w:p w14:paraId="283025F6" w14:textId="662E2033" w:rsidR="00AA5A03" w:rsidRDefault="00AA5A03">
      <w:pPr>
        <w:pStyle w:val="FootnoteText"/>
      </w:pPr>
      <w:r>
        <w:rPr>
          <w:rStyle w:val="FootnoteReference"/>
        </w:rPr>
        <w:footnoteRef/>
      </w:r>
      <w:r>
        <w:t xml:space="preserve"> SCE Reply Comments on April 13, 2026, Assigned Commissioner’s Ruling at </w:t>
      </w:r>
      <w:r w:rsidR="009846F4">
        <w:t>2 – 3.</w:t>
      </w:r>
    </w:p>
  </w:footnote>
  <w:footnote w:id="26">
    <w:p w14:paraId="3B4992F4" w14:textId="5D08452C" w:rsidR="002024D9" w:rsidRDefault="002024D9">
      <w:pPr>
        <w:pStyle w:val="FootnoteText"/>
      </w:pPr>
      <w:r>
        <w:rPr>
          <w:rStyle w:val="FootnoteReference"/>
        </w:rPr>
        <w:footnoteRef/>
      </w:r>
      <w:r>
        <w:t xml:space="preserve"> PG&amp;E Opening Comments on April 13, 2026, Assigned Commissioner’s Ruling at </w:t>
      </w:r>
      <w:r w:rsidR="00AD4805">
        <w:t>7 – 8.</w:t>
      </w:r>
    </w:p>
  </w:footnote>
  <w:footnote w:id="27">
    <w:p w14:paraId="076AE7F3" w14:textId="786F327D" w:rsidR="00771FA0" w:rsidRPr="00771FA0" w:rsidRDefault="00771FA0">
      <w:pPr>
        <w:pStyle w:val="FootnoteText"/>
      </w:pPr>
      <w:r>
        <w:rPr>
          <w:rStyle w:val="FootnoteReference"/>
        </w:rPr>
        <w:footnoteRef/>
      </w:r>
      <w:r>
        <w:t xml:space="preserve"> </w:t>
      </w:r>
      <w:r>
        <w:rPr>
          <w:i/>
          <w:iCs/>
        </w:rPr>
        <w:t>Id.</w:t>
      </w:r>
      <w:r>
        <w:t xml:space="preserve"> at </w:t>
      </w:r>
      <w:r w:rsidR="007F479E">
        <w:t>8</w:t>
      </w:r>
      <w:r w:rsidR="009F028E">
        <w:t xml:space="preserve"> – 9.</w:t>
      </w:r>
    </w:p>
  </w:footnote>
  <w:footnote w:id="28">
    <w:p w14:paraId="044B66EF" w14:textId="4287424D" w:rsidR="00DB7858" w:rsidRPr="00DB7858" w:rsidRDefault="00DB7858">
      <w:pPr>
        <w:pStyle w:val="FootnoteText"/>
      </w:pPr>
      <w:r>
        <w:rPr>
          <w:rStyle w:val="FootnoteReference"/>
        </w:rPr>
        <w:footnoteRef/>
      </w:r>
      <w:r>
        <w:t xml:space="preserve"> </w:t>
      </w:r>
      <w:r>
        <w:rPr>
          <w:i/>
          <w:iCs/>
        </w:rPr>
        <w:t>Id.</w:t>
      </w:r>
      <w:r>
        <w:t xml:space="preserve"> at 9.</w:t>
      </w:r>
    </w:p>
  </w:footnote>
  <w:footnote w:id="29">
    <w:p w14:paraId="1A31055E" w14:textId="7E8D1548" w:rsidR="00CC5CB8" w:rsidRDefault="00CC5CB8">
      <w:pPr>
        <w:pStyle w:val="FootnoteText"/>
      </w:pPr>
      <w:r>
        <w:rPr>
          <w:rStyle w:val="FootnoteReference"/>
        </w:rPr>
        <w:footnoteRef/>
      </w:r>
      <w:r>
        <w:t xml:space="preserve"> SDG&amp;E Opening Comments on April 13, 2026, Assigned Commissioner’s Ruling at 6.</w:t>
      </w:r>
    </w:p>
  </w:footnote>
  <w:footnote w:id="30">
    <w:p w14:paraId="15FA4A1D" w14:textId="5A80A7CF" w:rsidR="00D05CC3" w:rsidRDefault="00D05CC3">
      <w:pPr>
        <w:pStyle w:val="FootnoteText"/>
      </w:pPr>
      <w:r>
        <w:rPr>
          <w:rStyle w:val="FootnoteReference"/>
        </w:rPr>
        <w:footnoteRef/>
      </w:r>
      <w:r>
        <w:t xml:space="preserve"> SoCalGas Opening Comments on April 13, 2026, Assigned Commissioner’s Ruling at 5.</w:t>
      </w:r>
    </w:p>
  </w:footnote>
  <w:footnote w:id="31">
    <w:p w14:paraId="410A1AEE" w14:textId="68C311F3" w:rsidR="00076144" w:rsidRPr="00076144" w:rsidRDefault="00076144">
      <w:pPr>
        <w:pStyle w:val="FootnoteText"/>
      </w:pPr>
      <w:r>
        <w:rPr>
          <w:rStyle w:val="FootnoteReference"/>
        </w:rPr>
        <w:footnoteRef/>
      </w:r>
      <w:r>
        <w:t xml:space="preserve"> </w:t>
      </w:r>
      <w:r>
        <w:rPr>
          <w:i/>
          <w:iCs/>
        </w:rPr>
        <w:t>Id</w:t>
      </w:r>
      <w:r>
        <w:t>. at 6.</w:t>
      </w:r>
    </w:p>
  </w:footnote>
  <w:footnote w:id="32">
    <w:p w14:paraId="4904DE20" w14:textId="3B1010F0" w:rsidR="00030A9B" w:rsidRPr="00030A9B" w:rsidRDefault="00030A9B">
      <w:pPr>
        <w:pStyle w:val="FootnoteText"/>
      </w:pPr>
      <w:r>
        <w:rPr>
          <w:rStyle w:val="FootnoteReference"/>
        </w:rPr>
        <w:footnoteRef/>
      </w:r>
      <w:r>
        <w:t xml:space="preserve"> SCE Opening Comments on April 13, 2026, Assigned Commissioner’s Ruling at 5.</w:t>
      </w:r>
    </w:p>
  </w:footnote>
  <w:footnote w:id="33">
    <w:p w14:paraId="4EFB1B82" w14:textId="4814E7FF" w:rsidR="0076471B" w:rsidRPr="0076471B" w:rsidRDefault="0076471B">
      <w:pPr>
        <w:pStyle w:val="FootnoteText"/>
      </w:pPr>
      <w:r>
        <w:rPr>
          <w:rStyle w:val="FootnoteReference"/>
        </w:rPr>
        <w:footnoteRef/>
      </w:r>
      <w:r>
        <w:t xml:space="preserve"> </w:t>
      </w:r>
      <w:r w:rsidR="00AE6B75">
        <w:t>SCE Opening Comments on April 13, 2026, Assigned Commissioner’s Ruling</w:t>
      </w:r>
      <w:r>
        <w:t xml:space="preserve"> at 5 – 6.</w:t>
      </w:r>
    </w:p>
  </w:footnote>
  <w:footnote w:id="34">
    <w:p w14:paraId="10901B4F" w14:textId="759DD0CA" w:rsidR="00B100F4" w:rsidRDefault="00B100F4">
      <w:pPr>
        <w:pStyle w:val="FootnoteText"/>
      </w:pPr>
      <w:r>
        <w:rPr>
          <w:rStyle w:val="FootnoteReference"/>
        </w:rPr>
        <w:footnoteRef/>
      </w:r>
      <w:r>
        <w:t xml:space="preserve"> SBUA Opening Comments on April 13, 2026, Assigned Commissioner’s Ruling at 4. </w:t>
      </w:r>
    </w:p>
  </w:footnote>
  <w:footnote w:id="35">
    <w:p w14:paraId="6E52F2B0" w14:textId="571529DB" w:rsidR="00B100F4" w:rsidRPr="00B100F4" w:rsidRDefault="00B100F4">
      <w:pPr>
        <w:pStyle w:val="FootnoteText"/>
      </w:pPr>
      <w:r>
        <w:rPr>
          <w:rStyle w:val="FootnoteReference"/>
        </w:rPr>
        <w:footnoteRef/>
      </w:r>
      <w:r>
        <w:t xml:space="preserve"> </w:t>
      </w:r>
      <w:r>
        <w:rPr>
          <w:i/>
          <w:iCs/>
        </w:rPr>
        <w:t>Id.</w:t>
      </w:r>
      <w:r>
        <w:t xml:space="preserve"> at 5.</w:t>
      </w:r>
    </w:p>
  </w:footnote>
  <w:footnote w:id="36">
    <w:p w14:paraId="347427E5" w14:textId="5A8947E4" w:rsidR="0089562C" w:rsidRDefault="0089562C">
      <w:pPr>
        <w:pStyle w:val="FootnoteText"/>
      </w:pPr>
      <w:r>
        <w:rPr>
          <w:rStyle w:val="FootnoteReference"/>
        </w:rPr>
        <w:footnoteRef/>
      </w:r>
      <w:r>
        <w:t xml:space="preserve"> PG&amp;E Opening Comments on April 13, 2026, Assigned Commissioner’s Ruling at 9 – 12.</w:t>
      </w:r>
    </w:p>
  </w:footnote>
  <w:footnote w:id="37">
    <w:p w14:paraId="534CD796" w14:textId="2692AB60" w:rsidR="00F250A6" w:rsidRDefault="00F250A6">
      <w:pPr>
        <w:pStyle w:val="FootnoteText"/>
      </w:pPr>
      <w:r>
        <w:rPr>
          <w:rStyle w:val="FootnoteReference"/>
        </w:rPr>
        <w:footnoteRef/>
      </w:r>
      <w:r>
        <w:t xml:space="preserve"> SDG&amp;E Opening Comments on April 13, 2026, Assigned Commissioner’s Ruling at 6.</w:t>
      </w:r>
    </w:p>
  </w:footnote>
  <w:footnote w:id="38">
    <w:p w14:paraId="5C7C8EC9" w14:textId="62FDACC2" w:rsidR="001E42F3" w:rsidRPr="001E42F3" w:rsidRDefault="001E42F3">
      <w:pPr>
        <w:pStyle w:val="FootnoteText"/>
      </w:pPr>
      <w:r>
        <w:rPr>
          <w:rStyle w:val="FootnoteReference"/>
        </w:rPr>
        <w:footnoteRef/>
      </w:r>
      <w:r>
        <w:t xml:space="preserve"> </w:t>
      </w:r>
      <w:r>
        <w:rPr>
          <w:i/>
          <w:iCs/>
        </w:rPr>
        <w:t>Id</w:t>
      </w:r>
      <w:r>
        <w:t xml:space="preserve">. at </w:t>
      </w:r>
      <w:r w:rsidR="00184870">
        <w:t>7.</w:t>
      </w:r>
    </w:p>
  </w:footnote>
  <w:footnote w:id="39">
    <w:p w14:paraId="741C3256" w14:textId="793C02B1" w:rsidR="00B90412" w:rsidRPr="00B90412" w:rsidRDefault="00B90412">
      <w:pPr>
        <w:pStyle w:val="FootnoteText"/>
      </w:pPr>
      <w:r>
        <w:rPr>
          <w:rStyle w:val="FootnoteReference"/>
        </w:rPr>
        <w:footnoteRef/>
      </w:r>
      <w:r>
        <w:t xml:space="preserve"> SoCalGas Opening Comments on April 13, 2026, Assigned Commissioner’s Ruling at </w:t>
      </w:r>
      <w:r w:rsidR="0015611B">
        <w:t>6 – 8.</w:t>
      </w:r>
    </w:p>
  </w:footnote>
  <w:footnote w:id="40">
    <w:p w14:paraId="421FA994" w14:textId="72307ADF" w:rsidR="00C7215A" w:rsidRPr="008A49F5" w:rsidRDefault="00C7215A">
      <w:pPr>
        <w:pStyle w:val="FootnoteText"/>
      </w:pPr>
      <w:r>
        <w:rPr>
          <w:rStyle w:val="FootnoteReference"/>
        </w:rPr>
        <w:footnoteRef/>
      </w:r>
      <w:r>
        <w:t xml:space="preserve"> </w:t>
      </w:r>
      <w:r w:rsidR="008A49F5">
        <w:rPr>
          <w:i/>
          <w:iCs/>
        </w:rPr>
        <w:t>Id</w:t>
      </w:r>
      <w:r w:rsidR="008A49F5">
        <w:t>. at 8.</w:t>
      </w:r>
    </w:p>
  </w:footnote>
  <w:footnote w:id="41">
    <w:p w14:paraId="539D4A8A" w14:textId="7DCC9620" w:rsidR="00295913" w:rsidRDefault="00295913">
      <w:pPr>
        <w:pStyle w:val="FootnoteText"/>
      </w:pPr>
      <w:r>
        <w:rPr>
          <w:rStyle w:val="FootnoteReference"/>
        </w:rPr>
        <w:footnoteRef/>
      </w:r>
      <w:r>
        <w:t xml:space="preserve"> SCE Opening Comments on April 13, 2026, Assigned Commissioner’s Ruling at 18.</w:t>
      </w:r>
    </w:p>
  </w:footnote>
  <w:footnote w:id="42">
    <w:p w14:paraId="2DB9838E" w14:textId="20D0B307" w:rsidR="00BA1E14" w:rsidRDefault="00BA1E14">
      <w:pPr>
        <w:pStyle w:val="FootnoteText"/>
      </w:pPr>
      <w:r>
        <w:rPr>
          <w:rStyle w:val="FootnoteReference"/>
        </w:rPr>
        <w:footnoteRef/>
      </w:r>
      <w:r>
        <w:t xml:space="preserve"> SBUA Opening Comments on April 13, 2026, Assigned Commissioner’s Ruling at 6.</w:t>
      </w:r>
    </w:p>
  </w:footnote>
  <w:footnote w:id="43">
    <w:p w14:paraId="13BDDD1A" w14:textId="1CEF8684" w:rsidR="00190BDF" w:rsidRPr="00190BDF" w:rsidRDefault="00190BDF">
      <w:pPr>
        <w:pStyle w:val="FootnoteText"/>
      </w:pPr>
      <w:r>
        <w:rPr>
          <w:rStyle w:val="FootnoteReference"/>
        </w:rPr>
        <w:footnoteRef/>
      </w:r>
      <w:r>
        <w:t xml:space="preserve"> </w:t>
      </w:r>
      <w:r>
        <w:rPr>
          <w:i/>
          <w:iCs/>
        </w:rPr>
        <w:t>Id</w:t>
      </w:r>
      <w:r>
        <w:t>. at 6 – 7.</w:t>
      </w:r>
    </w:p>
  </w:footnote>
  <w:footnote w:id="44">
    <w:p w14:paraId="0417DFEE" w14:textId="014C0B6C" w:rsidR="008F01D1" w:rsidRDefault="008F01D1">
      <w:pPr>
        <w:pStyle w:val="FootnoteText"/>
      </w:pPr>
      <w:r>
        <w:rPr>
          <w:rStyle w:val="FootnoteReference"/>
        </w:rPr>
        <w:footnoteRef/>
      </w:r>
      <w:r>
        <w:t xml:space="preserve"> SCE Opening Comments on April 13, 2026, Assigned Commissioner’s Ruling at 10 – 11.</w:t>
      </w:r>
    </w:p>
  </w:footnote>
  <w:footnote w:id="45">
    <w:p w14:paraId="12DD6B33" w14:textId="55F6ED4B" w:rsidR="00F20A48" w:rsidRPr="00273350" w:rsidRDefault="00F20A48">
      <w:pPr>
        <w:pStyle w:val="FootnoteText"/>
      </w:pPr>
      <w:r>
        <w:rPr>
          <w:rStyle w:val="FootnoteReference"/>
        </w:rPr>
        <w:footnoteRef/>
      </w:r>
      <w:r>
        <w:t xml:space="preserve"> </w:t>
      </w:r>
      <w:r w:rsidR="00273350">
        <w:rPr>
          <w:i/>
          <w:iCs/>
        </w:rPr>
        <w:t>Id.</w:t>
      </w:r>
      <w:r w:rsidR="00273350">
        <w:t xml:space="preserve"> at 12 – 13.</w:t>
      </w:r>
    </w:p>
  </w:footnote>
  <w:footnote w:id="46">
    <w:p w14:paraId="5D012223" w14:textId="0A4FC8F9" w:rsidR="00FB006B" w:rsidRPr="00FB006B" w:rsidRDefault="00FB006B">
      <w:pPr>
        <w:pStyle w:val="FootnoteText"/>
      </w:pPr>
      <w:r>
        <w:rPr>
          <w:rStyle w:val="FootnoteReference"/>
        </w:rPr>
        <w:footnoteRef/>
      </w:r>
      <w:r>
        <w:t xml:space="preserve"> </w:t>
      </w:r>
      <w:r>
        <w:rPr>
          <w:i/>
          <w:iCs/>
        </w:rPr>
        <w:t>Id</w:t>
      </w:r>
      <w:r>
        <w:t>. at 11.</w:t>
      </w:r>
    </w:p>
  </w:footnote>
  <w:footnote w:id="47">
    <w:p w14:paraId="2314EEBC" w14:textId="400D2E82" w:rsidR="00700E36" w:rsidRDefault="00700E36">
      <w:pPr>
        <w:pStyle w:val="FootnoteText"/>
      </w:pPr>
      <w:r>
        <w:rPr>
          <w:rStyle w:val="FootnoteReference"/>
        </w:rPr>
        <w:footnoteRef/>
      </w:r>
      <w:r>
        <w:t xml:space="preserve"> Alpine Opening Comments on April 13, 2026, Assigned Commissioner’s Ruling; </w:t>
      </w:r>
      <w:r w:rsidR="00EB30CA">
        <w:t xml:space="preserve">PacifiCorp Opening Comments on April 13, 2026, Assigned Commissioner’s Ruling; </w:t>
      </w:r>
      <w:r w:rsidR="009E77A4">
        <w:t>Bear Valley and Liberty Joint Opening Comments on April 13, 2026, Assigned Commissioner’s Ruling.</w:t>
      </w:r>
    </w:p>
  </w:footnote>
  <w:footnote w:id="48">
    <w:p w14:paraId="76A8FFD6" w14:textId="3F3FEF5F" w:rsidR="00951EA6" w:rsidRDefault="00951EA6">
      <w:pPr>
        <w:pStyle w:val="FootnoteText"/>
      </w:pPr>
      <w:r>
        <w:rPr>
          <w:rStyle w:val="FootnoteReference"/>
        </w:rPr>
        <w:footnoteRef/>
      </w:r>
      <w:r>
        <w:t xml:space="preserve"> CWA Opening Comments on April 13, 2026, Assigned Commissioner’s Ruling.</w:t>
      </w:r>
    </w:p>
  </w:footnote>
  <w:footnote w:id="49">
    <w:p w14:paraId="7C5FD727" w14:textId="51EF70E4" w:rsidR="007101D3" w:rsidRDefault="007101D3">
      <w:pPr>
        <w:pStyle w:val="FootnoteText"/>
      </w:pPr>
      <w:r>
        <w:rPr>
          <w:rStyle w:val="FootnoteReference"/>
        </w:rPr>
        <w:footnoteRef/>
      </w:r>
      <w:r>
        <w:t xml:space="preserve"> SBUA Opening Comments on April 13, 2026, Assigned Commissioner’s Ruling at </w:t>
      </w:r>
      <w:r w:rsidR="00DB1D65">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7C84" w14:textId="2CDF7718" w:rsidR="00E23CBB" w:rsidRPr="00160219" w:rsidRDefault="00160219" w:rsidP="00EE4315">
    <w:pPr>
      <w:pStyle w:val="Header"/>
      <w:tabs>
        <w:tab w:val="clear" w:pos="4680"/>
      </w:tabs>
      <w:ind w:firstLine="0"/>
      <w:rPr>
        <w:b/>
      </w:rPr>
    </w:pPr>
    <w:r w:rsidRPr="00160219">
      <w:t>R.18-04-</w:t>
    </w:r>
    <w:proofErr w:type="gramStart"/>
    <w:r w:rsidRPr="00160219">
      <w:t>019  COM</w:t>
    </w:r>
    <w:proofErr w:type="gramEnd"/>
    <w:r w:rsidR="00E23CBB" w:rsidRPr="00160219">
      <w:t>/</w:t>
    </w:r>
    <w:r w:rsidRPr="00160219">
      <w:t>DH7</w:t>
    </w:r>
    <w:r w:rsidR="00E23CBB" w:rsidRPr="00160219">
      <w:t>/</w:t>
    </w:r>
    <w:proofErr w:type="spellStart"/>
    <w:r w:rsidRPr="00160219">
      <w:t>jds</w:t>
    </w:r>
    <w:proofErr w:type="spellEnd"/>
    <w:r w:rsidR="00E23CBB" w:rsidRPr="00160219">
      <w:tab/>
    </w:r>
    <w:r w:rsidR="00E23CBB" w:rsidRPr="00160219">
      <w:rPr>
        <w:b/>
      </w:rPr>
      <w:t>PROPOSED DECISION</w:t>
    </w:r>
    <w:r w:rsidR="000B5342">
      <w:rPr>
        <w:b/>
      </w:rPr>
      <w:t xml:space="preserve"> (Rev. 1)</w:t>
    </w:r>
  </w:p>
  <w:p w14:paraId="21438C97" w14:textId="35EA3B86" w:rsidR="00B3087D" w:rsidRPr="00160219" w:rsidRDefault="00B3087D" w:rsidP="00B3087D">
    <w:pPr>
      <w:pStyle w:val="Header"/>
      <w:tabs>
        <w:tab w:val="clear" w:pos="4680"/>
      </w:tabs>
      <w:ind w:firstLine="0"/>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63DA" w14:textId="77777777" w:rsidR="000B5342" w:rsidRPr="00160219" w:rsidRDefault="000B5342" w:rsidP="000B5342">
    <w:pPr>
      <w:pStyle w:val="Header"/>
      <w:tabs>
        <w:tab w:val="clear" w:pos="4680"/>
      </w:tabs>
      <w:ind w:firstLine="0"/>
      <w:rPr>
        <w:b/>
      </w:rPr>
    </w:pPr>
    <w:r w:rsidRPr="00160219">
      <w:t>R.18-04-</w:t>
    </w:r>
    <w:proofErr w:type="gramStart"/>
    <w:r w:rsidRPr="00160219">
      <w:t>019  COM</w:t>
    </w:r>
    <w:proofErr w:type="gramEnd"/>
    <w:r w:rsidRPr="00160219">
      <w:t>/DH7/</w:t>
    </w:r>
    <w:proofErr w:type="spellStart"/>
    <w:r w:rsidRPr="00160219">
      <w:t>jds</w:t>
    </w:r>
    <w:proofErr w:type="spellEnd"/>
    <w:r w:rsidRPr="00160219">
      <w:tab/>
    </w:r>
    <w:r w:rsidRPr="00160219">
      <w:rPr>
        <w:b/>
      </w:rPr>
      <w:t>PROPOSED DECISION</w:t>
    </w:r>
    <w:r>
      <w:rPr>
        <w:b/>
      </w:rPr>
      <w:t xml:space="preserve"> (Rev. 1)</w:t>
    </w:r>
  </w:p>
  <w:p w14:paraId="0BB06A38" w14:textId="4E828031" w:rsidR="00FE2351" w:rsidRPr="000B5342" w:rsidRDefault="00FE2351" w:rsidP="000B5342">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E2F16"/>
    <w:multiLevelType w:val="multilevel"/>
    <w:tmpl w:val="18F4A5AC"/>
    <w:numStyleLink w:val="FoFCoLOP"/>
  </w:abstractNum>
  <w:abstractNum w:abstractNumId="2" w15:restartNumberingAfterBreak="0">
    <w:nsid w:val="11715FEE"/>
    <w:multiLevelType w:val="multilevel"/>
    <w:tmpl w:val="F85682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numStyleLink w:val="FoFCoLOP"/>
  </w:abstractNum>
  <w:abstractNum w:abstractNumId="5"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70038F"/>
    <w:multiLevelType w:val="multilevel"/>
    <w:tmpl w:val="3C526EDE"/>
    <w:numStyleLink w:val="Headings"/>
  </w:abstractNum>
  <w:abstractNum w:abstractNumId="7" w15:restartNumberingAfterBreak="0">
    <w:nsid w:val="1E2242C9"/>
    <w:multiLevelType w:val="multilevel"/>
    <w:tmpl w:val="3C526EDE"/>
    <w:numStyleLink w:val="Headings"/>
  </w:abstractNum>
  <w:abstractNum w:abstractNumId="8" w15:restartNumberingAfterBreak="0">
    <w:nsid w:val="200B0673"/>
    <w:multiLevelType w:val="multilevel"/>
    <w:tmpl w:val="5740CBB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1FB58FE"/>
    <w:multiLevelType w:val="multilevel"/>
    <w:tmpl w:val="3C526EDE"/>
    <w:numStyleLink w:val="Headings"/>
  </w:abstractNum>
  <w:abstractNum w:abstractNumId="10" w15:restartNumberingAfterBreak="0">
    <w:nsid w:val="243663A0"/>
    <w:multiLevelType w:val="multilevel"/>
    <w:tmpl w:val="3C526EDE"/>
    <w:numStyleLink w:val="Headings"/>
  </w:abstractNum>
  <w:abstractNum w:abstractNumId="11" w15:restartNumberingAfterBreak="0">
    <w:nsid w:val="284214C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8124D7"/>
    <w:multiLevelType w:val="multilevel"/>
    <w:tmpl w:val="3C526EDE"/>
    <w:numStyleLink w:val="Headings"/>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8D91F51"/>
    <w:multiLevelType w:val="hybridMultilevel"/>
    <w:tmpl w:val="D15EB720"/>
    <w:lvl w:ilvl="0" w:tplc="4AD2CF00">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496169"/>
    <w:multiLevelType w:val="multilevel"/>
    <w:tmpl w:val="5740CBB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C9B3AD9"/>
    <w:multiLevelType w:val="hybridMultilevel"/>
    <w:tmpl w:val="D3064D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12EE66"/>
    <w:multiLevelType w:val="hybridMultilevel"/>
    <w:tmpl w:val="FFFFFFFF"/>
    <w:lvl w:ilvl="0" w:tplc="D7B83872">
      <w:start w:val="1"/>
      <w:numFmt w:val="bullet"/>
      <w:lvlText w:val=""/>
      <w:lvlJc w:val="left"/>
      <w:pPr>
        <w:ind w:left="900" w:hanging="360"/>
      </w:pPr>
      <w:rPr>
        <w:rFonts w:ascii="Symbol" w:hAnsi="Symbol" w:hint="default"/>
      </w:rPr>
    </w:lvl>
    <w:lvl w:ilvl="1" w:tplc="D1DEA772">
      <w:start w:val="1"/>
      <w:numFmt w:val="bullet"/>
      <w:lvlText w:val="o"/>
      <w:lvlJc w:val="left"/>
      <w:pPr>
        <w:ind w:left="1620" w:hanging="360"/>
      </w:pPr>
      <w:rPr>
        <w:rFonts w:ascii="Courier New" w:hAnsi="Courier New" w:hint="default"/>
      </w:rPr>
    </w:lvl>
    <w:lvl w:ilvl="2" w:tplc="5E10DE32">
      <w:start w:val="1"/>
      <w:numFmt w:val="bullet"/>
      <w:lvlText w:val=""/>
      <w:lvlJc w:val="left"/>
      <w:pPr>
        <w:ind w:left="2340" w:hanging="360"/>
      </w:pPr>
      <w:rPr>
        <w:rFonts w:ascii="Wingdings" w:hAnsi="Wingdings" w:hint="default"/>
      </w:rPr>
    </w:lvl>
    <w:lvl w:ilvl="3" w:tplc="9E22F646">
      <w:start w:val="1"/>
      <w:numFmt w:val="bullet"/>
      <w:lvlText w:val=""/>
      <w:lvlJc w:val="left"/>
      <w:pPr>
        <w:ind w:left="3060" w:hanging="360"/>
      </w:pPr>
      <w:rPr>
        <w:rFonts w:ascii="Symbol" w:hAnsi="Symbol" w:hint="default"/>
      </w:rPr>
    </w:lvl>
    <w:lvl w:ilvl="4" w:tplc="7DC8F14A">
      <w:start w:val="1"/>
      <w:numFmt w:val="bullet"/>
      <w:lvlText w:val="o"/>
      <w:lvlJc w:val="left"/>
      <w:pPr>
        <w:ind w:left="3780" w:hanging="360"/>
      </w:pPr>
      <w:rPr>
        <w:rFonts w:ascii="Courier New" w:hAnsi="Courier New" w:hint="default"/>
      </w:rPr>
    </w:lvl>
    <w:lvl w:ilvl="5" w:tplc="4044C5EC">
      <w:start w:val="1"/>
      <w:numFmt w:val="bullet"/>
      <w:lvlText w:val=""/>
      <w:lvlJc w:val="left"/>
      <w:pPr>
        <w:ind w:left="4500" w:hanging="360"/>
      </w:pPr>
      <w:rPr>
        <w:rFonts w:ascii="Wingdings" w:hAnsi="Wingdings" w:hint="default"/>
      </w:rPr>
    </w:lvl>
    <w:lvl w:ilvl="6" w:tplc="62CCB508">
      <w:start w:val="1"/>
      <w:numFmt w:val="bullet"/>
      <w:lvlText w:val=""/>
      <w:lvlJc w:val="left"/>
      <w:pPr>
        <w:ind w:left="5220" w:hanging="360"/>
      </w:pPr>
      <w:rPr>
        <w:rFonts w:ascii="Symbol" w:hAnsi="Symbol" w:hint="default"/>
      </w:rPr>
    </w:lvl>
    <w:lvl w:ilvl="7" w:tplc="772C4A58">
      <w:start w:val="1"/>
      <w:numFmt w:val="bullet"/>
      <w:lvlText w:val="o"/>
      <w:lvlJc w:val="left"/>
      <w:pPr>
        <w:ind w:left="5940" w:hanging="360"/>
      </w:pPr>
      <w:rPr>
        <w:rFonts w:ascii="Courier New" w:hAnsi="Courier New" w:hint="default"/>
      </w:rPr>
    </w:lvl>
    <w:lvl w:ilvl="8" w:tplc="6400C34C">
      <w:start w:val="1"/>
      <w:numFmt w:val="bullet"/>
      <w:lvlText w:val=""/>
      <w:lvlJc w:val="left"/>
      <w:pPr>
        <w:ind w:left="6660" w:hanging="360"/>
      </w:pPr>
      <w:rPr>
        <w:rFonts w:ascii="Wingdings" w:hAnsi="Wingdings" w:hint="default"/>
      </w:rPr>
    </w:lvl>
  </w:abstractNum>
  <w:abstractNum w:abstractNumId="18" w15:restartNumberingAfterBreak="0">
    <w:nsid w:val="59D042D7"/>
    <w:multiLevelType w:val="multilevel"/>
    <w:tmpl w:val="18F4A5AC"/>
    <w:numStyleLink w:val="FoFCoLOP"/>
  </w:abstractNum>
  <w:abstractNum w:abstractNumId="19" w15:restartNumberingAfterBreak="0">
    <w:nsid w:val="5A9E2171"/>
    <w:multiLevelType w:val="multilevel"/>
    <w:tmpl w:val="3C526EDE"/>
    <w:numStyleLink w:val="Headings"/>
  </w:abstractNum>
  <w:abstractNum w:abstractNumId="20" w15:restartNumberingAfterBreak="0">
    <w:nsid w:val="610122DC"/>
    <w:multiLevelType w:val="multilevel"/>
    <w:tmpl w:val="17545DC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rPr>
        <w:rFonts w:ascii="Book Antiqua" w:eastAsiaTheme="minorHAnsi" w:hAnsi="Book Antiqua" w:cstheme="minorBidi"/>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A25780"/>
    <w:multiLevelType w:val="multilevel"/>
    <w:tmpl w:val="3C526EDE"/>
    <w:numStyleLink w:val="Headings"/>
  </w:abstractNum>
  <w:abstractNum w:abstractNumId="22"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1E70589"/>
    <w:multiLevelType w:val="hybridMultilevel"/>
    <w:tmpl w:val="DDC8D6E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4E37CA4"/>
    <w:multiLevelType w:val="hybridMultilevel"/>
    <w:tmpl w:val="C0B4450E"/>
    <w:lvl w:ilvl="0" w:tplc="8CDC3E48">
      <w:numFmt w:val="bullet"/>
      <w:lvlText w:val="-"/>
      <w:lvlJc w:val="left"/>
      <w:pPr>
        <w:ind w:left="1080" w:hanging="360"/>
      </w:pPr>
      <w:rPr>
        <w:rFonts w:ascii="Book Antiqua" w:eastAsiaTheme="minorHAnsi"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89A0AFE"/>
    <w:multiLevelType w:val="multilevel"/>
    <w:tmpl w:val="18F4A5AC"/>
    <w:numStyleLink w:val="FoFCoLOP"/>
  </w:abstractNum>
  <w:num w:numId="1" w16cid:durableId="1354526949">
    <w:abstractNumId w:val="21"/>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2" w16cid:durableId="140774137">
    <w:abstractNumId w:val="3"/>
  </w:num>
  <w:num w:numId="3" w16cid:durableId="1898543446">
    <w:abstractNumId w:val="18"/>
  </w:num>
  <w:num w:numId="4" w16cid:durableId="701521005">
    <w:abstractNumId w:val="4"/>
  </w:num>
  <w:num w:numId="5" w16cid:durableId="2017029027">
    <w:abstractNumId w:val="25"/>
  </w:num>
  <w:num w:numId="6" w16cid:durableId="973756952">
    <w:abstractNumId w:val="13"/>
  </w:num>
  <w:num w:numId="7" w16cid:durableId="827667741">
    <w:abstractNumId w:val="7"/>
  </w:num>
  <w:num w:numId="8" w16cid:durableId="1760327020">
    <w:abstractNumId w:val="22"/>
  </w:num>
  <w:num w:numId="9" w16cid:durableId="816924040">
    <w:abstractNumId w:val="0"/>
  </w:num>
  <w:num w:numId="10" w16cid:durableId="1817916489">
    <w:abstractNumId w:val="6"/>
  </w:num>
  <w:num w:numId="11" w16cid:durableId="291985460">
    <w:abstractNumId w:val="9"/>
  </w:num>
  <w:num w:numId="12" w16cid:durableId="467941983">
    <w:abstractNumId w:val="5"/>
  </w:num>
  <w:num w:numId="13" w16cid:durableId="712996464">
    <w:abstractNumId w:val="10"/>
  </w:num>
  <w:num w:numId="14" w16cid:durableId="1303778653">
    <w:abstractNumId w:val="12"/>
  </w:num>
  <w:num w:numId="15" w16cid:durableId="1714382259">
    <w:abstractNumId w:val="21"/>
  </w:num>
  <w:num w:numId="16" w16cid:durableId="548107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1"/>
    <w:lvlOverride w:ilvl="0">
      <w:lvl w:ilvl="0">
        <w:start w:val="1"/>
        <w:numFmt w:val="decimal"/>
        <w:pStyle w:val="Heading1"/>
        <w:lvlText w:val="%1."/>
        <w:lvlJc w:val="left"/>
        <w:pPr>
          <w:ind w:left="720" w:hanging="720"/>
        </w:pPr>
      </w:lvl>
    </w:lvlOverride>
    <w:lvlOverride w:ilvl="1">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252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8" w16cid:durableId="1565291001">
    <w:abstractNumId w:val="11"/>
  </w:num>
  <w:num w:numId="19" w16cid:durableId="412973425">
    <w:abstractNumId w:val="8"/>
  </w:num>
  <w:num w:numId="20" w16cid:durableId="1539315193">
    <w:abstractNumId w:val="14"/>
  </w:num>
  <w:num w:numId="21" w16cid:durableId="1226721364">
    <w:abstractNumId w:val="17"/>
  </w:num>
  <w:num w:numId="22" w16cid:durableId="1553730686">
    <w:abstractNumId w:val="1"/>
  </w:num>
  <w:num w:numId="23" w16cid:durableId="1575505543">
    <w:abstractNumId w:val="20"/>
  </w:num>
  <w:num w:numId="24" w16cid:durableId="7474630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04949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78145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67822847">
    <w:abstractNumId w:val="24"/>
  </w:num>
  <w:num w:numId="28" w16cid:durableId="1825471341">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29" w16cid:durableId="529416464">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0" w16cid:durableId="1494107896">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1" w16cid:durableId="1495486267">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2" w16cid:durableId="28461070">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3" w16cid:durableId="1086463122">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4" w16cid:durableId="338654260">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5" w16cid:durableId="1027364112">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6" w16cid:durableId="7222086">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7" w16cid:durableId="662679">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8" w16cid:durableId="1691028409">
    <w:abstractNumId w:val="25"/>
  </w:num>
  <w:num w:numId="39" w16cid:durableId="1394816838">
    <w:abstractNumId w:val="4"/>
  </w:num>
  <w:num w:numId="40" w16cid:durableId="1295259163">
    <w:abstractNumId w:val="21"/>
    <w:lvlOverride w:ilvl="0">
      <w:startOverride w:val="6"/>
      <w:lvl w:ilvl="0">
        <w:start w:val="6"/>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pStyle w:val="ListAlpha"/>
        <w:lvlText w:val="%8."/>
        <w:lvlJc w:val="left"/>
        <w:pPr>
          <w:ind w:left="252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41" w16cid:durableId="925723462">
    <w:abstractNumId w:val="15"/>
  </w:num>
  <w:num w:numId="42" w16cid:durableId="1726443041">
    <w:abstractNumId w:val="21"/>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252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43" w16cid:durableId="1067385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01432716">
    <w:abstractNumId w:val="4"/>
  </w:num>
  <w:num w:numId="45" w16cid:durableId="10915880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98153952">
    <w:abstractNumId w:val="25"/>
    <w:lvlOverride w:ilvl="0">
      <w:startOverride w:val="1"/>
      <w:lvl w:ilvl="0">
        <w:start w:val="1"/>
        <w:numFmt w:val="decimal"/>
        <w:pStyle w:val="OP"/>
        <w:lvlText w:val=""/>
        <w:lvlJc w:val="left"/>
      </w:lvl>
    </w:lvlOverride>
    <w:lvlOverride w:ilvl="1">
      <w:startOverride w:val="1"/>
      <w:lvl w:ilvl="1">
        <w:start w:val="1"/>
        <w:numFmt w:val="lowerLetter"/>
        <w:lvlText w:val="(%2)"/>
        <w:lvlJc w:val="right"/>
        <w:pPr>
          <w:ind w:left="1152" w:hanging="72"/>
        </w:pPr>
        <w:rPr>
          <w:rFonts w:hint="default"/>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16cid:durableId="2074615285">
    <w:abstractNumId w:val="23"/>
  </w:num>
  <w:num w:numId="48" w16cid:durableId="23603240">
    <w:abstractNumId w:val="16"/>
  </w:num>
  <w:num w:numId="49" w16cid:durableId="214509907">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675"/>
    <w:rsid w:val="00000F6A"/>
    <w:rsid w:val="00001390"/>
    <w:rsid w:val="00001E27"/>
    <w:rsid w:val="0000245C"/>
    <w:rsid w:val="00002F9F"/>
    <w:rsid w:val="00003478"/>
    <w:rsid w:val="00004FFD"/>
    <w:rsid w:val="00005900"/>
    <w:rsid w:val="00005AA2"/>
    <w:rsid w:val="0000769F"/>
    <w:rsid w:val="0001193F"/>
    <w:rsid w:val="00012812"/>
    <w:rsid w:val="00012AE0"/>
    <w:rsid w:val="000132D8"/>
    <w:rsid w:val="000133AC"/>
    <w:rsid w:val="000136D7"/>
    <w:rsid w:val="00013D6E"/>
    <w:rsid w:val="00013FFF"/>
    <w:rsid w:val="00014CFA"/>
    <w:rsid w:val="0001513B"/>
    <w:rsid w:val="00015AEA"/>
    <w:rsid w:val="00021FA4"/>
    <w:rsid w:val="000224FF"/>
    <w:rsid w:val="00022A27"/>
    <w:rsid w:val="000231B5"/>
    <w:rsid w:val="000232CD"/>
    <w:rsid w:val="00023A0B"/>
    <w:rsid w:val="00023D73"/>
    <w:rsid w:val="00023FD2"/>
    <w:rsid w:val="0002401C"/>
    <w:rsid w:val="0002461D"/>
    <w:rsid w:val="00024FEA"/>
    <w:rsid w:val="00025AC5"/>
    <w:rsid w:val="00026BF7"/>
    <w:rsid w:val="00030329"/>
    <w:rsid w:val="00030A9B"/>
    <w:rsid w:val="000318FE"/>
    <w:rsid w:val="00032CF8"/>
    <w:rsid w:val="00033619"/>
    <w:rsid w:val="00033AD0"/>
    <w:rsid w:val="00033B5B"/>
    <w:rsid w:val="00033C25"/>
    <w:rsid w:val="000342EA"/>
    <w:rsid w:val="0003488B"/>
    <w:rsid w:val="00034D12"/>
    <w:rsid w:val="00035394"/>
    <w:rsid w:val="000355F7"/>
    <w:rsid w:val="00036237"/>
    <w:rsid w:val="0003673C"/>
    <w:rsid w:val="00036BC9"/>
    <w:rsid w:val="00036BE0"/>
    <w:rsid w:val="000371B3"/>
    <w:rsid w:val="0003774D"/>
    <w:rsid w:val="00037A5D"/>
    <w:rsid w:val="00037E8A"/>
    <w:rsid w:val="000403B3"/>
    <w:rsid w:val="0004043B"/>
    <w:rsid w:val="00040735"/>
    <w:rsid w:val="00040752"/>
    <w:rsid w:val="00040796"/>
    <w:rsid w:val="00040B96"/>
    <w:rsid w:val="00040C77"/>
    <w:rsid w:val="00040C80"/>
    <w:rsid w:val="00041AAB"/>
    <w:rsid w:val="00041C49"/>
    <w:rsid w:val="00042490"/>
    <w:rsid w:val="000424C9"/>
    <w:rsid w:val="000426F5"/>
    <w:rsid w:val="00043741"/>
    <w:rsid w:val="0004392F"/>
    <w:rsid w:val="00044238"/>
    <w:rsid w:val="00045277"/>
    <w:rsid w:val="00045629"/>
    <w:rsid w:val="000468D6"/>
    <w:rsid w:val="00046D62"/>
    <w:rsid w:val="000520A2"/>
    <w:rsid w:val="00053CF6"/>
    <w:rsid w:val="000540E9"/>
    <w:rsid w:val="000544DB"/>
    <w:rsid w:val="00055D20"/>
    <w:rsid w:val="00056853"/>
    <w:rsid w:val="00057C9E"/>
    <w:rsid w:val="0006057E"/>
    <w:rsid w:val="00061921"/>
    <w:rsid w:val="00064599"/>
    <w:rsid w:val="00065567"/>
    <w:rsid w:val="00065664"/>
    <w:rsid w:val="0006631E"/>
    <w:rsid w:val="00067536"/>
    <w:rsid w:val="00067C82"/>
    <w:rsid w:val="00070331"/>
    <w:rsid w:val="0007115A"/>
    <w:rsid w:val="000721C7"/>
    <w:rsid w:val="00072EFE"/>
    <w:rsid w:val="0007349E"/>
    <w:rsid w:val="0007393F"/>
    <w:rsid w:val="00073986"/>
    <w:rsid w:val="000740D3"/>
    <w:rsid w:val="00076144"/>
    <w:rsid w:val="00076D10"/>
    <w:rsid w:val="00080127"/>
    <w:rsid w:val="000802FF"/>
    <w:rsid w:val="000803BD"/>
    <w:rsid w:val="000835A2"/>
    <w:rsid w:val="00083B11"/>
    <w:rsid w:val="000851D3"/>
    <w:rsid w:val="00087534"/>
    <w:rsid w:val="000876F4"/>
    <w:rsid w:val="00087853"/>
    <w:rsid w:val="0009009D"/>
    <w:rsid w:val="00090582"/>
    <w:rsid w:val="0009112C"/>
    <w:rsid w:val="00091138"/>
    <w:rsid w:val="00091156"/>
    <w:rsid w:val="00092314"/>
    <w:rsid w:val="00092966"/>
    <w:rsid w:val="00092F53"/>
    <w:rsid w:val="00094223"/>
    <w:rsid w:val="000944AD"/>
    <w:rsid w:val="0009490B"/>
    <w:rsid w:val="00094AED"/>
    <w:rsid w:val="00095611"/>
    <w:rsid w:val="00096261"/>
    <w:rsid w:val="00096DB0"/>
    <w:rsid w:val="00096F5B"/>
    <w:rsid w:val="000970E3"/>
    <w:rsid w:val="00097288"/>
    <w:rsid w:val="000973C8"/>
    <w:rsid w:val="000975BA"/>
    <w:rsid w:val="000A1F36"/>
    <w:rsid w:val="000A2287"/>
    <w:rsid w:val="000A2AA9"/>
    <w:rsid w:val="000A3056"/>
    <w:rsid w:val="000A3550"/>
    <w:rsid w:val="000A360A"/>
    <w:rsid w:val="000A3F3F"/>
    <w:rsid w:val="000A40ED"/>
    <w:rsid w:val="000A48BA"/>
    <w:rsid w:val="000A5054"/>
    <w:rsid w:val="000A56F2"/>
    <w:rsid w:val="000A6165"/>
    <w:rsid w:val="000A6466"/>
    <w:rsid w:val="000A6E05"/>
    <w:rsid w:val="000A7F4F"/>
    <w:rsid w:val="000B12FA"/>
    <w:rsid w:val="000B1C30"/>
    <w:rsid w:val="000B1E09"/>
    <w:rsid w:val="000B278F"/>
    <w:rsid w:val="000B297A"/>
    <w:rsid w:val="000B2E4E"/>
    <w:rsid w:val="000B42A9"/>
    <w:rsid w:val="000B5342"/>
    <w:rsid w:val="000B6423"/>
    <w:rsid w:val="000B6DAB"/>
    <w:rsid w:val="000C081C"/>
    <w:rsid w:val="000C0847"/>
    <w:rsid w:val="000C08BF"/>
    <w:rsid w:val="000C0C6B"/>
    <w:rsid w:val="000C1352"/>
    <w:rsid w:val="000C2954"/>
    <w:rsid w:val="000C2B44"/>
    <w:rsid w:val="000C3B9A"/>
    <w:rsid w:val="000C46C2"/>
    <w:rsid w:val="000C52E5"/>
    <w:rsid w:val="000C539B"/>
    <w:rsid w:val="000C5C42"/>
    <w:rsid w:val="000C642B"/>
    <w:rsid w:val="000C762E"/>
    <w:rsid w:val="000C78B0"/>
    <w:rsid w:val="000C7A4C"/>
    <w:rsid w:val="000D10AF"/>
    <w:rsid w:val="000D1AF7"/>
    <w:rsid w:val="000D1AF8"/>
    <w:rsid w:val="000D21C3"/>
    <w:rsid w:val="000D25A8"/>
    <w:rsid w:val="000D2E35"/>
    <w:rsid w:val="000D38D8"/>
    <w:rsid w:val="000D395C"/>
    <w:rsid w:val="000D3CAF"/>
    <w:rsid w:val="000D4D30"/>
    <w:rsid w:val="000D5353"/>
    <w:rsid w:val="000D5414"/>
    <w:rsid w:val="000D5530"/>
    <w:rsid w:val="000D57A3"/>
    <w:rsid w:val="000D5EBA"/>
    <w:rsid w:val="000D5FC1"/>
    <w:rsid w:val="000D7E22"/>
    <w:rsid w:val="000E0516"/>
    <w:rsid w:val="000E0BAE"/>
    <w:rsid w:val="000E1671"/>
    <w:rsid w:val="000E1DCB"/>
    <w:rsid w:val="000E256A"/>
    <w:rsid w:val="000E270A"/>
    <w:rsid w:val="000E2A79"/>
    <w:rsid w:val="000E2CB1"/>
    <w:rsid w:val="000E31F6"/>
    <w:rsid w:val="000E3B0A"/>
    <w:rsid w:val="000E4482"/>
    <w:rsid w:val="000E4C53"/>
    <w:rsid w:val="000E550F"/>
    <w:rsid w:val="000E5855"/>
    <w:rsid w:val="000E6A44"/>
    <w:rsid w:val="000E6A4B"/>
    <w:rsid w:val="000E7321"/>
    <w:rsid w:val="000E747B"/>
    <w:rsid w:val="000E7E75"/>
    <w:rsid w:val="000F0721"/>
    <w:rsid w:val="000F0AB9"/>
    <w:rsid w:val="000F0C0E"/>
    <w:rsid w:val="000F1202"/>
    <w:rsid w:val="000F163D"/>
    <w:rsid w:val="000F1CA1"/>
    <w:rsid w:val="000F279E"/>
    <w:rsid w:val="000F2B2D"/>
    <w:rsid w:val="000F2B90"/>
    <w:rsid w:val="000F2D01"/>
    <w:rsid w:val="000F39A9"/>
    <w:rsid w:val="000F3A77"/>
    <w:rsid w:val="000F4266"/>
    <w:rsid w:val="000F46C7"/>
    <w:rsid w:val="000F48C6"/>
    <w:rsid w:val="000F53F8"/>
    <w:rsid w:val="000F5C80"/>
    <w:rsid w:val="001002BA"/>
    <w:rsid w:val="0010032A"/>
    <w:rsid w:val="00100661"/>
    <w:rsid w:val="00101A51"/>
    <w:rsid w:val="001027CC"/>
    <w:rsid w:val="001033FA"/>
    <w:rsid w:val="001036FD"/>
    <w:rsid w:val="00103B1A"/>
    <w:rsid w:val="00104315"/>
    <w:rsid w:val="00105011"/>
    <w:rsid w:val="00106232"/>
    <w:rsid w:val="00106DDC"/>
    <w:rsid w:val="001070D2"/>
    <w:rsid w:val="00111256"/>
    <w:rsid w:val="00111683"/>
    <w:rsid w:val="00111FCA"/>
    <w:rsid w:val="00111FEE"/>
    <w:rsid w:val="001123B7"/>
    <w:rsid w:val="0011270D"/>
    <w:rsid w:val="00113540"/>
    <w:rsid w:val="001135AC"/>
    <w:rsid w:val="00113F92"/>
    <w:rsid w:val="001140FD"/>
    <w:rsid w:val="001143E4"/>
    <w:rsid w:val="001144D7"/>
    <w:rsid w:val="00114CF9"/>
    <w:rsid w:val="00117258"/>
    <w:rsid w:val="00117743"/>
    <w:rsid w:val="00117B9F"/>
    <w:rsid w:val="00117EA0"/>
    <w:rsid w:val="00120693"/>
    <w:rsid w:val="00121089"/>
    <w:rsid w:val="00122310"/>
    <w:rsid w:val="001236DE"/>
    <w:rsid w:val="00123BA7"/>
    <w:rsid w:val="00124620"/>
    <w:rsid w:val="00125664"/>
    <w:rsid w:val="00125A25"/>
    <w:rsid w:val="00126A66"/>
    <w:rsid w:val="001272E2"/>
    <w:rsid w:val="00127B40"/>
    <w:rsid w:val="001306F5"/>
    <w:rsid w:val="00131B16"/>
    <w:rsid w:val="00131F93"/>
    <w:rsid w:val="001321BF"/>
    <w:rsid w:val="00133B48"/>
    <w:rsid w:val="00133E94"/>
    <w:rsid w:val="001341CA"/>
    <w:rsid w:val="001352FC"/>
    <w:rsid w:val="001356C2"/>
    <w:rsid w:val="0013580A"/>
    <w:rsid w:val="00135D35"/>
    <w:rsid w:val="0013680C"/>
    <w:rsid w:val="0013741D"/>
    <w:rsid w:val="00140168"/>
    <w:rsid w:val="00141C7C"/>
    <w:rsid w:val="0014278A"/>
    <w:rsid w:val="001428C2"/>
    <w:rsid w:val="00142B46"/>
    <w:rsid w:val="00143168"/>
    <w:rsid w:val="00144254"/>
    <w:rsid w:val="00146144"/>
    <w:rsid w:val="00146872"/>
    <w:rsid w:val="001479E6"/>
    <w:rsid w:val="001503BA"/>
    <w:rsid w:val="00150B94"/>
    <w:rsid w:val="00150E0C"/>
    <w:rsid w:val="00150F1E"/>
    <w:rsid w:val="00151699"/>
    <w:rsid w:val="001516A7"/>
    <w:rsid w:val="00153813"/>
    <w:rsid w:val="00153D58"/>
    <w:rsid w:val="00154403"/>
    <w:rsid w:val="00154413"/>
    <w:rsid w:val="00155D76"/>
    <w:rsid w:val="0015611B"/>
    <w:rsid w:val="00156518"/>
    <w:rsid w:val="0015664E"/>
    <w:rsid w:val="00160219"/>
    <w:rsid w:val="0016030C"/>
    <w:rsid w:val="00162860"/>
    <w:rsid w:val="001632DE"/>
    <w:rsid w:val="00163810"/>
    <w:rsid w:val="0016390D"/>
    <w:rsid w:val="00163C9F"/>
    <w:rsid w:val="00163D04"/>
    <w:rsid w:val="00163F5F"/>
    <w:rsid w:val="001650D4"/>
    <w:rsid w:val="001654F8"/>
    <w:rsid w:val="00166233"/>
    <w:rsid w:val="0016646E"/>
    <w:rsid w:val="001665AD"/>
    <w:rsid w:val="0016698E"/>
    <w:rsid w:val="00167125"/>
    <w:rsid w:val="00170497"/>
    <w:rsid w:val="0017134A"/>
    <w:rsid w:val="0017224C"/>
    <w:rsid w:val="00173783"/>
    <w:rsid w:val="001753BE"/>
    <w:rsid w:val="00175404"/>
    <w:rsid w:val="00175BBC"/>
    <w:rsid w:val="00176441"/>
    <w:rsid w:val="00176639"/>
    <w:rsid w:val="00176661"/>
    <w:rsid w:val="0017744C"/>
    <w:rsid w:val="00177EBC"/>
    <w:rsid w:val="00180C46"/>
    <w:rsid w:val="0018184B"/>
    <w:rsid w:val="00182642"/>
    <w:rsid w:val="00183B39"/>
    <w:rsid w:val="00184870"/>
    <w:rsid w:val="00184A8F"/>
    <w:rsid w:val="00185DBA"/>
    <w:rsid w:val="0018607D"/>
    <w:rsid w:val="0018763A"/>
    <w:rsid w:val="001877CD"/>
    <w:rsid w:val="00190BDF"/>
    <w:rsid w:val="00194D83"/>
    <w:rsid w:val="00194E8A"/>
    <w:rsid w:val="0019598E"/>
    <w:rsid w:val="00195A09"/>
    <w:rsid w:val="001973B5"/>
    <w:rsid w:val="00197AB0"/>
    <w:rsid w:val="00197BD3"/>
    <w:rsid w:val="001A0570"/>
    <w:rsid w:val="001A094F"/>
    <w:rsid w:val="001A0C20"/>
    <w:rsid w:val="001A141C"/>
    <w:rsid w:val="001A1826"/>
    <w:rsid w:val="001A21B8"/>
    <w:rsid w:val="001A308C"/>
    <w:rsid w:val="001A313E"/>
    <w:rsid w:val="001A427F"/>
    <w:rsid w:val="001A5E8F"/>
    <w:rsid w:val="001A6849"/>
    <w:rsid w:val="001A7362"/>
    <w:rsid w:val="001B0754"/>
    <w:rsid w:val="001B11B3"/>
    <w:rsid w:val="001B3294"/>
    <w:rsid w:val="001B3323"/>
    <w:rsid w:val="001B3B1F"/>
    <w:rsid w:val="001B62CC"/>
    <w:rsid w:val="001B6782"/>
    <w:rsid w:val="001B7123"/>
    <w:rsid w:val="001B71BA"/>
    <w:rsid w:val="001B7CFF"/>
    <w:rsid w:val="001C0C4D"/>
    <w:rsid w:val="001C2AEE"/>
    <w:rsid w:val="001C2AFA"/>
    <w:rsid w:val="001C2D6E"/>
    <w:rsid w:val="001C363F"/>
    <w:rsid w:val="001C4373"/>
    <w:rsid w:val="001C49C0"/>
    <w:rsid w:val="001C4C39"/>
    <w:rsid w:val="001C52BB"/>
    <w:rsid w:val="001C5B8E"/>
    <w:rsid w:val="001C6D5B"/>
    <w:rsid w:val="001C7708"/>
    <w:rsid w:val="001C77B8"/>
    <w:rsid w:val="001C77E2"/>
    <w:rsid w:val="001D009B"/>
    <w:rsid w:val="001D0172"/>
    <w:rsid w:val="001D0EB3"/>
    <w:rsid w:val="001D1469"/>
    <w:rsid w:val="001D15C6"/>
    <w:rsid w:val="001D2175"/>
    <w:rsid w:val="001D21E2"/>
    <w:rsid w:val="001D2FD8"/>
    <w:rsid w:val="001D4798"/>
    <w:rsid w:val="001D4BD1"/>
    <w:rsid w:val="001D583D"/>
    <w:rsid w:val="001D61CA"/>
    <w:rsid w:val="001D6E08"/>
    <w:rsid w:val="001D7439"/>
    <w:rsid w:val="001E07CA"/>
    <w:rsid w:val="001E0BCE"/>
    <w:rsid w:val="001E1235"/>
    <w:rsid w:val="001E1D60"/>
    <w:rsid w:val="001E2A62"/>
    <w:rsid w:val="001E30ED"/>
    <w:rsid w:val="001E42F3"/>
    <w:rsid w:val="001E5E10"/>
    <w:rsid w:val="001E6B57"/>
    <w:rsid w:val="001F0207"/>
    <w:rsid w:val="001F03CC"/>
    <w:rsid w:val="001F08AA"/>
    <w:rsid w:val="001F08FD"/>
    <w:rsid w:val="001F0B5B"/>
    <w:rsid w:val="001F15E9"/>
    <w:rsid w:val="001F2819"/>
    <w:rsid w:val="001F288D"/>
    <w:rsid w:val="001F326D"/>
    <w:rsid w:val="001F3F2F"/>
    <w:rsid w:val="001F4A69"/>
    <w:rsid w:val="001F5611"/>
    <w:rsid w:val="001F58B4"/>
    <w:rsid w:val="001F5A41"/>
    <w:rsid w:val="001F5C75"/>
    <w:rsid w:val="001F5C8B"/>
    <w:rsid w:val="001F5CE5"/>
    <w:rsid w:val="001F65A5"/>
    <w:rsid w:val="001F6B91"/>
    <w:rsid w:val="001F7794"/>
    <w:rsid w:val="001F79A6"/>
    <w:rsid w:val="001F79E5"/>
    <w:rsid w:val="001F7AC4"/>
    <w:rsid w:val="002006E1"/>
    <w:rsid w:val="00200B44"/>
    <w:rsid w:val="002015E0"/>
    <w:rsid w:val="002024D9"/>
    <w:rsid w:val="002036C1"/>
    <w:rsid w:val="00203A80"/>
    <w:rsid w:val="00203AD2"/>
    <w:rsid w:val="00203B04"/>
    <w:rsid w:val="002043EC"/>
    <w:rsid w:val="002049C0"/>
    <w:rsid w:val="00204E29"/>
    <w:rsid w:val="00205579"/>
    <w:rsid w:val="00205C00"/>
    <w:rsid w:val="00205F7F"/>
    <w:rsid w:val="002075BF"/>
    <w:rsid w:val="002101B8"/>
    <w:rsid w:val="002104AD"/>
    <w:rsid w:val="00210925"/>
    <w:rsid w:val="00211DFA"/>
    <w:rsid w:val="002123F5"/>
    <w:rsid w:val="00212C3F"/>
    <w:rsid w:val="0021355E"/>
    <w:rsid w:val="00213B27"/>
    <w:rsid w:val="00215503"/>
    <w:rsid w:val="00215932"/>
    <w:rsid w:val="0021639B"/>
    <w:rsid w:val="00217828"/>
    <w:rsid w:val="00217AD0"/>
    <w:rsid w:val="00220088"/>
    <w:rsid w:val="00220120"/>
    <w:rsid w:val="002210EA"/>
    <w:rsid w:val="002238CF"/>
    <w:rsid w:val="002249FF"/>
    <w:rsid w:val="0022563B"/>
    <w:rsid w:val="00227A97"/>
    <w:rsid w:val="00227BCD"/>
    <w:rsid w:val="00227EC5"/>
    <w:rsid w:val="00230F62"/>
    <w:rsid w:val="00231A3D"/>
    <w:rsid w:val="002321EB"/>
    <w:rsid w:val="00232C13"/>
    <w:rsid w:val="00235031"/>
    <w:rsid w:val="002356A3"/>
    <w:rsid w:val="00236682"/>
    <w:rsid w:val="00236C04"/>
    <w:rsid w:val="00237506"/>
    <w:rsid w:val="002379FF"/>
    <w:rsid w:val="00237A95"/>
    <w:rsid w:val="00237E6E"/>
    <w:rsid w:val="002402D3"/>
    <w:rsid w:val="00240535"/>
    <w:rsid w:val="00240AF4"/>
    <w:rsid w:val="00241526"/>
    <w:rsid w:val="00241A0B"/>
    <w:rsid w:val="00242506"/>
    <w:rsid w:val="00242D67"/>
    <w:rsid w:val="00243DC0"/>
    <w:rsid w:val="002442CF"/>
    <w:rsid w:val="00244E6F"/>
    <w:rsid w:val="00244E71"/>
    <w:rsid w:val="00245128"/>
    <w:rsid w:val="00245E46"/>
    <w:rsid w:val="0024649A"/>
    <w:rsid w:val="00247477"/>
    <w:rsid w:val="002512C9"/>
    <w:rsid w:val="002514D1"/>
    <w:rsid w:val="00251C70"/>
    <w:rsid w:val="00252A78"/>
    <w:rsid w:val="0025350C"/>
    <w:rsid w:val="00253D7B"/>
    <w:rsid w:val="00253E3B"/>
    <w:rsid w:val="00254048"/>
    <w:rsid w:val="00254EC7"/>
    <w:rsid w:val="00255048"/>
    <w:rsid w:val="00256313"/>
    <w:rsid w:val="00256CAB"/>
    <w:rsid w:val="002571A9"/>
    <w:rsid w:val="0026055F"/>
    <w:rsid w:val="00260989"/>
    <w:rsid w:val="00260AD9"/>
    <w:rsid w:val="00260B9E"/>
    <w:rsid w:val="00261CAF"/>
    <w:rsid w:val="002626D8"/>
    <w:rsid w:val="00262A50"/>
    <w:rsid w:val="002630D6"/>
    <w:rsid w:val="00263653"/>
    <w:rsid w:val="002639EC"/>
    <w:rsid w:val="00263D2C"/>
    <w:rsid w:val="00264A62"/>
    <w:rsid w:val="00265649"/>
    <w:rsid w:val="00265AB9"/>
    <w:rsid w:val="00265F77"/>
    <w:rsid w:val="00265F90"/>
    <w:rsid w:val="002703C5"/>
    <w:rsid w:val="00270440"/>
    <w:rsid w:val="0027086F"/>
    <w:rsid w:val="00270F06"/>
    <w:rsid w:val="002713B2"/>
    <w:rsid w:val="00271550"/>
    <w:rsid w:val="00271603"/>
    <w:rsid w:val="00273350"/>
    <w:rsid w:val="00274C3B"/>
    <w:rsid w:val="00275850"/>
    <w:rsid w:val="002759C0"/>
    <w:rsid w:val="0027690C"/>
    <w:rsid w:val="002772EA"/>
    <w:rsid w:val="0027759D"/>
    <w:rsid w:val="00277ADC"/>
    <w:rsid w:val="00277D97"/>
    <w:rsid w:val="00281231"/>
    <w:rsid w:val="00281704"/>
    <w:rsid w:val="002822A0"/>
    <w:rsid w:val="0028291A"/>
    <w:rsid w:val="002829F7"/>
    <w:rsid w:val="00282E93"/>
    <w:rsid w:val="00282F29"/>
    <w:rsid w:val="00284D8D"/>
    <w:rsid w:val="00284E52"/>
    <w:rsid w:val="00286D23"/>
    <w:rsid w:val="00287BC5"/>
    <w:rsid w:val="002900DA"/>
    <w:rsid w:val="002910A6"/>
    <w:rsid w:val="0029120B"/>
    <w:rsid w:val="00293195"/>
    <w:rsid w:val="00293685"/>
    <w:rsid w:val="00293DEE"/>
    <w:rsid w:val="00293EE5"/>
    <w:rsid w:val="002949E5"/>
    <w:rsid w:val="00295913"/>
    <w:rsid w:val="002969EB"/>
    <w:rsid w:val="00297CFA"/>
    <w:rsid w:val="002A0180"/>
    <w:rsid w:val="002A0B5D"/>
    <w:rsid w:val="002A1131"/>
    <w:rsid w:val="002A3120"/>
    <w:rsid w:val="002A37DD"/>
    <w:rsid w:val="002A5060"/>
    <w:rsid w:val="002A59AC"/>
    <w:rsid w:val="002A5B86"/>
    <w:rsid w:val="002A5CC0"/>
    <w:rsid w:val="002A5EE4"/>
    <w:rsid w:val="002A6A88"/>
    <w:rsid w:val="002A75B8"/>
    <w:rsid w:val="002B007C"/>
    <w:rsid w:val="002B1573"/>
    <w:rsid w:val="002B19D1"/>
    <w:rsid w:val="002B3688"/>
    <w:rsid w:val="002B3F6C"/>
    <w:rsid w:val="002B45E7"/>
    <w:rsid w:val="002B4F14"/>
    <w:rsid w:val="002B5393"/>
    <w:rsid w:val="002B6989"/>
    <w:rsid w:val="002B7E06"/>
    <w:rsid w:val="002C07F3"/>
    <w:rsid w:val="002C148D"/>
    <w:rsid w:val="002C1A71"/>
    <w:rsid w:val="002C2B0F"/>
    <w:rsid w:val="002C35F8"/>
    <w:rsid w:val="002C39DC"/>
    <w:rsid w:val="002C4104"/>
    <w:rsid w:val="002C4C4F"/>
    <w:rsid w:val="002C4EF4"/>
    <w:rsid w:val="002C584C"/>
    <w:rsid w:val="002C5A30"/>
    <w:rsid w:val="002C7606"/>
    <w:rsid w:val="002C7B96"/>
    <w:rsid w:val="002C7FE9"/>
    <w:rsid w:val="002D03CC"/>
    <w:rsid w:val="002D061A"/>
    <w:rsid w:val="002D0868"/>
    <w:rsid w:val="002D0A0B"/>
    <w:rsid w:val="002D0DC5"/>
    <w:rsid w:val="002D1BEB"/>
    <w:rsid w:val="002D1F20"/>
    <w:rsid w:val="002D228C"/>
    <w:rsid w:val="002D2B85"/>
    <w:rsid w:val="002D318D"/>
    <w:rsid w:val="002D4230"/>
    <w:rsid w:val="002D4EFD"/>
    <w:rsid w:val="002D5A35"/>
    <w:rsid w:val="002D608F"/>
    <w:rsid w:val="002D6283"/>
    <w:rsid w:val="002D6772"/>
    <w:rsid w:val="002D772B"/>
    <w:rsid w:val="002D7CDC"/>
    <w:rsid w:val="002E0852"/>
    <w:rsid w:val="002E2A4B"/>
    <w:rsid w:val="002E3986"/>
    <w:rsid w:val="002E41E4"/>
    <w:rsid w:val="002E4806"/>
    <w:rsid w:val="002E5FCA"/>
    <w:rsid w:val="002E7204"/>
    <w:rsid w:val="002E74AC"/>
    <w:rsid w:val="002F0110"/>
    <w:rsid w:val="002F06D3"/>
    <w:rsid w:val="002F0D53"/>
    <w:rsid w:val="002F2C97"/>
    <w:rsid w:val="002F49BA"/>
    <w:rsid w:val="002F5B61"/>
    <w:rsid w:val="002F5E32"/>
    <w:rsid w:val="002F609B"/>
    <w:rsid w:val="002F618D"/>
    <w:rsid w:val="002F6AB4"/>
    <w:rsid w:val="002F6ECE"/>
    <w:rsid w:val="00301644"/>
    <w:rsid w:val="00301928"/>
    <w:rsid w:val="00302348"/>
    <w:rsid w:val="0030302B"/>
    <w:rsid w:val="0030347B"/>
    <w:rsid w:val="00304A7B"/>
    <w:rsid w:val="00304AE2"/>
    <w:rsid w:val="00305E2A"/>
    <w:rsid w:val="00306D02"/>
    <w:rsid w:val="00306F23"/>
    <w:rsid w:val="003073DF"/>
    <w:rsid w:val="003079C4"/>
    <w:rsid w:val="0031026F"/>
    <w:rsid w:val="00311E82"/>
    <w:rsid w:val="00311E96"/>
    <w:rsid w:val="00312191"/>
    <w:rsid w:val="003136FF"/>
    <w:rsid w:val="0031450C"/>
    <w:rsid w:val="003148AF"/>
    <w:rsid w:val="0031494A"/>
    <w:rsid w:val="00314F8F"/>
    <w:rsid w:val="0031567D"/>
    <w:rsid w:val="00315A97"/>
    <w:rsid w:val="00316071"/>
    <w:rsid w:val="003162C4"/>
    <w:rsid w:val="0031736A"/>
    <w:rsid w:val="00317F90"/>
    <w:rsid w:val="003201DA"/>
    <w:rsid w:val="00321268"/>
    <w:rsid w:val="00321E6F"/>
    <w:rsid w:val="00322703"/>
    <w:rsid w:val="00322C57"/>
    <w:rsid w:val="00322EA5"/>
    <w:rsid w:val="00323B84"/>
    <w:rsid w:val="0032486B"/>
    <w:rsid w:val="00325D97"/>
    <w:rsid w:val="00326007"/>
    <w:rsid w:val="00326FF9"/>
    <w:rsid w:val="0032726B"/>
    <w:rsid w:val="00327629"/>
    <w:rsid w:val="003277CF"/>
    <w:rsid w:val="0032796D"/>
    <w:rsid w:val="00330D49"/>
    <w:rsid w:val="003322CE"/>
    <w:rsid w:val="0033256E"/>
    <w:rsid w:val="0033301C"/>
    <w:rsid w:val="00333D95"/>
    <w:rsid w:val="003341E4"/>
    <w:rsid w:val="0033538E"/>
    <w:rsid w:val="00335D9F"/>
    <w:rsid w:val="0033673E"/>
    <w:rsid w:val="00336798"/>
    <w:rsid w:val="0034022A"/>
    <w:rsid w:val="00340A06"/>
    <w:rsid w:val="00341163"/>
    <w:rsid w:val="003412BF"/>
    <w:rsid w:val="00343A78"/>
    <w:rsid w:val="00343E5C"/>
    <w:rsid w:val="00344049"/>
    <w:rsid w:val="00344FB8"/>
    <w:rsid w:val="0034694C"/>
    <w:rsid w:val="00346E3C"/>
    <w:rsid w:val="00347386"/>
    <w:rsid w:val="003502A4"/>
    <w:rsid w:val="003511D6"/>
    <w:rsid w:val="0035155B"/>
    <w:rsid w:val="00351AB4"/>
    <w:rsid w:val="00351ECA"/>
    <w:rsid w:val="00352742"/>
    <w:rsid w:val="00352B0D"/>
    <w:rsid w:val="003536E0"/>
    <w:rsid w:val="00353B45"/>
    <w:rsid w:val="00353C94"/>
    <w:rsid w:val="003542DC"/>
    <w:rsid w:val="00354625"/>
    <w:rsid w:val="003550C1"/>
    <w:rsid w:val="0035510D"/>
    <w:rsid w:val="0035579A"/>
    <w:rsid w:val="00355E71"/>
    <w:rsid w:val="003560BA"/>
    <w:rsid w:val="00356842"/>
    <w:rsid w:val="00356C36"/>
    <w:rsid w:val="00357515"/>
    <w:rsid w:val="0036017B"/>
    <w:rsid w:val="00360F40"/>
    <w:rsid w:val="003612D7"/>
    <w:rsid w:val="00361CA1"/>
    <w:rsid w:val="00361DDA"/>
    <w:rsid w:val="003624AD"/>
    <w:rsid w:val="00362755"/>
    <w:rsid w:val="003633AF"/>
    <w:rsid w:val="00363432"/>
    <w:rsid w:val="0036354D"/>
    <w:rsid w:val="003655A9"/>
    <w:rsid w:val="003675F5"/>
    <w:rsid w:val="00367770"/>
    <w:rsid w:val="00370207"/>
    <w:rsid w:val="00370A7D"/>
    <w:rsid w:val="0037108B"/>
    <w:rsid w:val="00371300"/>
    <w:rsid w:val="00371716"/>
    <w:rsid w:val="003718F7"/>
    <w:rsid w:val="0037273E"/>
    <w:rsid w:val="00372F53"/>
    <w:rsid w:val="00373B93"/>
    <w:rsid w:val="00374C2D"/>
    <w:rsid w:val="003758E5"/>
    <w:rsid w:val="00376D74"/>
    <w:rsid w:val="00377077"/>
    <w:rsid w:val="003807DB"/>
    <w:rsid w:val="00380832"/>
    <w:rsid w:val="00380CD1"/>
    <w:rsid w:val="00380EE1"/>
    <w:rsid w:val="00381542"/>
    <w:rsid w:val="003817FF"/>
    <w:rsid w:val="00382857"/>
    <w:rsid w:val="003828F5"/>
    <w:rsid w:val="00382C25"/>
    <w:rsid w:val="00382C35"/>
    <w:rsid w:val="003836AF"/>
    <w:rsid w:val="003836FC"/>
    <w:rsid w:val="00383B1B"/>
    <w:rsid w:val="00383EE5"/>
    <w:rsid w:val="00384FBE"/>
    <w:rsid w:val="00384FC9"/>
    <w:rsid w:val="0038592D"/>
    <w:rsid w:val="00385AF8"/>
    <w:rsid w:val="0038681A"/>
    <w:rsid w:val="0038695A"/>
    <w:rsid w:val="003869D7"/>
    <w:rsid w:val="00387444"/>
    <w:rsid w:val="00387503"/>
    <w:rsid w:val="0039039E"/>
    <w:rsid w:val="003908B0"/>
    <w:rsid w:val="00391048"/>
    <w:rsid w:val="0039429B"/>
    <w:rsid w:val="0039523B"/>
    <w:rsid w:val="003957D2"/>
    <w:rsid w:val="003964A1"/>
    <w:rsid w:val="003970EA"/>
    <w:rsid w:val="0039754B"/>
    <w:rsid w:val="00397871"/>
    <w:rsid w:val="00397D3E"/>
    <w:rsid w:val="003A02CA"/>
    <w:rsid w:val="003A1108"/>
    <w:rsid w:val="003A18BF"/>
    <w:rsid w:val="003A1B8E"/>
    <w:rsid w:val="003A207F"/>
    <w:rsid w:val="003A29F3"/>
    <w:rsid w:val="003A2BF3"/>
    <w:rsid w:val="003A38F0"/>
    <w:rsid w:val="003A4591"/>
    <w:rsid w:val="003A5B40"/>
    <w:rsid w:val="003A6D19"/>
    <w:rsid w:val="003A6E93"/>
    <w:rsid w:val="003A719E"/>
    <w:rsid w:val="003A7BD7"/>
    <w:rsid w:val="003B0262"/>
    <w:rsid w:val="003B081D"/>
    <w:rsid w:val="003B3A50"/>
    <w:rsid w:val="003B443C"/>
    <w:rsid w:val="003B4B66"/>
    <w:rsid w:val="003B4E1E"/>
    <w:rsid w:val="003B6343"/>
    <w:rsid w:val="003C100D"/>
    <w:rsid w:val="003C1DD2"/>
    <w:rsid w:val="003C20FC"/>
    <w:rsid w:val="003C2466"/>
    <w:rsid w:val="003C4D9B"/>
    <w:rsid w:val="003C5703"/>
    <w:rsid w:val="003C5869"/>
    <w:rsid w:val="003C5AA5"/>
    <w:rsid w:val="003C6090"/>
    <w:rsid w:val="003C6273"/>
    <w:rsid w:val="003C6405"/>
    <w:rsid w:val="003C6A75"/>
    <w:rsid w:val="003C72AB"/>
    <w:rsid w:val="003C72B1"/>
    <w:rsid w:val="003C78BB"/>
    <w:rsid w:val="003C7F75"/>
    <w:rsid w:val="003D094E"/>
    <w:rsid w:val="003D0F81"/>
    <w:rsid w:val="003D1506"/>
    <w:rsid w:val="003D2A42"/>
    <w:rsid w:val="003D2DF0"/>
    <w:rsid w:val="003D2F24"/>
    <w:rsid w:val="003D2FB3"/>
    <w:rsid w:val="003D42D7"/>
    <w:rsid w:val="003D53E7"/>
    <w:rsid w:val="003D56CE"/>
    <w:rsid w:val="003E038B"/>
    <w:rsid w:val="003E057B"/>
    <w:rsid w:val="003E080D"/>
    <w:rsid w:val="003E0A20"/>
    <w:rsid w:val="003E0A61"/>
    <w:rsid w:val="003E0BB3"/>
    <w:rsid w:val="003E0C79"/>
    <w:rsid w:val="003E1F22"/>
    <w:rsid w:val="003E5DDD"/>
    <w:rsid w:val="003E70B3"/>
    <w:rsid w:val="003F069A"/>
    <w:rsid w:val="003F20BC"/>
    <w:rsid w:val="003F29CE"/>
    <w:rsid w:val="003F2BBD"/>
    <w:rsid w:val="003F2BD6"/>
    <w:rsid w:val="003F2E39"/>
    <w:rsid w:val="003F3CBE"/>
    <w:rsid w:val="003F3DE7"/>
    <w:rsid w:val="003F4329"/>
    <w:rsid w:val="003F4956"/>
    <w:rsid w:val="003F5227"/>
    <w:rsid w:val="003F5E90"/>
    <w:rsid w:val="003F7858"/>
    <w:rsid w:val="00400279"/>
    <w:rsid w:val="00400608"/>
    <w:rsid w:val="0040127F"/>
    <w:rsid w:val="00401EA3"/>
    <w:rsid w:val="004020E3"/>
    <w:rsid w:val="004021C3"/>
    <w:rsid w:val="00402279"/>
    <w:rsid w:val="004022A4"/>
    <w:rsid w:val="00403BAD"/>
    <w:rsid w:val="0040416B"/>
    <w:rsid w:val="004043D2"/>
    <w:rsid w:val="00404DC4"/>
    <w:rsid w:val="0040537F"/>
    <w:rsid w:val="00406EB6"/>
    <w:rsid w:val="0040716B"/>
    <w:rsid w:val="00407275"/>
    <w:rsid w:val="00410193"/>
    <w:rsid w:val="00410237"/>
    <w:rsid w:val="00410469"/>
    <w:rsid w:val="0041071A"/>
    <w:rsid w:val="00410F5E"/>
    <w:rsid w:val="00411586"/>
    <w:rsid w:val="00411C2E"/>
    <w:rsid w:val="00412534"/>
    <w:rsid w:val="00412943"/>
    <w:rsid w:val="00412C83"/>
    <w:rsid w:val="004135BD"/>
    <w:rsid w:val="00413A1C"/>
    <w:rsid w:val="00414186"/>
    <w:rsid w:val="0041468A"/>
    <w:rsid w:val="004146FD"/>
    <w:rsid w:val="00414857"/>
    <w:rsid w:val="00415033"/>
    <w:rsid w:val="004169D5"/>
    <w:rsid w:val="00416AB4"/>
    <w:rsid w:val="00416FEB"/>
    <w:rsid w:val="00417382"/>
    <w:rsid w:val="00417E0A"/>
    <w:rsid w:val="00417E0D"/>
    <w:rsid w:val="004200AD"/>
    <w:rsid w:val="004206F3"/>
    <w:rsid w:val="00420FA1"/>
    <w:rsid w:val="00421016"/>
    <w:rsid w:val="004214EF"/>
    <w:rsid w:val="00422508"/>
    <w:rsid w:val="00424772"/>
    <w:rsid w:val="00425229"/>
    <w:rsid w:val="00425D5F"/>
    <w:rsid w:val="00426014"/>
    <w:rsid w:val="00427057"/>
    <w:rsid w:val="00427076"/>
    <w:rsid w:val="00427F82"/>
    <w:rsid w:val="0042EE24"/>
    <w:rsid w:val="00430624"/>
    <w:rsid w:val="00430BF2"/>
    <w:rsid w:val="00430CF2"/>
    <w:rsid w:val="0043117F"/>
    <w:rsid w:val="00431622"/>
    <w:rsid w:val="004318BA"/>
    <w:rsid w:val="00431D21"/>
    <w:rsid w:val="00432B24"/>
    <w:rsid w:val="00433F12"/>
    <w:rsid w:val="00434AF5"/>
    <w:rsid w:val="004356BA"/>
    <w:rsid w:val="00435DFA"/>
    <w:rsid w:val="00436206"/>
    <w:rsid w:val="00436310"/>
    <w:rsid w:val="00436758"/>
    <w:rsid w:val="0043691D"/>
    <w:rsid w:val="00436B66"/>
    <w:rsid w:val="00440270"/>
    <w:rsid w:val="00440F11"/>
    <w:rsid w:val="004410F6"/>
    <w:rsid w:val="004410FC"/>
    <w:rsid w:val="0044113C"/>
    <w:rsid w:val="0044127B"/>
    <w:rsid w:val="0044138E"/>
    <w:rsid w:val="00441D4D"/>
    <w:rsid w:val="00442A5F"/>
    <w:rsid w:val="0044327B"/>
    <w:rsid w:val="0044336C"/>
    <w:rsid w:val="00443547"/>
    <w:rsid w:val="004439E9"/>
    <w:rsid w:val="00443F7A"/>
    <w:rsid w:val="0044617E"/>
    <w:rsid w:val="00446614"/>
    <w:rsid w:val="00447520"/>
    <w:rsid w:val="00451CB6"/>
    <w:rsid w:val="00452DCB"/>
    <w:rsid w:val="004533F5"/>
    <w:rsid w:val="00453D84"/>
    <w:rsid w:val="00457DBA"/>
    <w:rsid w:val="0046078B"/>
    <w:rsid w:val="00460B7D"/>
    <w:rsid w:val="00460BB5"/>
    <w:rsid w:val="004610CF"/>
    <w:rsid w:val="00461914"/>
    <w:rsid w:val="00461CF2"/>
    <w:rsid w:val="004625B7"/>
    <w:rsid w:val="004627E6"/>
    <w:rsid w:val="00463A3D"/>
    <w:rsid w:val="00463B17"/>
    <w:rsid w:val="00464318"/>
    <w:rsid w:val="00464A4A"/>
    <w:rsid w:val="00464E2C"/>
    <w:rsid w:val="00465535"/>
    <w:rsid w:val="0046592B"/>
    <w:rsid w:val="00465DBA"/>
    <w:rsid w:val="0046644F"/>
    <w:rsid w:val="004667C8"/>
    <w:rsid w:val="00466B6D"/>
    <w:rsid w:val="00471243"/>
    <w:rsid w:val="004716DE"/>
    <w:rsid w:val="004730B4"/>
    <w:rsid w:val="0047318F"/>
    <w:rsid w:val="00473EF8"/>
    <w:rsid w:val="00474A26"/>
    <w:rsid w:val="00474B22"/>
    <w:rsid w:val="00475893"/>
    <w:rsid w:val="0047716B"/>
    <w:rsid w:val="00480162"/>
    <w:rsid w:val="00480C46"/>
    <w:rsid w:val="00480CB0"/>
    <w:rsid w:val="00481D2F"/>
    <w:rsid w:val="00481D87"/>
    <w:rsid w:val="00481EA9"/>
    <w:rsid w:val="004820AC"/>
    <w:rsid w:val="00482251"/>
    <w:rsid w:val="00482279"/>
    <w:rsid w:val="0048315F"/>
    <w:rsid w:val="00483207"/>
    <w:rsid w:val="00483603"/>
    <w:rsid w:val="00483C87"/>
    <w:rsid w:val="004842C8"/>
    <w:rsid w:val="00484D33"/>
    <w:rsid w:val="004864E5"/>
    <w:rsid w:val="00486DBF"/>
    <w:rsid w:val="004875B9"/>
    <w:rsid w:val="00487B6F"/>
    <w:rsid w:val="0049030E"/>
    <w:rsid w:val="00490407"/>
    <w:rsid w:val="00490899"/>
    <w:rsid w:val="0049176B"/>
    <w:rsid w:val="00491D59"/>
    <w:rsid w:val="00492283"/>
    <w:rsid w:val="0049348C"/>
    <w:rsid w:val="00493685"/>
    <w:rsid w:val="00493FD8"/>
    <w:rsid w:val="004956F7"/>
    <w:rsid w:val="0049627B"/>
    <w:rsid w:val="00497C63"/>
    <w:rsid w:val="004A0344"/>
    <w:rsid w:val="004A0BD8"/>
    <w:rsid w:val="004A154B"/>
    <w:rsid w:val="004A1EAD"/>
    <w:rsid w:val="004A28DB"/>
    <w:rsid w:val="004A3863"/>
    <w:rsid w:val="004A3E8C"/>
    <w:rsid w:val="004A47BE"/>
    <w:rsid w:val="004A4A5A"/>
    <w:rsid w:val="004A4DC4"/>
    <w:rsid w:val="004A58F4"/>
    <w:rsid w:val="004A59B8"/>
    <w:rsid w:val="004A6694"/>
    <w:rsid w:val="004A6F7F"/>
    <w:rsid w:val="004A7B9E"/>
    <w:rsid w:val="004B0313"/>
    <w:rsid w:val="004B0E56"/>
    <w:rsid w:val="004B0F26"/>
    <w:rsid w:val="004B0FF8"/>
    <w:rsid w:val="004B23D9"/>
    <w:rsid w:val="004B281E"/>
    <w:rsid w:val="004B34EA"/>
    <w:rsid w:val="004B39BC"/>
    <w:rsid w:val="004B4CEA"/>
    <w:rsid w:val="004B5494"/>
    <w:rsid w:val="004B59A3"/>
    <w:rsid w:val="004B6568"/>
    <w:rsid w:val="004B6A04"/>
    <w:rsid w:val="004B6CE8"/>
    <w:rsid w:val="004B6D46"/>
    <w:rsid w:val="004B6D66"/>
    <w:rsid w:val="004B7AF1"/>
    <w:rsid w:val="004B7DB5"/>
    <w:rsid w:val="004C0379"/>
    <w:rsid w:val="004C119B"/>
    <w:rsid w:val="004C1644"/>
    <w:rsid w:val="004C1921"/>
    <w:rsid w:val="004C1B72"/>
    <w:rsid w:val="004C216C"/>
    <w:rsid w:val="004C2312"/>
    <w:rsid w:val="004C3327"/>
    <w:rsid w:val="004C3847"/>
    <w:rsid w:val="004C39A2"/>
    <w:rsid w:val="004C3BFE"/>
    <w:rsid w:val="004C4023"/>
    <w:rsid w:val="004C4C5D"/>
    <w:rsid w:val="004C5509"/>
    <w:rsid w:val="004C56E1"/>
    <w:rsid w:val="004C5B9F"/>
    <w:rsid w:val="004C5C90"/>
    <w:rsid w:val="004C5FE5"/>
    <w:rsid w:val="004C6768"/>
    <w:rsid w:val="004C705A"/>
    <w:rsid w:val="004C7A2B"/>
    <w:rsid w:val="004C7D3A"/>
    <w:rsid w:val="004D0465"/>
    <w:rsid w:val="004D09EE"/>
    <w:rsid w:val="004D0C7F"/>
    <w:rsid w:val="004D11B5"/>
    <w:rsid w:val="004D229B"/>
    <w:rsid w:val="004D2616"/>
    <w:rsid w:val="004D2895"/>
    <w:rsid w:val="004D2EBE"/>
    <w:rsid w:val="004D2F13"/>
    <w:rsid w:val="004D2F65"/>
    <w:rsid w:val="004D3289"/>
    <w:rsid w:val="004D328F"/>
    <w:rsid w:val="004D42EC"/>
    <w:rsid w:val="004D45E9"/>
    <w:rsid w:val="004D4DDB"/>
    <w:rsid w:val="004D52EE"/>
    <w:rsid w:val="004D7901"/>
    <w:rsid w:val="004E0952"/>
    <w:rsid w:val="004E09F2"/>
    <w:rsid w:val="004E1D53"/>
    <w:rsid w:val="004E1FAB"/>
    <w:rsid w:val="004E229D"/>
    <w:rsid w:val="004E2D6A"/>
    <w:rsid w:val="004E3254"/>
    <w:rsid w:val="004E32D6"/>
    <w:rsid w:val="004E3AEF"/>
    <w:rsid w:val="004E3D1E"/>
    <w:rsid w:val="004E458E"/>
    <w:rsid w:val="004E5494"/>
    <w:rsid w:val="004E5FDC"/>
    <w:rsid w:val="004E617B"/>
    <w:rsid w:val="004E637D"/>
    <w:rsid w:val="004E65B8"/>
    <w:rsid w:val="004E6A37"/>
    <w:rsid w:val="004F0D19"/>
    <w:rsid w:val="004F0D4C"/>
    <w:rsid w:val="004F4DC0"/>
    <w:rsid w:val="004F5790"/>
    <w:rsid w:val="004F581D"/>
    <w:rsid w:val="004F5C13"/>
    <w:rsid w:val="004F5D16"/>
    <w:rsid w:val="004F5DDC"/>
    <w:rsid w:val="004F5F34"/>
    <w:rsid w:val="004F61E2"/>
    <w:rsid w:val="004F62DC"/>
    <w:rsid w:val="004F6FE7"/>
    <w:rsid w:val="004F7323"/>
    <w:rsid w:val="004F7611"/>
    <w:rsid w:val="004F7686"/>
    <w:rsid w:val="00500534"/>
    <w:rsid w:val="00500540"/>
    <w:rsid w:val="00500CE3"/>
    <w:rsid w:val="005018A8"/>
    <w:rsid w:val="005019A1"/>
    <w:rsid w:val="00501BF8"/>
    <w:rsid w:val="00501C0B"/>
    <w:rsid w:val="00503F5A"/>
    <w:rsid w:val="00505039"/>
    <w:rsid w:val="00505375"/>
    <w:rsid w:val="00505A39"/>
    <w:rsid w:val="0050615B"/>
    <w:rsid w:val="00507CC9"/>
    <w:rsid w:val="00507E36"/>
    <w:rsid w:val="005100C4"/>
    <w:rsid w:val="005102F2"/>
    <w:rsid w:val="00510852"/>
    <w:rsid w:val="00510A40"/>
    <w:rsid w:val="00511311"/>
    <w:rsid w:val="00512FCA"/>
    <w:rsid w:val="00513573"/>
    <w:rsid w:val="00513E19"/>
    <w:rsid w:val="00515047"/>
    <w:rsid w:val="005154DC"/>
    <w:rsid w:val="00515F79"/>
    <w:rsid w:val="00516002"/>
    <w:rsid w:val="00516283"/>
    <w:rsid w:val="00516542"/>
    <w:rsid w:val="00517C23"/>
    <w:rsid w:val="0052053A"/>
    <w:rsid w:val="00520C80"/>
    <w:rsid w:val="0052182B"/>
    <w:rsid w:val="00522D1B"/>
    <w:rsid w:val="00522F61"/>
    <w:rsid w:val="005240BF"/>
    <w:rsid w:val="00524FE6"/>
    <w:rsid w:val="0052502A"/>
    <w:rsid w:val="0052540E"/>
    <w:rsid w:val="00526B9F"/>
    <w:rsid w:val="00527340"/>
    <w:rsid w:val="005276B3"/>
    <w:rsid w:val="0052772D"/>
    <w:rsid w:val="00527737"/>
    <w:rsid w:val="00527DB2"/>
    <w:rsid w:val="00531ADC"/>
    <w:rsid w:val="00531C2C"/>
    <w:rsid w:val="0053365C"/>
    <w:rsid w:val="00533E32"/>
    <w:rsid w:val="00533EB1"/>
    <w:rsid w:val="005347C7"/>
    <w:rsid w:val="00534B86"/>
    <w:rsid w:val="00534E80"/>
    <w:rsid w:val="005357D4"/>
    <w:rsid w:val="00536448"/>
    <w:rsid w:val="005365AE"/>
    <w:rsid w:val="00536F12"/>
    <w:rsid w:val="0053738F"/>
    <w:rsid w:val="00540502"/>
    <w:rsid w:val="00540D23"/>
    <w:rsid w:val="00542921"/>
    <w:rsid w:val="005436CC"/>
    <w:rsid w:val="00543AAA"/>
    <w:rsid w:val="00543B43"/>
    <w:rsid w:val="005445BF"/>
    <w:rsid w:val="00544EB1"/>
    <w:rsid w:val="00545A3C"/>
    <w:rsid w:val="00545F67"/>
    <w:rsid w:val="00546BA6"/>
    <w:rsid w:val="00547BC8"/>
    <w:rsid w:val="00550CED"/>
    <w:rsid w:val="00551ADD"/>
    <w:rsid w:val="00551CE2"/>
    <w:rsid w:val="00552AEF"/>
    <w:rsid w:val="00552ED3"/>
    <w:rsid w:val="00553D08"/>
    <w:rsid w:val="005540E0"/>
    <w:rsid w:val="0055439B"/>
    <w:rsid w:val="00554B79"/>
    <w:rsid w:val="00554D48"/>
    <w:rsid w:val="00554F27"/>
    <w:rsid w:val="0055506C"/>
    <w:rsid w:val="00555F7E"/>
    <w:rsid w:val="005570B2"/>
    <w:rsid w:val="00557D9C"/>
    <w:rsid w:val="005607A1"/>
    <w:rsid w:val="005608D2"/>
    <w:rsid w:val="00561466"/>
    <w:rsid w:val="00561B97"/>
    <w:rsid w:val="0056211E"/>
    <w:rsid w:val="00563E36"/>
    <w:rsid w:val="00564182"/>
    <w:rsid w:val="00564D5A"/>
    <w:rsid w:val="0056513D"/>
    <w:rsid w:val="0056670D"/>
    <w:rsid w:val="00566BCF"/>
    <w:rsid w:val="00567021"/>
    <w:rsid w:val="00567336"/>
    <w:rsid w:val="005673E0"/>
    <w:rsid w:val="00567CAF"/>
    <w:rsid w:val="00570E94"/>
    <w:rsid w:val="00570F3C"/>
    <w:rsid w:val="00571566"/>
    <w:rsid w:val="0057211D"/>
    <w:rsid w:val="0057243C"/>
    <w:rsid w:val="00573196"/>
    <w:rsid w:val="0057404C"/>
    <w:rsid w:val="0057610E"/>
    <w:rsid w:val="0057685F"/>
    <w:rsid w:val="005806A5"/>
    <w:rsid w:val="00580A26"/>
    <w:rsid w:val="00580C25"/>
    <w:rsid w:val="00581789"/>
    <w:rsid w:val="00581A8C"/>
    <w:rsid w:val="005821DD"/>
    <w:rsid w:val="005827B8"/>
    <w:rsid w:val="00583D8A"/>
    <w:rsid w:val="00584640"/>
    <w:rsid w:val="00585270"/>
    <w:rsid w:val="0058536D"/>
    <w:rsid w:val="00585390"/>
    <w:rsid w:val="00585940"/>
    <w:rsid w:val="00586205"/>
    <w:rsid w:val="0058767A"/>
    <w:rsid w:val="0059061F"/>
    <w:rsid w:val="0059070E"/>
    <w:rsid w:val="00590987"/>
    <w:rsid w:val="00590D0B"/>
    <w:rsid w:val="00591172"/>
    <w:rsid w:val="00591EE3"/>
    <w:rsid w:val="005920FD"/>
    <w:rsid w:val="0059289E"/>
    <w:rsid w:val="005939A5"/>
    <w:rsid w:val="005939D2"/>
    <w:rsid w:val="00593F7C"/>
    <w:rsid w:val="005951DA"/>
    <w:rsid w:val="005959A5"/>
    <w:rsid w:val="00596DC3"/>
    <w:rsid w:val="00597EB1"/>
    <w:rsid w:val="005A0C9B"/>
    <w:rsid w:val="005A148C"/>
    <w:rsid w:val="005A1590"/>
    <w:rsid w:val="005A33E8"/>
    <w:rsid w:val="005A3BED"/>
    <w:rsid w:val="005A3C5E"/>
    <w:rsid w:val="005A4384"/>
    <w:rsid w:val="005A74A0"/>
    <w:rsid w:val="005B19A4"/>
    <w:rsid w:val="005B3676"/>
    <w:rsid w:val="005B3A7C"/>
    <w:rsid w:val="005B43BB"/>
    <w:rsid w:val="005B4438"/>
    <w:rsid w:val="005B456E"/>
    <w:rsid w:val="005B4CE6"/>
    <w:rsid w:val="005B54BE"/>
    <w:rsid w:val="005B5749"/>
    <w:rsid w:val="005B5FD9"/>
    <w:rsid w:val="005B6198"/>
    <w:rsid w:val="005B622D"/>
    <w:rsid w:val="005B7D43"/>
    <w:rsid w:val="005C2157"/>
    <w:rsid w:val="005C2771"/>
    <w:rsid w:val="005C4D42"/>
    <w:rsid w:val="005C4E11"/>
    <w:rsid w:val="005C4EED"/>
    <w:rsid w:val="005C527A"/>
    <w:rsid w:val="005C544F"/>
    <w:rsid w:val="005C58FA"/>
    <w:rsid w:val="005C6013"/>
    <w:rsid w:val="005C62D6"/>
    <w:rsid w:val="005C6BB5"/>
    <w:rsid w:val="005C739D"/>
    <w:rsid w:val="005C7988"/>
    <w:rsid w:val="005C7AB6"/>
    <w:rsid w:val="005D0EC0"/>
    <w:rsid w:val="005D1768"/>
    <w:rsid w:val="005D42C1"/>
    <w:rsid w:val="005D4895"/>
    <w:rsid w:val="005D4AF4"/>
    <w:rsid w:val="005D4C71"/>
    <w:rsid w:val="005D4E87"/>
    <w:rsid w:val="005D7275"/>
    <w:rsid w:val="005D7DDE"/>
    <w:rsid w:val="005E1461"/>
    <w:rsid w:val="005E1947"/>
    <w:rsid w:val="005E2195"/>
    <w:rsid w:val="005E26DE"/>
    <w:rsid w:val="005E341D"/>
    <w:rsid w:val="005E4138"/>
    <w:rsid w:val="005E4173"/>
    <w:rsid w:val="005E552C"/>
    <w:rsid w:val="005E55FB"/>
    <w:rsid w:val="005E58D6"/>
    <w:rsid w:val="005E5C21"/>
    <w:rsid w:val="005E6D5E"/>
    <w:rsid w:val="005E6DB4"/>
    <w:rsid w:val="005E7BB7"/>
    <w:rsid w:val="005F03F6"/>
    <w:rsid w:val="005F08E9"/>
    <w:rsid w:val="005F106C"/>
    <w:rsid w:val="005F14C1"/>
    <w:rsid w:val="005F216F"/>
    <w:rsid w:val="005F2F96"/>
    <w:rsid w:val="005F349E"/>
    <w:rsid w:val="005F3730"/>
    <w:rsid w:val="005F3E26"/>
    <w:rsid w:val="005F3F6D"/>
    <w:rsid w:val="005F4B13"/>
    <w:rsid w:val="005F4E71"/>
    <w:rsid w:val="005F5CE3"/>
    <w:rsid w:val="005F68B5"/>
    <w:rsid w:val="005F7180"/>
    <w:rsid w:val="005F7909"/>
    <w:rsid w:val="006019C5"/>
    <w:rsid w:val="00601AE4"/>
    <w:rsid w:val="00603238"/>
    <w:rsid w:val="00603677"/>
    <w:rsid w:val="00604BD1"/>
    <w:rsid w:val="00605B74"/>
    <w:rsid w:val="00605BDD"/>
    <w:rsid w:val="006063B9"/>
    <w:rsid w:val="00607029"/>
    <w:rsid w:val="00607282"/>
    <w:rsid w:val="00607352"/>
    <w:rsid w:val="00607F82"/>
    <w:rsid w:val="00610D19"/>
    <w:rsid w:val="006112E1"/>
    <w:rsid w:val="00612303"/>
    <w:rsid w:val="00613DA8"/>
    <w:rsid w:val="006149A7"/>
    <w:rsid w:val="0061569B"/>
    <w:rsid w:val="00616C89"/>
    <w:rsid w:val="00617CAF"/>
    <w:rsid w:val="00620564"/>
    <w:rsid w:val="00620770"/>
    <w:rsid w:val="006208AD"/>
    <w:rsid w:val="0062160C"/>
    <w:rsid w:val="00622EA0"/>
    <w:rsid w:val="0062320B"/>
    <w:rsid w:val="00623735"/>
    <w:rsid w:val="00623833"/>
    <w:rsid w:val="0062392B"/>
    <w:rsid w:val="0062425C"/>
    <w:rsid w:val="00624361"/>
    <w:rsid w:val="00625340"/>
    <w:rsid w:val="006273FA"/>
    <w:rsid w:val="00627CB2"/>
    <w:rsid w:val="0063019B"/>
    <w:rsid w:val="006305D6"/>
    <w:rsid w:val="0063163A"/>
    <w:rsid w:val="00632155"/>
    <w:rsid w:val="00632207"/>
    <w:rsid w:val="0063247C"/>
    <w:rsid w:val="006334B8"/>
    <w:rsid w:val="0063491C"/>
    <w:rsid w:val="00635217"/>
    <w:rsid w:val="0063540B"/>
    <w:rsid w:val="00635B94"/>
    <w:rsid w:val="00635DB0"/>
    <w:rsid w:val="00636AE5"/>
    <w:rsid w:val="00637131"/>
    <w:rsid w:val="00637CD7"/>
    <w:rsid w:val="00640C6C"/>
    <w:rsid w:val="00641A5C"/>
    <w:rsid w:val="00642543"/>
    <w:rsid w:val="0064295C"/>
    <w:rsid w:val="00642CF0"/>
    <w:rsid w:val="00642D13"/>
    <w:rsid w:val="0064340A"/>
    <w:rsid w:val="00643FFF"/>
    <w:rsid w:val="00644282"/>
    <w:rsid w:val="00644E48"/>
    <w:rsid w:val="00645309"/>
    <w:rsid w:val="00645AB4"/>
    <w:rsid w:val="006472D3"/>
    <w:rsid w:val="0064772C"/>
    <w:rsid w:val="006477D2"/>
    <w:rsid w:val="00647FB3"/>
    <w:rsid w:val="0065051A"/>
    <w:rsid w:val="00650655"/>
    <w:rsid w:val="00651664"/>
    <w:rsid w:val="006518AA"/>
    <w:rsid w:val="00651914"/>
    <w:rsid w:val="00651F21"/>
    <w:rsid w:val="006528BE"/>
    <w:rsid w:val="00653862"/>
    <w:rsid w:val="0065395B"/>
    <w:rsid w:val="00654AD0"/>
    <w:rsid w:val="00654FDA"/>
    <w:rsid w:val="00656107"/>
    <w:rsid w:val="006565A1"/>
    <w:rsid w:val="00656832"/>
    <w:rsid w:val="0065778C"/>
    <w:rsid w:val="00657DB9"/>
    <w:rsid w:val="00660E9E"/>
    <w:rsid w:val="00661AFE"/>
    <w:rsid w:val="00661E4D"/>
    <w:rsid w:val="00662CD0"/>
    <w:rsid w:val="00663371"/>
    <w:rsid w:val="00663E78"/>
    <w:rsid w:val="00664D60"/>
    <w:rsid w:val="00665150"/>
    <w:rsid w:val="0066559D"/>
    <w:rsid w:val="0066675C"/>
    <w:rsid w:val="006668C2"/>
    <w:rsid w:val="00666AA2"/>
    <w:rsid w:val="00667001"/>
    <w:rsid w:val="00667A70"/>
    <w:rsid w:val="0067089F"/>
    <w:rsid w:val="00670AA7"/>
    <w:rsid w:val="00670B44"/>
    <w:rsid w:val="00670CD3"/>
    <w:rsid w:val="00672074"/>
    <w:rsid w:val="00672BD5"/>
    <w:rsid w:val="00673639"/>
    <w:rsid w:val="0067446D"/>
    <w:rsid w:val="006746EA"/>
    <w:rsid w:val="00674726"/>
    <w:rsid w:val="00674BCC"/>
    <w:rsid w:val="00675558"/>
    <w:rsid w:val="006772AD"/>
    <w:rsid w:val="00677C8B"/>
    <w:rsid w:val="00677E6D"/>
    <w:rsid w:val="00677F3B"/>
    <w:rsid w:val="006803A9"/>
    <w:rsid w:val="00680B66"/>
    <w:rsid w:val="00680F19"/>
    <w:rsid w:val="00681244"/>
    <w:rsid w:val="00681310"/>
    <w:rsid w:val="00681F69"/>
    <w:rsid w:val="00683160"/>
    <w:rsid w:val="00683B2C"/>
    <w:rsid w:val="00684258"/>
    <w:rsid w:val="0068435A"/>
    <w:rsid w:val="00684E48"/>
    <w:rsid w:val="00685404"/>
    <w:rsid w:val="006856D9"/>
    <w:rsid w:val="0068589E"/>
    <w:rsid w:val="00686ADE"/>
    <w:rsid w:val="00687E1B"/>
    <w:rsid w:val="0069074C"/>
    <w:rsid w:val="0069092C"/>
    <w:rsid w:val="00690B53"/>
    <w:rsid w:val="00690F74"/>
    <w:rsid w:val="00691C35"/>
    <w:rsid w:val="006929B2"/>
    <w:rsid w:val="006937FF"/>
    <w:rsid w:val="00693949"/>
    <w:rsid w:val="00694420"/>
    <w:rsid w:val="006967A5"/>
    <w:rsid w:val="00696F89"/>
    <w:rsid w:val="006A016C"/>
    <w:rsid w:val="006A0395"/>
    <w:rsid w:val="006A0811"/>
    <w:rsid w:val="006A1403"/>
    <w:rsid w:val="006A306B"/>
    <w:rsid w:val="006A335B"/>
    <w:rsid w:val="006A444A"/>
    <w:rsid w:val="006A49BA"/>
    <w:rsid w:val="006A4D97"/>
    <w:rsid w:val="006A4E28"/>
    <w:rsid w:val="006A5BE7"/>
    <w:rsid w:val="006A6462"/>
    <w:rsid w:val="006A702B"/>
    <w:rsid w:val="006A7958"/>
    <w:rsid w:val="006A7A5C"/>
    <w:rsid w:val="006B00E8"/>
    <w:rsid w:val="006B0CAB"/>
    <w:rsid w:val="006B11B5"/>
    <w:rsid w:val="006B139D"/>
    <w:rsid w:val="006B1AAE"/>
    <w:rsid w:val="006B1D87"/>
    <w:rsid w:val="006B3096"/>
    <w:rsid w:val="006B3E9F"/>
    <w:rsid w:val="006B5863"/>
    <w:rsid w:val="006B6154"/>
    <w:rsid w:val="006B68BA"/>
    <w:rsid w:val="006B6C0D"/>
    <w:rsid w:val="006B7B56"/>
    <w:rsid w:val="006B7BF7"/>
    <w:rsid w:val="006B7D88"/>
    <w:rsid w:val="006B7E23"/>
    <w:rsid w:val="006C02F2"/>
    <w:rsid w:val="006C12AF"/>
    <w:rsid w:val="006C1F10"/>
    <w:rsid w:val="006C49A4"/>
    <w:rsid w:val="006C67F4"/>
    <w:rsid w:val="006C75FB"/>
    <w:rsid w:val="006D1576"/>
    <w:rsid w:val="006D168D"/>
    <w:rsid w:val="006D1B52"/>
    <w:rsid w:val="006D26AA"/>
    <w:rsid w:val="006D2A96"/>
    <w:rsid w:val="006D2AAB"/>
    <w:rsid w:val="006D2F6A"/>
    <w:rsid w:val="006D367F"/>
    <w:rsid w:val="006D576C"/>
    <w:rsid w:val="006D5D03"/>
    <w:rsid w:val="006D5D0A"/>
    <w:rsid w:val="006D69BF"/>
    <w:rsid w:val="006D71A6"/>
    <w:rsid w:val="006D7B26"/>
    <w:rsid w:val="006E022F"/>
    <w:rsid w:val="006E043D"/>
    <w:rsid w:val="006E0599"/>
    <w:rsid w:val="006E0F2C"/>
    <w:rsid w:val="006E25BB"/>
    <w:rsid w:val="006E2A7E"/>
    <w:rsid w:val="006E3D4D"/>
    <w:rsid w:val="006E42AD"/>
    <w:rsid w:val="006E5D0B"/>
    <w:rsid w:val="006E5E28"/>
    <w:rsid w:val="006E6574"/>
    <w:rsid w:val="006E6E6E"/>
    <w:rsid w:val="006E7BEB"/>
    <w:rsid w:val="006F126A"/>
    <w:rsid w:val="006F13B1"/>
    <w:rsid w:val="006F1FA7"/>
    <w:rsid w:val="006F22B9"/>
    <w:rsid w:val="006F245D"/>
    <w:rsid w:val="006F2493"/>
    <w:rsid w:val="006F253E"/>
    <w:rsid w:val="006F297F"/>
    <w:rsid w:val="006F4FD4"/>
    <w:rsid w:val="006F5608"/>
    <w:rsid w:val="006F6315"/>
    <w:rsid w:val="006F6B09"/>
    <w:rsid w:val="006F752B"/>
    <w:rsid w:val="006F7B28"/>
    <w:rsid w:val="00700247"/>
    <w:rsid w:val="00700B60"/>
    <w:rsid w:val="00700E36"/>
    <w:rsid w:val="0070148B"/>
    <w:rsid w:val="00701574"/>
    <w:rsid w:val="00702E8F"/>
    <w:rsid w:val="007034DF"/>
    <w:rsid w:val="00703566"/>
    <w:rsid w:val="0070418D"/>
    <w:rsid w:val="00706A4F"/>
    <w:rsid w:val="00706B59"/>
    <w:rsid w:val="00707B00"/>
    <w:rsid w:val="007101D3"/>
    <w:rsid w:val="007112C6"/>
    <w:rsid w:val="00711381"/>
    <w:rsid w:val="00711421"/>
    <w:rsid w:val="00711DEA"/>
    <w:rsid w:val="00712249"/>
    <w:rsid w:val="00712D4C"/>
    <w:rsid w:val="0071321E"/>
    <w:rsid w:val="00713C2D"/>
    <w:rsid w:val="007147EC"/>
    <w:rsid w:val="00714CF2"/>
    <w:rsid w:val="00714D75"/>
    <w:rsid w:val="00714ED1"/>
    <w:rsid w:val="00714FBA"/>
    <w:rsid w:val="00714FFD"/>
    <w:rsid w:val="0071527C"/>
    <w:rsid w:val="007156B9"/>
    <w:rsid w:val="00715A97"/>
    <w:rsid w:val="007161C4"/>
    <w:rsid w:val="0071664E"/>
    <w:rsid w:val="00716B63"/>
    <w:rsid w:val="00717471"/>
    <w:rsid w:val="007179D7"/>
    <w:rsid w:val="007202BD"/>
    <w:rsid w:val="007203D6"/>
    <w:rsid w:val="00720817"/>
    <w:rsid w:val="007209BF"/>
    <w:rsid w:val="00720D54"/>
    <w:rsid w:val="0072138C"/>
    <w:rsid w:val="00721B1D"/>
    <w:rsid w:val="00722850"/>
    <w:rsid w:val="00723566"/>
    <w:rsid w:val="007235E3"/>
    <w:rsid w:val="00723C15"/>
    <w:rsid w:val="00724263"/>
    <w:rsid w:val="00724505"/>
    <w:rsid w:val="00724A6B"/>
    <w:rsid w:val="007252E9"/>
    <w:rsid w:val="0072545B"/>
    <w:rsid w:val="007258F7"/>
    <w:rsid w:val="00725F2F"/>
    <w:rsid w:val="00726A1E"/>
    <w:rsid w:val="00727CFC"/>
    <w:rsid w:val="00727D92"/>
    <w:rsid w:val="007312E5"/>
    <w:rsid w:val="0073161E"/>
    <w:rsid w:val="007329A9"/>
    <w:rsid w:val="00732AA3"/>
    <w:rsid w:val="0073353F"/>
    <w:rsid w:val="00733BF6"/>
    <w:rsid w:val="007348D5"/>
    <w:rsid w:val="00735A91"/>
    <w:rsid w:val="0073668D"/>
    <w:rsid w:val="00741DE8"/>
    <w:rsid w:val="00742BCD"/>
    <w:rsid w:val="00742E45"/>
    <w:rsid w:val="00742EF1"/>
    <w:rsid w:val="00743A78"/>
    <w:rsid w:val="00743FC8"/>
    <w:rsid w:val="007447AF"/>
    <w:rsid w:val="00744C93"/>
    <w:rsid w:val="00744D8F"/>
    <w:rsid w:val="00745223"/>
    <w:rsid w:val="007460B7"/>
    <w:rsid w:val="0074713A"/>
    <w:rsid w:val="00750130"/>
    <w:rsid w:val="00750816"/>
    <w:rsid w:val="00750F8F"/>
    <w:rsid w:val="00751AFC"/>
    <w:rsid w:val="00751FFB"/>
    <w:rsid w:val="00752062"/>
    <w:rsid w:val="007521DE"/>
    <w:rsid w:val="00752785"/>
    <w:rsid w:val="00752F36"/>
    <w:rsid w:val="00753068"/>
    <w:rsid w:val="0075308E"/>
    <w:rsid w:val="00753A48"/>
    <w:rsid w:val="00753EBE"/>
    <w:rsid w:val="00754FFC"/>
    <w:rsid w:val="00755B1A"/>
    <w:rsid w:val="0075742B"/>
    <w:rsid w:val="007576DA"/>
    <w:rsid w:val="00757A4F"/>
    <w:rsid w:val="007613F2"/>
    <w:rsid w:val="00761401"/>
    <w:rsid w:val="00761441"/>
    <w:rsid w:val="00761653"/>
    <w:rsid w:val="00761673"/>
    <w:rsid w:val="00761F12"/>
    <w:rsid w:val="007623B1"/>
    <w:rsid w:val="007624D8"/>
    <w:rsid w:val="00763091"/>
    <w:rsid w:val="007630B4"/>
    <w:rsid w:val="007630C0"/>
    <w:rsid w:val="00763969"/>
    <w:rsid w:val="00763DDC"/>
    <w:rsid w:val="0076471B"/>
    <w:rsid w:val="00764981"/>
    <w:rsid w:val="00764A82"/>
    <w:rsid w:val="0076538B"/>
    <w:rsid w:val="007657C1"/>
    <w:rsid w:val="00767347"/>
    <w:rsid w:val="00767E43"/>
    <w:rsid w:val="00767E6F"/>
    <w:rsid w:val="00770AC5"/>
    <w:rsid w:val="00771D14"/>
    <w:rsid w:val="00771F5C"/>
    <w:rsid w:val="00771FA0"/>
    <w:rsid w:val="007723AE"/>
    <w:rsid w:val="0077369E"/>
    <w:rsid w:val="00774EEA"/>
    <w:rsid w:val="00775344"/>
    <w:rsid w:val="00775668"/>
    <w:rsid w:val="00775944"/>
    <w:rsid w:val="00775958"/>
    <w:rsid w:val="00776001"/>
    <w:rsid w:val="00776164"/>
    <w:rsid w:val="00776CF5"/>
    <w:rsid w:val="007771D9"/>
    <w:rsid w:val="0077746F"/>
    <w:rsid w:val="0077755F"/>
    <w:rsid w:val="00777847"/>
    <w:rsid w:val="007800A9"/>
    <w:rsid w:val="00782D1E"/>
    <w:rsid w:val="0078327E"/>
    <w:rsid w:val="007836B3"/>
    <w:rsid w:val="00784A1A"/>
    <w:rsid w:val="007859E2"/>
    <w:rsid w:val="00786937"/>
    <w:rsid w:val="00786AD3"/>
    <w:rsid w:val="007876AF"/>
    <w:rsid w:val="00787771"/>
    <w:rsid w:val="00790080"/>
    <w:rsid w:val="00790794"/>
    <w:rsid w:val="00792C45"/>
    <w:rsid w:val="0079316B"/>
    <w:rsid w:val="00793783"/>
    <w:rsid w:val="0079433B"/>
    <w:rsid w:val="00794732"/>
    <w:rsid w:val="007947D8"/>
    <w:rsid w:val="00794859"/>
    <w:rsid w:val="0079565E"/>
    <w:rsid w:val="00795B83"/>
    <w:rsid w:val="00795DB7"/>
    <w:rsid w:val="007966D9"/>
    <w:rsid w:val="00796938"/>
    <w:rsid w:val="0079710E"/>
    <w:rsid w:val="007973F5"/>
    <w:rsid w:val="007975D9"/>
    <w:rsid w:val="00797BED"/>
    <w:rsid w:val="007A00F6"/>
    <w:rsid w:val="007A137A"/>
    <w:rsid w:val="007A1414"/>
    <w:rsid w:val="007A1AF9"/>
    <w:rsid w:val="007A260F"/>
    <w:rsid w:val="007A39EF"/>
    <w:rsid w:val="007A3A05"/>
    <w:rsid w:val="007A3A81"/>
    <w:rsid w:val="007A3FA8"/>
    <w:rsid w:val="007A406D"/>
    <w:rsid w:val="007A43B2"/>
    <w:rsid w:val="007A56BC"/>
    <w:rsid w:val="007A57B4"/>
    <w:rsid w:val="007A62B0"/>
    <w:rsid w:val="007A67BE"/>
    <w:rsid w:val="007A6C06"/>
    <w:rsid w:val="007A7A0B"/>
    <w:rsid w:val="007A7AD0"/>
    <w:rsid w:val="007A7DE0"/>
    <w:rsid w:val="007B000A"/>
    <w:rsid w:val="007B0419"/>
    <w:rsid w:val="007B063D"/>
    <w:rsid w:val="007B07F4"/>
    <w:rsid w:val="007B0B02"/>
    <w:rsid w:val="007B0DE8"/>
    <w:rsid w:val="007B31DE"/>
    <w:rsid w:val="007B390F"/>
    <w:rsid w:val="007B39C8"/>
    <w:rsid w:val="007B5BA0"/>
    <w:rsid w:val="007C0379"/>
    <w:rsid w:val="007C04B1"/>
    <w:rsid w:val="007C09F4"/>
    <w:rsid w:val="007C1EE5"/>
    <w:rsid w:val="007C21DD"/>
    <w:rsid w:val="007C3359"/>
    <w:rsid w:val="007C37B4"/>
    <w:rsid w:val="007C513E"/>
    <w:rsid w:val="007C5765"/>
    <w:rsid w:val="007C5A0C"/>
    <w:rsid w:val="007C5E10"/>
    <w:rsid w:val="007C5E53"/>
    <w:rsid w:val="007C7C11"/>
    <w:rsid w:val="007D0579"/>
    <w:rsid w:val="007D1259"/>
    <w:rsid w:val="007D2601"/>
    <w:rsid w:val="007D2B49"/>
    <w:rsid w:val="007D326C"/>
    <w:rsid w:val="007D33DF"/>
    <w:rsid w:val="007D3877"/>
    <w:rsid w:val="007D3EDC"/>
    <w:rsid w:val="007D3FF4"/>
    <w:rsid w:val="007D4AEE"/>
    <w:rsid w:val="007D5407"/>
    <w:rsid w:val="007D54DE"/>
    <w:rsid w:val="007D6A58"/>
    <w:rsid w:val="007D7850"/>
    <w:rsid w:val="007D7B28"/>
    <w:rsid w:val="007E0FEE"/>
    <w:rsid w:val="007E2701"/>
    <w:rsid w:val="007E3A66"/>
    <w:rsid w:val="007E3B04"/>
    <w:rsid w:val="007E4161"/>
    <w:rsid w:val="007E5C0E"/>
    <w:rsid w:val="007E71E9"/>
    <w:rsid w:val="007F0080"/>
    <w:rsid w:val="007F081F"/>
    <w:rsid w:val="007F0FE4"/>
    <w:rsid w:val="007F181B"/>
    <w:rsid w:val="007F2017"/>
    <w:rsid w:val="007F3BC2"/>
    <w:rsid w:val="007F420D"/>
    <w:rsid w:val="007F45DD"/>
    <w:rsid w:val="007F479E"/>
    <w:rsid w:val="007F4B73"/>
    <w:rsid w:val="007F5EC8"/>
    <w:rsid w:val="007F6094"/>
    <w:rsid w:val="007F6F4A"/>
    <w:rsid w:val="007F7DC4"/>
    <w:rsid w:val="00800245"/>
    <w:rsid w:val="00800913"/>
    <w:rsid w:val="00801D84"/>
    <w:rsid w:val="008029CB"/>
    <w:rsid w:val="0080390E"/>
    <w:rsid w:val="0080455C"/>
    <w:rsid w:val="00804675"/>
    <w:rsid w:val="008065F3"/>
    <w:rsid w:val="00806A41"/>
    <w:rsid w:val="00806DF5"/>
    <w:rsid w:val="00807018"/>
    <w:rsid w:val="00807444"/>
    <w:rsid w:val="008078B2"/>
    <w:rsid w:val="008102A3"/>
    <w:rsid w:val="00811D01"/>
    <w:rsid w:val="008120D4"/>
    <w:rsid w:val="00812917"/>
    <w:rsid w:val="00812F1F"/>
    <w:rsid w:val="008133C3"/>
    <w:rsid w:val="00813405"/>
    <w:rsid w:val="008159CF"/>
    <w:rsid w:val="00815C5C"/>
    <w:rsid w:val="00815CB2"/>
    <w:rsid w:val="00815D11"/>
    <w:rsid w:val="00816738"/>
    <w:rsid w:val="00816E05"/>
    <w:rsid w:val="00817148"/>
    <w:rsid w:val="00817873"/>
    <w:rsid w:val="00817DA0"/>
    <w:rsid w:val="008200F3"/>
    <w:rsid w:val="00821C34"/>
    <w:rsid w:val="008243FB"/>
    <w:rsid w:val="00824BBD"/>
    <w:rsid w:val="008258E4"/>
    <w:rsid w:val="0082626F"/>
    <w:rsid w:val="00826CD9"/>
    <w:rsid w:val="008273A4"/>
    <w:rsid w:val="00827AD7"/>
    <w:rsid w:val="00827EC8"/>
    <w:rsid w:val="00830C62"/>
    <w:rsid w:val="00830ED7"/>
    <w:rsid w:val="008318F3"/>
    <w:rsid w:val="00832195"/>
    <w:rsid w:val="008327DC"/>
    <w:rsid w:val="00832BD9"/>
    <w:rsid w:val="0083381F"/>
    <w:rsid w:val="008339BB"/>
    <w:rsid w:val="0083453F"/>
    <w:rsid w:val="008350DD"/>
    <w:rsid w:val="00836609"/>
    <w:rsid w:val="00837638"/>
    <w:rsid w:val="00841682"/>
    <w:rsid w:val="008416C8"/>
    <w:rsid w:val="00841E3A"/>
    <w:rsid w:val="00842A06"/>
    <w:rsid w:val="0084308B"/>
    <w:rsid w:val="008447FE"/>
    <w:rsid w:val="0084516C"/>
    <w:rsid w:val="008453C8"/>
    <w:rsid w:val="008464AE"/>
    <w:rsid w:val="008473DC"/>
    <w:rsid w:val="00847A11"/>
    <w:rsid w:val="00847EBA"/>
    <w:rsid w:val="00850451"/>
    <w:rsid w:val="00850C37"/>
    <w:rsid w:val="008510AC"/>
    <w:rsid w:val="00852890"/>
    <w:rsid w:val="00853CE6"/>
    <w:rsid w:val="00853F95"/>
    <w:rsid w:val="00854C04"/>
    <w:rsid w:val="00855271"/>
    <w:rsid w:val="00855E28"/>
    <w:rsid w:val="00856157"/>
    <w:rsid w:val="00856DEE"/>
    <w:rsid w:val="008576DC"/>
    <w:rsid w:val="00857A60"/>
    <w:rsid w:val="0086139A"/>
    <w:rsid w:val="00861A6E"/>
    <w:rsid w:val="00861BDC"/>
    <w:rsid w:val="00861E14"/>
    <w:rsid w:val="00862EDB"/>
    <w:rsid w:val="0086419A"/>
    <w:rsid w:val="0086420B"/>
    <w:rsid w:val="0086518B"/>
    <w:rsid w:val="00865F30"/>
    <w:rsid w:val="008662CA"/>
    <w:rsid w:val="008669EE"/>
    <w:rsid w:val="00867189"/>
    <w:rsid w:val="00867590"/>
    <w:rsid w:val="00867D36"/>
    <w:rsid w:val="0087023B"/>
    <w:rsid w:val="008714A3"/>
    <w:rsid w:val="00872247"/>
    <w:rsid w:val="00872A1B"/>
    <w:rsid w:val="00872CDC"/>
    <w:rsid w:val="00872EFC"/>
    <w:rsid w:val="00873329"/>
    <w:rsid w:val="008734A5"/>
    <w:rsid w:val="008735E6"/>
    <w:rsid w:val="00873C61"/>
    <w:rsid w:val="008747C9"/>
    <w:rsid w:val="00874A93"/>
    <w:rsid w:val="00874F9E"/>
    <w:rsid w:val="00876860"/>
    <w:rsid w:val="00877333"/>
    <w:rsid w:val="008778CB"/>
    <w:rsid w:val="008808E8"/>
    <w:rsid w:val="00880F4B"/>
    <w:rsid w:val="00882B0E"/>
    <w:rsid w:val="00882C4C"/>
    <w:rsid w:val="00883505"/>
    <w:rsid w:val="00883AE7"/>
    <w:rsid w:val="008847C1"/>
    <w:rsid w:val="008856F9"/>
    <w:rsid w:val="008858E3"/>
    <w:rsid w:val="008864F7"/>
    <w:rsid w:val="00886D2A"/>
    <w:rsid w:val="00887316"/>
    <w:rsid w:val="00887F8B"/>
    <w:rsid w:val="00890554"/>
    <w:rsid w:val="00890830"/>
    <w:rsid w:val="008913B1"/>
    <w:rsid w:val="00891C94"/>
    <w:rsid w:val="00891FF7"/>
    <w:rsid w:val="00892FF6"/>
    <w:rsid w:val="008932A4"/>
    <w:rsid w:val="0089379A"/>
    <w:rsid w:val="00893E45"/>
    <w:rsid w:val="008945F9"/>
    <w:rsid w:val="00894E06"/>
    <w:rsid w:val="0089562C"/>
    <w:rsid w:val="00896D68"/>
    <w:rsid w:val="00896F43"/>
    <w:rsid w:val="00897437"/>
    <w:rsid w:val="0089784F"/>
    <w:rsid w:val="008A0372"/>
    <w:rsid w:val="008A04A9"/>
    <w:rsid w:val="008A08BF"/>
    <w:rsid w:val="008A0CC1"/>
    <w:rsid w:val="008A0F21"/>
    <w:rsid w:val="008A117F"/>
    <w:rsid w:val="008A179F"/>
    <w:rsid w:val="008A1E28"/>
    <w:rsid w:val="008A29D3"/>
    <w:rsid w:val="008A2C61"/>
    <w:rsid w:val="008A3975"/>
    <w:rsid w:val="008A42FD"/>
    <w:rsid w:val="008A49F5"/>
    <w:rsid w:val="008A4B64"/>
    <w:rsid w:val="008A4DAE"/>
    <w:rsid w:val="008A6B46"/>
    <w:rsid w:val="008A6D22"/>
    <w:rsid w:val="008A735F"/>
    <w:rsid w:val="008A76B7"/>
    <w:rsid w:val="008A781E"/>
    <w:rsid w:val="008B0864"/>
    <w:rsid w:val="008B097B"/>
    <w:rsid w:val="008B175A"/>
    <w:rsid w:val="008B23BE"/>
    <w:rsid w:val="008B2D38"/>
    <w:rsid w:val="008B2FEA"/>
    <w:rsid w:val="008B43A6"/>
    <w:rsid w:val="008B479B"/>
    <w:rsid w:val="008B53EC"/>
    <w:rsid w:val="008B5A52"/>
    <w:rsid w:val="008B67A2"/>
    <w:rsid w:val="008B6BA5"/>
    <w:rsid w:val="008B75BC"/>
    <w:rsid w:val="008C07EB"/>
    <w:rsid w:val="008C0A3F"/>
    <w:rsid w:val="008C0B16"/>
    <w:rsid w:val="008C0B8F"/>
    <w:rsid w:val="008C1AA9"/>
    <w:rsid w:val="008C1E1F"/>
    <w:rsid w:val="008C223D"/>
    <w:rsid w:val="008C2402"/>
    <w:rsid w:val="008C2FC9"/>
    <w:rsid w:val="008C3443"/>
    <w:rsid w:val="008C3751"/>
    <w:rsid w:val="008C3A00"/>
    <w:rsid w:val="008C3CB7"/>
    <w:rsid w:val="008C47AF"/>
    <w:rsid w:val="008C639E"/>
    <w:rsid w:val="008C664F"/>
    <w:rsid w:val="008C6CA0"/>
    <w:rsid w:val="008C6CA5"/>
    <w:rsid w:val="008C7413"/>
    <w:rsid w:val="008C7E02"/>
    <w:rsid w:val="008D04EA"/>
    <w:rsid w:val="008D082B"/>
    <w:rsid w:val="008D0A05"/>
    <w:rsid w:val="008D0D58"/>
    <w:rsid w:val="008D1197"/>
    <w:rsid w:val="008D16B7"/>
    <w:rsid w:val="008D1DA7"/>
    <w:rsid w:val="008D1EE7"/>
    <w:rsid w:val="008D2D11"/>
    <w:rsid w:val="008D2DFA"/>
    <w:rsid w:val="008D36C2"/>
    <w:rsid w:val="008D3D3D"/>
    <w:rsid w:val="008D3E06"/>
    <w:rsid w:val="008D52AE"/>
    <w:rsid w:val="008D6170"/>
    <w:rsid w:val="008D643C"/>
    <w:rsid w:val="008D707A"/>
    <w:rsid w:val="008D71D5"/>
    <w:rsid w:val="008D73CC"/>
    <w:rsid w:val="008D743D"/>
    <w:rsid w:val="008E14E2"/>
    <w:rsid w:val="008E16BD"/>
    <w:rsid w:val="008E221A"/>
    <w:rsid w:val="008E3030"/>
    <w:rsid w:val="008E33FD"/>
    <w:rsid w:val="008E38AF"/>
    <w:rsid w:val="008E3C68"/>
    <w:rsid w:val="008E402B"/>
    <w:rsid w:val="008E4336"/>
    <w:rsid w:val="008E58BB"/>
    <w:rsid w:val="008E6791"/>
    <w:rsid w:val="008E680C"/>
    <w:rsid w:val="008E6939"/>
    <w:rsid w:val="008E6AE6"/>
    <w:rsid w:val="008E7A64"/>
    <w:rsid w:val="008F0116"/>
    <w:rsid w:val="008F01D1"/>
    <w:rsid w:val="008F0708"/>
    <w:rsid w:val="008F143D"/>
    <w:rsid w:val="008F1B0E"/>
    <w:rsid w:val="008F23C5"/>
    <w:rsid w:val="008F2ABB"/>
    <w:rsid w:val="008F3239"/>
    <w:rsid w:val="008F3E93"/>
    <w:rsid w:val="008F40FA"/>
    <w:rsid w:val="008F46AC"/>
    <w:rsid w:val="009022DE"/>
    <w:rsid w:val="009029C8"/>
    <w:rsid w:val="00903D76"/>
    <w:rsid w:val="00905CCA"/>
    <w:rsid w:val="00906149"/>
    <w:rsid w:val="00906780"/>
    <w:rsid w:val="00906894"/>
    <w:rsid w:val="00906BD2"/>
    <w:rsid w:val="00907271"/>
    <w:rsid w:val="009072CC"/>
    <w:rsid w:val="0090769D"/>
    <w:rsid w:val="00907782"/>
    <w:rsid w:val="00907A30"/>
    <w:rsid w:val="0091076C"/>
    <w:rsid w:val="00910D76"/>
    <w:rsid w:val="00913C80"/>
    <w:rsid w:val="00914ACD"/>
    <w:rsid w:val="00915481"/>
    <w:rsid w:val="009156B5"/>
    <w:rsid w:val="00915B0D"/>
    <w:rsid w:val="00915E0D"/>
    <w:rsid w:val="00916081"/>
    <w:rsid w:val="009162A7"/>
    <w:rsid w:val="00916D8E"/>
    <w:rsid w:val="009170A8"/>
    <w:rsid w:val="0091768B"/>
    <w:rsid w:val="009212D3"/>
    <w:rsid w:val="00921C0C"/>
    <w:rsid w:val="00923072"/>
    <w:rsid w:val="00923F46"/>
    <w:rsid w:val="00923FB4"/>
    <w:rsid w:val="00925C3E"/>
    <w:rsid w:val="009267C8"/>
    <w:rsid w:val="00926867"/>
    <w:rsid w:val="00926F95"/>
    <w:rsid w:val="00927961"/>
    <w:rsid w:val="00930258"/>
    <w:rsid w:val="0093075B"/>
    <w:rsid w:val="0093113D"/>
    <w:rsid w:val="00931281"/>
    <w:rsid w:val="009324F4"/>
    <w:rsid w:val="0093252D"/>
    <w:rsid w:val="00932865"/>
    <w:rsid w:val="00932BD8"/>
    <w:rsid w:val="009334F3"/>
    <w:rsid w:val="0093378B"/>
    <w:rsid w:val="00933CBB"/>
    <w:rsid w:val="00934871"/>
    <w:rsid w:val="0093564A"/>
    <w:rsid w:val="0093592B"/>
    <w:rsid w:val="00935C3B"/>
    <w:rsid w:val="0093606C"/>
    <w:rsid w:val="00936C5E"/>
    <w:rsid w:val="00936F32"/>
    <w:rsid w:val="00940D9A"/>
    <w:rsid w:val="00941DCD"/>
    <w:rsid w:val="0094335E"/>
    <w:rsid w:val="00943460"/>
    <w:rsid w:val="00943AD1"/>
    <w:rsid w:val="009459A6"/>
    <w:rsid w:val="00946007"/>
    <w:rsid w:val="00946403"/>
    <w:rsid w:val="009473C4"/>
    <w:rsid w:val="009474EA"/>
    <w:rsid w:val="00947B80"/>
    <w:rsid w:val="00947BC9"/>
    <w:rsid w:val="00950373"/>
    <w:rsid w:val="00951214"/>
    <w:rsid w:val="0095138B"/>
    <w:rsid w:val="009519CA"/>
    <w:rsid w:val="00951EA6"/>
    <w:rsid w:val="009545F8"/>
    <w:rsid w:val="0095526E"/>
    <w:rsid w:val="00955579"/>
    <w:rsid w:val="00955D38"/>
    <w:rsid w:val="00955F82"/>
    <w:rsid w:val="009566D3"/>
    <w:rsid w:val="009601C9"/>
    <w:rsid w:val="00960791"/>
    <w:rsid w:val="00960CDC"/>
    <w:rsid w:val="00960F9A"/>
    <w:rsid w:val="009612C8"/>
    <w:rsid w:val="00961983"/>
    <w:rsid w:val="00961C8D"/>
    <w:rsid w:val="0096243C"/>
    <w:rsid w:val="00962508"/>
    <w:rsid w:val="00962A81"/>
    <w:rsid w:val="0096359F"/>
    <w:rsid w:val="009658BD"/>
    <w:rsid w:val="009677D1"/>
    <w:rsid w:val="00967B91"/>
    <w:rsid w:val="0097047B"/>
    <w:rsid w:val="009706FC"/>
    <w:rsid w:val="009712D1"/>
    <w:rsid w:val="00971986"/>
    <w:rsid w:val="00971AE6"/>
    <w:rsid w:val="00971E05"/>
    <w:rsid w:val="00972E69"/>
    <w:rsid w:val="009734E0"/>
    <w:rsid w:val="00973760"/>
    <w:rsid w:val="00974A92"/>
    <w:rsid w:val="00975F03"/>
    <w:rsid w:val="009763AD"/>
    <w:rsid w:val="009766CB"/>
    <w:rsid w:val="009766E6"/>
    <w:rsid w:val="0097727F"/>
    <w:rsid w:val="0097749F"/>
    <w:rsid w:val="00977BEB"/>
    <w:rsid w:val="00977E9B"/>
    <w:rsid w:val="00980E18"/>
    <w:rsid w:val="00980F9E"/>
    <w:rsid w:val="0098138E"/>
    <w:rsid w:val="0098176B"/>
    <w:rsid w:val="00981BB8"/>
    <w:rsid w:val="009821BB"/>
    <w:rsid w:val="009836DA"/>
    <w:rsid w:val="00983A69"/>
    <w:rsid w:val="00984385"/>
    <w:rsid w:val="009846F4"/>
    <w:rsid w:val="00984987"/>
    <w:rsid w:val="0098498A"/>
    <w:rsid w:val="00984C48"/>
    <w:rsid w:val="00985486"/>
    <w:rsid w:val="009859E0"/>
    <w:rsid w:val="0098655A"/>
    <w:rsid w:val="00987BD2"/>
    <w:rsid w:val="00987D68"/>
    <w:rsid w:val="00987FAD"/>
    <w:rsid w:val="00991B45"/>
    <w:rsid w:val="0099216D"/>
    <w:rsid w:val="00992E64"/>
    <w:rsid w:val="00993046"/>
    <w:rsid w:val="00993813"/>
    <w:rsid w:val="00993CDD"/>
    <w:rsid w:val="009945C5"/>
    <w:rsid w:val="009946B4"/>
    <w:rsid w:val="00995948"/>
    <w:rsid w:val="00996BED"/>
    <w:rsid w:val="00996BF2"/>
    <w:rsid w:val="00996F27"/>
    <w:rsid w:val="00996F79"/>
    <w:rsid w:val="009970E7"/>
    <w:rsid w:val="009A01B6"/>
    <w:rsid w:val="009A0243"/>
    <w:rsid w:val="009A0DE2"/>
    <w:rsid w:val="009A155E"/>
    <w:rsid w:val="009A15AB"/>
    <w:rsid w:val="009A1FFA"/>
    <w:rsid w:val="009A2EBD"/>
    <w:rsid w:val="009A3B9F"/>
    <w:rsid w:val="009A45A2"/>
    <w:rsid w:val="009A4D93"/>
    <w:rsid w:val="009A5282"/>
    <w:rsid w:val="009A58A0"/>
    <w:rsid w:val="009A6498"/>
    <w:rsid w:val="009A66CA"/>
    <w:rsid w:val="009A6D94"/>
    <w:rsid w:val="009A6E36"/>
    <w:rsid w:val="009A70EA"/>
    <w:rsid w:val="009A79CC"/>
    <w:rsid w:val="009B0451"/>
    <w:rsid w:val="009B097E"/>
    <w:rsid w:val="009B0A22"/>
    <w:rsid w:val="009B11E0"/>
    <w:rsid w:val="009B1B1F"/>
    <w:rsid w:val="009B1FDB"/>
    <w:rsid w:val="009B3121"/>
    <w:rsid w:val="009B422A"/>
    <w:rsid w:val="009B4391"/>
    <w:rsid w:val="009B4472"/>
    <w:rsid w:val="009B4AE5"/>
    <w:rsid w:val="009B5D3A"/>
    <w:rsid w:val="009B6110"/>
    <w:rsid w:val="009B6BD5"/>
    <w:rsid w:val="009B6D7F"/>
    <w:rsid w:val="009C04EF"/>
    <w:rsid w:val="009C39C0"/>
    <w:rsid w:val="009C3B19"/>
    <w:rsid w:val="009C4E29"/>
    <w:rsid w:val="009C5A46"/>
    <w:rsid w:val="009C6380"/>
    <w:rsid w:val="009C6845"/>
    <w:rsid w:val="009C7002"/>
    <w:rsid w:val="009C7510"/>
    <w:rsid w:val="009D0209"/>
    <w:rsid w:val="009D0A1E"/>
    <w:rsid w:val="009D0ADA"/>
    <w:rsid w:val="009D0F15"/>
    <w:rsid w:val="009D1873"/>
    <w:rsid w:val="009D26BA"/>
    <w:rsid w:val="009D2801"/>
    <w:rsid w:val="009D31E3"/>
    <w:rsid w:val="009D36A5"/>
    <w:rsid w:val="009D413C"/>
    <w:rsid w:val="009D46B6"/>
    <w:rsid w:val="009D4FC1"/>
    <w:rsid w:val="009D60F8"/>
    <w:rsid w:val="009D7179"/>
    <w:rsid w:val="009E04B8"/>
    <w:rsid w:val="009E1879"/>
    <w:rsid w:val="009E3318"/>
    <w:rsid w:val="009E378A"/>
    <w:rsid w:val="009E3C96"/>
    <w:rsid w:val="009E3D6A"/>
    <w:rsid w:val="009E474A"/>
    <w:rsid w:val="009E5874"/>
    <w:rsid w:val="009E6052"/>
    <w:rsid w:val="009E62DF"/>
    <w:rsid w:val="009E6454"/>
    <w:rsid w:val="009E69D6"/>
    <w:rsid w:val="009E77A4"/>
    <w:rsid w:val="009E7C4D"/>
    <w:rsid w:val="009E7C7F"/>
    <w:rsid w:val="009F028E"/>
    <w:rsid w:val="009F0CDA"/>
    <w:rsid w:val="009F2F6F"/>
    <w:rsid w:val="009F329C"/>
    <w:rsid w:val="009F3346"/>
    <w:rsid w:val="009F36BA"/>
    <w:rsid w:val="009F3B84"/>
    <w:rsid w:val="009F4B35"/>
    <w:rsid w:val="009F5C2D"/>
    <w:rsid w:val="009F635B"/>
    <w:rsid w:val="00A01931"/>
    <w:rsid w:val="00A01B8A"/>
    <w:rsid w:val="00A0275D"/>
    <w:rsid w:val="00A02ACA"/>
    <w:rsid w:val="00A038C8"/>
    <w:rsid w:val="00A03ACA"/>
    <w:rsid w:val="00A03C93"/>
    <w:rsid w:val="00A0463D"/>
    <w:rsid w:val="00A04666"/>
    <w:rsid w:val="00A050EF"/>
    <w:rsid w:val="00A0538C"/>
    <w:rsid w:val="00A0571F"/>
    <w:rsid w:val="00A058DF"/>
    <w:rsid w:val="00A05950"/>
    <w:rsid w:val="00A05BAA"/>
    <w:rsid w:val="00A05CA6"/>
    <w:rsid w:val="00A06083"/>
    <w:rsid w:val="00A06FE4"/>
    <w:rsid w:val="00A0764E"/>
    <w:rsid w:val="00A07B7E"/>
    <w:rsid w:val="00A07D85"/>
    <w:rsid w:val="00A07DBF"/>
    <w:rsid w:val="00A07F39"/>
    <w:rsid w:val="00A113D2"/>
    <w:rsid w:val="00A12ADD"/>
    <w:rsid w:val="00A12CEC"/>
    <w:rsid w:val="00A12CF6"/>
    <w:rsid w:val="00A131EE"/>
    <w:rsid w:val="00A13287"/>
    <w:rsid w:val="00A132D7"/>
    <w:rsid w:val="00A140C0"/>
    <w:rsid w:val="00A14733"/>
    <w:rsid w:val="00A15E84"/>
    <w:rsid w:val="00A1659C"/>
    <w:rsid w:val="00A172BC"/>
    <w:rsid w:val="00A17CE0"/>
    <w:rsid w:val="00A20190"/>
    <w:rsid w:val="00A20BD4"/>
    <w:rsid w:val="00A21D57"/>
    <w:rsid w:val="00A2362B"/>
    <w:rsid w:val="00A23D48"/>
    <w:rsid w:val="00A24F84"/>
    <w:rsid w:val="00A25041"/>
    <w:rsid w:val="00A2533A"/>
    <w:rsid w:val="00A26C3B"/>
    <w:rsid w:val="00A27238"/>
    <w:rsid w:val="00A27DA3"/>
    <w:rsid w:val="00A27E22"/>
    <w:rsid w:val="00A30001"/>
    <w:rsid w:val="00A309BD"/>
    <w:rsid w:val="00A30C67"/>
    <w:rsid w:val="00A30F32"/>
    <w:rsid w:val="00A30FEA"/>
    <w:rsid w:val="00A31103"/>
    <w:rsid w:val="00A3115F"/>
    <w:rsid w:val="00A31996"/>
    <w:rsid w:val="00A31ED4"/>
    <w:rsid w:val="00A31FD9"/>
    <w:rsid w:val="00A322EC"/>
    <w:rsid w:val="00A33E79"/>
    <w:rsid w:val="00A3439C"/>
    <w:rsid w:val="00A343DA"/>
    <w:rsid w:val="00A3449F"/>
    <w:rsid w:val="00A344B6"/>
    <w:rsid w:val="00A350CE"/>
    <w:rsid w:val="00A358E1"/>
    <w:rsid w:val="00A35E56"/>
    <w:rsid w:val="00A40A0E"/>
    <w:rsid w:val="00A41222"/>
    <w:rsid w:val="00A41681"/>
    <w:rsid w:val="00A41AD7"/>
    <w:rsid w:val="00A420C3"/>
    <w:rsid w:val="00A422D3"/>
    <w:rsid w:val="00A42306"/>
    <w:rsid w:val="00A42399"/>
    <w:rsid w:val="00A42866"/>
    <w:rsid w:val="00A44E8D"/>
    <w:rsid w:val="00A454EB"/>
    <w:rsid w:val="00A45963"/>
    <w:rsid w:val="00A4647E"/>
    <w:rsid w:val="00A46B92"/>
    <w:rsid w:val="00A46CA8"/>
    <w:rsid w:val="00A46EA8"/>
    <w:rsid w:val="00A46F53"/>
    <w:rsid w:val="00A52959"/>
    <w:rsid w:val="00A53363"/>
    <w:rsid w:val="00A53620"/>
    <w:rsid w:val="00A53686"/>
    <w:rsid w:val="00A5489F"/>
    <w:rsid w:val="00A5496B"/>
    <w:rsid w:val="00A55ACD"/>
    <w:rsid w:val="00A55EC2"/>
    <w:rsid w:val="00A560D0"/>
    <w:rsid w:val="00A56419"/>
    <w:rsid w:val="00A573D3"/>
    <w:rsid w:val="00A60820"/>
    <w:rsid w:val="00A609A9"/>
    <w:rsid w:val="00A61062"/>
    <w:rsid w:val="00A61E8B"/>
    <w:rsid w:val="00A623B8"/>
    <w:rsid w:val="00A62408"/>
    <w:rsid w:val="00A624EB"/>
    <w:rsid w:val="00A6288F"/>
    <w:rsid w:val="00A628A7"/>
    <w:rsid w:val="00A633C8"/>
    <w:rsid w:val="00A63CDE"/>
    <w:rsid w:val="00A64239"/>
    <w:rsid w:val="00A64BA7"/>
    <w:rsid w:val="00A663C9"/>
    <w:rsid w:val="00A671F9"/>
    <w:rsid w:val="00A67215"/>
    <w:rsid w:val="00A7078D"/>
    <w:rsid w:val="00A712D3"/>
    <w:rsid w:val="00A718AF"/>
    <w:rsid w:val="00A72453"/>
    <w:rsid w:val="00A74CE6"/>
    <w:rsid w:val="00A74F57"/>
    <w:rsid w:val="00A75DCB"/>
    <w:rsid w:val="00A80D6E"/>
    <w:rsid w:val="00A82512"/>
    <w:rsid w:val="00A82679"/>
    <w:rsid w:val="00A828B7"/>
    <w:rsid w:val="00A82B4B"/>
    <w:rsid w:val="00A82BFB"/>
    <w:rsid w:val="00A8332F"/>
    <w:rsid w:val="00A84E24"/>
    <w:rsid w:val="00A85080"/>
    <w:rsid w:val="00A852E3"/>
    <w:rsid w:val="00A85D27"/>
    <w:rsid w:val="00A862FC"/>
    <w:rsid w:val="00A8639F"/>
    <w:rsid w:val="00A86A8B"/>
    <w:rsid w:val="00A86DD5"/>
    <w:rsid w:val="00A87A88"/>
    <w:rsid w:val="00A87B46"/>
    <w:rsid w:val="00A90C99"/>
    <w:rsid w:val="00A923A4"/>
    <w:rsid w:val="00A9449F"/>
    <w:rsid w:val="00A9484F"/>
    <w:rsid w:val="00A94FB6"/>
    <w:rsid w:val="00A95423"/>
    <w:rsid w:val="00A95839"/>
    <w:rsid w:val="00A96C12"/>
    <w:rsid w:val="00A975CA"/>
    <w:rsid w:val="00A97923"/>
    <w:rsid w:val="00AA00F1"/>
    <w:rsid w:val="00AA02DD"/>
    <w:rsid w:val="00AA09AA"/>
    <w:rsid w:val="00AA0E39"/>
    <w:rsid w:val="00AA158B"/>
    <w:rsid w:val="00AA16ED"/>
    <w:rsid w:val="00AA1A03"/>
    <w:rsid w:val="00AA1E3A"/>
    <w:rsid w:val="00AA3FE9"/>
    <w:rsid w:val="00AA3FF3"/>
    <w:rsid w:val="00AA41B1"/>
    <w:rsid w:val="00AA58DE"/>
    <w:rsid w:val="00AA5A03"/>
    <w:rsid w:val="00AA7BF6"/>
    <w:rsid w:val="00AB0492"/>
    <w:rsid w:val="00AB079D"/>
    <w:rsid w:val="00AB3168"/>
    <w:rsid w:val="00AB3194"/>
    <w:rsid w:val="00AB31D9"/>
    <w:rsid w:val="00AB3909"/>
    <w:rsid w:val="00AB476B"/>
    <w:rsid w:val="00AB4F6E"/>
    <w:rsid w:val="00AB5472"/>
    <w:rsid w:val="00AB5AA5"/>
    <w:rsid w:val="00AB7875"/>
    <w:rsid w:val="00AB789E"/>
    <w:rsid w:val="00AB78D8"/>
    <w:rsid w:val="00AB795A"/>
    <w:rsid w:val="00AB7A3B"/>
    <w:rsid w:val="00AC0096"/>
    <w:rsid w:val="00AC0697"/>
    <w:rsid w:val="00AC0E31"/>
    <w:rsid w:val="00AC1C0A"/>
    <w:rsid w:val="00AC1DDF"/>
    <w:rsid w:val="00AC2234"/>
    <w:rsid w:val="00AC291F"/>
    <w:rsid w:val="00AC2F57"/>
    <w:rsid w:val="00AC2F91"/>
    <w:rsid w:val="00AC363C"/>
    <w:rsid w:val="00AC48BF"/>
    <w:rsid w:val="00AC5AD8"/>
    <w:rsid w:val="00AC5D4C"/>
    <w:rsid w:val="00AC652B"/>
    <w:rsid w:val="00AC67F9"/>
    <w:rsid w:val="00AC68EE"/>
    <w:rsid w:val="00AC7D6B"/>
    <w:rsid w:val="00AD0CAD"/>
    <w:rsid w:val="00AD1122"/>
    <w:rsid w:val="00AD21A2"/>
    <w:rsid w:val="00AD2768"/>
    <w:rsid w:val="00AD2881"/>
    <w:rsid w:val="00AD34AA"/>
    <w:rsid w:val="00AD4805"/>
    <w:rsid w:val="00AD50D5"/>
    <w:rsid w:val="00AD516D"/>
    <w:rsid w:val="00AD5330"/>
    <w:rsid w:val="00AD59B1"/>
    <w:rsid w:val="00AD7EFD"/>
    <w:rsid w:val="00AE0417"/>
    <w:rsid w:val="00AE0D25"/>
    <w:rsid w:val="00AE1671"/>
    <w:rsid w:val="00AE20EA"/>
    <w:rsid w:val="00AE370A"/>
    <w:rsid w:val="00AE3AC2"/>
    <w:rsid w:val="00AE42F9"/>
    <w:rsid w:val="00AE57FA"/>
    <w:rsid w:val="00AE6B75"/>
    <w:rsid w:val="00AE7147"/>
    <w:rsid w:val="00AE71BD"/>
    <w:rsid w:val="00AE73BE"/>
    <w:rsid w:val="00AE742D"/>
    <w:rsid w:val="00AF048B"/>
    <w:rsid w:val="00AF15B8"/>
    <w:rsid w:val="00AF2833"/>
    <w:rsid w:val="00AF312C"/>
    <w:rsid w:val="00AF41A8"/>
    <w:rsid w:val="00AF42A6"/>
    <w:rsid w:val="00AF53D9"/>
    <w:rsid w:val="00AF5EB2"/>
    <w:rsid w:val="00AF6A28"/>
    <w:rsid w:val="00AF6E8E"/>
    <w:rsid w:val="00AF74A9"/>
    <w:rsid w:val="00B01049"/>
    <w:rsid w:val="00B01858"/>
    <w:rsid w:val="00B01E98"/>
    <w:rsid w:val="00B01F7E"/>
    <w:rsid w:val="00B021E8"/>
    <w:rsid w:val="00B0221A"/>
    <w:rsid w:val="00B0275B"/>
    <w:rsid w:val="00B0278B"/>
    <w:rsid w:val="00B02A2A"/>
    <w:rsid w:val="00B03448"/>
    <w:rsid w:val="00B040BE"/>
    <w:rsid w:val="00B04E54"/>
    <w:rsid w:val="00B05024"/>
    <w:rsid w:val="00B065BE"/>
    <w:rsid w:val="00B06A5C"/>
    <w:rsid w:val="00B07A16"/>
    <w:rsid w:val="00B100F4"/>
    <w:rsid w:val="00B10D60"/>
    <w:rsid w:val="00B113EA"/>
    <w:rsid w:val="00B120A2"/>
    <w:rsid w:val="00B120E5"/>
    <w:rsid w:val="00B1250F"/>
    <w:rsid w:val="00B12ACB"/>
    <w:rsid w:val="00B12F6D"/>
    <w:rsid w:val="00B140AE"/>
    <w:rsid w:val="00B14D02"/>
    <w:rsid w:val="00B1514F"/>
    <w:rsid w:val="00B1581E"/>
    <w:rsid w:val="00B16712"/>
    <w:rsid w:val="00B16747"/>
    <w:rsid w:val="00B16C2A"/>
    <w:rsid w:val="00B17D76"/>
    <w:rsid w:val="00B20525"/>
    <w:rsid w:val="00B20896"/>
    <w:rsid w:val="00B20897"/>
    <w:rsid w:val="00B21BEF"/>
    <w:rsid w:val="00B22C61"/>
    <w:rsid w:val="00B23104"/>
    <w:rsid w:val="00B23711"/>
    <w:rsid w:val="00B23A82"/>
    <w:rsid w:val="00B2470C"/>
    <w:rsid w:val="00B26D38"/>
    <w:rsid w:val="00B273CA"/>
    <w:rsid w:val="00B275A6"/>
    <w:rsid w:val="00B27FC4"/>
    <w:rsid w:val="00B3087D"/>
    <w:rsid w:val="00B30F7D"/>
    <w:rsid w:val="00B31322"/>
    <w:rsid w:val="00B31635"/>
    <w:rsid w:val="00B3243C"/>
    <w:rsid w:val="00B324A8"/>
    <w:rsid w:val="00B32719"/>
    <w:rsid w:val="00B3349B"/>
    <w:rsid w:val="00B34794"/>
    <w:rsid w:val="00B34A28"/>
    <w:rsid w:val="00B34A76"/>
    <w:rsid w:val="00B34BC6"/>
    <w:rsid w:val="00B351C9"/>
    <w:rsid w:val="00B35648"/>
    <w:rsid w:val="00B3578A"/>
    <w:rsid w:val="00B35EEE"/>
    <w:rsid w:val="00B36574"/>
    <w:rsid w:val="00B376C4"/>
    <w:rsid w:val="00B40689"/>
    <w:rsid w:val="00B40B50"/>
    <w:rsid w:val="00B410B3"/>
    <w:rsid w:val="00B43F7D"/>
    <w:rsid w:val="00B44340"/>
    <w:rsid w:val="00B44BA1"/>
    <w:rsid w:val="00B44E7C"/>
    <w:rsid w:val="00B4544F"/>
    <w:rsid w:val="00B456B8"/>
    <w:rsid w:val="00B45FDD"/>
    <w:rsid w:val="00B50260"/>
    <w:rsid w:val="00B50AED"/>
    <w:rsid w:val="00B51500"/>
    <w:rsid w:val="00B5180C"/>
    <w:rsid w:val="00B51972"/>
    <w:rsid w:val="00B519B3"/>
    <w:rsid w:val="00B51C49"/>
    <w:rsid w:val="00B524CE"/>
    <w:rsid w:val="00B53059"/>
    <w:rsid w:val="00B5419C"/>
    <w:rsid w:val="00B54A49"/>
    <w:rsid w:val="00B54A98"/>
    <w:rsid w:val="00B56968"/>
    <w:rsid w:val="00B570C8"/>
    <w:rsid w:val="00B601A6"/>
    <w:rsid w:val="00B60421"/>
    <w:rsid w:val="00B60C32"/>
    <w:rsid w:val="00B6182C"/>
    <w:rsid w:val="00B618F0"/>
    <w:rsid w:val="00B62C9F"/>
    <w:rsid w:val="00B630DA"/>
    <w:rsid w:val="00B6384C"/>
    <w:rsid w:val="00B63AA5"/>
    <w:rsid w:val="00B63EDD"/>
    <w:rsid w:val="00B6408D"/>
    <w:rsid w:val="00B644F0"/>
    <w:rsid w:val="00B64675"/>
    <w:rsid w:val="00B64B7E"/>
    <w:rsid w:val="00B64E08"/>
    <w:rsid w:val="00B65A79"/>
    <w:rsid w:val="00B65DEA"/>
    <w:rsid w:val="00B665DB"/>
    <w:rsid w:val="00B666E3"/>
    <w:rsid w:val="00B66F24"/>
    <w:rsid w:val="00B678EF"/>
    <w:rsid w:val="00B67CB7"/>
    <w:rsid w:val="00B71961"/>
    <w:rsid w:val="00B7196A"/>
    <w:rsid w:val="00B71C19"/>
    <w:rsid w:val="00B71C93"/>
    <w:rsid w:val="00B721C5"/>
    <w:rsid w:val="00B7262C"/>
    <w:rsid w:val="00B72704"/>
    <w:rsid w:val="00B72BE6"/>
    <w:rsid w:val="00B730CF"/>
    <w:rsid w:val="00B73160"/>
    <w:rsid w:val="00B73580"/>
    <w:rsid w:val="00B74E3A"/>
    <w:rsid w:val="00B74E76"/>
    <w:rsid w:val="00B759F3"/>
    <w:rsid w:val="00B76FF4"/>
    <w:rsid w:val="00B77483"/>
    <w:rsid w:val="00B77799"/>
    <w:rsid w:val="00B80305"/>
    <w:rsid w:val="00B80716"/>
    <w:rsid w:val="00B81A53"/>
    <w:rsid w:val="00B81A5D"/>
    <w:rsid w:val="00B81EB6"/>
    <w:rsid w:val="00B8248E"/>
    <w:rsid w:val="00B8274F"/>
    <w:rsid w:val="00B82C2D"/>
    <w:rsid w:val="00B834F8"/>
    <w:rsid w:val="00B838C0"/>
    <w:rsid w:val="00B83B8E"/>
    <w:rsid w:val="00B83FA9"/>
    <w:rsid w:val="00B84233"/>
    <w:rsid w:val="00B84715"/>
    <w:rsid w:val="00B84ADF"/>
    <w:rsid w:val="00B86D1A"/>
    <w:rsid w:val="00B87044"/>
    <w:rsid w:val="00B8752F"/>
    <w:rsid w:val="00B90412"/>
    <w:rsid w:val="00B906D9"/>
    <w:rsid w:val="00B90FDA"/>
    <w:rsid w:val="00B910E8"/>
    <w:rsid w:val="00B91462"/>
    <w:rsid w:val="00B92075"/>
    <w:rsid w:val="00B93856"/>
    <w:rsid w:val="00B94219"/>
    <w:rsid w:val="00B947AC"/>
    <w:rsid w:val="00B95A76"/>
    <w:rsid w:val="00B9621C"/>
    <w:rsid w:val="00BA1475"/>
    <w:rsid w:val="00BA16C8"/>
    <w:rsid w:val="00BA1E14"/>
    <w:rsid w:val="00BA2DA2"/>
    <w:rsid w:val="00BA3FD7"/>
    <w:rsid w:val="00BA4300"/>
    <w:rsid w:val="00BA4796"/>
    <w:rsid w:val="00BA4877"/>
    <w:rsid w:val="00BA4B00"/>
    <w:rsid w:val="00BA6C71"/>
    <w:rsid w:val="00BA77C5"/>
    <w:rsid w:val="00BB0243"/>
    <w:rsid w:val="00BB0390"/>
    <w:rsid w:val="00BB0C39"/>
    <w:rsid w:val="00BB1482"/>
    <w:rsid w:val="00BB23B4"/>
    <w:rsid w:val="00BB23D1"/>
    <w:rsid w:val="00BB2C73"/>
    <w:rsid w:val="00BB3320"/>
    <w:rsid w:val="00BB4279"/>
    <w:rsid w:val="00BB453D"/>
    <w:rsid w:val="00BB475B"/>
    <w:rsid w:val="00BB4F04"/>
    <w:rsid w:val="00BB54F3"/>
    <w:rsid w:val="00BB5C25"/>
    <w:rsid w:val="00BB6508"/>
    <w:rsid w:val="00BB6B4F"/>
    <w:rsid w:val="00BB6BD9"/>
    <w:rsid w:val="00BB71B0"/>
    <w:rsid w:val="00BB7950"/>
    <w:rsid w:val="00BB7DF8"/>
    <w:rsid w:val="00BB7EE2"/>
    <w:rsid w:val="00BC0098"/>
    <w:rsid w:val="00BC0481"/>
    <w:rsid w:val="00BC0AC3"/>
    <w:rsid w:val="00BC152A"/>
    <w:rsid w:val="00BC176A"/>
    <w:rsid w:val="00BC33B4"/>
    <w:rsid w:val="00BC3787"/>
    <w:rsid w:val="00BC38F0"/>
    <w:rsid w:val="00BC4023"/>
    <w:rsid w:val="00BC4C4C"/>
    <w:rsid w:val="00BC4FAD"/>
    <w:rsid w:val="00BC5B7B"/>
    <w:rsid w:val="00BC67FE"/>
    <w:rsid w:val="00BC7BAF"/>
    <w:rsid w:val="00BD04B7"/>
    <w:rsid w:val="00BD05A9"/>
    <w:rsid w:val="00BD1462"/>
    <w:rsid w:val="00BD19BF"/>
    <w:rsid w:val="00BD1D8C"/>
    <w:rsid w:val="00BD2609"/>
    <w:rsid w:val="00BD3832"/>
    <w:rsid w:val="00BD3A11"/>
    <w:rsid w:val="00BD4145"/>
    <w:rsid w:val="00BD51FA"/>
    <w:rsid w:val="00BD52B5"/>
    <w:rsid w:val="00BD60AB"/>
    <w:rsid w:val="00BD6625"/>
    <w:rsid w:val="00BD6958"/>
    <w:rsid w:val="00BD6F73"/>
    <w:rsid w:val="00BD6FE3"/>
    <w:rsid w:val="00BE037C"/>
    <w:rsid w:val="00BE2380"/>
    <w:rsid w:val="00BE27F6"/>
    <w:rsid w:val="00BE30E2"/>
    <w:rsid w:val="00BE33A5"/>
    <w:rsid w:val="00BE35A2"/>
    <w:rsid w:val="00BE36BE"/>
    <w:rsid w:val="00BE3C65"/>
    <w:rsid w:val="00BE41F7"/>
    <w:rsid w:val="00BE477A"/>
    <w:rsid w:val="00BE5EF5"/>
    <w:rsid w:val="00BE6D67"/>
    <w:rsid w:val="00BE7A65"/>
    <w:rsid w:val="00BF01BE"/>
    <w:rsid w:val="00BF1121"/>
    <w:rsid w:val="00BF17EC"/>
    <w:rsid w:val="00BF1BED"/>
    <w:rsid w:val="00BF2062"/>
    <w:rsid w:val="00BF209B"/>
    <w:rsid w:val="00BF29E8"/>
    <w:rsid w:val="00BF43BF"/>
    <w:rsid w:val="00BF4A65"/>
    <w:rsid w:val="00BF4C5E"/>
    <w:rsid w:val="00BF6C1E"/>
    <w:rsid w:val="00BF6DBC"/>
    <w:rsid w:val="00BF70CB"/>
    <w:rsid w:val="00BF7694"/>
    <w:rsid w:val="00BF7727"/>
    <w:rsid w:val="00BF79DC"/>
    <w:rsid w:val="00C011AE"/>
    <w:rsid w:val="00C02BC8"/>
    <w:rsid w:val="00C03879"/>
    <w:rsid w:val="00C03FF3"/>
    <w:rsid w:val="00C06C91"/>
    <w:rsid w:val="00C10B5F"/>
    <w:rsid w:val="00C10D04"/>
    <w:rsid w:val="00C111CC"/>
    <w:rsid w:val="00C1135F"/>
    <w:rsid w:val="00C11416"/>
    <w:rsid w:val="00C11B43"/>
    <w:rsid w:val="00C11D69"/>
    <w:rsid w:val="00C12772"/>
    <w:rsid w:val="00C128E5"/>
    <w:rsid w:val="00C129DF"/>
    <w:rsid w:val="00C12B3B"/>
    <w:rsid w:val="00C1333B"/>
    <w:rsid w:val="00C15F5A"/>
    <w:rsid w:val="00C17A0B"/>
    <w:rsid w:val="00C209AD"/>
    <w:rsid w:val="00C2143C"/>
    <w:rsid w:val="00C218AC"/>
    <w:rsid w:val="00C2192D"/>
    <w:rsid w:val="00C23936"/>
    <w:rsid w:val="00C24287"/>
    <w:rsid w:val="00C242A3"/>
    <w:rsid w:val="00C2461D"/>
    <w:rsid w:val="00C24D3D"/>
    <w:rsid w:val="00C24D57"/>
    <w:rsid w:val="00C26F4B"/>
    <w:rsid w:val="00C27455"/>
    <w:rsid w:val="00C279E9"/>
    <w:rsid w:val="00C27B04"/>
    <w:rsid w:val="00C30055"/>
    <w:rsid w:val="00C300A3"/>
    <w:rsid w:val="00C30BFF"/>
    <w:rsid w:val="00C317E8"/>
    <w:rsid w:val="00C318DE"/>
    <w:rsid w:val="00C31E81"/>
    <w:rsid w:val="00C31FCA"/>
    <w:rsid w:val="00C321FA"/>
    <w:rsid w:val="00C32A29"/>
    <w:rsid w:val="00C32AB3"/>
    <w:rsid w:val="00C32F4A"/>
    <w:rsid w:val="00C32FC9"/>
    <w:rsid w:val="00C335A3"/>
    <w:rsid w:val="00C35096"/>
    <w:rsid w:val="00C3559E"/>
    <w:rsid w:val="00C3586D"/>
    <w:rsid w:val="00C3656C"/>
    <w:rsid w:val="00C36A6B"/>
    <w:rsid w:val="00C36EEE"/>
    <w:rsid w:val="00C406EA"/>
    <w:rsid w:val="00C40DC0"/>
    <w:rsid w:val="00C40FF9"/>
    <w:rsid w:val="00C42525"/>
    <w:rsid w:val="00C438EC"/>
    <w:rsid w:val="00C43C08"/>
    <w:rsid w:val="00C44B78"/>
    <w:rsid w:val="00C45BB2"/>
    <w:rsid w:val="00C46695"/>
    <w:rsid w:val="00C46E6C"/>
    <w:rsid w:val="00C474D5"/>
    <w:rsid w:val="00C47A66"/>
    <w:rsid w:val="00C50C3C"/>
    <w:rsid w:val="00C51178"/>
    <w:rsid w:val="00C51F9E"/>
    <w:rsid w:val="00C521BA"/>
    <w:rsid w:val="00C522B6"/>
    <w:rsid w:val="00C53076"/>
    <w:rsid w:val="00C531FB"/>
    <w:rsid w:val="00C54B11"/>
    <w:rsid w:val="00C558AD"/>
    <w:rsid w:val="00C55A2E"/>
    <w:rsid w:val="00C61718"/>
    <w:rsid w:val="00C619DC"/>
    <w:rsid w:val="00C61C20"/>
    <w:rsid w:val="00C62AC5"/>
    <w:rsid w:val="00C62CA3"/>
    <w:rsid w:val="00C630BF"/>
    <w:rsid w:val="00C63164"/>
    <w:rsid w:val="00C6345D"/>
    <w:rsid w:val="00C646A2"/>
    <w:rsid w:val="00C64B7B"/>
    <w:rsid w:val="00C64D1E"/>
    <w:rsid w:val="00C65264"/>
    <w:rsid w:val="00C6554C"/>
    <w:rsid w:val="00C661FA"/>
    <w:rsid w:val="00C6625B"/>
    <w:rsid w:val="00C67CC3"/>
    <w:rsid w:val="00C67FEA"/>
    <w:rsid w:val="00C70456"/>
    <w:rsid w:val="00C70D21"/>
    <w:rsid w:val="00C70F7F"/>
    <w:rsid w:val="00C71927"/>
    <w:rsid w:val="00C71961"/>
    <w:rsid w:val="00C71A23"/>
    <w:rsid w:val="00C71BC5"/>
    <w:rsid w:val="00C7215A"/>
    <w:rsid w:val="00C727F1"/>
    <w:rsid w:val="00C72DBF"/>
    <w:rsid w:val="00C74405"/>
    <w:rsid w:val="00C744C1"/>
    <w:rsid w:val="00C75ED6"/>
    <w:rsid w:val="00C75F18"/>
    <w:rsid w:val="00C760A9"/>
    <w:rsid w:val="00C76466"/>
    <w:rsid w:val="00C76A4F"/>
    <w:rsid w:val="00C77193"/>
    <w:rsid w:val="00C774EE"/>
    <w:rsid w:val="00C80193"/>
    <w:rsid w:val="00C8188F"/>
    <w:rsid w:val="00C81EB8"/>
    <w:rsid w:val="00C82491"/>
    <w:rsid w:val="00C82DF5"/>
    <w:rsid w:val="00C83000"/>
    <w:rsid w:val="00C83C2F"/>
    <w:rsid w:val="00C8442E"/>
    <w:rsid w:val="00C844CD"/>
    <w:rsid w:val="00C84F7C"/>
    <w:rsid w:val="00C85994"/>
    <w:rsid w:val="00C86400"/>
    <w:rsid w:val="00C8679F"/>
    <w:rsid w:val="00C86A6E"/>
    <w:rsid w:val="00C878D5"/>
    <w:rsid w:val="00C87936"/>
    <w:rsid w:val="00C9033B"/>
    <w:rsid w:val="00C907A2"/>
    <w:rsid w:val="00C913A1"/>
    <w:rsid w:val="00C9218E"/>
    <w:rsid w:val="00C924C8"/>
    <w:rsid w:val="00C93223"/>
    <w:rsid w:val="00C9334B"/>
    <w:rsid w:val="00C937CD"/>
    <w:rsid w:val="00C938ED"/>
    <w:rsid w:val="00C93DA8"/>
    <w:rsid w:val="00C9423F"/>
    <w:rsid w:val="00C94BD6"/>
    <w:rsid w:val="00C9547E"/>
    <w:rsid w:val="00C95871"/>
    <w:rsid w:val="00C95E8C"/>
    <w:rsid w:val="00C96298"/>
    <w:rsid w:val="00C965C7"/>
    <w:rsid w:val="00C97363"/>
    <w:rsid w:val="00C97AE7"/>
    <w:rsid w:val="00CA0603"/>
    <w:rsid w:val="00CA09FD"/>
    <w:rsid w:val="00CA0A3C"/>
    <w:rsid w:val="00CA21DA"/>
    <w:rsid w:val="00CA28F9"/>
    <w:rsid w:val="00CA2AC3"/>
    <w:rsid w:val="00CA39A3"/>
    <w:rsid w:val="00CA3AA1"/>
    <w:rsid w:val="00CA3BE2"/>
    <w:rsid w:val="00CA511D"/>
    <w:rsid w:val="00CA5B98"/>
    <w:rsid w:val="00CB0BDF"/>
    <w:rsid w:val="00CB1E1A"/>
    <w:rsid w:val="00CB21D2"/>
    <w:rsid w:val="00CB295E"/>
    <w:rsid w:val="00CB35EE"/>
    <w:rsid w:val="00CB4179"/>
    <w:rsid w:val="00CB4AD1"/>
    <w:rsid w:val="00CB5D53"/>
    <w:rsid w:val="00CB5DB2"/>
    <w:rsid w:val="00CB6B08"/>
    <w:rsid w:val="00CB6CEA"/>
    <w:rsid w:val="00CC0AE9"/>
    <w:rsid w:val="00CC0C68"/>
    <w:rsid w:val="00CC1B3D"/>
    <w:rsid w:val="00CC2C85"/>
    <w:rsid w:val="00CC2C9A"/>
    <w:rsid w:val="00CC38C7"/>
    <w:rsid w:val="00CC38DC"/>
    <w:rsid w:val="00CC4534"/>
    <w:rsid w:val="00CC48EC"/>
    <w:rsid w:val="00CC5CB8"/>
    <w:rsid w:val="00CC5F27"/>
    <w:rsid w:val="00CC5F67"/>
    <w:rsid w:val="00CC6447"/>
    <w:rsid w:val="00CC6A99"/>
    <w:rsid w:val="00CC7693"/>
    <w:rsid w:val="00CC784E"/>
    <w:rsid w:val="00CC7A2D"/>
    <w:rsid w:val="00CD0EBB"/>
    <w:rsid w:val="00CD2162"/>
    <w:rsid w:val="00CD267F"/>
    <w:rsid w:val="00CD329B"/>
    <w:rsid w:val="00CD4D45"/>
    <w:rsid w:val="00CD4DA5"/>
    <w:rsid w:val="00CD5D26"/>
    <w:rsid w:val="00CD6007"/>
    <w:rsid w:val="00CD63BF"/>
    <w:rsid w:val="00CE05C9"/>
    <w:rsid w:val="00CE34A7"/>
    <w:rsid w:val="00CE6679"/>
    <w:rsid w:val="00CE6C79"/>
    <w:rsid w:val="00CE7A05"/>
    <w:rsid w:val="00CE7CCA"/>
    <w:rsid w:val="00CE7FC8"/>
    <w:rsid w:val="00CF0567"/>
    <w:rsid w:val="00CF084D"/>
    <w:rsid w:val="00CF1AA7"/>
    <w:rsid w:val="00CF31EA"/>
    <w:rsid w:val="00CF4530"/>
    <w:rsid w:val="00CF51BB"/>
    <w:rsid w:val="00CF54A0"/>
    <w:rsid w:val="00CF6FC7"/>
    <w:rsid w:val="00CF736F"/>
    <w:rsid w:val="00D00AA3"/>
    <w:rsid w:val="00D021A2"/>
    <w:rsid w:val="00D03558"/>
    <w:rsid w:val="00D03806"/>
    <w:rsid w:val="00D0504E"/>
    <w:rsid w:val="00D058A2"/>
    <w:rsid w:val="00D05CC3"/>
    <w:rsid w:val="00D0678C"/>
    <w:rsid w:val="00D0695D"/>
    <w:rsid w:val="00D06CDA"/>
    <w:rsid w:val="00D076A7"/>
    <w:rsid w:val="00D07C25"/>
    <w:rsid w:val="00D07F73"/>
    <w:rsid w:val="00D100EE"/>
    <w:rsid w:val="00D1030E"/>
    <w:rsid w:val="00D1038E"/>
    <w:rsid w:val="00D1082B"/>
    <w:rsid w:val="00D10935"/>
    <w:rsid w:val="00D11F84"/>
    <w:rsid w:val="00D126E5"/>
    <w:rsid w:val="00D127D5"/>
    <w:rsid w:val="00D1460F"/>
    <w:rsid w:val="00D14705"/>
    <w:rsid w:val="00D14844"/>
    <w:rsid w:val="00D14F82"/>
    <w:rsid w:val="00D15918"/>
    <w:rsid w:val="00D1591C"/>
    <w:rsid w:val="00D162DC"/>
    <w:rsid w:val="00D17004"/>
    <w:rsid w:val="00D1727C"/>
    <w:rsid w:val="00D17438"/>
    <w:rsid w:val="00D17565"/>
    <w:rsid w:val="00D178E4"/>
    <w:rsid w:val="00D17C2D"/>
    <w:rsid w:val="00D2041C"/>
    <w:rsid w:val="00D2174B"/>
    <w:rsid w:val="00D22562"/>
    <w:rsid w:val="00D226FD"/>
    <w:rsid w:val="00D22E78"/>
    <w:rsid w:val="00D22FF5"/>
    <w:rsid w:val="00D237B8"/>
    <w:rsid w:val="00D23A07"/>
    <w:rsid w:val="00D23B28"/>
    <w:rsid w:val="00D24713"/>
    <w:rsid w:val="00D25166"/>
    <w:rsid w:val="00D254D8"/>
    <w:rsid w:val="00D25905"/>
    <w:rsid w:val="00D25ADE"/>
    <w:rsid w:val="00D26475"/>
    <w:rsid w:val="00D27662"/>
    <w:rsid w:val="00D2792A"/>
    <w:rsid w:val="00D30485"/>
    <w:rsid w:val="00D31529"/>
    <w:rsid w:val="00D31EB6"/>
    <w:rsid w:val="00D32F92"/>
    <w:rsid w:val="00D33601"/>
    <w:rsid w:val="00D34AA0"/>
    <w:rsid w:val="00D352F8"/>
    <w:rsid w:val="00D3541F"/>
    <w:rsid w:val="00D36F61"/>
    <w:rsid w:val="00D37333"/>
    <w:rsid w:val="00D40219"/>
    <w:rsid w:val="00D40392"/>
    <w:rsid w:val="00D404ED"/>
    <w:rsid w:val="00D4065A"/>
    <w:rsid w:val="00D4092D"/>
    <w:rsid w:val="00D40B20"/>
    <w:rsid w:val="00D40DA0"/>
    <w:rsid w:val="00D4173B"/>
    <w:rsid w:val="00D419FE"/>
    <w:rsid w:val="00D422F6"/>
    <w:rsid w:val="00D42EB8"/>
    <w:rsid w:val="00D43297"/>
    <w:rsid w:val="00D43428"/>
    <w:rsid w:val="00D4395C"/>
    <w:rsid w:val="00D43B5D"/>
    <w:rsid w:val="00D43CBC"/>
    <w:rsid w:val="00D43CC9"/>
    <w:rsid w:val="00D43DB1"/>
    <w:rsid w:val="00D43F9A"/>
    <w:rsid w:val="00D44022"/>
    <w:rsid w:val="00D44DB6"/>
    <w:rsid w:val="00D44F13"/>
    <w:rsid w:val="00D47105"/>
    <w:rsid w:val="00D50119"/>
    <w:rsid w:val="00D50338"/>
    <w:rsid w:val="00D50907"/>
    <w:rsid w:val="00D50A92"/>
    <w:rsid w:val="00D51358"/>
    <w:rsid w:val="00D514D9"/>
    <w:rsid w:val="00D51B65"/>
    <w:rsid w:val="00D51CE4"/>
    <w:rsid w:val="00D5260C"/>
    <w:rsid w:val="00D530D8"/>
    <w:rsid w:val="00D53B35"/>
    <w:rsid w:val="00D540F2"/>
    <w:rsid w:val="00D54362"/>
    <w:rsid w:val="00D5489E"/>
    <w:rsid w:val="00D56767"/>
    <w:rsid w:val="00D56BB3"/>
    <w:rsid w:val="00D56CCF"/>
    <w:rsid w:val="00D57D29"/>
    <w:rsid w:val="00D602A0"/>
    <w:rsid w:val="00D609C2"/>
    <w:rsid w:val="00D60ED6"/>
    <w:rsid w:val="00D6142D"/>
    <w:rsid w:val="00D6167E"/>
    <w:rsid w:val="00D622B2"/>
    <w:rsid w:val="00D627BA"/>
    <w:rsid w:val="00D629B2"/>
    <w:rsid w:val="00D640F5"/>
    <w:rsid w:val="00D65438"/>
    <w:rsid w:val="00D67AC6"/>
    <w:rsid w:val="00D70A0B"/>
    <w:rsid w:val="00D70CD5"/>
    <w:rsid w:val="00D70D0C"/>
    <w:rsid w:val="00D716C4"/>
    <w:rsid w:val="00D735AB"/>
    <w:rsid w:val="00D73BC5"/>
    <w:rsid w:val="00D741E8"/>
    <w:rsid w:val="00D759E2"/>
    <w:rsid w:val="00D77FCF"/>
    <w:rsid w:val="00D807D0"/>
    <w:rsid w:val="00D80801"/>
    <w:rsid w:val="00D80AF7"/>
    <w:rsid w:val="00D813FC"/>
    <w:rsid w:val="00D814ED"/>
    <w:rsid w:val="00D82A43"/>
    <w:rsid w:val="00D83AEB"/>
    <w:rsid w:val="00D84790"/>
    <w:rsid w:val="00D85122"/>
    <w:rsid w:val="00D861BE"/>
    <w:rsid w:val="00D86257"/>
    <w:rsid w:val="00D868A6"/>
    <w:rsid w:val="00D86C1F"/>
    <w:rsid w:val="00D87023"/>
    <w:rsid w:val="00D87E08"/>
    <w:rsid w:val="00D90738"/>
    <w:rsid w:val="00D91000"/>
    <w:rsid w:val="00D92014"/>
    <w:rsid w:val="00D92681"/>
    <w:rsid w:val="00D93008"/>
    <w:rsid w:val="00D9305E"/>
    <w:rsid w:val="00D93B4A"/>
    <w:rsid w:val="00D93B72"/>
    <w:rsid w:val="00D93F85"/>
    <w:rsid w:val="00D94F98"/>
    <w:rsid w:val="00D960EE"/>
    <w:rsid w:val="00D9678D"/>
    <w:rsid w:val="00D97126"/>
    <w:rsid w:val="00D97F86"/>
    <w:rsid w:val="00DA1080"/>
    <w:rsid w:val="00DA1A15"/>
    <w:rsid w:val="00DA2E16"/>
    <w:rsid w:val="00DA2E94"/>
    <w:rsid w:val="00DA3667"/>
    <w:rsid w:val="00DA3840"/>
    <w:rsid w:val="00DA3A5B"/>
    <w:rsid w:val="00DA3E61"/>
    <w:rsid w:val="00DA3FC8"/>
    <w:rsid w:val="00DA5F38"/>
    <w:rsid w:val="00DA64E4"/>
    <w:rsid w:val="00DA66DA"/>
    <w:rsid w:val="00DA7408"/>
    <w:rsid w:val="00DA74BA"/>
    <w:rsid w:val="00DA7965"/>
    <w:rsid w:val="00DA7B5D"/>
    <w:rsid w:val="00DA7FC3"/>
    <w:rsid w:val="00DB00EE"/>
    <w:rsid w:val="00DB12D3"/>
    <w:rsid w:val="00DB198C"/>
    <w:rsid w:val="00DB1B93"/>
    <w:rsid w:val="00DB1D65"/>
    <w:rsid w:val="00DB2B0E"/>
    <w:rsid w:val="00DB2F74"/>
    <w:rsid w:val="00DB37BC"/>
    <w:rsid w:val="00DB5C09"/>
    <w:rsid w:val="00DB7094"/>
    <w:rsid w:val="00DB7736"/>
    <w:rsid w:val="00DB7858"/>
    <w:rsid w:val="00DB7F5A"/>
    <w:rsid w:val="00DC0B6B"/>
    <w:rsid w:val="00DC0D87"/>
    <w:rsid w:val="00DC0FEA"/>
    <w:rsid w:val="00DC16CB"/>
    <w:rsid w:val="00DC1742"/>
    <w:rsid w:val="00DC21B8"/>
    <w:rsid w:val="00DC2D71"/>
    <w:rsid w:val="00DC4483"/>
    <w:rsid w:val="00DC49C4"/>
    <w:rsid w:val="00DC58CD"/>
    <w:rsid w:val="00DC5946"/>
    <w:rsid w:val="00DC76F0"/>
    <w:rsid w:val="00DC7AA1"/>
    <w:rsid w:val="00DD01C6"/>
    <w:rsid w:val="00DD0B44"/>
    <w:rsid w:val="00DD1904"/>
    <w:rsid w:val="00DD1AA2"/>
    <w:rsid w:val="00DD1B1D"/>
    <w:rsid w:val="00DD1E0C"/>
    <w:rsid w:val="00DD1FFB"/>
    <w:rsid w:val="00DD5169"/>
    <w:rsid w:val="00DD5176"/>
    <w:rsid w:val="00DD5209"/>
    <w:rsid w:val="00DE0717"/>
    <w:rsid w:val="00DE0BCE"/>
    <w:rsid w:val="00DE14D1"/>
    <w:rsid w:val="00DE1A7D"/>
    <w:rsid w:val="00DE1F93"/>
    <w:rsid w:val="00DE2090"/>
    <w:rsid w:val="00DE2324"/>
    <w:rsid w:val="00DE26D4"/>
    <w:rsid w:val="00DE2ACC"/>
    <w:rsid w:val="00DE448F"/>
    <w:rsid w:val="00DE51D1"/>
    <w:rsid w:val="00DE546E"/>
    <w:rsid w:val="00DE6876"/>
    <w:rsid w:val="00DE6AE0"/>
    <w:rsid w:val="00DE6D9B"/>
    <w:rsid w:val="00DE71E4"/>
    <w:rsid w:val="00DE74E6"/>
    <w:rsid w:val="00DE78DF"/>
    <w:rsid w:val="00DE78E3"/>
    <w:rsid w:val="00DE7C55"/>
    <w:rsid w:val="00DF05E3"/>
    <w:rsid w:val="00DF0767"/>
    <w:rsid w:val="00DF0854"/>
    <w:rsid w:val="00DF1492"/>
    <w:rsid w:val="00DF223E"/>
    <w:rsid w:val="00DF36A5"/>
    <w:rsid w:val="00DF3951"/>
    <w:rsid w:val="00DF440A"/>
    <w:rsid w:val="00DF480B"/>
    <w:rsid w:val="00DF51B6"/>
    <w:rsid w:val="00DF58E7"/>
    <w:rsid w:val="00DF59AE"/>
    <w:rsid w:val="00DF627A"/>
    <w:rsid w:val="00DF68DD"/>
    <w:rsid w:val="00DF709B"/>
    <w:rsid w:val="00E01E1B"/>
    <w:rsid w:val="00E028D1"/>
    <w:rsid w:val="00E02901"/>
    <w:rsid w:val="00E02D6C"/>
    <w:rsid w:val="00E03513"/>
    <w:rsid w:val="00E043FA"/>
    <w:rsid w:val="00E04A5F"/>
    <w:rsid w:val="00E04E83"/>
    <w:rsid w:val="00E0650C"/>
    <w:rsid w:val="00E073E3"/>
    <w:rsid w:val="00E07458"/>
    <w:rsid w:val="00E10384"/>
    <w:rsid w:val="00E11876"/>
    <w:rsid w:val="00E12F6B"/>
    <w:rsid w:val="00E13017"/>
    <w:rsid w:val="00E13A66"/>
    <w:rsid w:val="00E142D8"/>
    <w:rsid w:val="00E149B3"/>
    <w:rsid w:val="00E15745"/>
    <w:rsid w:val="00E15CB9"/>
    <w:rsid w:val="00E165C3"/>
    <w:rsid w:val="00E165EE"/>
    <w:rsid w:val="00E17262"/>
    <w:rsid w:val="00E20468"/>
    <w:rsid w:val="00E208E0"/>
    <w:rsid w:val="00E21CB8"/>
    <w:rsid w:val="00E22210"/>
    <w:rsid w:val="00E229A5"/>
    <w:rsid w:val="00E22D5B"/>
    <w:rsid w:val="00E233D0"/>
    <w:rsid w:val="00E2371A"/>
    <w:rsid w:val="00E23792"/>
    <w:rsid w:val="00E23CBB"/>
    <w:rsid w:val="00E23DF0"/>
    <w:rsid w:val="00E2428D"/>
    <w:rsid w:val="00E247B2"/>
    <w:rsid w:val="00E24CFB"/>
    <w:rsid w:val="00E25720"/>
    <w:rsid w:val="00E26BA4"/>
    <w:rsid w:val="00E27159"/>
    <w:rsid w:val="00E303DE"/>
    <w:rsid w:val="00E30EB3"/>
    <w:rsid w:val="00E30F18"/>
    <w:rsid w:val="00E310AA"/>
    <w:rsid w:val="00E320E0"/>
    <w:rsid w:val="00E321C2"/>
    <w:rsid w:val="00E3276B"/>
    <w:rsid w:val="00E32E4C"/>
    <w:rsid w:val="00E33ABB"/>
    <w:rsid w:val="00E33EAA"/>
    <w:rsid w:val="00E33ECE"/>
    <w:rsid w:val="00E3416B"/>
    <w:rsid w:val="00E34F0D"/>
    <w:rsid w:val="00E35501"/>
    <w:rsid w:val="00E3566E"/>
    <w:rsid w:val="00E35D82"/>
    <w:rsid w:val="00E361BE"/>
    <w:rsid w:val="00E37B59"/>
    <w:rsid w:val="00E40D4F"/>
    <w:rsid w:val="00E40DBD"/>
    <w:rsid w:val="00E410A4"/>
    <w:rsid w:val="00E414A3"/>
    <w:rsid w:val="00E417EF"/>
    <w:rsid w:val="00E41B8E"/>
    <w:rsid w:val="00E41DDE"/>
    <w:rsid w:val="00E43D9A"/>
    <w:rsid w:val="00E43FCF"/>
    <w:rsid w:val="00E442C8"/>
    <w:rsid w:val="00E46229"/>
    <w:rsid w:val="00E472E3"/>
    <w:rsid w:val="00E47FF5"/>
    <w:rsid w:val="00E47FFA"/>
    <w:rsid w:val="00E50939"/>
    <w:rsid w:val="00E51126"/>
    <w:rsid w:val="00E522C5"/>
    <w:rsid w:val="00E52E52"/>
    <w:rsid w:val="00E53438"/>
    <w:rsid w:val="00E53C94"/>
    <w:rsid w:val="00E53F94"/>
    <w:rsid w:val="00E54907"/>
    <w:rsid w:val="00E56322"/>
    <w:rsid w:val="00E578BD"/>
    <w:rsid w:val="00E57DE4"/>
    <w:rsid w:val="00E60307"/>
    <w:rsid w:val="00E60CD0"/>
    <w:rsid w:val="00E61537"/>
    <w:rsid w:val="00E617D0"/>
    <w:rsid w:val="00E61D24"/>
    <w:rsid w:val="00E624B6"/>
    <w:rsid w:val="00E6273E"/>
    <w:rsid w:val="00E62931"/>
    <w:rsid w:val="00E629C0"/>
    <w:rsid w:val="00E62D21"/>
    <w:rsid w:val="00E6368E"/>
    <w:rsid w:val="00E63995"/>
    <w:rsid w:val="00E63A06"/>
    <w:rsid w:val="00E63AB7"/>
    <w:rsid w:val="00E64303"/>
    <w:rsid w:val="00E654AD"/>
    <w:rsid w:val="00E668D1"/>
    <w:rsid w:val="00E702F9"/>
    <w:rsid w:val="00E70C59"/>
    <w:rsid w:val="00E7145D"/>
    <w:rsid w:val="00E717F4"/>
    <w:rsid w:val="00E725FC"/>
    <w:rsid w:val="00E73598"/>
    <w:rsid w:val="00E7381A"/>
    <w:rsid w:val="00E7478E"/>
    <w:rsid w:val="00E749A1"/>
    <w:rsid w:val="00E74F52"/>
    <w:rsid w:val="00E763E9"/>
    <w:rsid w:val="00E774E8"/>
    <w:rsid w:val="00E77975"/>
    <w:rsid w:val="00E8009D"/>
    <w:rsid w:val="00E80B27"/>
    <w:rsid w:val="00E8176B"/>
    <w:rsid w:val="00E81B07"/>
    <w:rsid w:val="00E829BD"/>
    <w:rsid w:val="00E83297"/>
    <w:rsid w:val="00E839E6"/>
    <w:rsid w:val="00E844BE"/>
    <w:rsid w:val="00E84F8A"/>
    <w:rsid w:val="00E8510D"/>
    <w:rsid w:val="00E87F26"/>
    <w:rsid w:val="00E9053C"/>
    <w:rsid w:val="00E927CC"/>
    <w:rsid w:val="00E944B7"/>
    <w:rsid w:val="00E94BE0"/>
    <w:rsid w:val="00E9529B"/>
    <w:rsid w:val="00E9563A"/>
    <w:rsid w:val="00E962F1"/>
    <w:rsid w:val="00E967B9"/>
    <w:rsid w:val="00E9727D"/>
    <w:rsid w:val="00E977D1"/>
    <w:rsid w:val="00E97A0B"/>
    <w:rsid w:val="00E97AC0"/>
    <w:rsid w:val="00E97E56"/>
    <w:rsid w:val="00EA0BA4"/>
    <w:rsid w:val="00EA0CCF"/>
    <w:rsid w:val="00EA15B6"/>
    <w:rsid w:val="00EA1624"/>
    <w:rsid w:val="00EA21BF"/>
    <w:rsid w:val="00EA2444"/>
    <w:rsid w:val="00EA2E7B"/>
    <w:rsid w:val="00EA33AD"/>
    <w:rsid w:val="00EA36C6"/>
    <w:rsid w:val="00EA3E25"/>
    <w:rsid w:val="00EA4106"/>
    <w:rsid w:val="00EA47AB"/>
    <w:rsid w:val="00EA5806"/>
    <w:rsid w:val="00EA5AB3"/>
    <w:rsid w:val="00EA5F4B"/>
    <w:rsid w:val="00EA67DB"/>
    <w:rsid w:val="00EA6878"/>
    <w:rsid w:val="00EA68BB"/>
    <w:rsid w:val="00EA6904"/>
    <w:rsid w:val="00EA6F04"/>
    <w:rsid w:val="00EA75AF"/>
    <w:rsid w:val="00EA767D"/>
    <w:rsid w:val="00EA7939"/>
    <w:rsid w:val="00EB182F"/>
    <w:rsid w:val="00EB24A0"/>
    <w:rsid w:val="00EB2B18"/>
    <w:rsid w:val="00EB30CA"/>
    <w:rsid w:val="00EB38D1"/>
    <w:rsid w:val="00EB3B25"/>
    <w:rsid w:val="00EB3E5F"/>
    <w:rsid w:val="00EB42E3"/>
    <w:rsid w:val="00EB4E03"/>
    <w:rsid w:val="00EB4FE9"/>
    <w:rsid w:val="00EB500A"/>
    <w:rsid w:val="00EB5239"/>
    <w:rsid w:val="00EB542B"/>
    <w:rsid w:val="00EB62B0"/>
    <w:rsid w:val="00EB65F2"/>
    <w:rsid w:val="00EB6619"/>
    <w:rsid w:val="00EB6C3C"/>
    <w:rsid w:val="00EB79E8"/>
    <w:rsid w:val="00EB7E8D"/>
    <w:rsid w:val="00EB7EC3"/>
    <w:rsid w:val="00EBB655"/>
    <w:rsid w:val="00EC10BB"/>
    <w:rsid w:val="00EC1571"/>
    <w:rsid w:val="00EC30F9"/>
    <w:rsid w:val="00EC3AC4"/>
    <w:rsid w:val="00EC3E7E"/>
    <w:rsid w:val="00EC3EEA"/>
    <w:rsid w:val="00EC4C8A"/>
    <w:rsid w:val="00EC4D23"/>
    <w:rsid w:val="00EC5653"/>
    <w:rsid w:val="00EC572C"/>
    <w:rsid w:val="00EC576B"/>
    <w:rsid w:val="00EC5C18"/>
    <w:rsid w:val="00EC5C41"/>
    <w:rsid w:val="00EC6D80"/>
    <w:rsid w:val="00EC740C"/>
    <w:rsid w:val="00EC7A86"/>
    <w:rsid w:val="00ED0225"/>
    <w:rsid w:val="00ED0A8A"/>
    <w:rsid w:val="00ED0E6A"/>
    <w:rsid w:val="00ED1278"/>
    <w:rsid w:val="00ED13E0"/>
    <w:rsid w:val="00ED171A"/>
    <w:rsid w:val="00ED17B8"/>
    <w:rsid w:val="00ED2AB5"/>
    <w:rsid w:val="00ED2B42"/>
    <w:rsid w:val="00ED3DE6"/>
    <w:rsid w:val="00ED4090"/>
    <w:rsid w:val="00ED431C"/>
    <w:rsid w:val="00ED458B"/>
    <w:rsid w:val="00ED525F"/>
    <w:rsid w:val="00ED5725"/>
    <w:rsid w:val="00ED594E"/>
    <w:rsid w:val="00ED5B7A"/>
    <w:rsid w:val="00ED6A37"/>
    <w:rsid w:val="00ED7031"/>
    <w:rsid w:val="00ED7C80"/>
    <w:rsid w:val="00EE09FD"/>
    <w:rsid w:val="00EE2443"/>
    <w:rsid w:val="00EE3060"/>
    <w:rsid w:val="00EE3651"/>
    <w:rsid w:val="00EE38F8"/>
    <w:rsid w:val="00EE4315"/>
    <w:rsid w:val="00EE4C27"/>
    <w:rsid w:val="00EE562F"/>
    <w:rsid w:val="00EE5E3C"/>
    <w:rsid w:val="00EE69EC"/>
    <w:rsid w:val="00EE6BB9"/>
    <w:rsid w:val="00EE758F"/>
    <w:rsid w:val="00EF045C"/>
    <w:rsid w:val="00EF10E6"/>
    <w:rsid w:val="00EF31BE"/>
    <w:rsid w:val="00EF48B5"/>
    <w:rsid w:val="00EF4AB1"/>
    <w:rsid w:val="00EF4E79"/>
    <w:rsid w:val="00EF571F"/>
    <w:rsid w:val="00EF5C61"/>
    <w:rsid w:val="00EF5DF8"/>
    <w:rsid w:val="00EF5FA9"/>
    <w:rsid w:val="00EF6925"/>
    <w:rsid w:val="00EF77CD"/>
    <w:rsid w:val="00F01019"/>
    <w:rsid w:val="00F010DD"/>
    <w:rsid w:val="00F0161C"/>
    <w:rsid w:val="00F01A63"/>
    <w:rsid w:val="00F026AB"/>
    <w:rsid w:val="00F02D0F"/>
    <w:rsid w:val="00F05052"/>
    <w:rsid w:val="00F06524"/>
    <w:rsid w:val="00F07B54"/>
    <w:rsid w:val="00F07FAB"/>
    <w:rsid w:val="00F107F3"/>
    <w:rsid w:val="00F108DB"/>
    <w:rsid w:val="00F11B0F"/>
    <w:rsid w:val="00F12019"/>
    <w:rsid w:val="00F12118"/>
    <w:rsid w:val="00F13206"/>
    <w:rsid w:val="00F141E0"/>
    <w:rsid w:val="00F1471E"/>
    <w:rsid w:val="00F14E53"/>
    <w:rsid w:val="00F150C7"/>
    <w:rsid w:val="00F15F97"/>
    <w:rsid w:val="00F16CB8"/>
    <w:rsid w:val="00F16DE2"/>
    <w:rsid w:val="00F17653"/>
    <w:rsid w:val="00F17888"/>
    <w:rsid w:val="00F205E7"/>
    <w:rsid w:val="00F20624"/>
    <w:rsid w:val="00F2094E"/>
    <w:rsid w:val="00F20A48"/>
    <w:rsid w:val="00F215D9"/>
    <w:rsid w:val="00F21644"/>
    <w:rsid w:val="00F21AC9"/>
    <w:rsid w:val="00F2274D"/>
    <w:rsid w:val="00F22765"/>
    <w:rsid w:val="00F227FC"/>
    <w:rsid w:val="00F23405"/>
    <w:rsid w:val="00F23CFC"/>
    <w:rsid w:val="00F23EA1"/>
    <w:rsid w:val="00F247D3"/>
    <w:rsid w:val="00F25062"/>
    <w:rsid w:val="00F250A6"/>
    <w:rsid w:val="00F25EA0"/>
    <w:rsid w:val="00F2616F"/>
    <w:rsid w:val="00F26ED3"/>
    <w:rsid w:val="00F271B6"/>
    <w:rsid w:val="00F27A0B"/>
    <w:rsid w:val="00F308B8"/>
    <w:rsid w:val="00F3180F"/>
    <w:rsid w:val="00F318D2"/>
    <w:rsid w:val="00F32350"/>
    <w:rsid w:val="00F32A54"/>
    <w:rsid w:val="00F339AD"/>
    <w:rsid w:val="00F33D00"/>
    <w:rsid w:val="00F342E1"/>
    <w:rsid w:val="00F34ADC"/>
    <w:rsid w:val="00F34D63"/>
    <w:rsid w:val="00F34DA3"/>
    <w:rsid w:val="00F350D1"/>
    <w:rsid w:val="00F35E86"/>
    <w:rsid w:val="00F36DAC"/>
    <w:rsid w:val="00F37E6A"/>
    <w:rsid w:val="00F4057D"/>
    <w:rsid w:val="00F40AC1"/>
    <w:rsid w:val="00F41AD8"/>
    <w:rsid w:val="00F41D1D"/>
    <w:rsid w:val="00F41DA9"/>
    <w:rsid w:val="00F422AE"/>
    <w:rsid w:val="00F44926"/>
    <w:rsid w:val="00F449BF"/>
    <w:rsid w:val="00F44C61"/>
    <w:rsid w:val="00F45587"/>
    <w:rsid w:val="00F457B4"/>
    <w:rsid w:val="00F458D3"/>
    <w:rsid w:val="00F45EF7"/>
    <w:rsid w:val="00F46050"/>
    <w:rsid w:val="00F462B8"/>
    <w:rsid w:val="00F46877"/>
    <w:rsid w:val="00F46C79"/>
    <w:rsid w:val="00F47A13"/>
    <w:rsid w:val="00F51BCE"/>
    <w:rsid w:val="00F51E78"/>
    <w:rsid w:val="00F52F36"/>
    <w:rsid w:val="00F53120"/>
    <w:rsid w:val="00F53214"/>
    <w:rsid w:val="00F53FC8"/>
    <w:rsid w:val="00F54083"/>
    <w:rsid w:val="00F546E6"/>
    <w:rsid w:val="00F5497C"/>
    <w:rsid w:val="00F54AB8"/>
    <w:rsid w:val="00F5661B"/>
    <w:rsid w:val="00F57B70"/>
    <w:rsid w:val="00F57BD9"/>
    <w:rsid w:val="00F600A9"/>
    <w:rsid w:val="00F608F3"/>
    <w:rsid w:val="00F60F65"/>
    <w:rsid w:val="00F61205"/>
    <w:rsid w:val="00F6180C"/>
    <w:rsid w:val="00F6187D"/>
    <w:rsid w:val="00F62B7A"/>
    <w:rsid w:val="00F6340A"/>
    <w:rsid w:val="00F6397D"/>
    <w:rsid w:val="00F645C9"/>
    <w:rsid w:val="00F6577F"/>
    <w:rsid w:val="00F658A9"/>
    <w:rsid w:val="00F65DC1"/>
    <w:rsid w:val="00F669F1"/>
    <w:rsid w:val="00F70008"/>
    <w:rsid w:val="00F7043A"/>
    <w:rsid w:val="00F708C0"/>
    <w:rsid w:val="00F70D8B"/>
    <w:rsid w:val="00F70E30"/>
    <w:rsid w:val="00F71652"/>
    <w:rsid w:val="00F717F9"/>
    <w:rsid w:val="00F7199F"/>
    <w:rsid w:val="00F71D08"/>
    <w:rsid w:val="00F7293E"/>
    <w:rsid w:val="00F7295A"/>
    <w:rsid w:val="00F73930"/>
    <w:rsid w:val="00F73D69"/>
    <w:rsid w:val="00F740EA"/>
    <w:rsid w:val="00F74125"/>
    <w:rsid w:val="00F744C5"/>
    <w:rsid w:val="00F748B9"/>
    <w:rsid w:val="00F74915"/>
    <w:rsid w:val="00F7581D"/>
    <w:rsid w:val="00F75F84"/>
    <w:rsid w:val="00F76650"/>
    <w:rsid w:val="00F771F7"/>
    <w:rsid w:val="00F7765B"/>
    <w:rsid w:val="00F823D5"/>
    <w:rsid w:val="00F82C33"/>
    <w:rsid w:val="00F845BA"/>
    <w:rsid w:val="00F84A2F"/>
    <w:rsid w:val="00F85816"/>
    <w:rsid w:val="00F861D3"/>
    <w:rsid w:val="00F8633A"/>
    <w:rsid w:val="00F871B7"/>
    <w:rsid w:val="00F87911"/>
    <w:rsid w:val="00F87D36"/>
    <w:rsid w:val="00F906F0"/>
    <w:rsid w:val="00F9187B"/>
    <w:rsid w:val="00F91B25"/>
    <w:rsid w:val="00F92385"/>
    <w:rsid w:val="00F92389"/>
    <w:rsid w:val="00F92712"/>
    <w:rsid w:val="00F92F78"/>
    <w:rsid w:val="00F9314D"/>
    <w:rsid w:val="00F938D9"/>
    <w:rsid w:val="00F93A26"/>
    <w:rsid w:val="00F94A4B"/>
    <w:rsid w:val="00F94D4C"/>
    <w:rsid w:val="00F95A84"/>
    <w:rsid w:val="00F95B96"/>
    <w:rsid w:val="00F95C4F"/>
    <w:rsid w:val="00F970F8"/>
    <w:rsid w:val="00F976BD"/>
    <w:rsid w:val="00FA05D6"/>
    <w:rsid w:val="00FA0E2A"/>
    <w:rsid w:val="00FA0E99"/>
    <w:rsid w:val="00FA19CE"/>
    <w:rsid w:val="00FA1B4F"/>
    <w:rsid w:val="00FA2DC2"/>
    <w:rsid w:val="00FA2E40"/>
    <w:rsid w:val="00FA33ED"/>
    <w:rsid w:val="00FA35DC"/>
    <w:rsid w:val="00FA444D"/>
    <w:rsid w:val="00FA62DA"/>
    <w:rsid w:val="00FA67CD"/>
    <w:rsid w:val="00FA6C59"/>
    <w:rsid w:val="00FA6F59"/>
    <w:rsid w:val="00FA76DB"/>
    <w:rsid w:val="00FA7C4F"/>
    <w:rsid w:val="00FA7EC0"/>
    <w:rsid w:val="00FB006B"/>
    <w:rsid w:val="00FB0B78"/>
    <w:rsid w:val="00FB126B"/>
    <w:rsid w:val="00FB15E2"/>
    <w:rsid w:val="00FB2D56"/>
    <w:rsid w:val="00FB3236"/>
    <w:rsid w:val="00FB40BE"/>
    <w:rsid w:val="00FB440F"/>
    <w:rsid w:val="00FB671E"/>
    <w:rsid w:val="00FB6AD2"/>
    <w:rsid w:val="00FB6B48"/>
    <w:rsid w:val="00FC101D"/>
    <w:rsid w:val="00FC2515"/>
    <w:rsid w:val="00FC3775"/>
    <w:rsid w:val="00FC3C46"/>
    <w:rsid w:val="00FC4004"/>
    <w:rsid w:val="00FC47F9"/>
    <w:rsid w:val="00FC4BA4"/>
    <w:rsid w:val="00FC59CB"/>
    <w:rsid w:val="00FC5E2E"/>
    <w:rsid w:val="00FC6AA6"/>
    <w:rsid w:val="00FC7FCD"/>
    <w:rsid w:val="00FD05A6"/>
    <w:rsid w:val="00FD0CE3"/>
    <w:rsid w:val="00FD35F1"/>
    <w:rsid w:val="00FD3B7D"/>
    <w:rsid w:val="00FD4514"/>
    <w:rsid w:val="00FD46CE"/>
    <w:rsid w:val="00FD559A"/>
    <w:rsid w:val="00FD56AA"/>
    <w:rsid w:val="00FD5C1A"/>
    <w:rsid w:val="00FD6FC9"/>
    <w:rsid w:val="00FD703D"/>
    <w:rsid w:val="00FD7EAA"/>
    <w:rsid w:val="00FE0273"/>
    <w:rsid w:val="00FE1908"/>
    <w:rsid w:val="00FE2134"/>
    <w:rsid w:val="00FE2351"/>
    <w:rsid w:val="00FE26B5"/>
    <w:rsid w:val="00FE2AFB"/>
    <w:rsid w:val="00FE2C30"/>
    <w:rsid w:val="00FE2C36"/>
    <w:rsid w:val="00FE337D"/>
    <w:rsid w:val="00FE347A"/>
    <w:rsid w:val="00FE3CE7"/>
    <w:rsid w:val="00FE5580"/>
    <w:rsid w:val="00FE5C44"/>
    <w:rsid w:val="00FE625D"/>
    <w:rsid w:val="00FE6C10"/>
    <w:rsid w:val="00FE703A"/>
    <w:rsid w:val="00FE7947"/>
    <w:rsid w:val="00FF0BA7"/>
    <w:rsid w:val="00FF0EBE"/>
    <w:rsid w:val="00FF10F7"/>
    <w:rsid w:val="00FF110C"/>
    <w:rsid w:val="00FF1B83"/>
    <w:rsid w:val="00FF215B"/>
    <w:rsid w:val="00FF2425"/>
    <w:rsid w:val="00FF2F46"/>
    <w:rsid w:val="00FF33FB"/>
    <w:rsid w:val="00FF3EF5"/>
    <w:rsid w:val="00FF4787"/>
    <w:rsid w:val="00FF478E"/>
    <w:rsid w:val="00FF4A9B"/>
    <w:rsid w:val="00FF4C03"/>
    <w:rsid w:val="00FF5198"/>
    <w:rsid w:val="00FF5214"/>
    <w:rsid w:val="00FF544B"/>
    <w:rsid w:val="00FF619D"/>
    <w:rsid w:val="00FF7AFD"/>
    <w:rsid w:val="023CCA32"/>
    <w:rsid w:val="02621869"/>
    <w:rsid w:val="02C87723"/>
    <w:rsid w:val="02DF311E"/>
    <w:rsid w:val="031D2103"/>
    <w:rsid w:val="0337B5DD"/>
    <w:rsid w:val="03724944"/>
    <w:rsid w:val="037D3335"/>
    <w:rsid w:val="0428FD89"/>
    <w:rsid w:val="049E59E5"/>
    <w:rsid w:val="04BAE172"/>
    <w:rsid w:val="04C20A44"/>
    <w:rsid w:val="05560559"/>
    <w:rsid w:val="0572C556"/>
    <w:rsid w:val="057D7171"/>
    <w:rsid w:val="05F265A3"/>
    <w:rsid w:val="065B2DD9"/>
    <w:rsid w:val="06DE0ED0"/>
    <w:rsid w:val="075EA04C"/>
    <w:rsid w:val="0871263E"/>
    <w:rsid w:val="0965EE88"/>
    <w:rsid w:val="0979B8E9"/>
    <w:rsid w:val="09D569F3"/>
    <w:rsid w:val="0ADF6813"/>
    <w:rsid w:val="0AFFD12F"/>
    <w:rsid w:val="0B5B8694"/>
    <w:rsid w:val="0B918503"/>
    <w:rsid w:val="0BA3B4D5"/>
    <w:rsid w:val="0BC53FB0"/>
    <w:rsid w:val="0BE097E3"/>
    <w:rsid w:val="0C8BAA8C"/>
    <w:rsid w:val="0D049FA6"/>
    <w:rsid w:val="0D2A24D2"/>
    <w:rsid w:val="0DC6B9BB"/>
    <w:rsid w:val="0E0A49C4"/>
    <w:rsid w:val="0E2E2E1E"/>
    <w:rsid w:val="0E76E6EF"/>
    <w:rsid w:val="0F6FFC31"/>
    <w:rsid w:val="0FAEB056"/>
    <w:rsid w:val="0FBDB188"/>
    <w:rsid w:val="0FD5A6DE"/>
    <w:rsid w:val="1026C372"/>
    <w:rsid w:val="1086AA0D"/>
    <w:rsid w:val="115C2BC8"/>
    <w:rsid w:val="118366A6"/>
    <w:rsid w:val="11C97169"/>
    <w:rsid w:val="121F225E"/>
    <w:rsid w:val="12C69370"/>
    <w:rsid w:val="13426E18"/>
    <w:rsid w:val="13455676"/>
    <w:rsid w:val="13E8DD64"/>
    <w:rsid w:val="1424DD04"/>
    <w:rsid w:val="172A577F"/>
    <w:rsid w:val="17683414"/>
    <w:rsid w:val="17AF7383"/>
    <w:rsid w:val="17D68C18"/>
    <w:rsid w:val="188E6C57"/>
    <w:rsid w:val="18E4D941"/>
    <w:rsid w:val="1915AC15"/>
    <w:rsid w:val="19FE3BAC"/>
    <w:rsid w:val="1B167EFA"/>
    <w:rsid w:val="1B711321"/>
    <w:rsid w:val="1B7263DA"/>
    <w:rsid w:val="1B88551B"/>
    <w:rsid w:val="1BB7F69F"/>
    <w:rsid w:val="1BC9D13F"/>
    <w:rsid w:val="1CA1EED3"/>
    <w:rsid w:val="1F33767F"/>
    <w:rsid w:val="201ACC23"/>
    <w:rsid w:val="20C1A801"/>
    <w:rsid w:val="215D710E"/>
    <w:rsid w:val="219FA1F6"/>
    <w:rsid w:val="21DE0B2B"/>
    <w:rsid w:val="21F5A11D"/>
    <w:rsid w:val="2270B53B"/>
    <w:rsid w:val="22C8FE6E"/>
    <w:rsid w:val="23624267"/>
    <w:rsid w:val="24081EDE"/>
    <w:rsid w:val="245F17FE"/>
    <w:rsid w:val="2498AAF7"/>
    <w:rsid w:val="24DE8535"/>
    <w:rsid w:val="25519D9E"/>
    <w:rsid w:val="2584C87D"/>
    <w:rsid w:val="2588C3B2"/>
    <w:rsid w:val="25D262EC"/>
    <w:rsid w:val="265A6C12"/>
    <w:rsid w:val="26BA94B7"/>
    <w:rsid w:val="275A047A"/>
    <w:rsid w:val="289ACFBC"/>
    <w:rsid w:val="29327F56"/>
    <w:rsid w:val="293602C4"/>
    <w:rsid w:val="29E7E9DD"/>
    <w:rsid w:val="2A989D3A"/>
    <w:rsid w:val="2AD20D9B"/>
    <w:rsid w:val="2AE9FBAB"/>
    <w:rsid w:val="2B5089DA"/>
    <w:rsid w:val="2BAD6A17"/>
    <w:rsid w:val="2BB2F573"/>
    <w:rsid w:val="2C362F84"/>
    <w:rsid w:val="2E9B7D25"/>
    <w:rsid w:val="2EC26FBF"/>
    <w:rsid w:val="2F011565"/>
    <w:rsid w:val="30464697"/>
    <w:rsid w:val="305F7FC9"/>
    <w:rsid w:val="307A52BE"/>
    <w:rsid w:val="3088EC5D"/>
    <w:rsid w:val="30B0FA58"/>
    <w:rsid w:val="30DEB73F"/>
    <w:rsid w:val="31403074"/>
    <w:rsid w:val="3158FEB5"/>
    <w:rsid w:val="3165D70D"/>
    <w:rsid w:val="3260D5F0"/>
    <w:rsid w:val="32F84A97"/>
    <w:rsid w:val="347B6671"/>
    <w:rsid w:val="350ED56D"/>
    <w:rsid w:val="3520649E"/>
    <w:rsid w:val="3551460A"/>
    <w:rsid w:val="357BDD0C"/>
    <w:rsid w:val="367CCE34"/>
    <w:rsid w:val="36D59EFA"/>
    <w:rsid w:val="370A7CB3"/>
    <w:rsid w:val="370B0EB6"/>
    <w:rsid w:val="371ADDDB"/>
    <w:rsid w:val="37496226"/>
    <w:rsid w:val="37845D8E"/>
    <w:rsid w:val="37BED9F2"/>
    <w:rsid w:val="38D530E3"/>
    <w:rsid w:val="397166AB"/>
    <w:rsid w:val="39BF2DB4"/>
    <w:rsid w:val="3A18FD12"/>
    <w:rsid w:val="3B49E1E7"/>
    <w:rsid w:val="3BA01C7B"/>
    <w:rsid w:val="3CAF1997"/>
    <w:rsid w:val="3CF86528"/>
    <w:rsid w:val="3D148FCF"/>
    <w:rsid w:val="3D7E56CF"/>
    <w:rsid w:val="3E0880E4"/>
    <w:rsid w:val="3E0A588F"/>
    <w:rsid w:val="3E3E4A61"/>
    <w:rsid w:val="406F4B6F"/>
    <w:rsid w:val="40BE70EC"/>
    <w:rsid w:val="40E58FA2"/>
    <w:rsid w:val="412B2BF1"/>
    <w:rsid w:val="4172730E"/>
    <w:rsid w:val="41E10914"/>
    <w:rsid w:val="420E8AC2"/>
    <w:rsid w:val="426F08EA"/>
    <w:rsid w:val="42F84CD9"/>
    <w:rsid w:val="4314D805"/>
    <w:rsid w:val="44DB8F11"/>
    <w:rsid w:val="458BACCA"/>
    <w:rsid w:val="45BF2FA2"/>
    <w:rsid w:val="45D58EFB"/>
    <w:rsid w:val="46B6675C"/>
    <w:rsid w:val="47756DA0"/>
    <w:rsid w:val="47A22FA1"/>
    <w:rsid w:val="47F913CE"/>
    <w:rsid w:val="4853F02C"/>
    <w:rsid w:val="486D039D"/>
    <w:rsid w:val="48D03824"/>
    <w:rsid w:val="48DAEB01"/>
    <w:rsid w:val="499EF0E1"/>
    <w:rsid w:val="4B1B6DD8"/>
    <w:rsid w:val="4B576778"/>
    <w:rsid w:val="4BF5CA3E"/>
    <w:rsid w:val="4C1AAD23"/>
    <w:rsid w:val="4C5C5CF9"/>
    <w:rsid w:val="4CB250DC"/>
    <w:rsid w:val="4CFB6708"/>
    <w:rsid w:val="4D8A10CE"/>
    <w:rsid w:val="4DAE6B80"/>
    <w:rsid w:val="514440E4"/>
    <w:rsid w:val="517E7A99"/>
    <w:rsid w:val="51B2B854"/>
    <w:rsid w:val="51C747F2"/>
    <w:rsid w:val="51EF2CC1"/>
    <w:rsid w:val="520477D2"/>
    <w:rsid w:val="52079C28"/>
    <w:rsid w:val="5315D79D"/>
    <w:rsid w:val="53267543"/>
    <w:rsid w:val="535FB386"/>
    <w:rsid w:val="536A328E"/>
    <w:rsid w:val="5430A74F"/>
    <w:rsid w:val="5471D404"/>
    <w:rsid w:val="5481EB99"/>
    <w:rsid w:val="55FAFF96"/>
    <w:rsid w:val="5623B740"/>
    <w:rsid w:val="5631E022"/>
    <w:rsid w:val="5663A8AE"/>
    <w:rsid w:val="5668B2EA"/>
    <w:rsid w:val="56A17FA7"/>
    <w:rsid w:val="56D761E2"/>
    <w:rsid w:val="5767DFAB"/>
    <w:rsid w:val="577BF5A3"/>
    <w:rsid w:val="5830F18F"/>
    <w:rsid w:val="587D02E4"/>
    <w:rsid w:val="5976ACCF"/>
    <w:rsid w:val="59BEE1DB"/>
    <w:rsid w:val="5A42FBC1"/>
    <w:rsid w:val="5A89BF79"/>
    <w:rsid w:val="5B37E66D"/>
    <w:rsid w:val="5B8A8FA3"/>
    <w:rsid w:val="5D14253D"/>
    <w:rsid w:val="5DA004F3"/>
    <w:rsid w:val="5E00A0F0"/>
    <w:rsid w:val="60B14B59"/>
    <w:rsid w:val="61CA00FF"/>
    <w:rsid w:val="6279B536"/>
    <w:rsid w:val="6295828B"/>
    <w:rsid w:val="630911BB"/>
    <w:rsid w:val="6318D48D"/>
    <w:rsid w:val="63A9C856"/>
    <w:rsid w:val="640D3A6B"/>
    <w:rsid w:val="646A0C55"/>
    <w:rsid w:val="6490492C"/>
    <w:rsid w:val="65475AAF"/>
    <w:rsid w:val="6609BA03"/>
    <w:rsid w:val="6634A428"/>
    <w:rsid w:val="66610E4A"/>
    <w:rsid w:val="66B0A2BC"/>
    <w:rsid w:val="66E09073"/>
    <w:rsid w:val="67C043B9"/>
    <w:rsid w:val="67DD3606"/>
    <w:rsid w:val="6874B741"/>
    <w:rsid w:val="68A285A7"/>
    <w:rsid w:val="6933C927"/>
    <w:rsid w:val="6950758C"/>
    <w:rsid w:val="69B279B9"/>
    <w:rsid w:val="6AE34A4E"/>
    <w:rsid w:val="6B0B2AC4"/>
    <w:rsid w:val="6C9ECEAC"/>
    <w:rsid w:val="6CC0DDBA"/>
    <w:rsid w:val="6D3F3517"/>
    <w:rsid w:val="6D8739C9"/>
    <w:rsid w:val="6F445BDF"/>
    <w:rsid w:val="6F58B402"/>
    <w:rsid w:val="6FFC3AF1"/>
    <w:rsid w:val="705EEFBE"/>
    <w:rsid w:val="706DEEFF"/>
    <w:rsid w:val="708D1C30"/>
    <w:rsid w:val="7111CDC3"/>
    <w:rsid w:val="719F3F30"/>
    <w:rsid w:val="729B224D"/>
    <w:rsid w:val="72D481A9"/>
    <w:rsid w:val="736E0A71"/>
    <w:rsid w:val="73E89521"/>
    <w:rsid w:val="74312FFE"/>
    <w:rsid w:val="746A94F6"/>
    <w:rsid w:val="749FD0FC"/>
    <w:rsid w:val="74C0D52F"/>
    <w:rsid w:val="75449F0D"/>
    <w:rsid w:val="762BA853"/>
    <w:rsid w:val="76A24A43"/>
    <w:rsid w:val="772257B4"/>
    <w:rsid w:val="7767EBBA"/>
    <w:rsid w:val="77B1DC9D"/>
    <w:rsid w:val="77E2271C"/>
    <w:rsid w:val="780F2A8C"/>
    <w:rsid w:val="785B7F69"/>
    <w:rsid w:val="78CEAB6E"/>
    <w:rsid w:val="792227D9"/>
    <w:rsid w:val="796019F7"/>
    <w:rsid w:val="79B57C76"/>
    <w:rsid w:val="79D6A4FB"/>
    <w:rsid w:val="79F2579F"/>
    <w:rsid w:val="7AC7B7E6"/>
    <w:rsid w:val="7B62C918"/>
    <w:rsid w:val="7B6AB6B3"/>
    <w:rsid w:val="7BD4F40A"/>
    <w:rsid w:val="7BF4DFA5"/>
    <w:rsid w:val="7C56D7A2"/>
    <w:rsid w:val="7C841D1B"/>
    <w:rsid w:val="7C91686D"/>
    <w:rsid w:val="7CC73C1B"/>
    <w:rsid w:val="7DB663AA"/>
    <w:rsid w:val="7DC77E1A"/>
    <w:rsid w:val="7EAFA536"/>
    <w:rsid w:val="7F604615"/>
    <w:rsid w:val="7FE08BB7"/>
    <w:rsid w:val="7FF96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065C2"/>
  <w15:chartTrackingRefBased/>
  <w15:docId w15:val="{D2050DCC-3444-4C8A-A8A6-4253C81EA14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4"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2CD0"/>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662CD0"/>
    <w:pPr>
      <w:numPr>
        <w:numId w:val="49"/>
      </w:numPr>
      <w:ind w:right="2160"/>
    </w:pPr>
    <w:rPr>
      <w:rFonts w:eastAsiaTheme="majorEastAsia" w:cstheme="majorBidi"/>
      <w:szCs w:val="32"/>
    </w:rPr>
  </w:style>
  <w:style w:type="paragraph" w:styleId="Heading2">
    <w:name w:val="heading 2"/>
    <w:basedOn w:val="Dummy"/>
    <w:next w:val="Standard"/>
    <w:link w:val="Heading2Char"/>
    <w:uiPriority w:val="4"/>
    <w:qFormat/>
    <w:rsid w:val="00FA76DB"/>
    <w:pPr>
      <w:numPr>
        <w:ilvl w:val="1"/>
        <w:numId w:val="49"/>
      </w:numPr>
      <w:ind w:right="2160"/>
      <w:outlineLvl w:val="1"/>
    </w:pPr>
  </w:style>
  <w:style w:type="paragraph" w:styleId="Heading3">
    <w:name w:val="heading 3"/>
    <w:basedOn w:val="Dummy"/>
    <w:next w:val="Standard"/>
    <w:link w:val="Heading3Char"/>
    <w:uiPriority w:val="4"/>
    <w:qFormat/>
    <w:rsid w:val="00662CD0"/>
    <w:pPr>
      <w:numPr>
        <w:ilvl w:val="2"/>
        <w:numId w:val="49"/>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662CD0"/>
    <w:pPr>
      <w:numPr>
        <w:ilvl w:val="3"/>
        <w:numId w:val="49"/>
      </w:numPr>
      <w:ind w:right="2160"/>
      <w:outlineLvl w:val="3"/>
    </w:pPr>
    <w:rPr>
      <w:rFonts w:eastAsiaTheme="majorEastAsia" w:cstheme="majorBidi"/>
      <w:iCs/>
    </w:rPr>
  </w:style>
  <w:style w:type="paragraph" w:styleId="Heading5">
    <w:name w:val="heading 5"/>
    <w:basedOn w:val="Dummy"/>
    <w:next w:val="Standard"/>
    <w:link w:val="Heading5Char"/>
    <w:uiPriority w:val="4"/>
    <w:rsid w:val="00662CD0"/>
    <w:pPr>
      <w:numPr>
        <w:ilvl w:val="4"/>
        <w:numId w:val="49"/>
      </w:numPr>
      <w:ind w:right="2160"/>
      <w:outlineLvl w:val="4"/>
    </w:pPr>
    <w:rPr>
      <w:rFonts w:eastAsiaTheme="majorEastAsia" w:cstheme="majorBidi"/>
    </w:rPr>
  </w:style>
  <w:style w:type="paragraph" w:styleId="Heading6">
    <w:name w:val="heading 6"/>
    <w:basedOn w:val="Dummy"/>
    <w:next w:val="Standard"/>
    <w:link w:val="Heading6Char"/>
    <w:uiPriority w:val="4"/>
    <w:rsid w:val="00662CD0"/>
    <w:pPr>
      <w:numPr>
        <w:ilvl w:val="5"/>
        <w:numId w:val="49"/>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2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662CD0"/>
    <w:rPr>
      <w:rFonts w:ascii="Arial" w:eastAsiaTheme="majorEastAsia" w:hAnsi="Arial" w:cstheme="majorBidi"/>
      <w:b/>
      <w:sz w:val="26"/>
      <w:szCs w:val="32"/>
    </w:rPr>
  </w:style>
  <w:style w:type="paragraph" w:styleId="TOCHeading">
    <w:name w:val="TOC Heading"/>
    <w:next w:val="Normal"/>
    <w:uiPriority w:val="39"/>
    <w:unhideWhenUsed/>
    <w:rsid w:val="00662CD0"/>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662CD0"/>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662CD0"/>
    <w:rPr>
      <w:rFonts w:ascii="Arial" w:eastAsiaTheme="majorEastAsia" w:hAnsi="Arial" w:cstheme="majorBidi"/>
      <w:b/>
      <w:caps/>
      <w:sz w:val="26"/>
      <w:szCs w:val="56"/>
    </w:rPr>
  </w:style>
  <w:style w:type="paragraph" w:customStyle="1" w:styleId="Dummy">
    <w:name w:val="Dummy"/>
    <w:next w:val="Normal"/>
    <w:uiPriority w:val="19"/>
    <w:rsid w:val="00662CD0"/>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FA76DB"/>
    <w:rPr>
      <w:rFonts w:ascii="Arial" w:hAnsi="Arial" w:cs="Arial"/>
      <w:b/>
      <w:sz w:val="26"/>
      <w:szCs w:val="26"/>
    </w:rPr>
  </w:style>
  <w:style w:type="character" w:customStyle="1" w:styleId="Heading3Char">
    <w:name w:val="Heading 3 Char"/>
    <w:basedOn w:val="DefaultParagraphFont"/>
    <w:link w:val="Heading3"/>
    <w:uiPriority w:val="4"/>
    <w:rsid w:val="00662CD0"/>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662CD0"/>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662CD0"/>
    <w:rPr>
      <w:rFonts w:ascii="Arial" w:eastAsiaTheme="majorEastAsia" w:hAnsi="Arial" w:cstheme="majorBidi"/>
      <w:b/>
      <w:sz w:val="26"/>
      <w:szCs w:val="26"/>
    </w:rPr>
  </w:style>
  <w:style w:type="paragraph" w:customStyle="1" w:styleId="Main">
    <w:name w:val="Main"/>
    <w:next w:val="Normal"/>
    <w:uiPriority w:val="19"/>
    <w:rsid w:val="00662CD0"/>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662CD0"/>
    <w:pPr>
      <w:keepNext/>
      <w:spacing w:line="360" w:lineRule="auto"/>
      <w:outlineLvl w:val="0"/>
    </w:pPr>
    <w:rPr>
      <w:spacing w:val="120"/>
    </w:rPr>
  </w:style>
  <w:style w:type="paragraph" w:styleId="TOC2">
    <w:name w:val="toc 2"/>
    <w:basedOn w:val="Normal"/>
    <w:next w:val="Normal"/>
    <w:uiPriority w:val="39"/>
    <w:unhideWhenUsed/>
    <w:rsid w:val="00662CD0"/>
    <w:pPr>
      <w:spacing w:line="240" w:lineRule="auto"/>
      <w:ind w:left="864" w:hanging="648"/>
    </w:pPr>
    <w:rPr>
      <w:rFonts w:eastAsiaTheme="minorEastAsia" w:cs="Times New Roman"/>
    </w:rPr>
  </w:style>
  <w:style w:type="paragraph" w:styleId="TOC1">
    <w:name w:val="toc 1"/>
    <w:basedOn w:val="Normal"/>
    <w:next w:val="Normal"/>
    <w:uiPriority w:val="39"/>
    <w:unhideWhenUsed/>
    <w:rsid w:val="00662CD0"/>
    <w:pPr>
      <w:spacing w:line="240" w:lineRule="auto"/>
      <w:ind w:left="432" w:hanging="432"/>
    </w:pPr>
    <w:rPr>
      <w:rFonts w:eastAsiaTheme="minorEastAsia" w:cs="Times New Roman"/>
    </w:rPr>
  </w:style>
  <w:style w:type="paragraph" w:styleId="TOC3">
    <w:name w:val="toc 3"/>
    <w:basedOn w:val="Normal"/>
    <w:next w:val="Normal"/>
    <w:uiPriority w:val="39"/>
    <w:unhideWhenUsed/>
    <w:rsid w:val="00662CD0"/>
    <w:pPr>
      <w:spacing w:line="240" w:lineRule="auto"/>
      <w:ind w:left="1296" w:hanging="864"/>
    </w:pPr>
    <w:rPr>
      <w:rFonts w:eastAsiaTheme="minorEastAsia" w:cs="Times New Roman"/>
    </w:rPr>
  </w:style>
  <w:style w:type="character" w:styleId="Hyperlink">
    <w:name w:val="Hyperlink"/>
    <w:basedOn w:val="DefaultParagraphFont"/>
    <w:uiPriority w:val="99"/>
    <w:rsid w:val="00662CD0"/>
    <w:rPr>
      <w:color w:val="0563C1" w:themeColor="hyperlink"/>
      <w:u w:val="single"/>
    </w:rPr>
  </w:style>
  <w:style w:type="numbering" w:customStyle="1" w:styleId="FoFCoLOP">
    <w:name w:val="FoF/CoL/OP"/>
    <w:uiPriority w:val="99"/>
    <w:rsid w:val="00662CD0"/>
    <w:pPr>
      <w:numPr>
        <w:numId w:val="2"/>
      </w:numPr>
    </w:pPr>
  </w:style>
  <w:style w:type="paragraph" w:styleId="TOC9">
    <w:name w:val="toc 9"/>
    <w:basedOn w:val="Normal"/>
    <w:next w:val="Normal"/>
    <w:autoRedefine/>
    <w:uiPriority w:val="39"/>
    <w:semiHidden/>
    <w:unhideWhenUsed/>
    <w:rsid w:val="00662CD0"/>
    <w:pPr>
      <w:spacing w:after="100"/>
      <w:ind w:left="2080"/>
    </w:pPr>
  </w:style>
  <w:style w:type="paragraph" w:styleId="Header">
    <w:name w:val="header"/>
    <w:basedOn w:val="Normal"/>
    <w:link w:val="HeaderChar"/>
    <w:rsid w:val="00662CD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62CD0"/>
    <w:rPr>
      <w:rFonts w:ascii="Book Antiqua" w:hAnsi="Book Antiqua"/>
      <w:sz w:val="26"/>
    </w:rPr>
  </w:style>
  <w:style w:type="paragraph" w:styleId="Footer">
    <w:name w:val="footer"/>
    <w:basedOn w:val="Normal"/>
    <w:link w:val="FooterChar"/>
    <w:uiPriority w:val="99"/>
    <w:semiHidden/>
    <w:rsid w:val="00662CD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62CD0"/>
    <w:rPr>
      <w:rFonts w:ascii="Book Antiqua" w:hAnsi="Book Antiqua"/>
      <w:sz w:val="26"/>
    </w:rPr>
  </w:style>
  <w:style w:type="paragraph" w:customStyle="1" w:styleId="BlockQuote">
    <w:name w:val="Block Quote"/>
    <w:basedOn w:val="Standard"/>
    <w:uiPriority w:val="5"/>
    <w:qFormat/>
    <w:rsid w:val="00662CD0"/>
    <w:pPr>
      <w:spacing w:after="120" w:line="240" w:lineRule="auto"/>
      <w:ind w:left="720" w:right="720" w:firstLine="0"/>
    </w:pPr>
  </w:style>
  <w:style w:type="paragraph" w:styleId="FootnoteText">
    <w:name w:val="footnote text"/>
    <w:basedOn w:val="Normal"/>
    <w:link w:val="FootnoteTextChar"/>
    <w:uiPriority w:val="40"/>
    <w:rsid w:val="00662CD0"/>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662CD0"/>
    <w:rPr>
      <w:rFonts w:ascii="Book Antiqua" w:hAnsi="Book Antiqua"/>
      <w:szCs w:val="20"/>
    </w:rPr>
  </w:style>
  <w:style w:type="character" w:styleId="FootnoteReference">
    <w:name w:val="footnote reference"/>
    <w:basedOn w:val="DefaultParagraphFont"/>
    <w:uiPriority w:val="99"/>
    <w:semiHidden/>
    <w:unhideWhenUsed/>
    <w:rsid w:val="00662CD0"/>
    <w:rPr>
      <w:vertAlign w:val="superscript"/>
    </w:rPr>
  </w:style>
  <w:style w:type="paragraph" w:customStyle="1" w:styleId="FoF">
    <w:name w:val="FoF"/>
    <w:basedOn w:val="Standard"/>
    <w:uiPriority w:val="6"/>
    <w:qFormat/>
    <w:rsid w:val="00662CD0"/>
    <w:pPr>
      <w:numPr>
        <w:numId w:val="3"/>
      </w:numPr>
      <w:ind w:firstLine="547"/>
    </w:pPr>
  </w:style>
  <w:style w:type="paragraph" w:customStyle="1" w:styleId="CoL">
    <w:name w:val="CoL"/>
    <w:basedOn w:val="Standard"/>
    <w:uiPriority w:val="7"/>
    <w:qFormat/>
    <w:rsid w:val="00662CD0"/>
    <w:pPr>
      <w:numPr>
        <w:numId w:val="4"/>
      </w:numPr>
      <w:ind w:firstLine="547"/>
    </w:pPr>
  </w:style>
  <w:style w:type="paragraph" w:styleId="NoSpacing">
    <w:name w:val="No Spacing"/>
    <w:basedOn w:val="Standard"/>
    <w:uiPriority w:val="1"/>
    <w:rsid w:val="00662CD0"/>
    <w:pPr>
      <w:spacing w:after="120" w:line="240" w:lineRule="auto"/>
      <w:ind w:firstLine="0"/>
      <w:contextualSpacing/>
    </w:pPr>
  </w:style>
  <w:style w:type="paragraph" w:customStyle="1" w:styleId="OP">
    <w:name w:val="OP"/>
    <w:basedOn w:val="Standard"/>
    <w:uiPriority w:val="8"/>
    <w:qFormat/>
    <w:rsid w:val="00662CD0"/>
    <w:pPr>
      <w:numPr>
        <w:numId w:val="5"/>
      </w:numPr>
    </w:pPr>
  </w:style>
  <w:style w:type="paragraph" w:styleId="BalloonText">
    <w:name w:val="Balloon Text"/>
    <w:basedOn w:val="Normal"/>
    <w:link w:val="BalloonTextChar"/>
    <w:uiPriority w:val="99"/>
    <w:semiHidden/>
    <w:unhideWhenUsed/>
    <w:rsid w:val="00662C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CD0"/>
    <w:rPr>
      <w:rFonts w:ascii="Segoe UI" w:hAnsi="Segoe UI" w:cs="Segoe UI"/>
      <w:sz w:val="18"/>
      <w:szCs w:val="18"/>
    </w:rPr>
  </w:style>
  <w:style w:type="numbering" w:customStyle="1" w:styleId="Headings">
    <w:name w:val="Headings"/>
    <w:uiPriority w:val="99"/>
    <w:rsid w:val="00662CD0"/>
    <w:pPr>
      <w:numPr>
        <w:numId w:val="6"/>
      </w:numPr>
    </w:pPr>
  </w:style>
  <w:style w:type="paragraph" w:customStyle="1" w:styleId="Standard">
    <w:name w:val="Standard"/>
    <w:basedOn w:val="Normal"/>
    <w:qFormat/>
    <w:rsid w:val="00662CD0"/>
  </w:style>
  <w:style w:type="paragraph" w:customStyle="1" w:styleId="ListAlpha">
    <w:name w:val="List Alpha"/>
    <w:basedOn w:val="Standard"/>
    <w:uiPriority w:val="4"/>
    <w:qFormat/>
    <w:rsid w:val="00662CD0"/>
    <w:pPr>
      <w:numPr>
        <w:ilvl w:val="7"/>
        <w:numId w:val="49"/>
      </w:numPr>
      <w:spacing w:after="120" w:line="240" w:lineRule="auto"/>
    </w:pPr>
  </w:style>
  <w:style w:type="paragraph" w:styleId="ListBullet">
    <w:name w:val="List Bullet"/>
    <w:basedOn w:val="Standard"/>
    <w:uiPriority w:val="4"/>
    <w:qFormat/>
    <w:rsid w:val="00662CD0"/>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662CD0"/>
    <w:rPr>
      <w:rFonts w:ascii="Arial" w:eastAsiaTheme="majorEastAsia" w:hAnsi="Arial" w:cstheme="majorBidi"/>
      <w:b/>
      <w:sz w:val="26"/>
      <w:szCs w:val="26"/>
    </w:rPr>
  </w:style>
  <w:style w:type="paragraph" w:styleId="TOC4">
    <w:name w:val="toc 4"/>
    <w:basedOn w:val="Normal"/>
    <w:next w:val="Normal"/>
    <w:autoRedefine/>
    <w:uiPriority w:val="39"/>
    <w:unhideWhenUsed/>
    <w:rsid w:val="00662CD0"/>
    <w:pPr>
      <w:spacing w:line="240" w:lineRule="auto"/>
      <w:ind w:left="1728" w:hanging="1080"/>
    </w:pPr>
  </w:style>
  <w:style w:type="paragraph" w:styleId="TOC5">
    <w:name w:val="toc 5"/>
    <w:basedOn w:val="Normal"/>
    <w:next w:val="Normal"/>
    <w:autoRedefine/>
    <w:uiPriority w:val="39"/>
    <w:unhideWhenUsed/>
    <w:rsid w:val="00662CD0"/>
    <w:pPr>
      <w:spacing w:line="240" w:lineRule="auto"/>
      <w:ind w:left="2160" w:hanging="1296"/>
    </w:pPr>
  </w:style>
  <w:style w:type="paragraph" w:styleId="TOC6">
    <w:name w:val="toc 6"/>
    <w:basedOn w:val="Normal"/>
    <w:next w:val="Normal"/>
    <w:autoRedefine/>
    <w:uiPriority w:val="39"/>
    <w:unhideWhenUsed/>
    <w:rsid w:val="00662CD0"/>
    <w:pPr>
      <w:spacing w:line="240" w:lineRule="auto"/>
      <w:ind w:left="2592" w:hanging="1512"/>
    </w:pPr>
  </w:style>
  <w:style w:type="paragraph" w:customStyle="1" w:styleId="TableText">
    <w:name w:val="Table Text"/>
    <w:basedOn w:val="NoSpacing"/>
    <w:uiPriority w:val="5"/>
    <w:rsid w:val="00662CD0"/>
    <w:pPr>
      <w:spacing w:after="0"/>
    </w:pPr>
    <w:rPr>
      <w:sz w:val="22"/>
    </w:rPr>
  </w:style>
  <w:style w:type="paragraph" w:customStyle="1" w:styleId="ListNum">
    <w:name w:val="List Num"/>
    <w:basedOn w:val="Standard"/>
    <w:uiPriority w:val="4"/>
    <w:rsid w:val="00662CD0"/>
    <w:pPr>
      <w:numPr>
        <w:ilvl w:val="6"/>
        <w:numId w:val="49"/>
      </w:numPr>
      <w:spacing w:after="120" w:line="240" w:lineRule="auto"/>
    </w:pPr>
  </w:style>
  <w:style w:type="paragraph" w:customStyle="1" w:styleId="BlockQuote0">
    <w:name w:val="BlockQuote"/>
    <w:basedOn w:val="Normal"/>
    <w:qFormat/>
    <w:rsid w:val="004820AC"/>
    <w:pPr>
      <w:spacing w:after="120" w:line="240" w:lineRule="auto"/>
      <w:ind w:left="720" w:right="1440" w:firstLine="0"/>
    </w:pPr>
    <w:rPr>
      <w:rFonts w:asciiTheme="minorHAnsi" w:hAnsiTheme="minorHAnsi"/>
      <w:kern w:val="2"/>
      <w:sz w:val="24"/>
      <w:szCs w:val="24"/>
      <w14:ligatures w14:val="standardContextual"/>
    </w:rPr>
  </w:style>
  <w:style w:type="character" w:styleId="CommentReference">
    <w:name w:val="annotation reference"/>
    <w:basedOn w:val="DefaultParagraphFont"/>
    <w:uiPriority w:val="99"/>
    <w:semiHidden/>
    <w:unhideWhenUsed/>
    <w:rsid w:val="00897437"/>
    <w:rPr>
      <w:sz w:val="16"/>
      <w:szCs w:val="16"/>
    </w:rPr>
  </w:style>
  <w:style w:type="paragraph" w:styleId="CommentText">
    <w:name w:val="annotation text"/>
    <w:basedOn w:val="Normal"/>
    <w:link w:val="CommentTextChar"/>
    <w:uiPriority w:val="99"/>
    <w:unhideWhenUsed/>
    <w:rsid w:val="00897437"/>
    <w:pPr>
      <w:spacing w:line="240" w:lineRule="auto"/>
    </w:pPr>
    <w:rPr>
      <w:sz w:val="20"/>
      <w:szCs w:val="20"/>
    </w:rPr>
  </w:style>
  <w:style w:type="character" w:customStyle="1" w:styleId="CommentTextChar">
    <w:name w:val="Comment Text Char"/>
    <w:basedOn w:val="DefaultParagraphFont"/>
    <w:link w:val="CommentText"/>
    <w:uiPriority w:val="99"/>
    <w:rsid w:val="00897437"/>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897437"/>
    <w:rPr>
      <w:b/>
      <w:bCs/>
    </w:rPr>
  </w:style>
  <w:style w:type="character" w:customStyle="1" w:styleId="CommentSubjectChar">
    <w:name w:val="Comment Subject Char"/>
    <w:basedOn w:val="CommentTextChar"/>
    <w:link w:val="CommentSubject"/>
    <w:uiPriority w:val="99"/>
    <w:semiHidden/>
    <w:rsid w:val="00897437"/>
    <w:rPr>
      <w:rFonts w:ascii="Book Antiqua" w:hAnsi="Book Antiqua"/>
      <w:b/>
      <w:bCs/>
      <w:sz w:val="20"/>
      <w:szCs w:val="20"/>
    </w:rPr>
  </w:style>
  <w:style w:type="paragraph" w:styleId="Caption">
    <w:name w:val="caption"/>
    <w:basedOn w:val="Normal"/>
    <w:next w:val="Normal"/>
    <w:uiPriority w:val="35"/>
    <w:unhideWhenUsed/>
    <w:qFormat/>
    <w:rsid w:val="00AA0E39"/>
    <w:pPr>
      <w:spacing w:after="200" w:line="240" w:lineRule="auto"/>
    </w:pPr>
    <w:rPr>
      <w:i/>
      <w:iCs/>
      <w:color w:val="44546A" w:themeColor="text2"/>
      <w:sz w:val="18"/>
      <w:szCs w:val="18"/>
    </w:rPr>
  </w:style>
  <w:style w:type="paragraph" w:styleId="Revision">
    <w:name w:val="Revision"/>
    <w:hidden/>
    <w:uiPriority w:val="99"/>
    <w:semiHidden/>
    <w:rsid w:val="00662CD0"/>
    <w:pPr>
      <w:spacing w:after="0" w:line="240" w:lineRule="auto"/>
    </w:pPr>
    <w:rPr>
      <w:rFonts w:ascii="Book Antiqua" w:hAnsi="Book Antiqua"/>
      <w:sz w:val="26"/>
    </w:rPr>
  </w:style>
  <w:style w:type="character" w:styleId="Mention">
    <w:name w:val="Mention"/>
    <w:basedOn w:val="DefaultParagraphFont"/>
    <w:uiPriority w:val="99"/>
    <w:unhideWhenUsed/>
    <w:rsid w:val="00D0678C"/>
    <w:rPr>
      <w:color w:val="2B579A"/>
      <w:shd w:val="clear" w:color="auto" w:fill="E1DFDD"/>
    </w:rPr>
  </w:style>
  <w:style w:type="paragraph" w:styleId="ListParagraph">
    <w:name w:val="List Paragraph"/>
    <w:basedOn w:val="Normal"/>
    <w:uiPriority w:val="34"/>
    <w:rsid w:val="00487B6F"/>
    <w:pPr>
      <w:ind w:left="720"/>
      <w:contextualSpacing/>
    </w:pPr>
  </w:style>
  <w:style w:type="paragraph" w:styleId="BodyText">
    <w:name w:val="Body Text"/>
    <w:basedOn w:val="Normal"/>
    <w:link w:val="BodyTextChar"/>
    <w:rsid w:val="00815D11"/>
    <w:pPr>
      <w:spacing w:line="240" w:lineRule="auto"/>
      <w:ind w:firstLine="0"/>
    </w:pPr>
    <w:rPr>
      <w:rFonts w:ascii="Palatino" w:eastAsia="Times New Roman" w:hAnsi="Palatino" w:cs="Times New Roman"/>
      <w:sz w:val="28"/>
      <w:szCs w:val="20"/>
    </w:rPr>
  </w:style>
  <w:style w:type="character" w:customStyle="1" w:styleId="BodyTextChar">
    <w:name w:val="Body Text Char"/>
    <w:basedOn w:val="DefaultParagraphFont"/>
    <w:link w:val="BodyText"/>
    <w:rsid w:val="00815D11"/>
    <w:rPr>
      <w:rFonts w:ascii="Palatino" w:eastAsia="Times New Roman" w:hAnsi="Palatino"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docs.cpuc.ca.gov/PublishedDocs/Published/G000/M626/K873/626873059.pdf" TargetMode="External" Id="Ra2307e062a9240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584c501-4907-45a6-a5fc-3e0757d7aab9">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498a0be-db2a-4749-93ec-e3fb091cf533">
      <Terms xmlns="http://schemas.microsoft.com/office/infopath/2007/PartnerControls"/>
    </lcf76f155ced4ddcb4097134ff3c332f>
    <TaxCatchAll xmlns="e584c501-4907-45a6-a5fc-3e0757d7aa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1F1C6-1297-498F-9FC3-5406CD690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36</ap:Pages>
  <ap:Words>8197</ap:Words>
  <ap:Characters>47549</ap:Characters>
  <ap:Application>Microsoft Office Word</ap:Application>
  <ap:DocSecurity>0</ap:DocSecurity>
  <ap:Lines>932</ap:Lines>
  <ap:Paragraphs>284</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55462</ap:CharactersWithSpaces>
  <ap:SharedDoc>false</ap:SharedDoc>
  <ap:HLinks>
    <vt:vector baseType="variant" size="162">
      <vt:variant>
        <vt:i4>1048626</vt:i4>
      </vt:variant>
      <vt:variant>
        <vt:i4>158</vt:i4>
      </vt:variant>
      <vt:variant>
        <vt:i4>0</vt:i4>
      </vt:variant>
      <vt:variant>
        <vt:i4>5</vt:i4>
      </vt:variant>
      <vt:variant>
        <vt:lpwstr/>
      </vt:variant>
      <vt:variant>
        <vt:lpwstr>_Toc240555539</vt:lpwstr>
      </vt:variant>
      <vt:variant>
        <vt:i4>1048626</vt:i4>
      </vt:variant>
      <vt:variant>
        <vt:i4>152</vt:i4>
      </vt:variant>
      <vt:variant>
        <vt:i4>0</vt:i4>
      </vt:variant>
      <vt:variant>
        <vt:i4>5</vt:i4>
      </vt:variant>
      <vt:variant>
        <vt:lpwstr/>
      </vt:variant>
      <vt:variant>
        <vt:lpwstr>_Toc240555538</vt:lpwstr>
      </vt:variant>
      <vt:variant>
        <vt:i4>1048626</vt:i4>
      </vt:variant>
      <vt:variant>
        <vt:i4>146</vt:i4>
      </vt:variant>
      <vt:variant>
        <vt:i4>0</vt:i4>
      </vt:variant>
      <vt:variant>
        <vt:i4>5</vt:i4>
      </vt:variant>
      <vt:variant>
        <vt:lpwstr/>
      </vt:variant>
      <vt:variant>
        <vt:lpwstr>_Toc240555537</vt:lpwstr>
      </vt:variant>
      <vt:variant>
        <vt:i4>1048626</vt:i4>
      </vt:variant>
      <vt:variant>
        <vt:i4>140</vt:i4>
      </vt:variant>
      <vt:variant>
        <vt:i4>0</vt:i4>
      </vt:variant>
      <vt:variant>
        <vt:i4>5</vt:i4>
      </vt:variant>
      <vt:variant>
        <vt:lpwstr/>
      </vt:variant>
      <vt:variant>
        <vt:lpwstr>_Toc240555536</vt:lpwstr>
      </vt:variant>
      <vt:variant>
        <vt:i4>1048626</vt:i4>
      </vt:variant>
      <vt:variant>
        <vt:i4>134</vt:i4>
      </vt:variant>
      <vt:variant>
        <vt:i4>0</vt:i4>
      </vt:variant>
      <vt:variant>
        <vt:i4>5</vt:i4>
      </vt:variant>
      <vt:variant>
        <vt:lpwstr/>
      </vt:variant>
      <vt:variant>
        <vt:lpwstr>_Toc240555535</vt:lpwstr>
      </vt:variant>
      <vt:variant>
        <vt:i4>1048626</vt:i4>
      </vt:variant>
      <vt:variant>
        <vt:i4>128</vt:i4>
      </vt:variant>
      <vt:variant>
        <vt:i4>0</vt:i4>
      </vt:variant>
      <vt:variant>
        <vt:i4>5</vt:i4>
      </vt:variant>
      <vt:variant>
        <vt:lpwstr/>
      </vt:variant>
      <vt:variant>
        <vt:lpwstr>_Toc240555534</vt:lpwstr>
      </vt:variant>
      <vt:variant>
        <vt:i4>1048626</vt:i4>
      </vt:variant>
      <vt:variant>
        <vt:i4>122</vt:i4>
      </vt:variant>
      <vt:variant>
        <vt:i4>0</vt:i4>
      </vt:variant>
      <vt:variant>
        <vt:i4>5</vt:i4>
      </vt:variant>
      <vt:variant>
        <vt:lpwstr/>
      </vt:variant>
      <vt:variant>
        <vt:lpwstr>_Toc240555533</vt:lpwstr>
      </vt:variant>
      <vt:variant>
        <vt:i4>1048626</vt:i4>
      </vt:variant>
      <vt:variant>
        <vt:i4>116</vt:i4>
      </vt:variant>
      <vt:variant>
        <vt:i4>0</vt:i4>
      </vt:variant>
      <vt:variant>
        <vt:i4>5</vt:i4>
      </vt:variant>
      <vt:variant>
        <vt:lpwstr/>
      </vt:variant>
      <vt:variant>
        <vt:lpwstr>_Toc240555532</vt:lpwstr>
      </vt:variant>
      <vt:variant>
        <vt:i4>1048626</vt:i4>
      </vt:variant>
      <vt:variant>
        <vt:i4>110</vt:i4>
      </vt:variant>
      <vt:variant>
        <vt:i4>0</vt:i4>
      </vt:variant>
      <vt:variant>
        <vt:i4>5</vt:i4>
      </vt:variant>
      <vt:variant>
        <vt:lpwstr/>
      </vt:variant>
      <vt:variant>
        <vt:lpwstr>_Toc240555531</vt:lpwstr>
      </vt:variant>
      <vt:variant>
        <vt:i4>1048626</vt:i4>
      </vt:variant>
      <vt:variant>
        <vt:i4>104</vt:i4>
      </vt:variant>
      <vt:variant>
        <vt:i4>0</vt:i4>
      </vt:variant>
      <vt:variant>
        <vt:i4>5</vt:i4>
      </vt:variant>
      <vt:variant>
        <vt:lpwstr/>
      </vt:variant>
      <vt:variant>
        <vt:lpwstr>_Toc240555530</vt:lpwstr>
      </vt:variant>
      <vt:variant>
        <vt:i4>1114162</vt:i4>
      </vt:variant>
      <vt:variant>
        <vt:i4>98</vt:i4>
      </vt:variant>
      <vt:variant>
        <vt:i4>0</vt:i4>
      </vt:variant>
      <vt:variant>
        <vt:i4>5</vt:i4>
      </vt:variant>
      <vt:variant>
        <vt:lpwstr/>
      </vt:variant>
      <vt:variant>
        <vt:lpwstr>_Toc240555529</vt:lpwstr>
      </vt:variant>
      <vt:variant>
        <vt:i4>1114162</vt:i4>
      </vt:variant>
      <vt:variant>
        <vt:i4>92</vt:i4>
      </vt:variant>
      <vt:variant>
        <vt:i4>0</vt:i4>
      </vt:variant>
      <vt:variant>
        <vt:i4>5</vt:i4>
      </vt:variant>
      <vt:variant>
        <vt:lpwstr/>
      </vt:variant>
      <vt:variant>
        <vt:lpwstr>_Toc240555528</vt:lpwstr>
      </vt:variant>
      <vt:variant>
        <vt:i4>1114162</vt:i4>
      </vt:variant>
      <vt:variant>
        <vt:i4>86</vt:i4>
      </vt:variant>
      <vt:variant>
        <vt:i4>0</vt:i4>
      </vt:variant>
      <vt:variant>
        <vt:i4>5</vt:i4>
      </vt:variant>
      <vt:variant>
        <vt:lpwstr/>
      </vt:variant>
      <vt:variant>
        <vt:lpwstr>_Toc240555527</vt:lpwstr>
      </vt:variant>
      <vt:variant>
        <vt:i4>1114162</vt:i4>
      </vt:variant>
      <vt:variant>
        <vt:i4>80</vt:i4>
      </vt:variant>
      <vt:variant>
        <vt:i4>0</vt:i4>
      </vt:variant>
      <vt:variant>
        <vt:i4>5</vt:i4>
      </vt:variant>
      <vt:variant>
        <vt:lpwstr/>
      </vt:variant>
      <vt:variant>
        <vt:lpwstr>_Toc240555526</vt:lpwstr>
      </vt:variant>
      <vt:variant>
        <vt:i4>1114162</vt:i4>
      </vt:variant>
      <vt:variant>
        <vt:i4>74</vt:i4>
      </vt:variant>
      <vt:variant>
        <vt:i4>0</vt:i4>
      </vt:variant>
      <vt:variant>
        <vt:i4>5</vt:i4>
      </vt:variant>
      <vt:variant>
        <vt:lpwstr/>
      </vt:variant>
      <vt:variant>
        <vt:lpwstr>_Toc240555525</vt:lpwstr>
      </vt:variant>
      <vt:variant>
        <vt:i4>1114162</vt:i4>
      </vt:variant>
      <vt:variant>
        <vt:i4>68</vt:i4>
      </vt:variant>
      <vt:variant>
        <vt:i4>0</vt:i4>
      </vt:variant>
      <vt:variant>
        <vt:i4>5</vt:i4>
      </vt:variant>
      <vt:variant>
        <vt:lpwstr/>
      </vt:variant>
      <vt:variant>
        <vt:lpwstr>_Toc240555524</vt:lpwstr>
      </vt:variant>
      <vt:variant>
        <vt:i4>1114162</vt:i4>
      </vt:variant>
      <vt:variant>
        <vt:i4>62</vt:i4>
      </vt:variant>
      <vt:variant>
        <vt:i4>0</vt:i4>
      </vt:variant>
      <vt:variant>
        <vt:i4>5</vt:i4>
      </vt:variant>
      <vt:variant>
        <vt:lpwstr/>
      </vt:variant>
      <vt:variant>
        <vt:lpwstr>_Toc240555523</vt:lpwstr>
      </vt:variant>
      <vt:variant>
        <vt:i4>1114162</vt:i4>
      </vt:variant>
      <vt:variant>
        <vt:i4>56</vt:i4>
      </vt:variant>
      <vt:variant>
        <vt:i4>0</vt:i4>
      </vt:variant>
      <vt:variant>
        <vt:i4>5</vt:i4>
      </vt:variant>
      <vt:variant>
        <vt:lpwstr/>
      </vt:variant>
      <vt:variant>
        <vt:lpwstr>_Toc240555522</vt:lpwstr>
      </vt:variant>
      <vt:variant>
        <vt:i4>1114162</vt:i4>
      </vt:variant>
      <vt:variant>
        <vt:i4>50</vt:i4>
      </vt:variant>
      <vt:variant>
        <vt:i4>0</vt:i4>
      </vt:variant>
      <vt:variant>
        <vt:i4>5</vt:i4>
      </vt:variant>
      <vt:variant>
        <vt:lpwstr/>
      </vt:variant>
      <vt:variant>
        <vt:lpwstr>_Toc240555521</vt:lpwstr>
      </vt:variant>
      <vt:variant>
        <vt:i4>1114162</vt:i4>
      </vt:variant>
      <vt:variant>
        <vt:i4>44</vt:i4>
      </vt:variant>
      <vt:variant>
        <vt:i4>0</vt:i4>
      </vt:variant>
      <vt:variant>
        <vt:i4>5</vt:i4>
      </vt:variant>
      <vt:variant>
        <vt:lpwstr/>
      </vt:variant>
      <vt:variant>
        <vt:lpwstr>_Toc240555520</vt:lpwstr>
      </vt:variant>
      <vt:variant>
        <vt:i4>1179698</vt:i4>
      </vt:variant>
      <vt:variant>
        <vt:i4>38</vt:i4>
      </vt:variant>
      <vt:variant>
        <vt:i4>0</vt:i4>
      </vt:variant>
      <vt:variant>
        <vt:i4>5</vt:i4>
      </vt:variant>
      <vt:variant>
        <vt:lpwstr/>
      </vt:variant>
      <vt:variant>
        <vt:lpwstr>_Toc240555519</vt:lpwstr>
      </vt:variant>
      <vt:variant>
        <vt:i4>1179698</vt:i4>
      </vt:variant>
      <vt:variant>
        <vt:i4>32</vt:i4>
      </vt:variant>
      <vt:variant>
        <vt:i4>0</vt:i4>
      </vt:variant>
      <vt:variant>
        <vt:i4>5</vt:i4>
      </vt:variant>
      <vt:variant>
        <vt:lpwstr/>
      </vt:variant>
      <vt:variant>
        <vt:lpwstr>_Toc240555518</vt:lpwstr>
      </vt:variant>
      <vt:variant>
        <vt:i4>1179698</vt:i4>
      </vt:variant>
      <vt:variant>
        <vt:i4>26</vt:i4>
      </vt:variant>
      <vt:variant>
        <vt:i4>0</vt:i4>
      </vt:variant>
      <vt:variant>
        <vt:i4>5</vt:i4>
      </vt:variant>
      <vt:variant>
        <vt:lpwstr/>
      </vt:variant>
      <vt:variant>
        <vt:lpwstr>_Toc240555517</vt:lpwstr>
      </vt:variant>
      <vt:variant>
        <vt:i4>1179698</vt:i4>
      </vt:variant>
      <vt:variant>
        <vt:i4>20</vt:i4>
      </vt:variant>
      <vt:variant>
        <vt:i4>0</vt:i4>
      </vt:variant>
      <vt:variant>
        <vt:i4>5</vt:i4>
      </vt:variant>
      <vt:variant>
        <vt:lpwstr/>
      </vt:variant>
      <vt:variant>
        <vt:lpwstr>_Toc240555516</vt:lpwstr>
      </vt:variant>
      <vt:variant>
        <vt:i4>1179698</vt:i4>
      </vt:variant>
      <vt:variant>
        <vt:i4>14</vt:i4>
      </vt:variant>
      <vt:variant>
        <vt:i4>0</vt:i4>
      </vt:variant>
      <vt:variant>
        <vt:i4>5</vt:i4>
      </vt:variant>
      <vt:variant>
        <vt:lpwstr/>
      </vt:variant>
      <vt:variant>
        <vt:lpwstr>_Toc240555515</vt:lpwstr>
      </vt:variant>
      <vt:variant>
        <vt:i4>1179698</vt:i4>
      </vt:variant>
      <vt:variant>
        <vt:i4>8</vt:i4>
      </vt:variant>
      <vt:variant>
        <vt:i4>0</vt:i4>
      </vt:variant>
      <vt:variant>
        <vt:i4>5</vt:i4>
      </vt:variant>
      <vt:variant>
        <vt:lpwstr/>
      </vt:variant>
      <vt:variant>
        <vt:lpwstr>_Toc240555514</vt:lpwstr>
      </vt:variant>
      <vt:variant>
        <vt:i4>1179698</vt:i4>
      </vt:variant>
      <vt:variant>
        <vt:i4>2</vt:i4>
      </vt:variant>
      <vt:variant>
        <vt:i4>0</vt:i4>
      </vt:variant>
      <vt:variant>
        <vt:i4>5</vt:i4>
      </vt:variant>
      <vt:variant>
        <vt:lpwstr/>
      </vt:variant>
      <vt:variant>
        <vt:lpwstr>_Toc240555513</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2026-10-27T21:58:00Z</cp:lastPrinted>
  <dcterms:created xsi:type="dcterms:W3CDTF">2026-10-28T10:00:29Z</dcterms:created>
  <dcterms:modified xsi:type="dcterms:W3CDTF">2026-10-28T10:00:29Z</dcterms:modified>
</cp:coreProperties>
</file>