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97F1C" w:rsidR="007A03F4" w:rsidP="007A03F4" w:rsidRDefault="007A03F4" w14:paraId="7C138C88" w14:textId="77777777">
      <w:pPr>
        <w:pBdr>
          <w:bottom w:val="double" w:color="auto" w:sz="6" w:space="1"/>
        </w:pBdr>
        <w:tabs>
          <w:tab w:val="left" w:pos="5040"/>
          <w:tab w:val="right" w:pos="9720"/>
        </w:tabs>
        <w:autoSpaceDE w:val="0"/>
        <w:autoSpaceDN w:val="0"/>
        <w:spacing w:before="240" w:line="240" w:lineRule="auto"/>
        <w:ind w:right="187" w:firstLine="0"/>
        <w:rPr>
          <w:rFonts w:ascii="Arial" w:hAnsi="Arial" w:eastAsia="Book Antiqua" w:cs="Book Antiqua"/>
          <w:i/>
          <w:color w:val="000000" w:themeColor="text1"/>
          <w:szCs w:val="20"/>
        </w:rPr>
      </w:pPr>
      <w:r>
        <w:rPr>
          <w:rFonts w:ascii="Arial" w:hAnsi="Arial" w:eastAsia="Book Antiqua" w:cs="Book Antiqua"/>
          <w:color w:val="000000" w:themeColor="text1"/>
          <w:sz w:val="16"/>
          <w:szCs w:val="20"/>
        </w:rPr>
        <w:t>STATE OF CALIFORNIA</w:t>
      </w:r>
      <w:r>
        <w:rPr>
          <w:rFonts w:ascii="Arial" w:hAnsi="Arial" w:eastAsia="Book Antiqua" w:cs="Book Antiqua"/>
          <w:color w:val="000000" w:themeColor="text1"/>
          <w:szCs w:val="20"/>
        </w:rPr>
        <w:tab/>
      </w:r>
      <w:r>
        <w:rPr>
          <w:rFonts w:ascii="Arial" w:hAnsi="Arial" w:eastAsia="Book Antiqua" w:cs="Book Antiqua"/>
          <w:color w:val="000000" w:themeColor="text1"/>
          <w:szCs w:val="20"/>
        </w:rPr>
        <w:tab/>
      </w:r>
      <w:r>
        <w:rPr>
          <w:rFonts w:ascii="Arial" w:hAnsi="Arial" w:eastAsia="Book Antiqua" w:cs="Book Antiqua"/>
          <w:color w:val="000000" w:themeColor="text1"/>
          <w:sz w:val="16"/>
          <w:szCs w:val="20"/>
        </w:rPr>
        <w:t>GAVIN NEWSOM,</w:t>
      </w:r>
      <w:r>
        <w:rPr>
          <w:rFonts w:ascii="Arial" w:hAnsi="Arial" w:eastAsia="Book Antiqua" w:cs="Book Antiqua"/>
          <w:color w:val="000000" w:themeColor="text1"/>
          <w:szCs w:val="20"/>
        </w:rPr>
        <w:t xml:space="preserve"> </w:t>
      </w:r>
      <w:r>
        <w:rPr>
          <w:rFonts w:ascii="Arial" w:hAnsi="Arial" w:eastAsia="Book Antiqua" w:cs="Book Antiqua"/>
          <w:i/>
          <w:color w:val="000000" w:themeColor="text1"/>
          <w:sz w:val="16"/>
          <w:szCs w:val="20"/>
        </w:rPr>
        <w:t>Governor</w:t>
      </w:r>
    </w:p>
    <w:p w:rsidRPr="00997F1C" w:rsidR="007A03F4" w:rsidP="007A03F4" w:rsidRDefault="007A03F4" w14:paraId="150334FF" w14:textId="77777777">
      <w:pPr>
        <w:tabs>
          <w:tab w:val="right" w:pos="11070"/>
        </w:tabs>
        <w:autoSpaceDE w:val="0"/>
        <w:autoSpaceDN w:val="0"/>
        <w:spacing w:before="80" w:line="240" w:lineRule="auto"/>
        <w:ind w:right="360" w:firstLine="0"/>
        <w:rPr>
          <w:rFonts w:ascii="Arial" w:hAnsi="Arial" w:eastAsia="Book Antiqua" w:cs="Book Antiqua"/>
          <w:color w:val="000000" w:themeColor="text1"/>
          <w:szCs w:val="20"/>
        </w:rPr>
      </w:pPr>
      <w:r>
        <w:rPr>
          <w:rFonts w:ascii="Arial" w:hAnsi="Arial" w:eastAsia="Book Antiqua" w:cs="Book Antiqua"/>
          <w:color w:val="000000" w:themeColor="text1"/>
          <w:szCs w:val="20"/>
        </w:rPr>
        <w:t>PUBLIC UTILITIES COMMISSION</w:t>
      </w:r>
    </w:p>
    <w:p w:rsidRPr="00997F1C" w:rsidR="007A03F4" w:rsidP="007A03F4" w:rsidRDefault="007A03F4" w14:paraId="3714CA38" w14:textId="77777777">
      <w:pPr>
        <w:tabs>
          <w:tab w:val="right" w:pos="11070"/>
        </w:tabs>
        <w:autoSpaceDE w:val="0"/>
        <w:autoSpaceDN w:val="0"/>
        <w:spacing w:before="80" w:line="240" w:lineRule="auto"/>
        <w:ind w:right="-306" w:firstLine="0"/>
        <w:rPr>
          <w:rFonts w:ascii="Arial" w:hAnsi="Arial" w:eastAsia="Book Antiqua" w:cs="Book Antiqua"/>
          <w:color w:val="000000" w:themeColor="text1"/>
          <w:sz w:val="12"/>
          <w:szCs w:val="20"/>
        </w:rPr>
      </w:pPr>
      <w:r>
        <w:rPr>
          <w:rFonts w:ascii="Arial" w:hAnsi="Arial" w:eastAsia="Book Antiqua" w:cs="Book Antiqua"/>
          <w:color w:val="000000" w:themeColor="text1"/>
          <w:sz w:val="12"/>
          <w:szCs w:val="20"/>
        </w:rPr>
        <w:t>505 VAN NESS AVENUE</w:t>
      </w:r>
    </w:p>
    <w:p w:rsidRPr="00997F1C" w:rsidR="007A03F4" w:rsidP="007A03F4" w:rsidRDefault="007A03F4" w14:paraId="339E86EF" w14:textId="77777777">
      <w:pPr>
        <w:tabs>
          <w:tab w:val="right" w:pos="11070"/>
        </w:tabs>
        <w:autoSpaceDE w:val="0"/>
        <w:autoSpaceDN w:val="0"/>
        <w:spacing w:before="80" w:line="240" w:lineRule="auto"/>
        <w:ind w:right="-306" w:firstLine="0"/>
        <w:rPr>
          <w:rFonts w:ascii="Arial" w:hAnsi="Arial" w:eastAsia="Book Antiqua" w:cs="Book Antiqua"/>
          <w:color w:val="000000" w:themeColor="text1"/>
          <w:sz w:val="12"/>
          <w:szCs w:val="20"/>
        </w:rPr>
      </w:pPr>
      <w:r>
        <w:rPr>
          <w:rFonts w:ascii="Arial" w:hAnsi="Arial" w:eastAsia="Book Antiqua" w:cs="Book Antiqua"/>
          <w:color w:val="000000" w:themeColor="text1"/>
          <w:sz w:val="12"/>
          <w:szCs w:val="20"/>
        </w:rPr>
        <w:t>SAN FRANCISCO, CA 94102</w:t>
      </w:r>
      <w:r>
        <w:rPr>
          <w:rFonts w:ascii="Arial" w:hAnsi="Arial" w:eastAsia="Book Antiqua" w:cs="Book Antiqua"/>
          <w:color w:val="000000" w:themeColor="text1"/>
          <w:sz w:val="12"/>
          <w:szCs w:val="20"/>
        </w:rPr>
        <w:noBreakHyphen/>
        <w:t>3298</w:t>
      </w:r>
    </w:p>
    <w:p w:rsidRPr="00997F1C" w:rsidR="007A03F4" w:rsidP="007A03F4" w:rsidRDefault="007A03F4" w14:paraId="63AB4854" w14:textId="77777777">
      <w:pPr>
        <w:autoSpaceDE w:val="0"/>
        <w:autoSpaceDN w:val="0"/>
        <w:spacing w:line="240" w:lineRule="auto"/>
        <w:ind w:right="90" w:firstLine="0"/>
        <w:jc w:val="both"/>
        <w:rPr>
          <w:rFonts w:eastAsia="Book Antiqua" w:cs="Book Antiqua"/>
          <w:color w:val="000000" w:themeColor="text1"/>
          <w:szCs w:val="20"/>
        </w:rPr>
      </w:pPr>
    </w:p>
    <w:p w:rsidRPr="00997F1C" w:rsidR="007A03F4" w:rsidP="007A03F4" w:rsidRDefault="007A03F4" w14:paraId="3D029FA0" w14:textId="77777777">
      <w:pPr>
        <w:autoSpaceDE w:val="0"/>
        <w:autoSpaceDN w:val="0"/>
        <w:spacing w:line="240" w:lineRule="auto"/>
        <w:ind w:right="90" w:firstLine="0"/>
        <w:rPr>
          <w:rFonts w:eastAsia="Book Antiqua" w:cs="Book Antiqua"/>
          <w:color w:val="000000" w:themeColor="text1"/>
          <w:szCs w:val="20"/>
        </w:rPr>
      </w:pPr>
    </w:p>
    <w:p w:rsidRPr="00997F1C" w:rsidR="007A03F4" w:rsidP="007A03F4" w:rsidRDefault="00AD7503" w14:paraId="28B28030" w14:textId="77777777">
      <w:pPr>
        <w:tabs>
          <w:tab w:val="right" w:pos="8640"/>
        </w:tabs>
        <w:autoSpaceDE w:val="0"/>
        <w:autoSpaceDN w:val="0"/>
        <w:spacing w:line="240" w:lineRule="auto"/>
        <w:ind w:right="-306" w:firstLine="0"/>
        <w:rPr>
          <w:rFonts w:eastAsia="Book Antiqua" w:cs="Book Antiqua"/>
          <w:b/>
          <w:color w:val="000000" w:themeColor="text1"/>
          <w:szCs w:val="20"/>
        </w:rPr>
      </w:pPr>
      <w:r>
        <w:rPr>
          <w:rFonts w:eastAsia="Book Antiqua" w:cs="Book Antiqua"/>
          <w:color w:val="000000" w:themeColor="text1"/>
          <w:szCs w:val="20"/>
        </w:rPr>
        <w:t>September 23, 2026</w:t>
      </w:r>
      <w:r>
        <w:rPr>
          <w:rFonts w:eastAsia="Book Antiqua" w:cs="Book Antiqua"/>
          <w:color w:val="000000" w:themeColor="text1"/>
          <w:szCs w:val="20"/>
        </w:rPr>
        <w:tab/>
      </w:r>
      <w:r>
        <w:rPr>
          <w:rFonts w:eastAsia="Book Antiqua" w:cs="Book Antiqua"/>
          <w:b/>
          <w:color w:val="000000" w:themeColor="text1"/>
          <w:szCs w:val="20"/>
        </w:rPr>
        <w:t>Agenda ID #24547 (Rev.</w:t>
      </w:r>
      <w:bookmarkStart w:name="_cp_change_0" w:id="0"/>
      <w:r>
        <w:rPr>
          <w:rFonts w:eastAsia="Book Antiqua" w:cs="Book Antiqua"/>
          <w:b/>
          <w:strike/>
          <w:color w:val="FF0000"/>
          <w:szCs w:val="20"/>
          <w:u w:color="FF0000"/>
        </w:rPr>
        <w:t>1</w:t>
      </w:r>
      <w:bookmarkStart w:name="_cp_change_1" w:id="1"/>
      <w:bookmarkEnd w:id="0"/>
      <w:r>
        <w:rPr>
          <w:rFonts w:eastAsia="Book Antiqua" w:cs="Book Antiqua"/>
          <w:b/>
          <w:color w:val="0000FF"/>
          <w:szCs w:val="20"/>
          <w:u w:val="double" w:color="0000FF"/>
        </w:rPr>
        <w:t>2</w:t>
      </w:r>
      <w:bookmarkEnd w:id="1"/>
      <w:r>
        <w:rPr>
          <w:rFonts w:eastAsia="Book Antiqua" w:cs="Book Antiqua"/>
          <w:b/>
          <w:color w:val="000000" w:themeColor="text1"/>
          <w:szCs w:val="20"/>
        </w:rPr>
        <w:t>)</w:t>
      </w:r>
    </w:p>
    <w:p w:rsidRPr="00997F1C" w:rsidR="007A03F4" w:rsidP="007A03F4" w:rsidRDefault="007A03F4" w14:paraId="62EC7AB7" w14:textId="77777777">
      <w:pPr>
        <w:tabs>
          <w:tab w:val="left" w:pos="6120"/>
          <w:tab w:val="right" w:pos="8640"/>
        </w:tabs>
        <w:autoSpaceDE w:val="0"/>
        <w:autoSpaceDN w:val="0"/>
        <w:spacing w:line="240" w:lineRule="auto"/>
        <w:ind w:firstLine="0"/>
        <w:jc w:val="center"/>
        <w:rPr>
          <w:rFonts w:eastAsia="Book Antiqua" w:cs="Book Antiqua"/>
          <w:b/>
          <w:color w:val="000000" w:themeColor="text1"/>
          <w:szCs w:val="20"/>
        </w:rPr>
      </w:pPr>
      <w:r>
        <w:rPr>
          <w:rFonts w:eastAsia="Book Antiqua" w:cs="Book Antiqua"/>
          <w:b/>
          <w:color w:val="000000" w:themeColor="text1"/>
          <w:szCs w:val="20"/>
        </w:rPr>
        <w:tab/>
      </w:r>
      <w:r>
        <w:rPr>
          <w:rFonts w:eastAsia="Book Antiqua" w:cs="Book Antiqua"/>
          <w:b/>
          <w:color w:val="000000" w:themeColor="text1"/>
          <w:szCs w:val="20"/>
        </w:rPr>
        <w:tab/>
        <w:t>Ratesetting</w:t>
      </w:r>
    </w:p>
    <w:p w:rsidRPr="00997F1C" w:rsidR="007A03F4" w:rsidP="007A03F4" w:rsidRDefault="007A03F4" w14:paraId="252CB10C" w14:textId="77777777">
      <w:pPr>
        <w:autoSpaceDE w:val="0"/>
        <w:autoSpaceDN w:val="0"/>
        <w:spacing w:line="240" w:lineRule="auto"/>
        <w:ind w:right="-126" w:firstLine="0"/>
        <w:rPr>
          <w:rFonts w:eastAsia="Book Antiqua" w:cs="Book Antiqua"/>
          <w:color w:val="000000" w:themeColor="text1"/>
          <w:szCs w:val="20"/>
        </w:rPr>
      </w:pPr>
    </w:p>
    <w:p w:rsidRPr="00997F1C" w:rsidR="007A03F4" w:rsidP="007A03F4" w:rsidRDefault="007A03F4" w14:paraId="3E90E8C9" w14:textId="77777777">
      <w:pPr>
        <w:autoSpaceDE w:val="0"/>
        <w:autoSpaceDN w:val="0"/>
        <w:spacing w:line="240" w:lineRule="auto"/>
        <w:ind w:right="-126" w:firstLine="0"/>
        <w:rPr>
          <w:rFonts w:eastAsia="Book Antiqua" w:cs="Book Antiqua"/>
          <w:color w:val="000000" w:themeColor="text1"/>
          <w:szCs w:val="20"/>
        </w:rPr>
      </w:pPr>
      <w:r>
        <w:rPr>
          <w:rFonts w:eastAsia="Book Antiqua" w:cs="Book Antiqua"/>
          <w:color w:val="000000" w:themeColor="text1"/>
          <w:szCs w:val="20"/>
        </w:rPr>
        <w:t>TO PARTIES OF RECORD IN APPLICATION 26-05-009:</w:t>
      </w:r>
    </w:p>
    <w:p w:rsidRPr="00997F1C" w:rsidR="007A03F4" w:rsidP="007A03F4" w:rsidRDefault="007A03F4" w14:paraId="583F2F2D" w14:textId="77777777">
      <w:pPr>
        <w:autoSpaceDE w:val="0"/>
        <w:autoSpaceDN w:val="0"/>
        <w:spacing w:line="240" w:lineRule="auto"/>
        <w:ind w:right="-126" w:firstLine="0"/>
        <w:rPr>
          <w:rFonts w:eastAsia="Book Antiqua" w:cs="Book Antiqua"/>
          <w:color w:val="000000" w:themeColor="text1"/>
          <w:szCs w:val="20"/>
        </w:rPr>
      </w:pPr>
    </w:p>
    <w:p w:rsidRPr="00997F1C" w:rsidR="003E5AEF" w:rsidP="003E5AEF" w:rsidRDefault="003E5AEF" w14:paraId="0B01A81E" w14:textId="77777777">
      <w:pPr>
        <w:spacing w:after="240" w:line="240" w:lineRule="auto"/>
        <w:ind w:firstLine="0"/>
        <w:rPr>
          <w:rFonts w:eastAsia="Times New Roman" w:cs="Times New Roman"/>
          <w:color w:val="000000" w:themeColor="text1"/>
          <w:szCs w:val="26"/>
        </w:rPr>
      </w:pPr>
      <w:r>
        <w:rPr>
          <w:rFonts w:eastAsia="Times New Roman" w:cs="Times New Roman"/>
          <w:color w:val="000000" w:themeColor="text1"/>
          <w:szCs w:val="26"/>
        </w:rPr>
        <w:t>This is the proposed decision of Administrative Law Judges Elizabeth Fox, Darryl</w:t>
      </w:r>
      <w:bookmarkStart w:name="_cp_change_2" w:id="2"/>
      <w:r>
        <w:rPr>
          <w:rFonts w:eastAsia="Times New Roman" w:cs="Times New Roman"/>
          <w:strike/>
          <w:color w:val="FF0000"/>
          <w:szCs w:val="26"/>
          <w:u w:color="FF0000"/>
        </w:rPr>
        <w:t xml:space="preserve">, </w:t>
      </w:r>
      <w:bookmarkEnd w:id="2"/>
      <w:r>
        <w:rPr>
          <w:rFonts w:eastAsia="Times New Roman" w:cs="Times New Roman"/>
          <w:color w:val="000000" w:themeColor="text1"/>
          <w:szCs w:val="26"/>
        </w:rPr>
        <w:t xml:space="preserve"> Gruen, and John Larsen. Until and unless the Commission hears the item and votes to approve it, the proposed decision has no legal effect. This item may be heard, at the earliest, at the Commission’s </w:t>
      </w:r>
      <w:r>
        <w:rPr>
          <w:rFonts w:eastAsia="Times New Roman" w:cs="Times New Roman"/>
          <w:b/>
          <w:bCs/>
          <w:color w:val="000000" w:themeColor="text1"/>
          <w:szCs w:val="26"/>
        </w:rPr>
        <w:t xml:space="preserve">October 29, 2026 </w:t>
      </w:r>
      <w:r>
        <w:rPr>
          <w:rFonts w:eastAsia="Times New Roman" w:cs="Times New Roman"/>
          <w:color w:val="000000" w:themeColor="text1"/>
          <w:szCs w:val="26"/>
        </w:rPr>
        <w:t>Business Meeting. To confirm when the item will be heard, please see the Business Meeting agenda, which is posted on the Commission’s website 10 days before each Business Meeting.</w:t>
      </w:r>
    </w:p>
    <w:p w:rsidRPr="00997F1C" w:rsidR="003E5AEF" w:rsidP="003E5AEF" w:rsidRDefault="003E5AEF" w14:paraId="599B4769" w14:textId="77777777">
      <w:pPr>
        <w:spacing w:after="240" w:line="240" w:lineRule="auto"/>
        <w:ind w:firstLine="0"/>
        <w:rPr>
          <w:rFonts w:eastAsia="Times New Roman" w:cs="Times New Roman"/>
          <w:color w:val="000000" w:themeColor="text1"/>
          <w:szCs w:val="26"/>
        </w:rPr>
      </w:pPr>
      <w:r>
        <w:rPr>
          <w:rFonts w:eastAsia="Times New Roman" w:cs="Times New Roman"/>
          <w:color w:val="000000" w:themeColor="text1"/>
          <w:szCs w:val="26"/>
        </w:rPr>
        <w:t>Parties of record may file comments on the proposed decision as provided in Rule 14.3 of the Commission’s Rules of Practice and Procedure.</w:t>
      </w:r>
    </w:p>
    <w:p w:rsidRPr="00997F1C" w:rsidR="003E5AEF" w:rsidP="003E5AEF" w:rsidRDefault="003E5AEF" w14:paraId="350F700C" w14:textId="77777777">
      <w:pPr>
        <w:spacing w:line="240" w:lineRule="auto"/>
        <w:ind w:firstLine="0"/>
        <w:rPr>
          <w:rFonts w:eastAsia="Times New Roman" w:cs="Times New Roman"/>
          <w:color w:val="000000" w:themeColor="text1"/>
          <w:szCs w:val="26"/>
        </w:rPr>
      </w:pPr>
      <w:r>
        <w:rPr>
          <w:rFonts w:eastAsia="Times New Roman" w:cs="Times New Roman"/>
          <w:color w:val="000000" w:themeColor="text1"/>
          <w:szCs w:val="26"/>
        </w:rPr>
        <w:t xml:space="preserve">The Commission may hold a Ratesetting Deliberative Meeting to consider this item in closed session in advance of the Business Meeting at which the item will be heard. In such event, notice of the Ratesetting Deliberative Meeting will appear in the Daily Calendar, which is posted on the Commission’s website. If a Ratesetting Deliberative Meeting is scheduled, </w:t>
      </w:r>
      <w:r>
        <w:rPr>
          <w:rFonts w:eastAsia="Times New Roman" w:cs="Times New Roman"/>
          <w:i/>
          <w:iCs/>
          <w:color w:val="000000" w:themeColor="text1"/>
          <w:szCs w:val="26"/>
        </w:rPr>
        <w:t>ex parte</w:t>
      </w:r>
      <w:r>
        <w:rPr>
          <w:rFonts w:eastAsia="Times New Roman" w:cs="Times New Roman"/>
          <w:color w:val="000000" w:themeColor="text1"/>
          <w:szCs w:val="26"/>
        </w:rPr>
        <w:t xml:space="preserve"> communications are prohibited pursuant to Rule 8.2(c)(4).</w:t>
      </w:r>
    </w:p>
    <w:p w:rsidRPr="00997F1C" w:rsidR="003E5AEF" w:rsidP="003E5AEF" w:rsidRDefault="003E5AEF" w14:paraId="2C4A3B3A" w14:textId="77777777">
      <w:pPr>
        <w:spacing w:line="240" w:lineRule="auto"/>
        <w:ind w:firstLine="0"/>
        <w:rPr>
          <w:rFonts w:eastAsia="Times New Roman" w:cs="Times New Roman"/>
          <w:color w:val="000000" w:themeColor="text1"/>
          <w:szCs w:val="26"/>
        </w:rPr>
      </w:pPr>
    </w:p>
    <w:p w:rsidRPr="00997F1C" w:rsidR="003E5AEF" w:rsidP="003E5AEF" w:rsidRDefault="003E5AEF" w14:paraId="36CEE2C2" w14:textId="77777777">
      <w:pPr>
        <w:spacing w:line="240" w:lineRule="auto"/>
        <w:ind w:firstLine="0"/>
        <w:rPr>
          <w:rFonts w:eastAsia="Times New Roman" w:cs="Times New Roman"/>
          <w:color w:val="000000" w:themeColor="text1"/>
          <w:szCs w:val="26"/>
        </w:rPr>
      </w:pPr>
    </w:p>
    <w:tbl>
      <w:tblPr>
        <w:tblW w:w="0" w:type="auto"/>
        <w:tblLook w:val="04A0" w:firstRow="1" w:lastRow="0" w:firstColumn="1" w:lastColumn="0" w:noHBand="0" w:noVBand="1"/>
      </w:tblPr>
      <w:tblGrid>
        <w:gridCol w:w="4860"/>
      </w:tblGrid>
      <w:tr w:rsidRPr="00997F1C" w:rsidR="00997F1C" w14:paraId="13B0F99A" w14:textId="77777777">
        <w:tc>
          <w:tcPr>
            <w:tcW w:w="4860" w:type="dxa"/>
            <w:tcBorders>
              <w:bottom w:val="single" w:color="auto" w:sz="4" w:space="0"/>
            </w:tcBorders>
          </w:tcPr>
          <w:p w:rsidRPr="00997F1C" w:rsidR="003E5AEF" w:rsidP="003E5AEF" w:rsidRDefault="00AD7503" w14:paraId="39DDF947" w14:textId="77777777">
            <w:pPr>
              <w:spacing w:line="240" w:lineRule="auto"/>
              <w:ind w:firstLine="0"/>
              <w:rPr>
                <w:rFonts w:eastAsia="Times New Roman" w:cs="Times New Roman"/>
                <w:color w:val="000000" w:themeColor="text1"/>
                <w:szCs w:val="26"/>
              </w:rPr>
            </w:pPr>
            <w:r>
              <w:rPr>
                <w:rFonts w:eastAsia="Times New Roman" w:cs="Times New Roman"/>
                <w:color w:val="000000" w:themeColor="text1"/>
                <w:szCs w:val="26"/>
              </w:rPr>
              <w:t>/s/ MICHELLE COOKE</w:t>
            </w:r>
          </w:p>
        </w:tc>
      </w:tr>
      <w:tr w:rsidRPr="00997F1C" w:rsidR="00997F1C" w14:paraId="2F571FE7" w14:textId="77777777">
        <w:tc>
          <w:tcPr>
            <w:tcW w:w="4860" w:type="dxa"/>
            <w:tcBorders>
              <w:top w:val="single" w:color="auto" w:sz="4" w:space="0"/>
            </w:tcBorders>
          </w:tcPr>
          <w:p w:rsidRPr="00997F1C" w:rsidR="003E5AEF" w:rsidP="003E5AEF" w:rsidRDefault="003E5AEF" w14:paraId="07645680" w14:textId="77777777">
            <w:pPr>
              <w:spacing w:line="240" w:lineRule="auto"/>
              <w:ind w:firstLine="0"/>
              <w:rPr>
                <w:rFonts w:eastAsia="Times New Roman" w:cs="Times New Roman"/>
                <w:color w:val="000000" w:themeColor="text1"/>
                <w:szCs w:val="26"/>
              </w:rPr>
            </w:pPr>
            <w:r>
              <w:rPr>
                <w:rFonts w:eastAsia="Times New Roman" w:cs="Times New Roman"/>
                <w:color w:val="000000" w:themeColor="text1"/>
                <w:szCs w:val="26"/>
              </w:rPr>
              <w:t>Michelle Cooke</w:t>
            </w:r>
          </w:p>
        </w:tc>
      </w:tr>
      <w:tr w:rsidRPr="00997F1C" w:rsidR="003E5AEF" w14:paraId="2317D046" w14:textId="77777777">
        <w:tc>
          <w:tcPr>
            <w:tcW w:w="4860" w:type="dxa"/>
          </w:tcPr>
          <w:p w:rsidRPr="00997F1C" w:rsidR="003E5AEF" w:rsidP="003E5AEF" w:rsidRDefault="003E5AEF" w14:paraId="3C6FAB9F" w14:textId="77777777">
            <w:pPr>
              <w:spacing w:line="240" w:lineRule="auto"/>
              <w:ind w:firstLine="0"/>
              <w:rPr>
                <w:rFonts w:eastAsia="Times New Roman" w:cs="Times New Roman"/>
                <w:color w:val="000000" w:themeColor="text1"/>
                <w:szCs w:val="26"/>
                <w:u w:val="single"/>
              </w:rPr>
            </w:pPr>
            <w:r>
              <w:rPr>
                <w:rFonts w:eastAsia="Times New Roman" w:cs="Times New Roman"/>
                <w:color w:val="000000" w:themeColor="text1"/>
                <w:szCs w:val="26"/>
              </w:rPr>
              <w:t>Chief Administrative Law Judge</w:t>
            </w:r>
          </w:p>
        </w:tc>
      </w:tr>
    </w:tbl>
    <w:p w:rsidRPr="00997F1C" w:rsidR="003E5AEF" w:rsidP="003E5AEF" w:rsidRDefault="003E5AEF" w14:paraId="639DDB47" w14:textId="77777777">
      <w:pPr>
        <w:spacing w:line="240" w:lineRule="auto"/>
        <w:ind w:firstLine="0"/>
        <w:rPr>
          <w:rFonts w:eastAsia="Times New Roman" w:cs="Times New Roman"/>
          <w:color w:val="000000" w:themeColor="text1"/>
          <w:szCs w:val="26"/>
        </w:rPr>
      </w:pPr>
    </w:p>
    <w:p w:rsidRPr="00997F1C" w:rsidR="003E5AEF" w:rsidP="003E5AEF" w:rsidRDefault="003E5AEF" w14:paraId="39F2286E" w14:textId="77777777">
      <w:pPr>
        <w:spacing w:line="240" w:lineRule="auto"/>
        <w:ind w:firstLine="0"/>
        <w:rPr>
          <w:rFonts w:eastAsia="Times New Roman" w:cs="Times New Roman"/>
          <w:color w:val="000000" w:themeColor="text1"/>
          <w:szCs w:val="26"/>
        </w:rPr>
      </w:pPr>
      <w:r>
        <w:rPr>
          <w:rFonts w:eastAsia="Times New Roman" w:cs="Times New Roman"/>
          <w:color w:val="000000" w:themeColor="text1"/>
          <w:szCs w:val="26"/>
        </w:rPr>
        <w:t>MLC: smt</w:t>
      </w:r>
    </w:p>
    <w:p w:rsidRPr="00997F1C" w:rsidR="003E5AEF" w:rsidP="003E5AEF" w:rsidRDefault="003E5AEF" w14:paraId="1A05E48C" w14:textId="77777777">
      <w:pPr>
        <w:spacing w:line="240" w:lineRule="auto"/>
        <w:ind w:firstLine="0"/>
        <w:rPr>
          <w:rFonts w:eastAsia="Times New Roman" w:cs="Times New Roman"/>
          <w:color w:val="000000" w:themeColor="text1"/>
          <w:szCs w:val="26"/>
        </w:rPr>
      </w:pPr>
    </w:p>
    <w:p w:rsidRPr="00997F1C" w:rsidR="003E5AEF" w:rsidP="003E5AEF" w:rsidRDefault="003E5AEF" w14:paraId="6F1D8781" w14:textId="77777777">
      <w:pPr>
        <w:tabs>
          <w:tab w:val="center" w:pos="4680"/>
          <w:tab w:val="right" w:pos="9360"/>
        </w:tabs>
        <w:spacing w:line="240" w:lineRule="auto"/>
        <w:ind w:firstLine="0"/>
        <w:rPr>
          <w:rFonts w:eastAsia="Times New Roman" w:cs="Times New Roman"/>
          <w:color w:val="000000" w:themeColor="text1"/>
          <w:szCs w:val="20"/>
        </w:rPr>
      </w:pPr>
      <w:r>
        <w:rPr>
          <w:rFonts w:eastAsia="Times New Roman" w:cs="Times New Roman"/>
          <w:color w:val="000000" w:themeColor="text1"/>
          <w:szCs w:val="26"/>
        </w:rPr>
        <w:t>Attachment</w:t>
      </w:r>
    </w:p>
    <w:p w:rsidRPr="00997F1C" w:rsidR="007A03F4" w:rsidP="007A03F4" w:rsidRDefault="007A03F4" w14:paraId="5AE445FD" w14:textId="77777777">
      <w:pPr>
        <w:keepNext/>
        <w:keepLines/>
        <w:spacing w:line="240" w:lineRule="auto"/>
        <w:ind w:firstLine="0"/>
        <w:rPr>
          <w:color w:val="000000" w:themeColor="text1"/>
          <w:szCs w:val="26"/>
        </w:rPr>
        <w:sectPr w:rsidRPr="00997F1C" w:rsidR="007A03F4" w:rsidSect="00207D41">
          <w:headerReference w:type="even" r:id="rId11"/>
          <w:headerReference w:type="default" r:id="rId12"/>
          <w:footerReference w:type="even" r:id="rId13"/>
          <w:footerReference w:type="default" r:id="rId14"/>
          <w:headerReference w:type="first" r:id="rId15"/>
          <w:footerReference w:type="first" r:id="rId16"/>
          <w:pgSz w:w="12240" w:h="15840"/>
          <w:pgMar w:top="1728" w:right="1800" w:bottom="1440" w:left="1800" w:header="720" w:footer="720" w:gutter="0"/>
          <w:cols w:space="720"/>
        </w:sectPr>
      </w:pPr>
    </w:p>
    <w:p w:rsidRPr="002B265F" w:rsidR="002B265F" w:rsidP="002B265F" w:rsidRDefault="002B265F" w14:paraId="025DEAEF" w14:textId="77777777">
      <w:pPr>
        <w:tabs>
          <w:tab w:val="center" w:pos="4680"/>
          <w:tab w:val="right" w:pos="9360"/>
        </w:tabs>
        <w:spacing w:line="240" w:lineRule="auto"/>
        <w:ind w:firstLine="0"/>
      </w:pPr>
      <w:r>
        <w:lastRenderedPageBreak/>
        <w:t xml:space="preserve">ALJ/EF1/smt              </w:t>
      </w:r>
      <w:r>
        <w:rPr>
          <w:rFonts w:ascii="Arial" w:hAnsi="Arial" w:cs="Arial"/>
          <w:b/>
          <w:sz w:val="32"/>
          <w:szCs w:val="32"/>
        </w:rPr>
        <w:t>PROPOSED DECISION</w:t>
      </w:r>
      <w:r>
        <w:tab/>
      </w:r>
      <w:r>
        <w:rPr>
          <w:b/>
        </w:rPr>
        <w:t>Agenda ID #24547(Rev.</w:t>
      </w:r>
      <w:bookmarkStart w:name="_cp_change_3" w:id="5"/>
      <w:r>
        <w:rPr>
          <w:b/>
          <w:strike/>
          <w:color w:val="FF0000"/>
          <w:u w:color="FF0000"/>
        </w:rPr>
        <w:t>1</w:t>
      </w:r>
      <w:bookmarkStart w:name="_cp_change_4" w:id="6"/>
      <w:bookmarkEnd w:id="5"/>
      <w:r>
        <w:rPr>
          <w:b/>
          <w:color w:val="0000FF"/>
          <w:u w:val="double" w:color="0000FF"/>
        </w:rPr>
        <w:t>2</w:t>
      </w:r>
      <w:bookmarkEnd w:id="6"/>
      <w:r>
        <w:rPr>
          <w:b/>
        </w:rPr>
        <w:t>)</w:t>
      </w:r>
    </w:p>
    <w:p w:rsidR="002B265F" w:rsidP="002B265F" w:rsidRDefault="002B265F" w14:paraId="680A7524" w14:textId="77777777">
      <w:pPr>
        <w:spacing w:line="240" w:lineRule="auto"/>
        <w:jc w:val="right"/>
        <w:rPr>
          <w:b/>
        </w:rPr>
      </w:pPr>
      <w:r>
        <w:rPr>
          <w:b/>
        </w:rPr>
        <w:t>Ratesetting</w:t>
      </w:r>
    </w:p>
    <w:p w:rsidRPr="002B265F" w:rsidR="006E7830" w:rsidP="002B265F" w:rsidRDefault="006E7830" w14:paraId="743CC742" w14:textId="77777777">
      <w:pPr>
        <w:spacing w:line="240" w:lineRule="auto"/>
        <w:jc w:val="right"/>
        <w:rPr>
          <w:b/>
        </w:rPr>
      </w:pPr>
      <w:r>
        <w:rPr>
          <w:b/>
        </w:rPr>
        <w:t>10/29/2026  Item #49</w:t>
      </w:r>
    </w:p>
    <w:p w:rsidRPr="002B265F" w:rsidR="002B265F" w:rsidP="002B265F" w:rsidRDefault="002B265F" w14:paraId="5AB5365F" w14:textId="77777777">
      <w:pPr>
        <w:ind w:firstLine="0"/>
      </w:pPr>
    </w:p>
    <w:p w:rsidRPr="001D7A45" w:rsidR="002B265F" w:rsidP="002B265F" w:rsidRDefault="002B265F" w14:paraId="74F3BD0A" w14:textId="77777777">
      <w:pPr>
        <w:spacing w:line="240" w:lineRule="auto"/>
        <w:ind w:left="1080" w:hanging="1080"/>
      </w:pPr>
      <w:r>
        <w:t>Decision</w:t>
      </w:r>
      <w:r>
        <w:rPr>
          <w:b/>
          <w:bCs/>
          <w:u w:val="single"/>
        </w:rPr>
        <w:t xml:space="preserve"> PROPOSED DECISION OF ALJ FOX</w:t>
      </w:r>
      <w:r>
        <w:t xml:space="preserve"> (Mailed 9/22/2026)</w:t>
      </w:r>
    </w:p>
    <w:p w:rsidRPr="002B265F" w:rsidR="002B265F" w:rsidP="002B265F" w:rsidRDefault="002B265F" w14:paraId="45A8235E" w14:textId="77777777">
      <w:pPr>
        <w:ind w:left="1080" w:hanging="1080"/>
      </w:pPr>
    </w:p>
    <w:p w:rsidRPr="002B265F" w:rsidR="002B265F" w:rsidP="002B265F" w:rsidRDefault="002B265F" w14:paraId="5E619501" w14:textId="77777777">
      <w:pPr>
        <w:spacing w:line="240" w:lineRule="auto"/>
        <w:jc w:val="center"/>
        <w:rPr>
          <w:u w:val="single"/>
        </w:rPr>
      </w:pPr>
    </w:p>
    <w:p w:rsidRPr="002B265F" w:rsidR="002B265F" w:rsidP="002B265F" w:rsidRDefault="002B265F" w14:paraId="609E289E" w14:textId="77777777">
      <w:pPr>
        <w:spacing w:line="240" w:lineRule="auto"/>
        <w:ind w:firstLine="0"/>
        <w:jc w:val="center"/>
        <w:rPr>
          <w:rFonts w:ascii="Arial" w:hAnsi="Arial" w:cs="Arial"/>
          <w:sz w:val="24"/>
          <w:szCs w:val="24"/>
        </w:rPr>
      </w:pPr>
      <w:r>
        <w:rPr>
          <w:rFonts w:ascii="Arial" w:hAnsi="Arial" w:cs="Arial"/>
          <w:b/>
          <w:sz w:val="24"/>
          <w:szCs w:val="24"/>
        </w:rPr>
        <w:t>BEFORE THE PUBLIC UTILITIES COMMISSION OF THE STATE OF CALIFORNIA</w:t>
      </w:r>
    </w:p>
    <w:p w:rsidRPr="002B265F" w:rsidR="002B265F" w:rsidP="002B265F" w:rsidRDefault="002B265F" w14:paraId="2E892CC3"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Pr="002B265F" w:rsidR="002B265F" w:rsidTr="00463DCB" w14:paraId="517C9FAE" w14:textId="77777777">
        <w:trPr>
          <w:jc w:val="center"/>
        </w:trPr>
        <w:tc>
          <w:tcPr>
            <w:tcW w:w="5040" w:type="dxa"/>
            <w:tcBorders>
              <w:top w:val="nil"/>
              <w:left w:val="nil"/>
              <w:bottom w:val="single" w:color="auto" w:sz="4" w:space="0"/>
              <w:right w:val="single" w:color="auto" w:sz="4" w:space="0"/>
            </w:tcBorders>
          </w:tcPr>
          <w:p w:rsidRPr="002B265F" w:rsidR="002B265F" w:rsidP="002B265F" w:rsidRDefault="002B265F" w14:paraId="5F86F5E0" w14:textId="77777777">
            <w:pPr>
              <w:spacing w:line="240" w:lineRule="auto"/>
              <w:ind w:firstLine="0"/>
              <w:rPr>
                <w:rFonts w:cs="Arial"/>
                <w:szCs w:val="26"/>
              </w:rPr>
            </w:pPr>
            <w:r>
              <w:rPr>
                <w:rFonts w:cs="Arial"/>
                <w:szCs w:val="26"/>
              </w:rPr>
              <w:t>Application of Pacific Gas and Electric Company for Authority, Among Other Things, to Increase Rates and Charges for Electric and Gas Service Effective on January 1, 2027. (U39M)</w:t>
            </w:r>
            <w:r>
              <w:rPr>
                <w:rFonts w:cs="Arial"/>
                <w:szCs w:val="26"/>
              </w:rPr>
              <w:br/>
            </w:r>
          </w:p>
        </w:tc>
        <w:tc>
          <w:tcPr>
            <w:tcW w:w="5040" w:type="dxa"/>
            <w:tcBorders>
              <w:top w:val="nil"/>
              <w:left w:val="single" w:color="auto" w:sz="4" w:space="0"/>
              <w:bottom w:val="nil"/>
              <w:right w:val="nil"/>
            </w:tcBorders>
            <w:vAlign w:val="center"/>
          </w:tcPr>
          <w:p w:rsidRPr="002B265F" w:rsidR="002B265F" w:rsidP="002B265F" w:rsidRDefault="002B265F" w14:paraId="579385B0" w14:textId="77777777">
            <w:pPr>
              <w:spacing w:line="240" w:lineRule="auto"/>
              <w:ind w:firstLine="0"/>
              <w:jc w:val="center"/>
              <w:rPr>
                <w:rFonts w:cs="Arial"/>
                <w:szCs w:val="26"/>
              </w:rPr>
            </w:pPr>
            <w:r>
              <w:rPr>
                <w:rFonts w:cs="Arial"/>
                <w:szCs w:val="26"/>
              </w:rPr>
              <w:t>Application 25-05-009</w:t>
            </w:r>
          </w:p>
        </w:tc>
      </w:tr>
    </w:tbl>
    <w:p w:rsidRPr="002B265F" w:rsidR="002B265F" w:rsidP="002B265F" w:rsidRDefault="002B265F" w14:paraId="3506C1E2" w14:textId="77777777">
      <w:pPr>
        <w:spacing w:line="240" w:lineRule="auto"/>
        <w:ind w:firstLine="0"/>
        <w:rPr>
          <w:rFonts w:ascii="Arial" w:hAnsi="Arial" w:cs="Arial"/>
          <w:sz w:val="24"/>
          <w:szCs w:val="24"/>
        </w:rPr>
      </w:pPr>
    </w:p>
    <w:p w:rsidRPr="002B265F" w:rsidR="002B265F" w:rsidP="002B265F" w:rsidRDefault="002B265F" w14:paraId="5F48D59D" w14:textId="77777777">
      <w:pPr>
        <w:spacing w:line="240" w:lineRule="auto"/>
        <w:ind w:firstLine="0"/>
        <w:rPr>
          <w:rFonts w:ascii="Arial" w:hAnsi="Arial" w:cs="Arial"/>
          <w:sz w:val="24"/>
          <w:szCs w:val="24"/>
        </w:rPr>
      </w:pPr>
    </w:p>
    <w:p w:rsidRPr="002B265F" w:rsidR="002B265F" w:rsidP="002B265F" w:rsidRDefault="002B265F" w14:paraId="0837D210" w14:textId="77777777">
      <w:pPr>
        <w:keepNext/>
        <w:keepLines/>
        <w:spacing w:after="120" w:line="240" w:lineRule="auto"/>
        <w:ind w:firstLine="0"/>
        <w:jc w:val="center"/>
        <w:outlineLvl w:val="0"/>
        <w:rPr>
          <w:rFonts w:ascii="Arial" w:hAnsi="Arial" w:cs="Arial"/>
          <w:b/>
          <w:color w:val="000000" w:themeColor="text1"/>
          <w:szCs w:val="26"/>
        </w:rPr>
      </w:pPr>
      <w:bookmarkStart w:name="_Toc238553221" w:id="7"/>
      <w:r>
        <w:rPr>
          <w:rFonts w:ascii="Arial" w:hAnsi="Arial" w:cs="Arial"/>
          <w:b/>
          <w:color w:val="000000" w:themeColor="text1"/>
          <w:szCs w:val="26"/>
        </w:rPr>
        <w:t>DECISION AUTHORIZING INTERIM RATE RECOVERY</w:t>
      </w:r>
      <w:bookmarkEnd w:id="7"/>
    </w:p>
    <w:p w:rsidRPr="002B265F" w:rsidR="002B265F" w:rsidP="002B265F" w:rsidRDefault="002B265F" w14:paraId="6082641C" w14:textId="77777777">
      <w:pPr>
        <w:keepNext/>
        <w:keepLines/>
        <w:spacing w:after="120" w:line="240" w:lineRule="auto"/>
        <w:ind w:firstLine="0"/>
        <w:outlineLvl w:val="0"/>
        <w:rPr>
          <w:rFonts w:ascii="Arial" w:hAnsi="Arial" w:cs="Arial"/>
          <w:b/>
          <w:szCs w:val="26"/>
        </w:rPr>
      </w:pPr>
      <w:bookmarkStart w:name="_Toc238553222" w:id="8"/>
      <w:r>
        <w:rPr>
          <w:rFonts w:ascii="Arial" w:hAnsi="Arial" w:cs="Arial"/>
          <w:b/>
          <w:szCs w:val="26"/>
        </w:rPr>
        <w:t>Summary</w:t>
      </w:r>
      <w:bookmarkEnd w:id="8"/>
    </w:p>
    <w:p w:rsidRPr="0023798B" w:rsidR="00D86806" w:rsidP="00CA5EC7" w:rsidRDefault="002B265F" w14:paraId="05477E23" w14:textId="77777777">
      <w:pPr>
        <w:pStyle w:val="Standard"/>
      </w:pPr>
      <w:r>
        <w:t>The decision partially authorizes Pacific Gas and Electric Company (PG&amp;E) to recover, on an interim rate basis, up to $456 million in revenue requirement, beginning January 1, 2027, and remaining in effect until a final decision is implemented. The decision applies a lower percentage increase to the electric functions, where PG&amp;E requests increases, to limit the risk of overcollection that would have to be refunded. The decision applies a higher percentage decrease to the gas functions, where PG&amp;E proposes decreases, so that customers receive more of those reductions sooner.</w:t>
      </w:r>
    </w:p>
    <w:p w:rsidRPr="0023798B" w:rsidR="0053728E" w:rsidP="00CA5EC7" w:rsidRDefault="00733886" w14:paraId="22BEB0C6" w14:textId="77777777">
      <w:pPr>
        <w:pStyle w:val="Standard"/>
      </w:pPr>
      <w:r>
        <w:t>The interim rate recovery is subject to refund. If a final decision on PG&amp;E’s 2027 general rate case approves an amount less than what this interim mechanism has already collected, PG&amp;E shall return any overcollection to customers, with interest calculated at the three-month commercial paper rate</w:t>
      </w:r>
      <w:bookmarkStart w:name="_cp_change_5" w:id="9"/>
      <w:r>
        <w:rPr>
          <w:color w:val="0000FF"/>
          <w:u w:val="double" w:color="0000FF"/>
        </w:rPr>
        <w:t xml:space="preserve"> </w:t>
      </w:r>
      <w:r>
        <w:rPr>
          <w:color w:val="0000FF"/>
          <w:u w:val="double" w:color="0000FF"/>
        </w:rPr>
        <w:lastRenderedPageBreak/>
        <w:t>plus an additional Yield Spread Adjustment, if applicable, pursuant to Decision 25-03-010</w:t>
      </w:r>
      <w:bookmarkEnd w:id="9"/>
      <w:r>
        <w:t xml:space="preserve">. </w:t>
      </w:r>
    </w:p>
    <w:p w:rsidRPr="002B265F" w:rsidR="002B265F" w:rsidP="002B265F" w:rsidRDefault="003A0ACA" w14:paraId="08906E48" w14:textId="77777777">
      <w:pPr>
        <w:pStyle w:val="Standard"/>
      </w:pPr>
      <w:r>
        <w:t>Nothing in this decision shall be construed to relieve PG&amp;E of the burden of proving that all costs it seeks to recover in this proceeding are just and reasonable.</w:t>
      </w:r>
    </w:p>
    <w:p w:rsidRPr="002B265F" w:rsidR="002B265F" w:rsidP="002B265F" w:rsidRDefault="002B265F" w14:paraId="27E3652C" w14:textId="77777777">
      <w:pPr>
        <w:rPr>
          <w:color w:val="000000" w:themeColor="text1"/>
        </w:rPr>
      </w:pPr>
      <w:r>
        <w:rPr>
          <w:color w:val="000000" w:themeColor="text1"/>
        </w:rPr>
        <w:t>Application 25-05-009 remains open.</w:t>
      </w:r>
    </w:p>
    <w:p w:rsidRPr="002B265F" w:rsidR="002B265F" w:rsidP="002B265F" w:rsidRDefault="002B265F" w14:paraId="59AD187B" w14:textId="77777777">
      <w:pPr>
        <w:pStyle w:val="Heading1"/>
        <w:ind w:hanging="720"/>
      </w:pPr>
      <w:bookmarkStart w:name="_Toc238553223" w:id="10"/>
      <w:r>
        <w:t>Background</w:t>
      </w:r>
      <w:bookmarkEnd w:id="10"/>
    </w:p>
    <w:p w:rsidRPr="002B265F" w:rsidR="002B265F" w:rsidP="002B265F" w:rsidRDefault="002B265F" w14:paraId="60911C2B" w14:textId="77777777">
      <w:pPr>
        <w:pStyle w:val="Standard"/>
      </w:pPr>
      <w:r>
        <w:t xml:space="preserve">On May 15, 2025, Pacific Gas and Electric Company (PG&amp;E) filed the instant Application and served supporting testimony for its Test Year 2027 General Rate Case (TY 2027 GRC or GRC). In its Application, PG&amp;E requested </w:t>
      </w:r>
      <w:r>
        <w:br/>
        <w:t xml:space="preserve">to increase its total combined revenue requirement for gas distribution, transmission and storage, electric distribution, and generation, effective </w:t>
      </w:r>
      <w:r>
        <w:br/>
        <w:t xml:space="preserve">January 1, 2027. </w:t>
      </w:r>
    </w:p>
    <w:p w:rsidRPr="002B265F" w:rsidR="002B265F" w:rsidP="002B265F" w:rsidRDefault="002B265F" w14:paraId="39F296A2" w14:textId="77777777">
      <w:pPr>
        <w:pStyle w:val="Standard"/>
      </w:pPr>
      <w:r>
        <w:t>The Assigned Commissioner’s Scoping Memo and Ruling adopted a schedule that established May 2027 as the expected date for a final decision in Track 1 of this proceeding.</w:t>
      </w:r>
      <w:r>
        <w:rPr>
          <w:vertAlign w:val="superscript"/>
        </w:rPr>
        <w:footnoteReference w:id="2"/>
      </w:r>
    </w:p>
    <w:p w:rsidRPr="002B265F" w:rsidR="002B265F" w:rsidP="002B265F" w:rsidRDefault="002B265F" w14:paraId="2A8985BE" w14:textId="77777777">
      <w:pPr>
        <w:pStyle w:val="Standard"/>
      </w:pPr>
      <w:r>
        <w:t xml:space="preserve">On May 7, 2026, PG&amp;E filed a motion requesting that the Commission authorize interim rate recovery (IRR Motion) for its TY 2027 GRC, pursuant to Public Utilities Code (Pub. Util. Code) §§ 451 and 701. </w:t>
      </w:r>
    </w:p>
    <w:p w:rsidRPr="002B265F" w:rsidR="002B265F" w:rsidP="002B265F" w:rsidRDefault="002B265F" w14:paraId="78DC8909" w14:textId="77777777">
      <w:pPr>
        <w:rPr>
          <w:color w:val="000000" w:themeColor="text1"/>
        </w:rPr>
      </w:pPr>
      <w:r>
        <w:rPr>
          <w:color w:val="000000" w:themeColor="text1"/>
        </w:rPr>
        <w:t xml:space="preserve">On June 1, 2026, the following parties filed responses that opposed PG&amp;E’s IRR Motion: </w:t>
      </w:r>
    </w:p>
    <w:p w:rsidRPr="002B265F" w:rsidR="002B265F" w:rsidP="002B265F" w:rsidRDefault="002B265F" w14:paraId="3F821542" w14:textId="77777777">
      <w:pPr>
        <w:numPr>
          <w:ilvl w:val="0"/>
          <w:numId w:val="17"/>
        </w:numPr>
        <w:spacing w:after="120" w:line="240" w:lineRule="auto"/>
        <w:ind w:left="1080" w:right="1440" w:hanging="360"/>
        <w:rPr>
          <w:color w:val="000000" w:themeColor="text1"/>
        </w:rPr>
      </w:pPr>
      <w:r>
        <w:rPr>
          <w:color w:val="000000" w:themeColor="text1"/>
        </w:rPr>
        <w:t>California Large Energy Consumers Association, Energy Producers and Users Coalition, Indicated Shippers (Joint Parties);</w:t>
      </w:r>
    </w:p>
    <w:p w:rsidRPr="002B265F" w:rsidR="002B265F" w:rsidP="002B265F" w:rsidRDefault="002B265F" w14:paraId="7C764988" w14:textId="77777777">
      <w:pPr>
        <w:numPr>
          <w:ilvl w:val="0"/>
          <w:numId w:val="17"/>
        </w:numPr>
        <w:spacing w:after="120" w:line="240" w:lineRule="auto"/>
        <w:ind w:left="1080" w:right="1440" w:hanging="360"/>
      </w:pPr>
      <w:r>
        <w:lastRenderedPageBreak/>
        <w:t>The Public Advocates Office of the California Public Utilities Commission (Cal Advocates); and</w:t>
      </w:r>
    </w:p>
    <w:p w:rsidRPr="002B265F" w:rsidR="002B265F" w:rsidP="002B265F" w:rsidRDefault="002B265F" w14:paraId="60EFEE53" w14:textId="77777777">
      <w:pPr>
        <w:numPr>
          <w:ilvl w:val="0"/>
          <w:numId w:val="17"/>
        </w:numPr>
        <w:spacing w:after="120" w:line="240" w:lineRule="auto"/>
        <w:ind w:left="1080" w:right="1440" w:hanging="360"/>
      </w:pPr>
      <w:r>
        <w:t>The Utility Reform Network (TURN).</w:t>
      </w:r>
    </w:p>
    <w:p w:rsidRPr="002B265F" w:rsidR="002B265F" w:rsidP="002B265F" w:rsidRDefault="002B265F" w14:paraId="6F96D32C" w14:textId="77777777">
      <w:pPr>
        <w:pStyle w:val="Standard"/>
      </w:pPr>
      <w:r>
        <w:t>On July 2, 2026, PG&amp;E presented an updated revenue requirement request.</w:t>
      </w:r>
      <w:r>
        <w:rPr>
          <w:vertAlign w:val="superscript"/>
        </w:rPr>
        <w:footnoteReference w:id="3"/>
      </w:r>
      <w:bookmarkStart w:name="_Toc238553224" w:id="11"/>
    </w:p>
    <w:p w:rsidRPr="002B265F" w:rsidR="002B265F" w:rsidP="002B265F" w:rsidRDefault="002B265F" w14:paraId="083023D7" w14:textId="77777777">
      <w:pPr>
        <w:pStyle w:val="Heading1"/>
        <w:ind w:hanging="720"/>
      </w:pPr>
      <w:r>
        <w:t>PG&amp;E Proposal</w:t>
      </w:r>
      <w:bookmarkEnd w:id="11"/>
    </w:p>
    <w:p w:rsidRPr="00637592" w:rsidR="002B265F" w:rsidP="002B265F" w:rsidRDefault="002B265F" w14:paraId="39DBB577" w14:textId="77777777">
      <w:pPr>
        <w:rPr>
          <w:color w:val="000000" w:themeColor="text1"/>
        </w:rPr>
      </w:pPr>
      <w:r>
        <w:rPr>
          <w:color w:val="000000" w:themeColor="text1"/>
        </w:rPr>
        <w:t>PG&amp;E’s 2027 GRC revenue requirement forecast is $16.527 billion.</w:t>
      </w:r>
      <w:r>
        <w:rPr>
          <w:color w:val="000000" w:themeColor="text1"/>
          <w:vertAlign w:val="superscript"/>
        </w:rPr>
        <w:footnoteReference w:id="4"/>
      </w:r>
      <w:r>
        <w:rPr>
          <w:color w:val="000000" w:themeColor="text1"/>
        </w:rPr>
        <w:t xml:space="preserve"> PG&amp;E requests authorization to recover, on an interim basis commencing January 1, 2027, one of the following: (1) approximately $653.70 million in revenue requirement (55%interim rate recovery), (2) approximately $891.40 million in revenue requirement (75% interim rate recovery), or (3) approximately $1,010.26 million in revenue requirement (85% interim rate recovery) to remain effective in rates until the Commission’s final decision on PG&amp;E’s 2027 GRC is implemented in rates.</w:t>
      </w:r>
    </w:p>
    <w:p w:rsidRPr="00637592" w:rsidR="002B265F" w:rsidP="002B265F" w:rsidRDefault="003A0ACA" w14:paraId="3CCD5F36" w14:textId="77777777">
      <w:pPr>
        <w:rPr>
          <w:color w:val="000000" w:themeColor="text1"/>
        </w:rPr>
      </w:pPr>
      <w:r>
        <w:rPr>
          <w:color w:val="000000" w:themeColor="text1"/>
        </w:rPr>
        <w:t>The Table below shows the calculation for the 55%, 75%, and 85% interim rate recovery scenarios by function, including proposed reductions for Gas Distribution and Gas Transmission and Storage.</w:t>
      </w:r>
      <w:r>
        <w:rPr>
          <w:color w:val="000000" w:themeColor="text1"/>
          <w:vertAlign w:val="superscript"/>
        </w:rPr>
        <w:footnoteReference w:id="5"/>
      </w:r>
    </w:p>
    <w:p w:rsidRPr="00637592" w:rsidR="00385472" w:rsidRDefault="00385472" w14:paraId="2DCA7150" w14:textId="77777777">
      <w:pPr>
        <w:spacing w:after="160" w:line="259" w:lineRule="auto"/>
        <w:ind w:firstLine="0"/>
        <w:rPr>
          <w:color w:val="000000" w:themeColor="text1"/>
        </w:rPr>
      </w:pPr>
      <w:r>
        <w:rPr>
          <w:color w:val="000000" w:themeColor="text1"/>
        </w:rPr>
        <w:br w:type="page"/>
      </w:r>
    </w:p>
    <w:p w:rsidRPr="002B265F" w:rsidR="002B265F" w:rsidP="008401E5" w:rsidRDefault="002B265F" w14:paraId="4A69C39B" w14:textId="77777777">
      <w:pPr>
        <w:keepNext/>
        <w:spacing w:after="200" w:line="240" w:lineRule="auto"/>
        <w:ind w:firstLine="0"/>
        <w:jc w:val="center"/>
        <w:rPr>
          <w:b/>
          <w:bCs/>
          <w:color w:val="000000" w:themeColor="text1"/>
          <w:sz w:val="24"/>
          <w:szCs w:val="24"/>
        </w:rPr>
      </w:pPr>
      <w:r>
        <w:rPr>
          <w:b/>
          <w:bCs/>
          <w:color w:val="000000" w:themeColor="text1"/>
          <w:sz w:val="24"/>
          <w:szCs w:val="24"/>
        </w:rPr>
        <w:lastRenderedPageBreak/>
        <w:t xml:space="preserve">Table </w:t>
      </w:r>
      <w:r>
        <w:rPr>
          <w:b/>
          <w:bCs/>
          <w:color w:val="000000" w:themeColor="text1"/>
          <w:sz w:val="24"/>
          <w:szCs w:val="24"/>
        </w:rPr>
        <w:fldChar w:fldCharType="begin"/>
      </w:r>
      <w:r>
        <w:rPr>
          <w:b/>
          <w:bCs/>
          <w:color w:val="000000" w:themeColor="text1"/>
          <w:sz w:val="24"/>
          <w:szCs w:val="24"/>
        </w:rPr>
        <w:instrText xml:space="preserve"> SEQ Table \* ARABIC </w:instrText>
      </w:r>
      <w:r>
        <w:rPr>
          <w:b/>
          <w:bCs/>
          <w:color w:val="000000" w:themeColor="text1"/>
          <w:sz w:val="24"/>
          <w:szCs w:val="24"/>
        </w:rPr>
        <w:fldChar w:fldCharType="separate"/>
      </w:r>
      <w:r>
        <w:rPr>
          <w:b/>
          <w:bCs/>
          <w:noProof/>
          <w:color w:val="000000" w:themeColor="text1"/>
          <w:sz w:val="24"/>
          <w:szCs w:val="24"/>
        </w:rPr>
        <w:t>1</w:t>
      </w:r>
      <w:r>
        <w:rPr>
          <w:b/>
          <w:bCs/>
          <w:color w:val="000000" w:themeColor="text1"/>
          <w:sz w:val="24"/>
          <w:szCs w:val="24"/>
        </w:rPr>
        <w:fldChar w:fldCharType="end"/>
      </w:r>
      <w:r>
        <w:rPr>
          <w:b/>
          <w:bCs/>
          <w:color w:val="000000" w:themeColor="text1"/>
          <w:sz w:val="24"/>
          <w:szCs w:val="24"/>
        </w:rPr>
        <w:t>: PG&amp;E Calculation of IRR Scenarios by Function (Millions)</w:t>
      </w:r>
    </w:p>
    <w:tbl>
      <w:tblPr>
        <w:tblW w:w="0" w:type="auto"/>
        <w:tblBorders>
          <w:top w:val="single" w:color="000000" w:sz="6" w:space="0"/>
          <w:left w:val="single" w:color="000000" w:sz="6" w:space="0"/>
          <w:bottom w:val="single" w:color="000000" w:sz="6" w:space="0"/>
          <w:right w:val="single" w:color="000000" w:sz="6" w:space="0"/>
        </w:tblBorders>
        <w:tblCellMar>
          <w:top w:w="15" w:type="dxa"/>
          <w:left w:w="15" w:type="dxa"/>
          <w:bottom w:w="15" w:type="dxa"/>
          <w:right w:w="15" w:type="dxa"/>
        </w:tblCellMar>
        <w:tblLook w:val="04A0" w:firstRow="1" w:lastRow="0" w:firstColumn="1" w:lastColumn="0" w:noHBand="0" w:noVBand="1"/>
      </w:tblPr>
      <w:tblGrid>
        <w:gridCol w:w="2250"/>
        <w:gridCol w:w="1826"/>
        <w:gridCol w:w="1833"/>
        <w:gridCol w:w="1070"/>
        <w:gridCol w:w="1070"/>
        <w:gridCol w:w="1303"/>
      </w:tblGrid>
      <w:tr w:rsidRPr="002B265F" w:rsidR="002B265F" w:rsidTr="00463DCB" w14:paraId="2E98F12F" w14:textId="77777777">
        <w:tc>
          <w:tcPr>
            <w:tcW w:w="2250" w:type="dxa"/>
            <w:vMerge w:val="restart"/>
            <w:tcBorders>
              <w:top w:val="nil"/>
              <w:left w:val="nil"/>
              <w:bottom w:val="nil"/>
              <w:right w:val="single" w:color="auto" w:sz="4" w:space="0"/>
            </w:tcBorders>
            <w:tcMar>
              <w:top w:w="60" w:type="dxa"/>
              <w:left w:w="60" w:type="dxa"/>
              <w:bottom w:w="60" w:type="dxa"/>
              <w:right w:w="60" w:type="dxa"/>
            </w:tcMar>
            <w:vAlign w:val="center"/>
          </w:tcPr>
          <w:p w:rsidRPr="002B265F" w:rsidR="002B265F" w:rsidP="002B265F" w:rsidRDefault="002B265F" w14:paraId="5681FE54" w14:textId="77777777">
            <w:pPr>
              <w:spacing w:line="240" w:lineRule="auto"/>
              <w:ind w:firstLine="0"/>
              <w:rPr>
                <w:rFonts w:ascii="Times New Roman" w:hAnsi="Times New Roman" w:eastAsia="Times New Roman" w:cs="Times New Roman"/>
                <w:sz w:val="20"/>
                <w:szCs w:val="20"/>
              </w:rPr>
            </w:pPr>
          </w:p>
        </w:tc>
        <w:tc>
          <w:tcPr>
            <w:tcW w:w="1826" w:type="dxa"/>
            <w:vMerge w:val="restart"/>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rsidRPr="002B265F" w:rsidR="002B265F" w:rsidP="002B265F" w:rsidRDefault="002B265F" w14:paraId="5406C15E" w14:textId="77777777">
            <w:pPr>
              <w:spacing w:line="240" w:lineRule="auto"/>
              <w:ind w:firstLine="0"/>
              <w:jc w:val="center"/>
              <w:rPr>
                <w:b/>
                <w:bCs/>
                <w:color w:val="000000" w:themeColor="text1"/>
                <w:sz w:val="24"/>
                <w:szCs w:val="20"/>
              </w:rPr>
            </w:pPr>
            <w:r>
              <w:rPr>
                <w:b/>
                <w:bCs/>
                <w:color w:val="000000" w:themeColor="text1"/>
                <w:sz w:val="24"/>
                <w:szCs w:val="20"/>
              </w:rPr>
              <w:t>2026 Revenue Requirement</w:t>
            </w:r>
          </w:p>
        </w:tc>
        <w:tc>
          <w:tcPr>
            <w:tcW w:w="0" w:type="auto"/>
            <w:vMerge w:val="restart"/>
            <w:tcBorders>
              <w:top w:val="single" w:color="000000" w:sz="6" w:space="0"/>
              <w:left w:val="single" w:color="auto" w:sz="4" w:space="0"/>
              <w:right w:val="single" w:color="000000" w:sz="6" w:space="0"/>
            </w:tcBorders>
            <w:tcMar>
              <w:top w:w="60" w:type="dxa"/>
              <w:left w:w="60" w:type="dxa"/>
              <w:bottom w:w="60" w:type="dxa"/>
              <w:right w:w="60" w:type="dxa"/>
            </w:tcMar>
            <w:vAlign w:val="center"/>
          </w:tcPr>
          <w:p w:rsidRPr="002B265F" w:rsidR="002B265F" w:rsidP="002B265F" w:rsidRDefault="002B265F" w14:paraId="22351FB9" w14:textId="77777777">
            <w:pPr>
              <w:spacing w:line="240" w:lineRule="auto"/>
              <w:ind w:firstLine="0"/>
              <w:jc w:val="center"/>
              <w:rPr>
                <w:b/>
                <w:bCs/>
                <w:color w:val="000000" w:themeColor="text1"/>
                <w:sz w:val="24"/>
                <w:szCs w:val="20"/>
              </w:rPr>
            </w:pPr>
            <w:r>
              <w:rPr>
                <w:b/>
                <w:bCs/>
                <w:color w:val="000000" w:themeColor="text1"/>
                <w:sz w:val="24"/>
                <w:szCs w:val="20"/>
              </w:rPr>
              <w:t>2027 Proposed Change</w:t>
            </w:r>
          </w:p>
        </w:tc>
        <w:tc>
          <w:tcPr>
            <w:tcW w:w="0" w:type="auto"/>
            <w:gridSpan w:val="3"/>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rsidRPr="002B265F" w:rsidR="002B265F" w:rsidP="002B265F" w:rsidRDefault="002B265F" w14:paraId="6B0EB740" w14:textId="77777777">
            <w:pPr>
              <w:spacing w:line="240" w:lineRule="auto"/>
              <w:ind w:firstLine="0"/>
              <w:jc w:val="center"/>
              <w:rPr>
                <w:b/>
                <w:bCs/>
                <w:color w:val="000000" w:themeColor="text1"/>
                <w:sz w:val="24"/>
                <w:szCs w:val="20"/>
              </w:rPr>
            </w:pPr>
            <w:r>
              <w:rPr>
                <w:b/>
                <w:bCs/>
                <w:color w:val="000000" w:themeColor="text1"/>
                <w:sz w:val="24"/>
                <w:szCs w:val="20"/>
              </w:rPr>
              <w:t>Percent of Requested Revenue Requirement</w:t>
            </w:r>
          </w:p>
        </w:tc>
      </w:tr>
      <w:tr w:rsidRPr="002B265F" w:rsidR="002B265F" w:rsidTr="00463DCB" w14:paraId="03155339" w14:textId="77777777">
        <w:tc>
          <w:tcPr>
            <w:tcW w:w="2250" w:type="dxa"/>
            <w:vMerge/>
            <w:tcBorders>
              <w:top w:val="nil"/>
              <w:left w:val="nil"/>
              <w:bottom w:val="single" w:color="auto" w:sz="4" w:space="0"/>
              <w:right w:val="single" w:color="auto" w:sz="4" w:space="0"/>
            </w:tcBorders>
            <w:tcMar>
              <w:top w:w="60" w:type="dxa"/>
              <w:left w:w="60" w:type="dxa"/>
              <w:bottom w:w="60" w:type="dxa"/>
              <w:right w:w="60" w:type="dxa"/>
            </w:tcMar>
            <w:vAlign w:val="center"/>
            <w:hideMark/>
          </w:tcPr>
          <w:p w:rsidRPr="002B265F" w:rsidR="002B265F" w:rsidP="002B265F" w:rsidRDefault="002B265F" w14:paraId="3C69774F" w14:textId="77777777">
            <w:pPr>
              <w:spacing w:line="240" w:lineRule="auto"/>
              <w:ind w:firstLine="0"/>
              <w:rPr>
                <w:rFonts w:ascii="Times New Roman" w:hAnsi="Times New Roman" w:eastAsia="Times New Roman" w:cs="Times New Roman"/>
                <w:sz w:val="20"/>
                <w:szCs w:val="20"/>
              </w:rPr>
            </w:pPr>
          </w:p>
        </w:tc>
        <w:tc>
          <w:tcPr>
            <w:tcW w:w="1826" w:type="dxa"/>
            <w:vMerge/>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hideMark/>
          </w:tcPr>
          <w:p w:rsidRPr="002B265F" w:rsidR="002B265F" w:rsidP="002B265F" w:rsidRDefault="002B265F" w14:paraId="3512E65F" w14:textId="77777777">
            <w:pPr>
              <w:spacing w:line="240" w:lineRule="auto"/>
              <w:ind w:firstLine="0"/>
              <w:rPr>
                <w:b/>
                <w:bCs/>
                <w:color w:val="000000" w:themeColor="text1"/>
                <w:sz w:val="24"/>
                <w:szCs w:val="20"/>
              </w:rPr>
            </w:pPr>
          </w:p>
        </w:tc>
        <w:tc>
          <w:tcPr>
            <w:tcW w:w="0" w:type="auto"/>
            <w:vMerge/>
            <w:tcBorders>
              <w:left w:val="single" w:color="auto" w:sz="4"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311C87BB" w14:textId="77777777">
            <w:pPr>
              <w:spacing w:line="240" w:lineRule="auto"/>
              <w:ind w:firstLine="0"/>
              <w:rPr>
                <w:b/>
                <w:bCs/>
                <w:color w:val="000000" w:themeColor="text1"/>
                <w:sz w:val="24"/>
                <w:szCs w:val="20"/>
              </w:rPr>
            </w:pP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2E8FD3C5" w14:textId="77777777">
            <w:pPr>
              <w:spacing w:line="240" w:lineRule="auto"/>
              <w:ind w:firstLine="0"/>
              <w:jc w:val="center"/>
              <w:rPr>
                <w:b/>
                <w:bCs/>
                <w:color w:val="000000" w:themeColor="text1"/>
                <w:sz w:val="24"/>
                <w:szCs w:val="20"/>
              </w:rPr>
            </w:pPr>
            <w:r>
              <w:rPr>
                <w:b/>
                <w:bCs/>
                <w:color w:val="000000" w:themeColor="text1"/>
                <w:sz w:val="24"/>
                <w:szCs w:val="20"/>
              </w:rPr>
              <w:t>55</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5EBC074E" w14:textId="77777777">
            <w:pPr>
              <w:spacing w:line="240" w:lineRule="auto"/>
              <w:ind w:firstLine="0"/>
              <w:jc w:val="center"/>
              <w:rPr>
                <w:b/>
                <w:bCs/>
                <w:color w:val="000000" w:themeColor="text1"/>
                <w:sz w:val="24"/>
                <w:szCs w:val="20"/>
              </w:rPr>
            </w:pPr>
            <w:r>
              <w:rPr>
                <w:b/>
                <w:bCs/>
                <w:color w:val="000000" w:themeColor="text1"/>
                <w:sz w:val="24"/>
                <w:szCs w:val="20"/>
              </w:rPr>
              <w:t>75</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6E7113E6" w14:textId="77777777">
            <w:pPr>
              <w:spacing w:line="240" w:lineRule="auto"/>
              <w:ind w:firstLine="0"/>
              <w:jc w:val="center"/>
              <w:rPr>
                <w:b/>
                <w:bCs/>
                <w:color w:val="000000" w:themeColor="text1"/>
                <w:sz w:val="24"/>
                <w:szCs w:val="20"/>
              </w:rPr>
            </w:pPr>
            <w:r>
              <w:rPr>
                <w:b/>
                <w:bCs/>
                <w:color w:val="000000" w:themeColor="text1"/>
                <w:sz w:val="24"/>
                <w:szCs w:val="20"/>
              </w:rPr>
              <w:t>85</w:t>
            </w:r>
          </w:p>
        </w:tc>
      </w:tr>
      <w:tr w:rsidRPr="002B265F" w:rsidR="002B265F" w:rsidTr="00463DCB" w14:paraId="6C77D199" w14:textId="77777777">
        <w:trPr>
          <w:trHeight w:val="186"/>
        </w:trPr>
        <w:tc>
          <w:tcPr>
            <w:tcW w:w="2250"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hideMark/>
          </w:tcPr>
          <w:p w:rsidRPr="002B265F" w:rsidR="002B265F" w:rsidP="002B265F" w:rsidRDefault="002B265F" w14:paraId="64265E23" w14:textId="77777777">
            <w:pPr>
              <w:spacing w:line="240" w:lineRule="auto"/>
              <w:ind w:firstLine="0"/>
              <w:rPr>
                <w:color w:val="000000" w:themeColor="text1"/>
                <w:sz w:val="24"/>
                <w:szCs w:val="20"/>
              </w:rPr>
            </w:pPr>
            <w:r>
              <w:rPr>
                <w:color w:val="000000" w:themeColor="text1"/>
                <w:sz w:val="24"/>
                <w:szCs w:val="20"/>
              </w:rPr>
              <w:t>Electric Distribution</w:t>
            </w:r>
          </w:p>
        </w:tc>
        <w:tc>
          <w:tcPr>
            <w:tcW w:w="1826"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hideMark/>
          </w:tcPr>
          <w:p w:rsidRPr="002B265F" w:rsidR="002B265F" w:rsidP="002B265F" w:rsidRDefault="002B265F" w14:paraId="2EF659E8" w14:textId="77777777">
            <w:pPr>
              <w:spacing w:line="240" w:lineRule="auto"/>
              <w:ind w:firstLine="0"/>
              <w:jc w:val="right"/>
              <w:rPr>
                <w:color w:val="000000" w:themeColor="text1"/>
                <w:sz w:val="24"/>
                <w:szCs w:val="20"/>
              </w:rPr>
            </w:pPr>
            <w:r>
              <w:rPr>
                <w:color w:val="000000" w:themeColor="text1"/>
                <w:sz w:val="24"/>
                <w:szCs w:val="20"/>
              </w:rPr>
              <w:t>$8,819</w:t>
            </w:r>
          </w:p>
        </w:tc>
        <w:tc>
          <w:tcPr>
            <w:tcW w:w="0" w:type="auto"/>
            <w:tcBorders>
              <w:top w:val="single" w:color="000000" w:sz="6" w:space="0"/>
              <w:left w:val="single" w:color="auto" w:sz="4"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3BE3E70F" w14:textId="77777777">
            <w:pPr>
              <w:spacing w:line="240" w:lineRule="auto"/>
              <w:ind w:firstLine="0"/>
              <w:jc w:val="right"/>
              <w:rPr>
                <w:color w:val="000000" w:themeColor="text1"/>
                <w:sz w:val="24"/>
                <w:szCs w:val="20"/>
              </w:rPr>
            </w:pPr>
            <w:r>
              <w:rPr>
                <w:color w:val="000000" w:themeColor="text1"/>
                <w:sz w:val="24"/>
                <w:szCs w:val="20"/>
              </w:rPr>
              <w:t>$979</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3123F2C2" w14:textId="77777777">
            <w:pPr>
              <w:spacing w:line="240" w:lineRule="auto"/>
              <w:ind w:firstLine="0"/>
              <w:jc w:val="right"/>
              <w:rPr>
                <w:color w:val="000000" w:themeColor="text1"/>
                <w:sz w:val="24"/>
                <w:szCs w:val="20"/>
              </w:rPr>
            </w:pPr>
            <w:r>
              <w:rPr>
                <w:color w:val="000000" w:themeColor="text1"/>
                <w:sz w:val="24"/>
                <w:szCs w:val="20"/>
              </w:rPr>
              <w:t>$539</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4B24BAD1" w14:textId="77777777">
            <w:pPr>
              <w:spacing w:line="240" w:lineRule="auto"/>
              <w:ind w:firstLine="0"/>
              <w:jc w:val="right"/>
              <w:rPr>
                <w:color w:val="000000" w:themeColor="text1"/>
                <w:sz w:val="24"/>
                <w:szCs w:val="20"/>
              </w:rPr>
            </w:pPr>
            <w:r>
              <w:rPr>
                <w:color w:val="000000" w:themeColor="text1"/>
                <w:sz w:val="24"/>
                <w:szCs w:val="20"/>
              </w:rPr>
              <w:t>$735</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5B1FC28F" w14:textId="77777777">
            <w:pPr>
              <w:spacing w:line="240" w:lineRule="auto"/>
              <w:ind w:firstLine="0"/>
              <w:jc w:val="right"/>
              <w:rPr>
                <w:color w:val="000000" w:themeColor="text1"/>
                <w:sz w:val="24"/>
                <w:szCs w:val="20"/>
              </w:rPr>
            </w:pPr>
            <w:r>
              <w:rPr>
                <w:color w:val="000000" w:themeColor="text1"/>
                <w:sz w:val="24"/>
                <w:szCs w:val="20"/>
              </w:rPr>
              <w:t>$833</w:t>
            </w:r>
          </w:p>
        </w:tc>
      </w:tr>
      <w:tr w:rsidRPr="002B265F" w:rsidR="002B265F" w:rsidTr="00463DCB" w14:paraId="08289CB4" w14:textId="77777777">
        <w:tc>
          <w:tcPr>
            <w:tcW w:w="2250" w:type="dxa"/>
            <w:tcBorders>
              <w:top w:val="single" w:color="auto" w:sz="4"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4BB0B8C4" w14:textId="77777777">
            <w:pPr>
              <w:spacing w:line="240" w:lineRule="auto"/>
              <w:ind w:firstLine="0"/>
              <w:rPr>
                <w:color w:val="000000" w:themeColor="text1"/>
                <w:sz w:val="24"/>
                <w:szCs w:val="20"/>
              </w:rPr>
            </w:pPr>
            <w:r>
              <w:rPr>
                <w:color w:val="000000" w:themeColor="text1"/>
                <w:sz w:val="24"/>
                <w:szCs w:val="20"/>
              </w:rPr>
              <w:t>Gas Distribution</w:t>
            </w:r>
          </w:p>
        </w:tc>
        <w:tc>
          <w:tcPr>
            <w:tcW w:w="1826" w:type="dxa"/>
            <w:tcBorders>
              <w:top w:val="single" w:color="auto" w:sz="4"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55AD1D7B" w14:textId="77777777">
            <w:pPr>
              <w:spacing w:line="240" w:lineRule="auto"/>
              <w:ind w:firstLine="0"/>
              <w:jc w:val="right"/>
              <w:rPr>
                <w:color w:val="000000" w:themeColor="text1"/>
                <w:sz w:val="24"/>
                <w:szCs w:val="20"/>
              </w:rPr>
            </w:pPr>
            <w:r>
              <w:rPr>
                <w:color w:val="000000" w:themeColor="text1"/>
                <w:sz w:val="24"/>
                <w:szCs w:val="20"/>
              </w:rPr>
              <w:t>$3,104</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6D50CF33" w14:textId="77777777">
            <w:pPr>
              <w:spacing w:line="240" w:lineRule="auto"/>
              <w:ind w:firstLine="0"/>
              <w:jc w:val="right"/>
              <w:rPr>
                <w:color w:val="000000" w:themeColor="text1"/>
                <w:sz w:val="24"/>
                <w:szCs w:val="20"/>
              </w:rPr>
            </w:pPr>
            <w:r>
              <w:rPr>
                <w:color w:val="000000" w:themeColor="text1"/>
                <w:sz w:val="24"/>
                <w:szCs w:val="20"/>
              </w:rPr>
              <w:t>$(57)</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5029B75C" w14:textId="77777777">
            <w:pPr>
              <w:spacing w:line="240" w:lineRule="auto"/>
              <w:ind w:firstLine="0"/>
              <w:jc w:val="right"/>
              <w:rPr>
                <w:color w:val="000000" w:themeColor="text1"/>
                <w:sz w:val="24"/>
                <w:szCs w:val="20"/>
              </w:rPr>
            </w:pPr>
            <w:r>
              <w:rPr>
                <w:color w:val="000000" w:themeColor="text1"/>
                <w:sz w:val="24"/>
                <w:szCs w:val="20"/>
              </w:rPr>
              <w:t>$(31)</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6B6C2A8C" w14:textId="77777777">
            <w:pPr>
              <w:spacing w:line="240" w:lineRule="auto"/>
              <w:ind w:firstLine="0"/>
              <w:jc w:val="right"/>
              <w:rPr>
                <w:color w:val="000000" w:themeColor="text1"/>
                <w:sz w:val="24"/>
                <w:szCs w:val="20"/>
              </w:rPr>
            </w:pPr>
            <w:r>
              <w:rPr>
                <w:color w:val="000000" w:themeColor="text1"/>
                <w:sz w:val="24"/>
                <w:szCs w:val="20"/>
              </w:rPr>
              <w:t>$(43)</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2FA92CCE" w14:textId="77777777">
            <w:pPr>
              <w:spacing w:line="240" w:lineRule="auto"/>
              <w:ind w:firstLine="0"/>
              <w:jc w:val="right"/>
              <w:rPr>
                <w:color w:val="000000" w:themeColor="text1"/>
                <w:sz w:val="24"/>
                <w:szCs w:val="20"/>
              </w:rPr>
            </w:pPr>
            <w:r>
              <w:rPr>
                <w:color w:val="000000" w:themeColor="text1"/>
                <w:sz w:val="24"/>
                <w:szCs w:val="20"/>
              </w:rPr>
              <w:t>$(48)</w:t>
            </w:r>
          </w:p>
        </w:tc>
      </w:tr>
      <w:tr w:rsidRPr="002B265F" w:rsidR="002B265F" w:rsidTr="00463DCB" w14:paraId="4CF03B34" w14:textId="77777777">
        <w:tc>
          <w:tcPr>
            <w:tcW w:w="225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19104BE8" w14:textId="77777777">
            <w:pPr>
              <w:spacing w:line="240" w:lineRule="auto"/>
              <w:ind w:firstLine="0"/>
              <w:rPr>
                <w:color w:val="000000" w:themeColor="text1"/>
                <w:sz w:val="24"/>
                <w:szCs w:val="20"/>
              </w:rPr>
            </w:pPr>
            <w:r>
              <w:rPr>
                <w:color w:val="000000" w:themeColor="text1"/>
                <w:sz w:val="24"/>
                <w:szCs w:val="20"/>
              </w:rPr>
              <w:t>Electric Generation</w:t>
            </w:r>
          </w:p>
        </w:tc>
        <w:tc>
          <w:tcPr>
            <w:tcW w:w="1826"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213CC4B2" w14:textId="77777777">
            <w:pPr>
              <w:spacing w:line="240" w:lineRule="auto"/>
              <w:ind w:firstLine="0"/>
              <w:jc w:val="right"/>
              <w:rPr>
                <w:color w:val="000000" w:themeColor="text1"/>
                <w:sz w:val="24"/>
                <w:szCs w:val="20"/>
              </w:rPr>
            </w:pPr>
            <w:r>
              <w:rPr>
                <w:color w:val="000000" w:themeColor="text1"/>
                <w:sz w:val="24"/>
                <w:szCs w:val="20"/>
              </w:rPr>
              <w:t>$1,220</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3352AA18" w14:textId="77777777">
            <w:pPr>
              <w:spacing w:line="240" w:lineRule="auto"/>
              <w:ind w:firstLine="0"/>
              <w:jc w:val="right"/>
              <w:rPr>
                <w:color w:val="000000" w:themeColor="text1"/>
                <w:sz w:val="24"/>
                <w:szCs w:val="20"/>
              </w:rPr>
            </w:pPr>
            <w:r>
              <w:rPr>
                <w:color w:val="000000" w:themeColor="text1"/>
                <w:sz w:val="24"/>
                <w:szCs w:val="20"/>
              </w:rPr>
              <w:t>$280</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055434DD" w14:textId="77777777">
            <w:pPr>
              <w:spacing w:line="240" w:lineRule="auto"/>
              <w:ind w:firstLine="0"/>
              <w:jc w:val="right"/>
              <w:rPr>
                <w:color w:val="000000" w:themeColor="text1"/>
                <w:sz w:val="24"/>
                <w:szCs w:val="20"/>
              </w:rPr>
            </w:pPr>
            <w:r>
              <w:rPr>
                <w:color w:val="000000" w:themeColor="text1"/>
                <w:sz w:val="24"/>
                <w:szCs w:val="20"/>
              </w:rPr>
              <w:t>$154</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0A7CA31B" w14:textId="77777777">
            <w:pPr>
              <w:spacing w:line="240" w:lineRule="auto"/>
              <w:ind w:firstLine="0"/>
              <w:jc w:val="right"/>
              <w:rPr>
                <w:color w:val="000000" w:themeColor="text1"/>
                <w:sz w:val="24"/>
                <w:szCs w:val="20"/>
              </w:rPr>
            </w:pPr>
            <w:r>
              <w:rPr>
                <w:color w:val="000000" w:themeColor="text1"/>
                <w:sz w:val="24"/>
                <w:szCs w:val="20"/>
              </w:rPr>
              <w:t>$210</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6A8A0BB6" w14:textId="77777777">
            <w:pPr>
              <w:spacing w:line="240" w:lineRule="auto"/>
              <w:ind w:firstLine="0"/>
              <w:jc w:val="right"/>
              <w:rPr>
                <w:color w:val="000000" w:themeColor="text1"/>
                <w:sz w:val="24"/>
                <w:szCs w:val="20"/>
              </w:rPr>
            </w:pPr>
            <w:r>
              <w:rPr>
                <w:color w:val="000000" w:themeColor="text1"/>
                <w:sz w:val="24"/>
                <w:szCs w:val="20"/>
              </w:rPr>
              <w:t>$238</w:t>
            </w:r>
          </w:p>
        </w:tc>
      </w:tr>
      <w:tr w:rsidRPr="002B265F" w:rsidR="002B265F" w:rsidTr="00463DCB" w14:paraId="04C5FA84" w14:textId="77777777">
        <w:tc>
          <w:tcPr>
            <w:tcW w:w="225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371C1DEC" w14:textId="77777777">
            <w:pPr>
              <w:spacing w:line="240" w:lineRule="auto"/>
              <w:ind w:firstLine="0"/>
              <w:rPr>
                <w:color w:val="000000" w:themeColor="text1"/>
                <w:sz w:val="24"/>
                <w:szCs w:val="20"/>
              </w:rPr>
            </w:pPr>
            <w:r>
              <w:rPr>
                <w:color w:val="000000" w:themeColor="text1"/>
                <w:sz w:val="24"/>
                <w:szCs w:val="20"/>
              </w:rPr>
              <w:t>Gas Transmission &amp; Storage</w:t>
            </w:r>
          </w:p>
        </w:tc>
        <w:tc>
          <w:tcPr>
            <w:tcW w:w="1826"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4CB4AD04" w14:textId="77777777">
            <w:pPr>
              <w:spacing w:line="240" w:lineRule="auto"/>
              <w:ind w:firstLine="0"/>
              <w:jc w:val="right"/>
              <w:rPr>
                <w:color w:val="000000" w:themeColor="text1"/>
                <w:sz w:val="24"/>
                <w:szCs w:val="20"/>
              </w:rPr>
            </w:pPr>
            <w:r>
              <w:rPr>
                <w:color w:val="000000" w:themeColor="text1"/>
                <w:sz w:val="24"/>
                <w:szCs w:val="20"/>
              </w:rPr>
              <w:t>$2,196</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4A5E5AD4" w14:textId="77777777">
            <w:pPr>
              <w:spacing w:line="240" w:lineRule="auto"/>
              <w:ind w:firstLine="0"/>
              <w:jc w:val="right"/>
              <w:rPr>
                <w:color w:val="000000" w:themeColor="text1"/>
                <w:sz w:val="24"/>
                <w:szCs w:val="20"/>
              </w:rPr>
            </w:pPr>
            <w:r>
              <w:rPr>
                <w:color w:val="000000" w:themeColor="text1"/>
                <w:sz w:val="24"/>
                <w:szCs w:val="20"/>
              </w:rPr>
              <w:t>$(14)</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20CF51D5" w14:textId="77777777">
            <w:pPr>
              <w:spacing w:line="240" w:lineRule="auto"/>
              <w:ind w:firstLine="0"/>
              <w:jc w:val="right"/>
              <w:rPr>
                <w:color w:val="000000" w:themeColor="text1"/>
                <w:sz w:val="24"/>
                <w:szCs w:val="20"/>
              </w:rPr>
            </w:pPr>
            <w:r>
              <w:rPr>
                <w:color w:val="000000" w:themeColor="text1"/>
                <w:sz w:val="24"/>
                <w:szCs w:val="20"/>
              </w:rPr>
              <w:t>$(8)</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4C83118C" w14:textId="77777777">
            <w:pPr>
              <w:spacing w:line="240" w:lineRule="auto"/>
              <w:ind w:firstLine="0"/>
              <w:jc w:val="right"/>
              <w:rPr>
                <w:color w:val="000000" w:themeColor="text1"/>
                <w:sz w:val="24"/>
                <w:szCs w:val="20"/>
              </w:rPr>
            </w:pPr>
            <w:r>
              <w:rPr>
                <w:color w:val="000000" w:themeColor="text1"/>
                <w:sz w:val="24"/>
                <w:szCs w:val="20"/>
              </w:rPr>
              <w:t>$(11)</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5B451866" w14:textId="77777777">
            <w:pPr>
              <w:spacing w:line="240" w:lineRule="auto"/>
              <w:ind w:firstLine="0"/>
              <w:jc w:val="right"/>
              <w:rPr>
                <w:color w:val="000000" w:themeColor="text1"/>
                <w:sz w:val="24"/>
                <w:szCs w:val="20"/>
              </w:rPr>
            </w:pPr>
            <w:r>
              <w:rPr>
                <w:color w:val="000000" w:themeColor="text1"/>
                <w:sz w:val="24"/>
                <w:szCs w:val="20"/>
              </w:rPr>
              <w:t>$(12)</w:t>
            </w:r>
          </w:p>
        </w:tc>
      </w:tr>
      <w:tr w:rsidRPr="002B265F" w:rsidR="002B265F" w:rsidTr="00463DCB" w14:paraId="280EDABE" w14:textId="77777777">
        <w:tc>
          <w:tcPr>
            <w:tcW w:w="225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3A285E4A" w14:textId="77777777">
            <w:pPr>
              <w:spacing w:line="240" w:lineRule="auto"/>
              <w:ind w:firstLine="0"/>
              <w:rPr>
                <w:b/>
                <w:bCs/>
                <w:color w:val="000000" w:themeColor="text1"/>
                <w:sz w:val="24"/>
                <w:szCs w:val="20"/>
              </w:rPr>
            </w:pPr>
            <w:r>
              <w:rPr>
                <w:b/>
                <w:bCs/>
                <w:color w:val="000000" w:themeColor="text1"/>
                <w:sz w:val="24"/>
                <w:szCs w:val="20"/>
              </w:rPr>
              <w:t>Total GRC</w:t>
            </w:r>
          </w:p>
        </w:tc>
        <w:tc>
          <w:tcPr>
            <w:tcW w:w="1826"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39B60989" w14:textId="77777777">
            <w:pPr>
              <w:spacing w:line="240" w:lineRule="auto"/>
              <w:ind w:firstLine="0"/>
              <w:jc w:val="right"/>
              <w:rPr>
                <w:b/>
                <w:bCs/>
                <w:color w:val="000000" w:themeColor="text1"/>
                <w:sz w:val="24"/>
                <w:szCs w:val="20"/>
              </w:rPr>
            </w:pPr>
            <w:r>
              <w:rPr>
                <w:b/>
                <w:bCs/>
                <w:color w:val="000000" w:themeColor="text1"/>
                <w:sz w:val="24"/>
                <w:szCs w:val="20"/>
              </w:rPr>
              <w:t>$15,339</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17989FA5" w14:textId="77777777">
            <w:pPr>
              <w:spacing w:line="240" w:lineRule="auto"/>
              <w:ind w:firstLine="0"/>
              <w:jc w:val="right"/>
              <w:rPr>
                <w:b/>
                <w:bCs/>
                <w:color w:val="000000" w:themeColor="text1"/>
                <w:sz w:val="24"/>
                <w:szCs w:val="20"/>
              </w:rPr>
            </w:pPr>
            <w:r>
              <w:rPr>
                <w:b/>
                <w:bCs/>
                <w:color w:val="000000" w:themeColor="text1"/>
                <w:sz w:val="24"/>
                <w:szCs w:val="20"/>
              </w:rPr>
              <w:t>$1,188</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55312C5F" w14:textId="77777777">
            <w:pPr>
              <w:spacing w:line="240" w:lineRule="auto"/>
              <w:ind w:firstLine="0"/>
              <w:jc w:val="right"/>
              <w:rPr>
                <w:b/>
                <w:bCs/>
                <w:color w:val="000000" w:themeColor="text1"/>
                <w:sz w:val="24"/>
                <w:szCs w:val="20"/>
              </w:rPr>
            </w:pPr>
            <w:r>
              <w:rPr>
                <w:b/>
                <w:bCs/>
                <w:color w:val="000000" w:themeColor="text1"/>
                <w:sz w:val="24"/>
                <w:szCs w:val="20"/>
              </w:rPr>
              <w:t>$654</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5A801186" w14:textId="77777777">
            <w:pPr>
              <w:spacing w:line="240" w:lineRule="auto"/>
              <w:ind w:firstLine="0"/>
              <w:jc w:val="right"/>
              <w:rPr>
                <w:b/>
                <w:bCs/>
                <w:color w:val="000000" w:themeColor="text1"/>
                <w:sz w:val="24"/>
                <w:szCs w:val="20"/>
              </w:rPr>
            </w:pPr>
            <w:r>
              <w:rPr>
                <w:b/>
                <w:bCs/>
                <w:color w:val="000000" w:themeColor="text1"/>
                <w:sz w:val="24"/>
                <w:szCs w:val="20"/>
              </w:rPr>
              <w:t>$891</w:t>
            </w:r>
          </w:p>
        </w:tc>
        <w:tc>
          <w:tcPr>
            <w:tcW w:w="0" w:type="auto"/>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7E2D39C9" w14:textId="77777777">
            <w:pPr>
              <w:spacing w:line="240" w:lineRule="auto"/>
              <w:ind w:firstLine="0"/>
              <w:jc w:val="right"/>
              <w:rPr>
                <w:b/>
                <w:bCs/>
                <w:color w:val="000000" w:themeColor="text1"/>
                <w:sz w:val="24"/>
                <w:szCs w:val="20"/>
              </w:rPr>
            </w:pPr>
            <w:r>
              <w:rPr>
                <w:b/>
                <w:bCs/>
                <w:color w:val="000000" w:themeColor="text1"/>
                <w:sz w:val="24"/>
                <w:szCs w:val="20"/>
              </w:rPr>
              <w:t>$1,010</w:t>
            </w:r>
          </w:p>
        </w:tc>
      </w:tr>
    </w:tbl>
    <w:p w:rsidRPr="0023798B" w:rsidR="003A0ACA" w:rsidP="002B265F" w:rsidRDefault="003A0ACA" w14:paraId="5CEA7547" w14:textId="77777777">
      <w:pPr>
        <w:rPr>
          <w:color w:val="000000" w:themeColor="text1"/>
        </w:rPr>
      </w:pPr>
    </w:p>
    <w:p w:rsidRPr="002B265F" w:rsidR="002B265F" w:rsidP="00AF440B" w:rsidRDefault="002B265F" w14:paraId="29A1FEDC" w14:textId="77777777">
      <w:pPr>
        <w:pStyle w:val="Standard"/>
        <w:rPr>
          <w:color w:val="000000" w:themeColor="text1"/>
        </w:rPr>
      </w:pPr>
      <w:r>
        <w:rPr>
          <w:color w:val="000000" w:themeColor="text1"/>
        </w:rPr>
        <w:t>PG&amp;E noted that the scoping memo in this proceeding anticipates a final decision in May 2027.</w:t>
      </w:r>
      <w:r>
        <w:rPr>
          <w:color w:val="000000" w:themeColor="text1"/>
          <w:vertAlign w:val="superscript"/>
        </w:rPr>
        <w:footnoteReference w:id="6"/>
      </w:r>
      <w:r>
        <w:rPr>
          <w:color w:val="000000" w:themeColor="text1"/>
        </w:rPr>
        <w:t xml:space="preserve"> In addition, PG&amp;</w:t>
      </w:r>
      <w:r>
        <w:t>E noted that previous GRC decisions have been adopted after the start of the Test Year and beyond the “Rate Case Plan’s expectation” that the Commission issue a final decision 565 days after a utility’s GRC filing.</w:t>
      </w:r>
      <w:r>
        <w:rPr>
          <w:vertAlign w:val="superscript"/>
        </w:rPr>
        <w:footnoteReference w:id="7"/>
      </w:r>
      <w:r>
        <w:t xml:space="preserve"> </w:t>
      </w:r>
    </w:p>
    <w:p w:rsidR="00637592" w:rsidP="00637592" w:rsidRDefault="002B265F" w14:paraId="46BAFE23" w14:textId="77777777">
      <w:pPr>
        <w:pStyle w:val="Standard"/>
        <w:rPr>
          <w:color w:val="000000" w:themeColor="text1"/>
        </w:rPr>
      </w:pPr>
      <w:r>
        <w:t>PG&amp;E stated that interim recovery beginning January 1, 2027 would advance customers’ interests by: 1) avoiding approximately $14 to $21 million</w:t>
      </w:r>
      <w:r>
        <w:rPr>
          <w:vertAlign w:val="superscript"/>
        </w:rPr>
        <w:footnoteReference w:id="8"/>
      </w:r>
      <w:r>
        <w:t xml:space="preserve"> in interest that customers would otherwise pay, 2) smoothing rates and reducing rate volatility,</w:t>
      </w:r>
      <w:r>
        <w:rPr>
          <w:vertAlign w:val="superscript"/>
        </w:rPr>
        <w:footnoteReference w:id="9"/>
      </w:r>
      <w:r>
        <w:t xml:space="preserve"> and 3) better aligning cost recovery with the period in which costs are incurred.</w:t>
      </w:r>
      <w:r>
        <w:rPr>
          <w:vertAlign w:val="superscript"/>
        </w:rPr>
        <w:footnoteReference w:id="10"/>
      </w:r>
      <w:r>
        <w:t xml:space="preserve"> </w:t>
      </w:r>
    </w:p>
    <w:p w:rsidRPr="002B265F" w:rsidR="002B265F" w:rsidP="00AF440B" w:rsidRDefault="002B265F" w14:paraId="0EB451BF" w14:textId="77777777">
      <w:pPr>
        <w:pStyle w:val="Standard"/>
        <w:rPr>
          <w:color w:val="000000" w:themeColor="text1"/>
        </w:rPr>
      </w:pPr>
      <w:r>
        <w:rPr>
          <w:color w:val="000000" w:themeColor="text1"/>
        </w:rPr>
        <w:lastRenderedPageBreak/>
        <w:t>PG&amp;E illustrated an approximate combined bill impact by comparing the interim rate recovery scenarios presented in the IRR Motion to its original request in its Application:</w:t>
      </w:r>
      <w:r>
        <w:rPr>
          <w:color w:val="000000" w:themeColor="text1"/>
          <w:vertAlign w:val="superscript"/>
        </w:rPr>
        <w:footnoteReference w:id="11"/>
      </w:r>
      <w:r>
        <w:rPr>
          <w:color w:val="000000" w:themeColor="text1"/>
        </w:rPr>
        <w:t xml:space="preserve"> </w:t>
      </w:r>
    </w:p>
    <w:p w:rsidRPr="002B265F" w:rsidR="002B265F" w:rsidP="002B265F" w:rsidRDefault="002B265F" w14:paraId="36B0B560" w14:textId="77777777">
      <w:pPr>
        <w:keepNext/>
        <w:spacing w:after="200" w:line="240" w:lineRule="auto"/>
        <w:ind w:firstLine="0"/>
        <w:jc w:val="center"/>
        <w:rPr>
          <w:b/>
          <w:bCs/>
          <w:color w:val="000000" w:themeColor="text1"/>
          <w:sz w:val="24"/>
          <w:szCs w:val="24"/>
        </w:rPr>
      </w:pPr>
      <w:r>
        <w:rPr>
          <w:b/>
          <w:bCs/>
          <w:color w:val="000000" w:themeColor="text1"/>
          <w:sz w:val="24"/>
          <w:szCs w:val="24"/>
        </w:rPr>
        <w:t xml:space="preserve">Table </w:t>
      </w:r>
      <w:r>
        <w:rPr>
          <w:b/>
          <w:bCs/>
          <w:color w:val="000000" w:themeColor="text1"/>
          <w:sz w:val="24"/>
          <w:szCs w:val="24"/>
        </w:rPr>
        <w:fldChar w:fldCharType="begin"/>
      </w:r>
      <w:r>
        <w:rPr>
          <w:b/>
          <w:bCs/>
          <w:color w:val="000000" w:themeColor="text1"/>
          <w:sz w:val="24"/>
          <w:szCs w:val="24"/>
        </w:rPr>
        <w:instrText xml:space="preserve"> SEQ Table \* ARABIC </w:instrText>
      </w:r>
      <w:r>
        <w:rPr>
          <w:b/>
          <w:bCs/>
          <w:color w:val="000000" w:themeColor="text1"/>
          <w:sz w:val="24"/>
          <w:szCs w:val="24"/>
        </w:rPr>
        <w:fldChar w:fldCharType="separate"/>
      </w:r>
      <w:r>
        <w:rPr>
          <w:b/>
          <w:bCs/>
          <w:noProof/>
          <w:color w:val="000000" w:themeColor="text1"/>
          <w:sz w:val="24"/>
          <w:szCs w:val="24"/>
        </w:rPr>
        <w:t>2</w:t>
      </w:r>
      <w:r>
        <w:rPr>
          <w:b/>
          <w:bCs/>
          <w:color w:val="000000" w:themeColor="text1"/>
          <w:sz w:val="24"/>
          <w:szCs w:val="24"/>
        </w:rPr>
        <w:fldChar w:fldCharType="end"/>
      </w:r>
      <w:r>
        <w:rPr>
          <w:b/>
          <w:bCs/>
          <w:color w:val="000000" w:themeColor="text1"/>
          <w:sz w:val="24"/>
          <w:szCs w:val="24"/>
        </w:rPr>
        <w:t xml:space="preserve">: PG&amp;E Calculation of Incremental Percent Change in </w:t>
      </w:r>
      <w:r>
        <w:rPr>
          <w:b/>
          <w:bCs/>
          <w:color w:val="000000" w:themeColor="text1"/>
          <w:sz w:val="24"/>
          <w:szCs w:val="24"/>
        </w:rPr>
        <w:br/>
        <w:t>Combined Non-CARE Residential Bill</w:t>
      </w:r>
      <w:r>
        <w:rPr>
          <w:b/>
          <w:bCs/>
          <w:color w:val="000000" w:themeColor="text1"/>
          <w:sz w:val="24"/>
          <w:szCs w:val="24"/>
          <w:vertAlign w:val="superscript"/>
        </w:rPr>
        <w:footnoteReference w:id="12"/>
      </w:r>
    </w:p>
    <w:tbl>
      <w:tblPr>
        <w:tblStyle w:val="TableGrid"/>
        <w:tblW w:w="9715" w:type="dxa"/>
        <w:tblLook w:val="04A0" w:firstRow="1" w:lastRow="0" w:firstColumn="1" w:lastColumn="0" w:noHBand="0" w:noVBand="1"/>
      </w:tblPr>
      <w:tblGrid>
        <w:gridCol w:w="1319"/>
        <w:gridCol w:w="1407"/>
        <w:gridCol w:w="1499"/>
        <w:gridCol w:w="1350"/>
        <w:gridCol w:w="1440"/>
        <w:gridCol w:w="1350"/>
        <w:gridCol w:w="1350"/>
      </w:tblGrid>
      <w:tr w:rsidRPr="002B265F" w:rsidR="002B265F" w:rsidTr="002B265F" w14:paraId="191D3AB8" w14:textId="77777777">
        <w:trPr>
          <w:trHeight w:val="288"/>
        </w:trPr>
        <w:tc>
          <w:tcPr>
            <w:tcW w:w="1319" w:type="dxa"/>
            <w:hideMark/>
          </w:tcPr>
          <w:p w:rsidRPr="002B265F" w:rsidR="002B265F" w:rsidP="002B265F" w:rsidRDefault="002B265F" w14:paraId="342AE510" w14:textId="77777777">
            <w:pPr>
              <w:spacing w:line="240" w:lineRule="auto"/>
              <w:rPr>
                <w:color w:val="000000" w:themeColor="text1"/>
                <w:sz w:val="24"/>
                <w:szCs w:val="20"/>
              </w:rPr>
            </w:pPr>
          </w:p>
        </w:tc>
        <w:tc>
          <w:tcPr>
            <w:tcW w:w="1407" w:type="dxa"/>
            <w:hideMark/>
          </w:tcPr>
          <w:p w:rsidRPr="002B265F" w:rsidR="002B265F" w:rsidP="002B265F" w:rsidRDefault="002B265F" w14:paraId="6CA271B3" w14:textId="77777777">
            <w:pPr>
              <w:spacing w:line="240" w:lineRule="auto"/>
              <w:ind w:firstLine="0"/>
              <w:rPr>
                <w:b/>
                <w:bCs/>
                <w:color w:val="000000" w:themeColor="text1"/>
                <w:sz w:val="22"/>
              </w:rPr>
            </w:pPr>
            <w:r>
              <w:rPr>
                <w:b/>
                <w:bCs/>
                <w:color w:val="000000" w:themeColor="text1"/>
                <w:sz w:val="22"/>
              </w:rPr>
              <w:t>Jan. 1, 2027</w:t>
            </w:r>
          </w:p>
        </w:tc>
        <w:tc>
          <w:tcPr>
            <w:tcW w:w="1499" w:type="dxa"/>
            <w:hideMark/>
          </w:tcPr>
          <w:p w:rsidRPr="002B265F" w:rsidR="002B265F" w:rsidP="002B265F" w:rsidRDefault="002B265F" w14:paraId="2EF0C688" w14:textId="77777777">
            <w:pPr>
              <w:spacing w:line="240" w:lineRule="auto"/>
              <w:ind w:firstLine="0"/>
              <w:rPr>
                <w:b/>
                <w:bCs/>
                <w:color w:val="000000" w:themeColor="text1"/>
                <w:sz w:val="22"/>
              </w:rPr>
            </w:pPr>
            <w:r>
              <w:rPr>
                <w:b/>
                <w:bCs/>
                <w:color w:val="000000" w:themeColor="text1"/>
                <w:sz w:val="22"/>
              </w:rPr>
              <w:t>Sept. 1, 2027</w:t>
            </w:r>
          </w:p>
        </w:tc>
        <w:tc>
          <w:tcPr>
            <w:tcW w:w="1350" w:type="dxa"/>
            <w:hideMark/>
          </w:tcPr>
          <w:p w:rsidRPr="002B265F" w:rsidR="002B265F" w:rsidP="002B265F" w:rsidRDefault="002B265F" w14:paraId="65FD1576" w14:textId="77777777">
            <w:pPr>
              <w:spacing w:line="240" w:lineRule="auto"/>
              <w:ind w:firstLine="0"/>
              <w:rPr>
                <w:b/>
                <w:bCs/>
                <w:color w:val="000000" w:themeColor="text1"/>
                <w:sz w:val="22"/>
              </w:rPr>
            </w:pPr>
            <w:r>
              <w:rPr>
                <w:b/>
                <w:bCs/>
                <w:color w:val="000000" w:themeColor="text1"/>
                <w:sz w:val="22"/>
              </w:rPr>
              <w:t>Jan. 1, 2028</w:t>
            </w:r>
          </w:p>
        </w:tc>
        <w:tc>
          <w:tcPr>
            <w:tcW w:w="1440" w:type="dxa"/>
            <w:hideMark/>
          </w:tcPr>
          <w:p w:rsidRPr="002B265F" w:rsidR="002B265F" w:rsidP="002B265F" w:rsidRDefault="002B265F" w14:paraId="392D49B4" w14:textId="77777777">
            <w:pPr>
              <w:spacing w:line="240" w:lineRule="auto"/>
              <w:ind w:firstLine="0"/>
              <w:rPr>
                <w:b/>
                <w:bCs/>
                <w:color w:val="000000" w:themeColor="text1"/>
                <w:sz w:val="22"/>
              </w:rPr>
            </w:pPr>
            <w:r>
              <w:rPr>
                <w:b/>
                <w:bCs/>
                <w:color w:val="000000" w:themeColor="text1"/>
                <w:sz w:val="22"/>
              </w:rPr>
              <w:t>Sept. 1, 2028</w:t>
            </w:r>
          </w:p>
        </w:tc>
        <w:tc>
          <w:tcPr>
            <w:tcW w:w="1350" w:type="dxa"/>
            <w:hideMark/>
          </w:tcPr>
          <w:p w:rsidRPr="002B265F" w:rsidR="002B265F" w:rsidP="002B265F" w:rsidRDefault="002B265F" w14:paraId="19713F35" w14:textId="77777777">
            <w:pPr>
              <w:spacing w:line="240" w:lineRule="auto"/>
              <w:ind w:firstLine="0"/>
              <w:rPr>
                <w:b/>
                <w:bCs/>
                <w:color w:val="000000" w:themeColor="text1"/>
                <w:sz w:val="22"/>
              </w:rPr>
            </w:pPr>
            <w:r>
              <w:rPr>
                <w:b/>
                <w:bCs/>
                <w:color w:val="000000" w:themeColor="text1"/>
                <w:sz w:val="22"/>
              </w:rPr>
              <w:t>Jan. 1, 2029</w:t>
            </w:r>
          </w:p>
        </w:tc>
        <w:tc>
          <w:tcPr>
            <w:tcW w:w="1350" w:type="dxa"/>
            <w:hideMark/>
          </w:tcPr>
          <w:p w:rsidRPr="002B265F" w:rsidR="002B265F" w:rsidP="002B265F" w:rsidRDefault="002B265F" w14:paraId="28928C4D" w14:textId="77777777">
            <w:pPr>
              <w:spacing w:line="240" w:lineRule="auto"/>
              <w:ind w:firstLine="0"/>
              <w:rPr>
                <w:b/>
                <w:bCs/>
                <w:color w:val="000000" w:themeColor="text1"/>
                <w:sz w:val="22"/>
              </w:rPr>
            </w:pPr>
            <w:r>
              <w:rPr>
                <w:b/>
                <w:bCs/>
                <w:color w:val="000000" w:themeColor="text1"/>
                <w:sz w:val="22"/>
              </w:rPr>
              <w:t>Jan. 1, 2030</w:t>
            </w:r>
          </w:p>
        </w:tc>
      </w:tr>
      <w:tr w:rsidRPr="002B265F" w:rsidR="002B265F" w:rsidTr="002B265F" w14:paraId="4DEA5BFC" w14:textId="77777777">
        <w:trPr>
          <w:trHeight w:val="357"/>
        </w:trPr>
        <w:tc>
          <w:tcPr>
            <w:tcW w:w="1319" w:type="dxa"/>
            <w:hideMark/>
          </w:tcPr>
          <w:p w:rsidRPr="002B265F" w:rsidR="002B265F" w:rsidP="002B265F" w:rsidRDefault="002B265F" w14:paraId="11626908" w14:textId="77777777">
            <w:pPr>
              <w:spacing w:line="240" w:lineRule="auto"/>
              <w:ind w:firstLine="0"/>
              <w:rPr>
                <w:color w:val="000000" w:themeColor="text1"/>
                <w:sz w:val="22"/>
              </w:rPr>
            </w:pPr>
            <w:r>
              <w:rPr>
                <w:color w:val="000000" w:themeColor="text1"/>
                <w:sz w:val="22"/>
              </w:rPr>
              <w:t>As Filed</w:t>
            </w:r>
          </w:p>
        </w:tc>
        <w:tc>
          <w:tcPr>
            <w:tcW w:w="1407" w:type="dxa"/>
            <w:hideMark/>
          </w:tcPr>
          <w:p w:rsidRPr="002B265F" w:rsidR="002B265F" w:rsidP="002B265F" w:rsidRDefault="002B265F" w14:paraId="076416A0" w14:textId="77777777">
            <w:pPr>
              <w:spacing w:line="240" w:lineRule="auto"/>
              <w:ind w:firstLine="0"/>
              <w:jc w:val="center"/>
              <w:rPr>
                <w:color w:val="000000" w:themeColor="text1"/>
                <w:sz w:val="22"/>
              </w:rPr>
            </w:pPr>
            <w:r>
              <w:rPr>
                <w:color w:val="000000" w:themeColor="text1"/>
                <w:sz w:val="22"/>
              </w:rPr>
              <w:t>3.6%</w:t>
            </w:r>
          </w:p>
        </w:tc>
        <w:tc>
          <w:tcPr>
            <w:tcW w:w="1499" w:type="dxa"/>
            <w:hideMark/>
          </w:tcPr>
          <w:p w:rsidRPr="002B265F" w:rsidR="002B265F" w:rsidP="002B265F" w:rsidRDefault="002B265F" w14:paraId="25C4ACE0" w14:textId="77777777">
            <w:pPr>
              <w:spacing w:line="240" w:lineRule="auto"/>
              <w:ind w:firstLine="0"/>
              <w:jc w:val="center"/>
              <w:rPr>
                <w:color w:val="000000" w:themeColor="text1"/>
                <w:sz w:val="22"/>
              </w:rPr>
            </w:pPr>
            <w:r>
              <w:rPr>
                <w:color w:val="000000" w:themeColor="text1"/>
                <w:sz w:val="22"/>
              </w:rPr>
              <w:t>-</w:t>
            </w:r>
          </w:p>
        </w:tc>
        <w:tc>
          <w:tcPr>
            <w:tcW w:w="1350" w:type="dxa"/>
            <w:hideMark/>
          </w:tcPr>
          <w:p w:rsidRPr="002B265F" w:rsidR="002B265F" w:rsidP="002B265F" w:rsidRDefault="002B265F" w14:paraId="0528E26C" w14:textId="77777777">
            <w:pPr>
              <w:spacing w:line="240" w:lineRule="auto"/>
              <w:ind w:firstLine="0"/>
              <w:jc w:val="center"/>
              <w:rPr>
                <w:color w:val="000000" w:themeColor="text1"/>
                <w:sz w:val="22"/>
              </w:rPr>
            </w:pPr>
            <w:r>
              <w:rPr>
                <w:color w:val="000000" w:themeColor="text1"/>
                <w:sz w:val="22"/>
              </w:rPr>
              <w:t>3.2%</w:t>
            </w:r>
          </w:p>
        </w:tc>
        <w:tc>
          <w:tcPr>
            <w:tcW w:w="1440" w:type="dxa"/>
            <w:hideMark/>
          </w:tcPr>
          <w:p w:rsidRPr="002B265F" w:rsidR="002B265F" w:rsidP="002B265F" w:rsidRDefault="002B265F" w14:paraId="0C8302EF" w14:textId="77777777">
            <w:pPr>
              <w:spacing w:line="240" w:lineRule="auto"/>
              <w:ind w:firstLine="0"/>
              <w:jc w:val="center"/>
              <w:rPr>
                <w:color w:val="000000" w:themeColor="text1"/>
                <w:sz w:val="22"/>
              </w:rPr>
            </w:pPr>
            <w:r>
              <w:rPr>
                <w:color w:val="000000" w:themeColor="text1"/>
                <w:sz w:val="22"/>
              </w:rPr>
              <w:t>-</w:t>
            </w:r>
          </w:p>
        </w:tc>
        <w:tc>
          <w:tcPr>
            <w:tcW w:w="1350" w:type="dxa"/>
            <w:hideMark/>
          </w:tcPr>
          <w:p w:rsidRPr="002B265F" w:rsidR="002B265F" w:rsidP="002B265F" w:rsidRDefault="002B265F" w14:paraId="1914390F" w14:textId="77777777">
            <w:pPr>
              <w:spacing w:line="240" w:lineRule="auto"/>
              <w:ind w:firstLine="0"/>
              <w:jc w:val="center"/>
              <w:rPr>
                <w:color w:val="000000" w:themeColor="text1"/>
                <w:sz w:val="22"/>
              </w:rPr>
            </w:pPr>
            <w:r>
              <w:rPr>
                <w:color w:val="000000" w:themeColor="text1"/>
                <w:sz w:val="22"/>
              </w:rPr>
              <w:t>3.3%</w:t>
            </w:r>
          </w:p>
        </w:tc>
        <w:tc>
          <w:tcPr>
            <w:tcW w:w="1350" w:type="dxa"/>
            <w:hideMark/>
          </w:tcPr>
          <w:p w:rsidRPr="002B265F" w:rsidR="002B265F" w:rsidP="002B265F" w:rsidRDefault="002B265F" w14:paraId="37DDAAB3" w14:textId="77777777">
            <w:pPr>
              <w:spacing w:line="240" w:lineRule="auto"/>
              <w:ind w:firstLine="0"/>
              <w:jc w:val="center"/>
              <w:rPr>
                <w:color w:val="000000" w:themeColor="text1"/>
                <w:sz w:val="22"/>
              </w:rPr>
            </w:pPr>
            <w:r>
              <w:rPr>
                <w:color w:val="000000" w:themeColor="text1"/>
                <w:sz w:val="22"/>
              </w:rPr>
              <w:t>3.4%</w:t>
            </w:r>
          </w:p>
        </w:tc>
      </w:tr>
      <w:tr w:rsidRPr="002B265F" w:rsidR="002B265F" w:rsidTr="002B265F" w14:paraId="2DC198FD" w14:textId="77777777">
        <w:trPr>
          <w:trHeight w:val="357"/>
        </w:trPr>
        <w:tc>
          <w:tcPr>
            <w:tcW w:w="1319" w:type="dxa"/>
            <w:hideMark/>
          </w:tcPr>
          <w:p w:rsidRPr="002B265F" w:rsidR="002B265F" w:rsidP="002B265F" w:rsidRDefault="002B265F" w14:paraId="32D7ACE9" w14:textId="77777777">
            <w:pPr>
              <w:spacing w:line="240" w:lineRule="auto"/>
              <w:ind w:firstLine="0"/>
              <w:rPr>
                <w:color w:val="000000" w:themeColor="text1"/>
                <w:sz w:val="22"/>
              </w:rPr>
            </w:pPr>
            <w:r>
              <w:rPr>
                <w:color w:val="000000" w:themeColor="text1"/>
                <w:sz w:val="22"/>
              </w:rPr>
              <w:t>No IRR</w:t>
            </w:r>
          </w:p>
        </w:tc>
        <w:tc>
          <w:tcPr>
            <w:tcW w:w="1407" w:type="dxa"/>
            <w:hideMark/>
          </w:tcPr>
          <w:p w:rsidRPr="002B265F" w:rsidR="002B265F" w:rsidP="002B265F" w:rsidRDefault="002B265F" w14:paraId="171142BC" w14:textId="77777777">
            <w:pPr>
              <w:spacing w:line="240" w:lineRule="auto"/>
              <w:ind w:firstLine="0"/>
              <w:jc w:val="center"/>
              <w:rPr>
                <w:color w:val="000000" w:themeColor="text1"/>
                <w:sz w:val="22"/>
              </w:rPr>
            </w:pPr>
            <w:r>
              <w:rPr>
                <w:color w:val="000000" w:themeColor="text1"/>
                <w:sz w:val="22"/>
              </w:rPr>
              <w:t>-</w:t>
            </w:r>
          </w:p>
        </w:tc>
        <w:tc>
          <w:tcPr>
            <w:tcW w:w="1499" w:type="dxa"/>
            <w:hideMark/>
          </w:tcPr>
          <w:p w:rsidRPr="002B265F" w:rsidR="002B265F" w:rsidP="002B265F" w:rsidRDefault="002B265F" w14:paraId="0C39E2D8" w14:textId="77777777">
            <w:pPr>
              <w:spacing w:line="240" w:lineRule="auto"/>
              <w:ind w:firstLine="0"/>
              <w:jc w:val="center"/>
              <w:rPr>
                <w:color w:val="000000" w:themeColor="text1"/>
                <w:sz w:val="22"/>
              </w:rPr>
            </w:pPr>
            <w:r>
              <w:rPr>
                <w:color w:val="000000" w:themeColor="text1"/>
                <w:sz w:val="22"/>
              </w:rPr>
              <w:t>5.9%</w:t>
            </w:r>
          </w:p>
        </w:tc>
        <w:tc>
          <w:tcPr>
            <w:tcW w:w="1350" w:type="dxa"/>
            <w:hideMark/>
          </w:tcPr>
          <w:p w:rsidRPr="002B265F" w:rsidR="002B265F" w:rsidP="002B265F" w:rsidRDefault="002B265F" w14:paraId="23C022F5" w14:textId="77777777">
            <w:pPr>
              <w:spacing w:line="240" w:lineRule="auto"/>
              <w:ind w:firstLine="0"/>
              <w:jc w:val="center"/>
              <w:rPr>
                <w:color w:val="000000" w:themeColor="text1"/>
                <w:sz w:val="22"/>
              </w:rPr>
            </w:pPr>
            <w:r>
              <w:rPr>
                <w:color w:val="000000" w:themeColor="text1"/>
                <w:sz w:val="22"/>
              </w:rPr>
              <w:t>3.1%</w:t>
            </w:r>
          </w:p>
        </w:tc>
        <w:tc>
          <w:tcPr>
            <w:tcW w:w="1440" w:type="dxa"/>
            <w:hideMark/>
          </w:tcPr>
          <w:p w:rsidRPr="002B265F" w:rsidR="002B265F" w:rsidP="002B265F" w:rsidRDefault="002B265F" w14:paraId="1D09C41C" w14:textId="77777777">
            <w:pPr>
              <w:spacing w:line="240" w:lineRule="auto"/>
              <w:ind w:firstLine="0"/>
              <w:jc w:val="center"/>
              <w:rPr>
                <w:color w:val="000000" w:themeColor="text1"/>
                <w:sz w:val="22"/>
              </w:rPr>
            </w:pPr>
            <w:r>
              <w:rPr>
                <w:color w:val="000000" w:themeColor="text1"/>
                <w:sz w:val="22"/>
              </w:rPr>
              <w:t>-2.2%</w:t>
            </w:r>
          </w:p>
        </w:tc>
        <w:tc>
          <w:tcPr>
            <w:tcW w:w="1350" w:type="dxa"/>
            <w:hideMark/>
          </w:tcPr>
          <w:p w:rsidRPr="002B265F" w:rsidR="002B265F" w:rsidP="002B265F" w:rsidRDefault="002B265F" w14:paraId="1AB51501" w14:textId="77777777">
            <w:pPr>
              <w:spacing w:line="240" w:lineRule="auto"/>
              <w:ind w:firstLine="0"/>
              <w:jc w:val="center"/>
              <w:rPr>
                <w:color w:val="000000" w:themeColor="text1"/>
                <w:sz w:val="22"/>
              </w:rPr>
            </w:pPr>
            <w:r>
              <w:rPr>
                <w:color w:val="000000" w:themeColor="text1"/>
                <w:sz w:val="22"/>
              </w:rPr>
              <w:t>3.3%</w:t>
            </w:r>
          </w:p>
        </w:tc>
        <w:tc>
          <w:tcPr>
            <w:tcW w:w="1350" w:type="dxa"/>
            <w:hideMark/>
          </w:tcPr>
          <w:p w:rsidRPr="002B265F" w:rsidR="002B265F" w:rsidP="002B265F" w:rsidRDefault="002B265F" w14:paraId="2FF38EFF" w14:textId="77777777">
            <w:pPr>
              <w:spacing w:line="240" w:lineRule="auto"/>
              <w:ind w:firstLine="0"/>
              <w:jc w:val="center"/>
              <w:rPr>
                <w:color w:val="000000" w:themeColor="text1"/>
                <w:sz w:val="22"/>
              </w:rPr>
            </w:pPr>
            <w:r>
              <w:rPr>
                <w:color w:val="000000" w:themeColor="text1"/>
                <w:sz w:val="22"/>
              </w:rPr>
              <w:t>3.4%</w:t>
            </w:r>
          </w:p>
        </w:tc>
      </w:tr>
      <w:tr w:rsidRPr="002B265F" w:rsidR="002B265F" w:rsidTr="002B265F" w14:paraId="66CA1672" w14:textId="77777777">
        <w:trPr>
          <w:trHeight w:val="357"/>
        </w:trPr>
        <w:tc>
          <w:tcPr>
            <w:tcW w:w="1319" w:type="dxa"/>
            <w:hideMark/>
          </w:tcPr>
          <w:p w:rsidRPr="002B265F" w:rsidR="002B265F" w:rsidP="002B265F" w:rsidRDefault="002B265F" w14:paraId="7716FF45" w14:textId="77777777">
            <w:pPr>
              <w:spacing w:line="240" w:lineRule="auto"/>
              <w:ind w:firstLine="0"/>
              <w:rPr>
                <w:color w:val="000000" w:themeColor="text1"/>
                <w:sz w:val="22"/>
              </w:rPr>
            </w:pPr>
            <w:r>
              <w:rPr>
                <w:color w:val="000000" w:themeColor="text1"/>
                <w:sz w:val="22"/>
              </w:rPr>
              <w:t>55% IRR</w:t>
            </w:r>
          </w:p>
        </w:tc>
        <w:tc>
          <w:tcPr>
            <w:tcW w:w="1407" w:type="dxa"/>
            <w:hideMark/>
          </w:tcPr>
          <w:p w:rsidRPr="002B265F" w:rsidR="002B265F" w:rsidP="002B265F" w:rsidRDefault="002B265F" w14:paraId="484BE058" w14:textId="77777777">
            <w:pPr>
              <w:spacing w:line="240" w:lineRule="auto"/>
              <w:ind w:firstLine="0"/>
              <w:jc w:val="center"/>
              <w:rPr>
                <w:color w:val="000000" w:themeColor="text1"/>
                <w:sz w:val="22"/>
              </w:rPr>
            </w:pPr>
            <w:r>
              <w:rPr>
                <w:color w:val="000000" w:themeColor="text1"/>
                <w:sz w:val="22"/>
              </w:rPr>
              <w:t>1.9%</w:t>
            </w:r>
          </w:p>
        </w:tc>
        <w:tc>
          <w:tcPr>
            <w:tcW w:w="1499" w:type="dxa"/>
            <w:hideMark/>
          </w:tcPr>
          <w:p w:rsidRPr="002B265F" w:rsidR="002B265F" w:rsidP="002B265F" w:rsidRDefault="002B265F" w14:paraId="21EA6790" w14:textId="77777777">
            <w:pPr>
              <w:spacing w:line="240" w:lineRule="auto"/>
              <w:ind w:firstLine="0"/>
              <w:jc w:val="center"/>
              <w:rPr>
                <w:color w:val="000000" w:themeColor="text1"/>
                <w:sz w:val="22"/>
              </w:rPr>
            </w:pPr>
            <w:r>
              <w:rPr>
                <w:color w:val="000000" w:themeColor="text1"/>
                <w:sz w:val="22"/>
              </w:rPr>
              <w:t>2.7%</w:t>
            </w:r>
          </w:p>
        </w:tc>
        <w:tc>
          <w:tcPr>
            <w:tcW w:w="1350" w:type="dxa"/>
            <w:hideMark/>
          </w:tcPr>
          <w:p w:rsidRPr="002B265F" w:rsidR="002B265F" w:rsidP="002B265F" w:rsidRDefault="002B265F" w14:paraId="3893BFC0" w14:textId="77777777">
            <w:pPr>
              <w:spacing w:line="240" w:lineRule="auto"/>
              <w:ind w:firstLine="0"/>
              <w:jc w:val="center"/>
              <w:rPr>
                <w:color w:val="000000" w:themeColor="text1"/>
                <w:sz w:val="22"/>
              </w:rPr>
            </w:pPr>
            <w:r>
              <w:rPr>
                <w:color w:val="000000" w:themeColor="text1"/>
                <w:sz w:val="22"/>
              </w:rPr>
              <w:t>3.2%</w:t>
            </w:r>
          </w:p>
        </w:tc>
        <w:tc>
          <w:tcPr>
            <w:tcW w:w="1440" w:type="dxa"/>
            <w:hideMark/>
          </w:tcPr>
          <w:p w:rsidRPr="002B265F" w:rsidR="002B265F" w:rsidP="002B265F" w:rsidRDefault="002B265F" w14:paraId="17300AAF" w14:textId="77777777">
            <w:pPr>
              <w:spacing w:line="240" w:lineRule="auto"/>
              <w:ind w:firstLine="0"/>
              <w:jc w:val="center"/>
              <w:rPr>
                <w:color w:val="000000" w:themeColor="text1"/>
                <w:sz w:val="22"/>
              </w:rPr>
            </w:pPr>
            <w:r>
              <w:rPr>
                <w:color w:val="000000" w:themeColor="text1"/>
                <w:sz w:val="22"/>
              </w:rPr>
              <w:t>-1.0%</w:t>
            </w:r>
          </w:p>
        </w:tc>
        <w:tc>
          <w:tcPr>
            <w:tcW w:w="1350" w:type="dxa"/>
            <w:hideMark/>
          </w:tcPr>
          <w:p w:rsidRPr="002B265F" w:rsidR="002B265F" w:rsidP="002B265F" w:rsidRDefault="002B265F" w14:paraId="29169E90" w14:textId="77777777">
            <w:pPr>
              <w:spacing w:line="240" w:lineRule="auto"/>
              <w:ind w:firstLine="0"/>
              <w:jc w:val="center"/>
              <w:rPr>
                <w:color w:val="000000" w:themeColor="text1"/>
                <w:sz w:val="22"/>
              </w:rPr>
            </w:pPr>
            <w:r>
              <w:rPr>
                <w:color w:val="000000" w:themeColor="text1"/>
                <w:sz w:val="22"/>
              </w:rPr>
              <w:t>3.3%</w:t>
            </w:r>
          </w:p>
        </w:tc>
        <w:tc>
          <w:tcPr>
            <w:tcW w:w="1350" w:type="dxa"/>
            <w:hideMark/>
          </w:tcPr>
          <w:p w:rsidRPr="002B265F" w:rsidR="002B265F" w:rsidP="002B265F" w:rsidRDefault="002B265F" w14:paraId="63CDBC9F" w14:textId="77777777">
            <w:pPr>
              <w:spacing w:line="240" w:lineRule="auto"/>
              <w:ind w:firstLine="0"/>
              <w:jc w:val="center"/>
              <w:rPr>
                <w:color w:val="000000" w:themeColor="text1"/>
                <w:sz w:val="22"/>
              </w:rPr>
            </w:pPr>
            <w:r>
              <w:rPr>
                <w:color w:val="000000" w:themeColor="text1"/>
                <w:sz w:val="22"/>
              </w:rPr>
              <w:t>3.4%</w:t>
            </w:r>
          </w:p>
        </w:tc>
      </w:tr>
      <w:tr w:rsidRPr="002B265F" w:rsidR="002B265F" w:rsidTr="002B265F" w14:paraId="1EB6CC41" w14:textId="77777777">
        <w:trPr>
          <w:trHeight w:val="357"/>
        </w:trPr>
        <w:tc>
          <w:tcPr>
            <w:tcW w:w="1319" w:type="dxa"/>
            <w:hideMark/>
          </w:tcPr>
          <w:p w:rsidRPr="002B265F" w:rsidR="002B265F" w:rsidP="002B265F" w:rsidRDefault="002B265F" w14:paraId="71CC08D3" w14:textId="77777777">
            <w:pPr>
              <w:spacing w:line="240" w:lineRule="auto"/>
              <w:ind w:firstLine="0"/>
              <w:rPr>
                <w:color w:val="000000" w:themeColor="text1"/>
                <w:sz w:val="22"/>
              </w:rPr>
            </w:pPr>
            <w:r>
              <w:rPr>
                <w:color w:val="000000" w:themeColor="text1"/>
                <w:sz w:val="22"/>
              </w:rPr>
              <w:t>75% IRR</w:t>
            </w:r>
          </w:p>
        </w:tc>
        <w:tc>
          <w:tcPr>
            <w:tcW w:w="1407" w:type="dxa"/>
            <w:hideMark/>
          </w:tcPr>
          <w:p w:rsidRPr="002B265F" w:rsidR="002B265F" w:rsidP="002B265F" w:rsidRDefault="002B265F" w14:paraId="3B7B78B2" w14:textId="77777777">
            <w:pPr>
              <w:spacing w:line="240" w:lineRule="auto"/>
              <w:ind w:firstLine="0"/>
              <w:jc w:val="center"/>
              <w:rPr>
                <w:color w:val="000000" w:themeColor="text1"/>
                <w:sz w:val="22"/>
              </w:rPr>
            </w:pPr>
            <w:r>
              <w:rPr>
                <w:color w:val="000000" w:themeColor="text1"/>
                <w:sz w:val="22"/>
              </w:rPr>
              <w:t>2.6%</w:t>
            </w:r>
          </w:p>
        </w:tc>
        <w:tc>
          <w:tcPr>
            <w:tcW w:w="1499" w:type="dxa"/>
            <w:hideMark/>
          </w:tcPr>
          <w:p w:rsidRPr="002B265F" w:rsidR="002B265F" w:rsidP="002B265F" w:rsidRDefault="002B265F" w14:paraId="0AD209D4" w14:textId="77777777">
            <w:pPr>
              <w:spacing w:line="240" w:lineRule="auto"/>
              <w:ind w:firstLine="0"/>
              <w:jc w:val="center"/>
              <w:rPr>
                <w:color w:val="000000" w:themeColor="text1"/>
                <w:sz w:val="22"/>
              </w:rPr>
            </w:pPr>
            <w:r>
              <w:rPr>
                <w:color w:val="000000" w:themeColor="text1"/>
                <w:sz w:val="22"/>
              </w:rPr>
              <w:t>1.6%</w:t>
            </w:r>
          </w:p>
        </w:tc>
        <w:tc>
          <w:tcPr>
            <w:tcW w:w="1350" w:type="dxa"/>
            <w:hideMark/>
          </w:tcPr>
          <w:p w:rsidRPr="002B265F" w:rsidR="002B265F" w:rsidP="002B265F" w:rsidRDefault="002B265F" w14:paraId="36CFB03B" w14:textId="77777777">
            <w:pPr>
              <w:spacing w:line="240" w:lineRule="auto"/>
              <w:ind w:firstLine="0"/>
              <w:jc w:val="center"/>
              <w:rPr>
                <w:color w:val="000000" w:themeColor="text1"/>
                <w:sz w:val="22"/>
              </w:rPr>
            </w:pPr>
            <w:r>
              <w:rPr>
                <w:color w:val="000000" w:themeColor="text1"/>
                <w:sz w:val="22"/>
              </w:rPr>
              <w:t>3.2%</w:t>
            </w:r>
          </w:p>
        </w:tc>
        <w:tc>
          <w:tcPr>
            <w:tcW w:w="1440" w:type="dxa"/>
            <w:hideMark/>
          </w:tcPr>
          <w:p w:rsidRPr="002B265F" w:rsidR="002B265F" w:rsidP="002B265F" w:rsidRDefault="002B265F" w14:paraId="58A89356" w14:textId="77777777">
            <w:pPr>
              <w:spacing w:line="240" w:lineRule="auto"/>
              <w:ind w:firstLine="0"/>
              <w:jc w:val="center"/>
              <w:rPr>
                <w:color w:val="000000" w:themeColor="text1"/>
                <w:sz w:val="22"/>
              </w:rPr>
            </w:pPr>
            <w:r>
              <w:rPr>
                <w:color w:val="000000" w:themeColor="text1"/>
                <w:sz w:val="22"/>
              </w:rPr>
              <w:t>-0.6%</w:t>
            </w:r>
          </w:p>
        </w:tc>
        <w:tc>
          <w:tcPr>
            <w:tcW w:w="1350" w:type="dxa"/>
            <w:hideMark/>
          </w:tcPr>
          <w:p w:rsidRPr="002B265F" w:rsidR="002B265F" w:rsidP="002B265F" w:rsidRDefault="002B265F" w14:paraId="56292428" w14:textId="77777777">
            <w:pPr>
              <w:spacing w:line="240" w:lineRule="auto"/>
              <w:ind w:firstLine="0"/>
              <w:jc w:val="center"/>
              <w:rPr>
                <w:color w:val="000000" w:themeColor="text1"/>
                <w:sz w:val="22"/>
              </w:rPr>
            </w:pPr>
            <w:r>
              <w:rPr>
                <w:color w:val="000000" w:themeColor="text1"/>
                <w:sz w:val="22"/>
              </w:rPr>
              <w:t>3.3%</w:t>
            </w:r>
          </w:p>
        </w:tc>
        <w:tc>
          <w:tcPr>
            <w:tcW w:w="1350" w:type="dxa"/>
            <w:hideMark/>
          </w:tcPr>
          <w:p w:rsidRPr="002B265F" w:rsidR="002B265F" w:rsidP="002B265F" w:rsidRDefault="002B265F" w14:paraId="035CEB2D" w14:textId="77777777">
            <w:pPr>
              <w:spacing w:line="240" w:lineRule="auto"/>
              <w:ind w:firstLine="0"/>
              <w:jc w:val="center"/>
              <w:rPr>
                <w:color w:val="000000" w:themeColor="text1"/>
                <w:sz w:val="22"/>
              </w:rPr>
            </w:pPr>
            <w:r>
              <w:rPr>
                <w:color w:val="000000" w:themeColor="text1"/>
                <w:sz w:val="22"/>
              </w:rPr>
              <w:t>3.4%</w:t>
            </w:r>
          </w:p>
        </w:tc>
      </w:tr>
      <w:tr w:rsidRPr="002B265F" w:rsidR="002B265F" w:rsidTr="002B265F" w14:paraId="4C4D69C1" w14:textId="77777777">
        <w:trPr>
          <w:trHeight w:val="357"/>
        </w:trPr>
        <w:tc>
          <w:tcPr>
            <w:tcW w:w="1319" w:type="dxa"/>
            <w:hideMark/>
          </w:tcPr>
          <w:p w:rsidRPr="002B265F" w:rsidR="002B265F" w:rsidP="002B265F" w:rsidRDefault="002B265F" w14:paraId="65C6A836" w14:textId="77777777">
            <w:pPr>
              <w:spacing w:line="240" w:lineRule="auto"/>
              <w:ind w:firstLine="0"/>
              <w:rPr>
                <w:color w:val="000000" w:themeColor="text1"/>
                <w:sz w:val="22"/>
              </w:rPr>
            </w:pPr>
            <w:r>
              <w:rPr>
                <w:color w:val="000000" w:themeColor="text1"/>
                <w:sz w:val="22"/>
              </w:rPr>
              <w:t>85% IRR</w:t>
            </w:r>
          </w:p>
        </w:tc>
        <w:tc>
          <w:tcPr>
            <w:tcW w:w="1407" w:type="dxa"/>
            <w:hideMark/>
          </w:tcPr>
          <w:p w:rsidRPr="002B265F" w:rsidR="002B265F" w:rsidP="002B265F" w:rsidRDefault="002B265F" w14:paraId="11300E37" w14:textId="77777777">
            <w:pPr>
              <w:spacing w:line="240" w:lineRule="auto"/>
              <w:ind w:firstLine="0"/>
              <w:jc w:val="center"/>
              <w:rPr>
                <w:color w:val="000000" w:themeColor="text1"/>
                <w:sz w:val="22"/>
              </w:rPr>
            </w:pPr>
            <w:r>
              <w:rPr>
                <w:color w:val="000000" w:themeColor="text1"/>
                <w:sz w:val="22"/>
              </w:rPr>
              <w:t>2.9%</w:t>
            </w:r>
          </w:p>
        </w:tc>
        <w:tc>
          <w:tcPr>
            <w:tcW w:w="1499" w:type="dxa"/>
            <w:hideMark/>
          </w:tcPr>
          <w:p w:rsidRPr="002B265F" w:rsidR="002B265F" w:rsidP="002B265F" w:rsidRDefault="002B265F" w14:paraId="7B9E0B59" w14:textId="77777777">
            <w:pPr>
              <w:spacing w:line="240" w:lineRule="auto"/>
              <w:ind w:firstLine="0"/>
              <w:jc w:val="center"/>
              <w:rPr>
                <w:color w:val="000000" w:themeColor="text1"/>
                <w:sz w:val="22"/>
              </w:rPr>
            </w:pPr>
            <w:r>
              <w:rPr>
                <w:color w:val="000000" w:themeColor="text1"/>
                <w:sz w:val="22"/>
              </w:rPr>
              <w:t>1.0%</w:t>
            </w:r>
          </w:p>
        </w:tc>
        <w:tc>
          <w:tcPr>
            <w:tcW w:w="1350" w:type="dxa"/>
            <w:hideMark/>
          </w:tcPr>
          <w:p w:rsidRPr="002B265F" w:rsidR="002B265F" w:rsidP="002B265F" w:rsidRDefault="002B265F" w14:paraId="79265E73" w14:textId="77777777">
            <w:pPr>
              <w:spacing w:line="240" w:lineRule="auto"/>
              <w:ind w:firstLine="0"/>
              <w:jc w:val="center"/>
              <w:rPr>
                <w:color w:val="000000" w:themeColor="text1"/>
                <w:sz w:val="22"/>
              </w:rPr>
            </w:pPr>
            <w:r>
              <w:rPr>
                <w:color w:val="000000" w:themeColor="text1"/>
                <w:sz w:val="22"/>
              </w:rPr>
              <w:t>3.2%</w:t>
            </w:r>
          </w:p>
        </w:tc>
        <w:tc>
          <w:tcPr>
            <w:tcW w:w="1440" w:type="dxa"/>
            <w:hideMark/>
          </w:tcPr>
          <w:p w:rsidRPr="002B265F" w:rsidR="002B265F" w:rsidP="002B265F" w:rsidRDefault="002B265F" w14:paraId="50024B33" w14:textId="77777777">
            <w:pPr>
              <w:spacing w:line="240" w:lineRule="auto"/>
              <w:ind w:firstLine="0"/>
              <w:jc w:val="center"/>
              <w:rPr>
                <w:color w:val="000000" w:themeColor="text1"/>
                <w:sz w:val="22"/>
              </w:rPr>
            </w:pPr>
            <w:r>
              <w:rPr>
                <w:color w:val="000000" w:themeColor="text1"/>
                <w:sz w:val="22"/>
              </w:rPr>
              <w:t>-0.3%</w:t>
            </w:r>
          </w:p>
        </w:tc>
        <w:tc>
          <w:tcPr>
            <w:tcW w:w="1350" w:type="dxa"/>
            <w:hideMark/>
          </w:tcPr>
          <w:p w:rsidRPr="002B265F" w:rsidR="002B265F" w:rsidP="002B265F" w:rsidRDefault="002B265F" w14:paraId="030BD340" w14:textId="77777777">
            <w:pPr>
              <w:spacing w:line="240" w:lineRule="auto"/>
              <w:ind w:firstLine="0"/>
              <w:jc w:val="center"/>
              <w:rPr>
                <w:color w:val="000000" w:themeColor="text1"/>
                <w:sz w:val="22"/>
              </w:rPr>
            </w:pPr>
            <w:r>
              <w:rPr>
                <w:color w:val="000000" w:themeColor="text1"/>
                <w:sz w:val="22"/>
              </w:rPr>
              <w:t>3.3%</w:t>
            </w:r>
          </w:p>
        </w:tc>
        <w:tc>
          <w:tcPr>
            <w:tcW w:w="1350" w:type="dxa"/>
            <w:hideMark/>
          </w:tcPr>
          <w:p w:rsidRPr="002B265F" w:rsidR="002B265F" w:rsidP="002B265F" w:rsidRDefault="002B265F" w14:paraId="77B3EB0E" w14:textId="77777777">
            <w:pPr>
              <w:spacing w:line="240" w:lineRule="auto"/>
              <w:ind w:firstLine="0"/>
              <w:jc w:val="center"/>
              <w:rPr>
                <w:color w:val="000000" w:themeColor="text1"/>
                <w:sz w:val="22"/>
              </w:rPr>
            </w:pPr>
            <w:r>
              <w:rPr>
                <w:color w:val="000000" w:themeColor="text1"/>
                <w:sz w:val="22"/>
              </w:rPr>
              <w:t>3.4%</w:t>
            </w:r>
          </w:p>
        </w:tc>
      </w:tr>
    </w:tbl>
    <w:p w:rsidRPr="002B265F" w:rsidR="002B265F" w:rsidP="002B265F" w:rsidRDefault="002B265F" w14:paraId="50DEF0A5" w14:textId="77777777">
      <w:pPr>
        <w:spacing w:before="240"/>
        <w:rPr>
          <w:color w:val="000000" w:themeColor="text1"/>
        </w:rPr>
      </w:pPr>
      <w:r>
        <w:rPr>
          <w:color w:val="000000" w:themeColor="text1"/>
        </w:rPr>
        <w:t>PG&amp;E argued that if the Commission authorizes interim rate recovery, PG&amp;E’s customers will avoid financing costs on memorandum account undercollections. The Commission sets this interest rate at the 90-day commercial paper rate, as reported by the Federal Reserve, which PG&amp;E reported was 3.71% as of March 2026. PG&amp;E stated that if the Commission granted its IRR request and interim rate recovery began on January 1, 2027, direct customer savings would be about $13.6 million, $18.5 million, or $21.0 million under the 55 percent, 75%, or 85% IRR scenarios, respectively. PG&amp;E’s calculations compared its scenarios with rate recovery beginning on September 1, 2027, and taking place over a 12-month period.</w:t>
      </w:r>
    </w:p>
    <w:p w:rsidRPr="002B265F" w:rsidR="002B265F" w:rsidP="002B265F" w:rsidRDefault="002B265F" w14:paraId="13C2DA7D" w14:textId="77777777">
      <w:pPr>
        <w:rPr>
          <w:color w:val="000000" w:themeColor="text1"/>
        </w:rPr>
      </w:pPr>
      <w:r>
        <w:rPr>
          <w:color w:val="000000" w:themeColor="text1"/>
        </w:rPr>
        <w:t>PG&amp;E stated that interim rate recovery would be subject to refund and fully refundable, to ensure that customers are made whole.</w:t>
      </w:r>
      <w:r>
        <w:rPr>
          <w:color w:val="000000" w:themeColor="text1"/>
          <w:vertAlign w:val="superscript"/>
        </w:rPr>
        <w:footnoteReference w:id="13"/>
      </w:r>
      <w:r>
        <w:rPr>
          <w:color w:val="000000" w:themeColor="text1"/>
        </w:rPr>
        <w:t xml:space="preserve"> </w:t>
      </w:r>
    </w:p>
    <w:p w:rsidRPr="002B265F" w:rsidR="002B265F" w:rsidP="002B265F" w:rsidRDefault="002B265F" w14:paraId="35449A25" w14:textId="77777777">
      <w:pPr>
        <w:pStyle w:val="Heading1"/>
        <w:ind w:hanging="720"/>
      </w:pPr>
      <w:bookmarkStart w:name="_Toc238553225" w:id="12"/>
      <w:r>
        <w:lastRenderedPageBreak/>
        <w:t>Updated Calculations</w:t>
      </w:r>
    </w:p>
    <w:p w:rsidRPr="002B265F" w:rsidR="002B265F" w:rsidP="002B265F" w:rsidRDefault="002466A0" w14:paraId="23DA41C7" w14:textId="77777777">
      <w:pPr>
        <w:rPr>
          <w:color w:val="000000" w:themeColor="text1"/>
        </w:rPr>
      </w:pPr>
      <w:r>
        <w:rPr>
          <w:color w:val="000000" w:themeColor="text1"/>
        </w:rPr>
        <w:t>In its Opening Brief, PG&amp;E presented the following updated revenue requirement forecast:</w:t>
      </w:r>
      <w:r>
        <w:rPr>
          <w:color w:val="000000" w:themeColor="text1"/>
          <w:vertAlign w:val="superscript"/>
        </w:rPr>
        <w:footnoteReference w:id="14"/>
      </w:r>
      <w:r>
        <w:rPr>
          <w:color w:val="000000" w:themeColor="text1"/>
        </w:rPr>
        <w:t xml:space="preserve"> </w:t>
      </w:r>
    </w:p>
    <w:p w:rsidRPr="002B265F" w:rsidR="002B265F" w:rsidP="002B265F" w:rsidRDefault="002B265F" w14:paraId="071A3BF3" w14:textId="77777777">
      <w:pPr>
        <w:keepNext/>
        <w:spacing w:after="200" w:line="240" w:lineRule="auto"/>
        <w:ind w:firstLine="0"/>
        <w:jc w:val="center"/>
        <w:rPr>
          <w:b/>
          <w:bCs/>
          <w:color w:val="000000" w:themeColor="text1"/>
          <w:sz w:val="24"/>
          <w:szCs w:val="24"/>
        </w:rPr>
      </w:pPr>
      <w:r>
        <w:rPr>
          <w:b/>
          <w:bCs/>
          <w:color w:val="000000" w:themeColor="text1"/>
          <w:sz w:val="24"/>
          <w:szCs w:val="24"/>
        </w:rPr>
        <w:t xml:space="preserve">Table </w:t>
      </w:r>
      <w:r>
        <w:rPr>
          <w:b/>
          <w:bCs/>
          <w:color w:val="000000" w:themeColor="text1"/>
          <w:sz w:val="24"/>
          <w:szCs w:val="24"/>
        </w:rPr>
        <w:fldChar w:fldCharType="begin"/>
      </w:r>
      <w:r>
        <w:rPr>
          <w:b/>
          <w:bCs/>
          <w:color w:val="000000" w:themeColor="text1"/>
          <w:sz w:val="24"/>
          <w:szCs w:val="24"/>
        </w:rPr>
        <w:instrText xml:space="preserve"> SEQ Table \* ARABIC </w:instrText>
      </w:r>
      <w:r>
        <w:rPr>
          <w:b/>
          <w:bCs/>
          <w:color w:val="000000" w:themeColor="text1"/>
          <w:sz w:val="24"/>
          <w:szCs w:val="24"/>
        </w:rPr>
        <w:fldChar w:fldCharType="separate"/>
      </w:r>
      <w:r>
        <w:rPr>
          <w:b/>
          <w:bCs/>
          <w:noProof/>
          <w:color w:val="000000" w:themeColor="text1"/>
          <w:sz w:val="24"/>
          <w:szCs w:val="24"/>
        </w:rPr>
        <w:t>3</w:t>
      </w:r>
      <w:r>
        <w:rPr>
          <w:b/>
          <w:bCs/>
          <w:color w:val="000000" w:themeColor="text1"/>
          <w:sz w:val="24"/>
          <w:szCs w:val="24"/>
        </w:rPr>
        <w:fldChar w:fldCharType="end"/>
      </w:r>
      <w:r>
        <w:rPr>
          <w:b/>
          <w:bCs/>
          <w:color w:val="000000" w:themeColor="text1"/>
          <w:sz w:val="24"/>
          <w:szCs w:val="24"/>
        </w:rPr>
        <w:t>: 2027 GRC Revenue Requirement Forecast (Millions)</w:t>
      </w:r>
    </w:p>
    <w:tbl>
      <w:tblPr>
        <w:tblW w:w="0" w:type="auto"/>
        <w:jc w:val="center"/>
        <w:tblBorders>
          <w:top w:val="single" w:color="000000" w:sz="6" w:space="0"/>
          <w:left w:val="single" w:color="000000" w:sz="6" w:space="0"/>
          <w:bottom w:val="single" w:color="000000" w:sz="6" w:space="0"/>
          <w:right w:val="single" w:color="000000" w:sz="6" w:space="0"/>
        </w:tblBorders>
        <w:tblCellMar>
          <w:top w:w="15" w:type="dxa"/>
          <w:left w:w="15" w:type="dxa"/>
          <w:bottom w:w="15" w:type="dxa"/>
          <w:right w:w="15" w:type="dxa"/>
        </w:tblCellMar>
        <w:tblLook w:val="04A0" w:firstRow="1" w:lastRow="0" w:firstColumn="1" w:lastColumn="0" w:noHBand="0" w:noVBand="1"/>
      </w:tblPr>
      <w:tblGrid>
        <w:gridCol w:w="3150"/>
        <w:gridCol w:w="2160"/>
        <w:gridCol w:w="1890"/>
      </w:tblGrid>
      <w:tr w:rsidRPr="002B265F" w:rsidR="002B265F" w:rsidTr="00463DCB" w14:paraId="56E2A083" w14:textId="77777777">
        <w:trPr>
          <w:trHeight w:val="230"/>
          <w:jc w:val="center"/>
        </w:trPr>
        <w:tc>
          <w:tcPr>
            <w:tcW w:w="3150" w:type="dxa"/>
            <w:vMerge w:val="restart"/>
            <w:tcBorders>
              <w:top w:val="nil"/>
              <w:left w:val="nil"/>
              <w:bottom w:val="nil"/>
              <w:right w:val="single" w:color="auto" w:sz="4" w:space="0"/>
            </w:tcBorders>
            <w:tcMar>
              <w:top w:w="60" w:type="dxa"/>
              <w:left w:w="60" w:type="dxa"/>
              <w:bottom w:w="60" w:type="dxa"/>
              <w:right w:w="60" w:type="dxa"/>
            </w:tcMar>
            <w:vAlign w:val="center"/>
          </w:tcPr>
          <w:p w:rsidRPr="002B265F" w:rsidR="002B265F" w:rsidP="002B265F" w:rsidRDefault="002B265F" w14:paraId="147A85CA" w14:textId="77777777">
            <w:pPr>
              <w:spacing w:line="240" w:lineRule="auto"/>
              <w:ind w:firstLine="0"/>
              <w:rPr>
                <w:rFonts w:ascii="Times New Roman" w:hAnsi="Times New Roman" w:eastAsia="Times New Roman" w:cs="Times New Roman"/>
                <w:sz w:val="20"/>
                <w:szCs w:val="20"/>
              </w:rPr>
            </w:pPr>
          </w:p>
        </w:tc>
        <w:tc>
          <w:tcPr>
            <w:tcW w:w="2160" w:type="dxa"/>
            <w:vMerge w:val="restart"/>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rsidRPr="002B265F" w:rsidR="002B265F" w:rsidP="002B265F" w:rsidRDefault="002B265F" w14:paraId="3B6B45D0" w14:textId="77777777">
            <w:pPr>
              <w:spacing w:line="240" w:lineRule="auto"/>
              <w:ind w:firstLine="0"/>
              <w:jc w:val="center"/>
              <w:rPr>
                <w:b/>
                <w:bCs/>
                <w:color w:val="000000" w:themeColor="text1"/>
                <w:sz w:val="24"/>
                <w:szCs w:val="20"/>
              </w:rPr>
            </w:pPr>
            <w:r>
              <w:rPr>
                <w:b/>
                <w:bCs/>
                <w:color w:val="000000" w:themeColor="text1"/>
                <w:sz w:val="24"/>
                <w:szCs w:val="20"/>
              </w:rPr>
              <w:t>2026 Revenue Requirement</w:t>
            </w:r>
          </w:p>
        </w:tc>
        <w:tc>
          <w:tcPr>
            <w:tcW w:w="1890" w:type="dxa"/>
            <w:vMerge w:val="restart"/>
            <w:tcBorders>
              <w:top w:val="single" w:color="000000" w:sz="6" w:space="0"/>
              <w:left w:val="single" w:color="auto" w:sz="4" w:space="0"/>
              <w:right w:val="single" w:color="000000" w:sz="6" w:space="0"/>
            </w:tcBorders>
            <w:tcMar>
              <w:top w:w="60" w:type="dxa"/>
              <w:left w:w="60" w:type="dxa"/>
              <w:bottom w:w="60" w:type="dxa"/>
              <w:right w:w="60" w:type="dxa"/>
            </w:tcMar>
            <w:vAlign w:val="center"/>
          </w:tcPr>
          <w:p w:rsidRPr="002B265F" w:rsidR="002B265F" w:rsidP="002B265F" w:rsidRDefault="002B265F" w14:paraId="1D621594" w14:textId="77777777">
            <w:pPr>
              <w:spacing w:line="240" w:lineRule="auto"/>
              <w:ind w:firstLine="0"/>
              <w:jc w:val="center"/>
              <w:rPr>
                <w:b/>
                <w:bCs/>
                <w:color w:val="000000" w:themeColor="text1"/>
                <w:sz w:val="24"/>
                <w:szCs w:val="20"/>
              </w:rPr>
            </w:pPr>
            <w:r>
              <w:rPr>
                <w:b/>
                <w:bCs/>
                <w:color w:val="000000" w:themeColor="text1"/>
                <w:sz w:val="24"/>
                <w:szCs w:val="20"/>
              </w:rPr>
              <w:t>2027 Proposed Change</w:t>
            </w:r>
          </w:p>
        </w:tc>
      </w:tr>
      <w:tr w:rsidRPr="002B265F" w:rsidR="002B265F" w:rsidTr="00463DCB" w14:paraId="5E3B7663" w14:textId="77777777">
        <w:trPr>
          <w:trHeight w:val="509"/>
          <w:jc w:val="center"/>
        </w:trPr>
        <w:tc>
          <w:tcPr>
            <w:tcW w:w="3150" w:type="dxa"/>
            <w:vMerge/>
            <w:tcBorders>
              <w:top w:val="nil"/>
              <w:left w:val="nil"/>
              <w:bottom w:val="single" w:color="auto" w:sz="4" w:space="0"/>
              <w:right w:val="single" w:color="auto" w:sz="4" w:space="0"/>
            </w:tcBorders>
            <w:tcMar>
              <w:top w:w="60" w:type="dxa"/>
              <w:left w:w="60" w:type="dxa"/>
              <w:bottom w:w="60" w:type="dxa"/>
              <w:right w:w="60" w:type="dxa"/>
            </w:tcMar>
            <w:vAlign w:val="center"/>
            <w:hideMark/>
          </w:tcPr>
          <w:p w:rsidRPr="002B265F" w:rsidR="002B265F" w:rsidP="002B265F" w:rsidRDefault="002B265F" w14:paraId="4F34A1F2" w14:textId="77777777">
            <w:pPr>
              <w:spacing w:line="240" w:lineRule="auto"/>
              <w:ind w:firstLine="0"/>
              <w:rPr>
                <w:rFonts w:ascii="Times New Roman" w:hAnsi="Times New Roman" w:eastAsia="Times New Roman" w:cs="Times New Roman"/>
                <w:sz w:val="20"/>
                <w:szCs w:val="20"/>
              </w:rPr>
            </w:pPr>
          </w:p>
        </w:tc>
        <w:tc>
          <w:tcPr>
            <w:tcW w:w="2160" w:type="dxa"/>
            <w:vMerge/>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hideMark/>
          </w:tcPr>
          <w:p w:rsidRPr="002B265F" w:rsidR="002B265F" w:rsidP="002B265F" w:rsidRDefault="002B265F" w14:paraId="3135B162" w14:textId="77777777">
            <w:pPr>
              <w:spacing w:line="240" w:lineRule="auto"/>
              <w:ind w:firstLine="0"/>
              <w:rPr>
                <w:b/>
                <w:bCs/>
                <w:color w:val="000000" w:themeColor="text1"/>
                <w:sz w:val="24"/>
                <w:szCs w:val="20"/>
              </w:rPr>
            </w:pPr>
          </w:p>
        </w:tc>
        <w:tc>
          <w:tcPr>
            <w:tcW w:w="1890" w:type="dxa"/>
            <w:vMerge/>
            <w:tcBorders>
              <w:left w:val="single" w:color="auto" w:sz="4"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73E2C8BA" w14:textId="77777777">
            <w:pPr>
              <w:spacing w:line="240" w:lineRule="auto"/>
              <w:ind w:firstLine="0"/>
              <w:rPr>
                <w:b/>
                <w:bCs/>
                <w:color w:val="000000" w:themeColor="text1"/>
                <w:sz w:val="24"/>
                <w:szCs w:val="20"/>
              </w:rPr>
            </w:pPr>
          </w:p>
        </w:tc>
      </w:tr>
      <w:tr w:rsidRPr="002B265F" w:rsidR="002B265F" w:rsidTr="00463DCB" w14:paraId="6FD7F3F1" w14:textId="77777777">
        <w:trPr>
          <w:trHeight w:val="186"/>
          <w:jc w:val="center"/>
        </w:trPr>
        <w:tc>
          <w:tcPr>
            <w:tcW w:w="3150"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hideMark/>
          </w:tcPr>
          <w:p w:rsidRPr="002B265F" w:rsidR="002B265F" w:rsidP="002B265F" w:rsidRDefault="002B265F" w14:paraId="2A39A6AF" w14:textId="77777777">
            <w:pPr>
              <w:spacing w:line="240" w:lineRule="auto"/>
              <w:ind w:firstLine="0"/>
              <w:rPr>
                <w:color w:val="000000" w:themeColor="text1"/>
                <w:sz w:val="24"/>
                <w:szCs w:val="20"/>
              </w:rPr>
            </w:pPr>
            <w:r>
              <w:rPr>
                <w:color w:val="000000" w:themeColor="text1"/>
                <w:sz w:val="24"/>
                <w:szCs w:val="20"/>
              </w:rPr>
              <w:t>Electric Distribution</w:t>
            </w:r>
          </w:p>
        </w:tc>
        <w:tc>
          <w:tcPr>
            <w:tcW w:w="2160"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hideMark/>
          </w:tcPr>
          <w:p w:rsidRPr="002B265F" w:rsidR="002B265F" w:rsidP="002B265F" w:rsidRDefault="002B265F" w14:paraId="00BC3E93" w14:textId="77777777">
            <w:pPr>
              <w:spacing w:line="240" w:lineRule="auto"/>
              <w:ind w:firstLine="0"/>
              <w:jc w:val="right"/>
              <w:rPr>
                <w:color w:val="000000" w:themeColor="text1"/>
                <w:sz w:val="24"/>
                <w:szCs w:val="20"/>
              </w:rPr>
            </w:pPr>
            <w:r>
              <w:rPr>
                <w:color w:val="000000" w:themeColor="text1"/>
                <w:sz w:val="24"/>
                <w:szCs w:val="20"/>
              </w:rPr>
              <w:t>$8,819</w:t>
            </w:r>
          </w:p>
        </w:tc>
        <w:tc>
          <w:tcPr>
            <w:tcW w:w="1890" w:type="dxa"/>
            <w:tcBorders>
              <w:top w:val="single" w:color="000000" w:sz="6" w:space="0"/>
              <w:left w:val="single" w:color="auto" w:sz="4" w:space="0"/>
              <w:bottom w:val="single" w:color="000000" w:sz="6" w:space="0"/>
              <w:right w:val="single" w:color="000000" w:sz="6" w:space="0"/>
            </w:tcBorders>
            <w:tcMar>
              <w:top w:w="60" w:type="dxa"/>
              <w:left w:w="60" w:type="dxa"/>
              <w:bottom w:w="60" w:type="dxa"/>
              <w:right w:w="60" w:type="dxa"/>
            </w:tcMar>
          </w:tcPr>
          <w:p w:rsidRPr="002B265F" w:rsidR="002B265F" w:rsidP="002B265F" w:rsidRDefault="002B265F" w14:paraId="50B94D51" w14:textId="77777777">
            <w:pPr>
              <w:spacing w:line="240" w:lineRule="auto"/>
              <w:ind w:firstLine="0"/>
              <w:jc w:val="right"/>
              <w:rPr>
                <w:color w:val="000000" w:themeColor="text1"/>
                <w:sz w:val="24"/>
                <w:szCs w:val="20"/>
              </w:rPr>
            </w:pPr>
            <w:r>
              <w:rPr>
                <w:color w:val="000000" w:themeColor="text1"/>
                <w:sz w:val="24"/>
                <w:szCs w:val="20"/>
              </w:rPr>
              <w:t xml:space="preserve">$722 </w:t>
            </w:r>
          </w:p>
        </w:tc>
      </w:tr>
      <w:tr w:rsidRPr="002B265F" w:rsidR="002B265F" w:rsidTr="00463DCB" w14:paraId="495B92CC" w14:textId="77777777">
        <w:trPr>
          <w:jc w:val="center"/>
        </w:trPr>
        <w:tc>
          <w:tcPr>
            <w:tcW w:w="3150" w:type="dxa"/>
            <w:tcBorders>
              <w:top w:val="single" w:color="auto" w:sz="4"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4AB64FD9" w14:textId="77777777">
            <w:pPr>
              <w:spacing w:line="240" w:lineRule="auto"/>
              <w:ind w:firstLine="0"/>
              <w:rPr>
                <w:color w:val="000000" w:themeColor="text1"/>
                <w:sz w:val="24"/>
                <w:szCs w:val="20"/>
              </w:rPr>
            </w:pPr>
            <w:r>
              <w:rPr>
                <w:color w:val="000000" w:themeColor="text1"/>
                <w:sz w:val="24"/>
                <w:szCs w:val="20"/>
              </w:rPr>
              <w:t>Gas Distribution</w:t>
            </w:r>
          </w:p>
        </w:tc>
        <w:tc>
          <w:tcPr>
            <w:tcW w:w="2160" w:type="dxa"/>
            <w:tcBorders>
              <w:top w:val="single" w:color="auto" w:sz="4"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4F2215DE" w14:textId="77777777">
            <w:pPr>
              <w:spacing w:line="240" w:lineRule="auto"/>
              <w:ind w:firstLine="0"/>
              <w:jc w:val="right"/>
              <w:rPr>
                <w:color w:val="000000" w:themeColor="text1"/>
                <w:sz w:val="24"/>
                <w:szCs w:val="20"/>
              </w:rPr>
            </w:pPr>
            <w:r>
              <w:rPr>
                <w:color w:val="000000" w:themeColor="text1"/>
                <w:sz w:val="24"/>
                <w:szCs w:val="20"/>
              </w:rPr>
              <w:t>$3,104</w:t>
            </w:r>
          </w:p>
        </w:tc>
        <w:tc>
          <w:tcPr>
            <w:tcW w:w="189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tcPr>
          <w:p w:rsidRPr="002B265F" w:rsidR="002B265F" w:rsidP="002B265F" w:rsidRDefault="002B265F" w14:paraId="69ADBDE9" w14:textId="77777777">
            <w:pPr>
              <w:spacing w:line="240" w:lineRule="auto"/>
              <w:ind w:firstLine="0"/>
              <w:jc w:val="right"/>
              <w:rPr>
                <w:color w:val="000000" w:themeColor="text1"/>
                <w:sz w:val="24"/>
                <w:szCs w:val="20"/>
              </w:rPr>
            </w:pPr>
            <w:r>
              <w:rPr>
                <w:color w:val="000000" w:themeColor="text1"/>
                <w:sz w:val="24"/>
                <w:szCs w:val="20"/>
              </w:rPr>
              <w:t>($63)</w:t>
            </w:r>
          </w:p>
        </w:tc>
      </w:tr>
      <w:tr w:rsidRPr="002B265F" w:rsidR="002B265F" w:rsidTr="00463DCB" w14:paraId="3F688AB1" w14:textId="77777777">
        <w:trPr>
          <w:jc w:val="center"/>
        </w:trPr>
        <w:tc>
          <w:tcPr>
            <w:tcW w:w="315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591B7F50" w14:textId="77777777">
            <w:pPr>
              <w:spacing w:line="240" w:lineRule="auto"/>
              <w:ind w:firstLine="0"/>
              <w:rPr>
                <w:color w:val="000000" w:themeColor="text1"/>
                <w:sz w:val="24"/>
                <w:szCs w:val="20"/>
              </w:rPr>
            </w:pPr>
            <w:r>
              <w:rPr>
                <w:color w:val="000000" w:themeColor="text1"/>
                <w:sz w:val="24"/>
                <w:szCs w:val="20"/>
              </w:rPr>
              <w:t>Electric Generation</w:t>
            </w:r>
          </w:p>
        </w:tc>
        <w:tc>
          <w:tcPr>
            <w:tcW w:w="216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0EF00CC9" w14:textId="77777777">
            <w:pPr>
              <w:spacing w:line="240" w:lineRule="auto"/>
              <w:ind w:firstLine="0"/>
              <w:jc w:val="right"/>
              <w:rPr>
                <w:color w:val="000000" w:themeColor="text1"/>
                <w:sz w:val="24"/>
                <w:szCs w:val="20"/>
              </w:rPr>
            </w:pPr>
            <w:r>
              <w:rPr>
                <w:color w:val="000000" w:themeColor="text1"/>
                <w:sz w:val="24"/>
                <w:szCs w:val="20"/>
              </w:rPr>
              <w:t>$1,220</w:t>
            </w:r>
          </w:p>
        </w:tc>
        <w:tc>
          <w:tcPr>
            <w:tcW w:w="189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tcPr>
          <w:p w:rsidRPr="002B265F" w:rsidR="002B265F" w:rsidP="002B265F" w:rsidRDefault="002B265F" w14:paraId="2A274400" w14:textId="77777777">
            <w:pPr>
              <w:spacing w:line="240" w:lineRule="auto"/>
              <w:ind w:firstLine="0"/>
              <w:jc w:val="right"/>
              <w:rPr>
                <w:color w:val="000000" w:themeColor="text1"/>
                <w:sz w:val="24"/>
                <w:szCs w:val="20"/>
              </w:rPr>
            </w:pPr>
            <w:r>
              <w:rPr>
                <w:color w:val="000000" w:themeColor="text1"/>
                <w:sz w:val="24"/>
                <w:szCs w:val="20"/>
              </w:rPr>
              <w:t>265</w:t>
            </w:r>
          </w:p>
        </w:tc>
      </w:tr>
      <w:tr w:rsidRPr="002B265F" w:rsidR="002B265F" w:rsidTr="00463DCB" w14:paraId="2DBE46BB" w14:textId="77777777">
        <w:trPr>
          <w:jc w:val="center"/>
        </w:trPr>
        <w:tc>
          <w:tcPr>
            <w:tcW w:w="315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289D8836" w14:textId="77777777">
            <w:pPr>
              <w:spacing w:line="240" w:lineRule="auto"/>
              <w:ind w:firstLine="0"/>
              <w:rPr>
                <w:color w:val="000000" w:themeColor="text1"/>
                <w:sz w:val="24"/>
                <w:szCs w:val="20"/>
              </w:rPr>
            </w:pPr>
            <w:r>
              <w:rPr>
                <w:color w:val="000000" w:themeColor="text1"/>
                <w:sz w:val="24"/>
                <w:szCs w:val="20"/>
              </w:rPr>
              <w:t>Gas Transmission &amp; Storage</w:t>
            </w:r>
          </w:p>
        </w:tc>
        <w:tc>
          <w:tcPr>
            <w:tcW w:w="216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3E7F4646" w14:textId="77777777">
            <w:pPr>
              <w:spacing w:line="240" w:lineRule="auto"/>
              <w:ind w:firstLine="0"/>
              <w:jc w:val="right"/>
              <w:rPr>
                <w:color w:val="000000" w:themeColor="text1"/>
                <w:sz w:val="24"/>
                <w:szCs w:val="20"/>
              </w:rPr>
            </w:pPr>
            <w:r>
              <w:rPr>
                <w:color w:val="000000" w:themeColor="text1"/>
                <w:sz w:val="24"/>
                <w:szCs w:val="20"/>
              </w:rPr>
              <w:t>$2,196</w:t>
            </w:r>
          </w:p>
        </w:tc>
        <w:tc>
          <w:tcPr>
            <w:tcW w:w="189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tcPr>
          <w:p w:rsidRPr="002B265F" w:rsidR="002B265F" w:rsidP="002B265F" w:rsidRDefault="002B265F" w14:paraId="33B7D049" w14:textId="77777777">
            <w:pPr>
              <w:spacing w:line="240" w:lineRule="auto"/>
              <w:ind w:firstLine="0"/>
              <w:jc w:val="right"/>
              <w:rPr>
                <w:color w:val="000000" w:themeColor="text1"/>
                <w:sz w:val="24"/>
                <w:szCs w:val="20"/>
              </w:rPr>
            </w:pPr>
            <w:r>
              <w:rPr>
                <w:color w:val="000000" w:themeColor="text1"/>
                <w:sz w:val="24"/>
                <w:szCs w:val="20"/>
              </w:rPr>
              <w:t>($39)</w:t>
            </w:r>
          </w:p>
        </w:tc>
      </w:tr>
      <w:tr w:rsidRPr="002B265F" w:rsidR="002B265F" w:rsidTr="00463DCB" w14:paraId="5FFD8D00" w14:textId="77777777">
        <w:trPr>
          <w:jc w:val="center"/>
        </w:trPr>
        <w:tc>
          <w:tcPr>
            <w:tcW w:w="315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77AC2EF9" w14:textId="77777777">
            <w:pPr>
              <w:spacing w:line="240" w:lineRule="auto"/>
              <w:ind w:firstLine="0"/>
              <w:rPr>
                <w:b/>
                <w:bCs/>
                <w:color w:val="000000" w:themeColor="text1"/>
                <w:sz w:val="24"/>
                <w:szCs w:val="20"/>
              </w:rPr>
            </w:pPr>
            <w:r>
              <w:rPr>
                <w:b/>
                <w:bCs/>
                <w:color w:val="000000" w:themeColor="text1"/>
                <w:sz w:val="24"/>
                <w:szCs w:val="20"/>
              </w:rPr>
              <w:t>Total GRC</w:t>
            </w:r>
          </w:p>
        </w:tc>
        <w:tc>
          <w:tcPr>
            <w:tcW w:w="216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2B265F" w:rsidP="002B265F" w:rsidRDefault="002B265F" w14:paraId="23930BC2" w14:textId="77777777">
            <w:pPr>
              <w:spacing w:line="240" w:lineRule="auto"/>
              <w:ind w:firstLine="0"/>
              <w:jc w:val="right"/>
              <w:rPr>
                <w:b/>
                <w:bCs/>
                <w:color w:val="000000" w:themeColor="text1"/>
                <w:sz w:val="24"/>
                <w:szCs w:val="20"/>
              </w:rPr>
            </w:pPr>
            <w:r>
              <w:rPr>
                <w:b/>
                <w:bCs/>
                <w:color w:val="000000" w:themeColor="text1"/>
                <w:sz w:val="24"/>
                <w:szCs w:val="20"/>
              </w:rPr>
              <w:t>$15,339</w:t>
            </w:r>
          </w:p>
        </w:tc>
        <w:tc>
          <w:tcPr>
            <w:tcW w:w="189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tcPr>
          <w:p w:rsidRPr="002B265F" w:rsidR="002B265F" w:rsidP="002B265F" w:rsidRDefault="002B265F" w14:paraId="5B36CA59" w14:textId="77777777">
            <w:pPr>
              <w:spacing w:line="240" w:lineRule="auto"/>
              <w:ind w:firstLine="0"/>
              <w:jc w:val="right"/>
              <w:rPr>
                <w:b/>
                <w:bCs/>
                <w:color w:val="000000" w:themeColor="text1"/>
                <w:sz w:val="24"/>
                <w:szCs w:val="20"/>
              </w:rPr>
            </w:pPr>
            <w:r>
              <w:rPr>
                <w:b/>
                <w:bCs/>
                <w:color w:val="000000" w:themeColor="text1"/>
                <w:sz w:val="24"/>
                <w:szCs w:val="20"/>
              </w:rPr>
              <w:t xml:space="preserve">$885 </w:t>
            </w:r>
          </w:p>
        </w:tc>
      </w:tr>
    </w:tbl>
    <w:p w:rsidRPr="002B265F" w:rsidR="002B265F" w:rsidP="002B265F" w:rsidRDefault="002B265F" w14:paraId="1D171C95" w14:textId="77777777">
      <w:pPr>
        <w:spacing w:before="240"/>
        <w:ind w:firstLine="0"/>
      </w:pPr>
      <w:r>
        <w:t xml:space="preserve">Using these values, we calculate various IRR scenarios ranging from 55% to 85% of values in the “2027 Proposed Change” column, shown in the table below: </w:t>
      </w:r>
    </w:p>
    <w:p w:rsidRPr="002B265F" w:rsidR="002B265F" w:rsidP="002B265F" w:rsidRDefault="002B265F" w14:paraId="1AB042F8" w14:textId="77777777">
      <w:pPr>
        <w:keepNext/>
        <w:spacing w:after="200" w:line="240" w:lineRule="auto"/>
        <w:ind w:firstLine="0"/>
        <w:jc w:val="center"/>
        <w:rPr>
          <w:b/>
          <w:bCs/>
          <w:color w:val="000000" w:themeColor="text1"/>
          <w:sz w:val="24"/>
          <w:szCs w:val="24"/>
        </w:rPr>
      </w:pPr>
      <w:r>
        <w:rPr>
          <w:b/>
          <w:bCs/>
          <w:color w:val="000000" w:themeColor="text1"/>
          <w:sz w:val="24"/>
          <w:szCs w:val="24"/>
        </w:rPr>
        <w:t xml:space="preserve">Table </w:t>
      </w:r>
      <w:r>
        <w:rPr>
          <w:b/>
          <w:bCs/>
          <w:color w:val="000000" w:themeColor="text1"/>
          <w:sz w:val="24"/>
          <w:szCs w:val="24"/>
        </w:rPr>
        <w:fldChar w:fldCharType="begin"/>
      </w:r>
      <w:r>
        <w:rPr>
          <w:b/>
          <w:bCs/>
          <w:color w:val="000000" w:themeColor="text1"/>
          <w:sz w:val="24"/>
          <w:szCs w:val="24"/>
        </w:rPr>
        <w:instrText xml:space="preserve"> SEQ Table \* ARABIC </w:instrText>
      </w:r>
      <w:r>
        <w:rPr>
          <w:b/>
          <w:bCs/>
          <w:color w:val="000000" w:themeColor="text1"/>
          <w:sz w:val="24"/>
          <w:szCs w:val="24"/>
        </w:rPr>
        <w:fldChar w:fldCharType="separate"/>
      </w:r>
      <w:r>
        <w:rPr>
          <w:b/>
          <w:bCs/>
          <w:noProof/>
          <w:color w:val="000000" w:themeColor="text1"/>
          <w:sz w:val="24"/>
          <w:szCs w:val="24"/>
        </w:rPr>
        <w:t>4</w:t>
      </w:r>
      <w:r>
        <w:rPr>
          <w:b/>
          <w:bCs/>
          <w:color w:val="000000" w:themeColor="text1"/>
          <w:sz w:val="24"/>
          <w:szCs w:val="24"/>
        </w:rPr>
        <w:fldChar w:fldCharType="end"/>
      </w:r>
      <w:r>
        <w:rPr>
          <w:b/>
          <w:bCs/>
          <w:color w:val="000000" w:themeColor="text1"/>
          <w:sz w:val="24"/>
          <w:szCs w:val="24"/>
        </w:rPr>
        <w:t>: Updated Calculation of IRR Scenarios by Function (Millions)</w:t>
      </w:r>
    </w:p>
    <w:tbl>
      <w:tblPr>
        <w:tblW w:w="0" w:type="auto"/>
        <w:tblBorders>
          <w:top w:val="single" w:color="000000" w:sz="6" w:space="0"/>
          <w:left w:val="single" w:color="000000" w:sz="6" w:space="0"/>
          <w:bottom w:val="single" w:color="000000" w:sz="6" w:space="0"/>
          <w:right w:val="single" w:color="000000" w:sz="6" w:space="0"/>
        </w:tblBorders>
        <w:tblCellMar>
          <w:top w:w="15" w:type="dxa"/>
          <w:left w:w="15" w:type="dxa"/>
          <w:bottom w:w="15" w:type="dxa"/>
          <w:right w:w="58" w:type="dxa"/>
        </w:tblCellMar>
        <w:tblLook w:val="04A0" w:firstRow="1" w:lastRow="0" w:firstColumn="1" w:lastColumn="0" w:noHBand="0" w:noVBand="1"/>
      </w:tblPr>
      <w:tblGrid>
        <w:gridCol w:w="2995"/>
        <w:gridCol w:w="1560"/>
        <w:gridCol w:w="1313"/>
        <w:gridCol w:w="1134"/>
        <w:gridCol w:w="1134"/>
        <w:gridCol w:w="1134"/>
      </w:tblGrid>
      <w:tr w:rsidRPr="002B265F" w:rsidR="002B265F" w:rsidTr="008401E5" w14:paraId="3D2BF741" w14:textId="77777777">
        <w:tc>
          <w:tcPr>
            <w:tcW w:w="2995" w:type="dxa"/>
            <w:vMerge w:val="restart"/>
            <w:tcBorders>
              <w:top w:val="nil"/>
              <w:left w:val="nil"/>
              <w:bottom w:val="nil"/>
              <w:right w:val="single" w:color="auto" w:sz="4" w:space="0"/>
            </w:tcBorders>
            <w:tcMar>
              <w:top w:w="60" w:type="dxa"/>
              <w:left w:w="60" w:type="dxa"/>
              <w:bottom w:w="60" w:type="dxa"/>
              <w:right w:w="60" w:type="dxa"/>
            </w:tcMar>
            <w:vAlign w:val="center"/>
          </w:tcPr>
          <w:p w:rsidRPr="002B265F" w:rsidR="002B265F" w:rsidP="002B265F" w:rsidRDefault="002B265F" w14:paraId="7705D877" w14:textId="77777777">
            <w:pPr>
              <w:spacing w:line="240" w:lineRule="auto"/>
              <w:ind w:firstLine="0"/>
              <w:rPr>
                <w:rFonts w:ascii="Times New Roman" w:hAnsi="Times New Roman" w:eastAsia="Times New Roman" w:cs="Times New Roman"/>
                <w:sz w:val="20"/>
                <w:szCs w:val="20"/>
              </w:rPr>
            </w:pPr>
          </w:p>
        </w:tc>
        <w:tc>
          <w:tcPr>
            <w:tcW w:w="1560" w:type="dxa"/>
            <w:vMerge w:val="restart"/>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rsidRPr="002B265F" w:rsidR="002B265F" w:rsidP="002B265F" w:rsidRDefault="002B265F" w14:paraId="364E4C29" w14:textId="77777777">
            <w:pPr>
              <w:spacing w:line="240" w:lineRule="auto"/>
              <w:ind w:firstLine="0"/>
              <w:jc w:val="center"/>
              <w:rPr>
                <w:b/>
                <w:bCs/>
                <w:color w:val="000000" w:themeColor="text1"/>
                <w:sz w:val="24"/>
                <w:szCs w:val="20"/>
              </w:rPr>
            </w:pPr>
            <w:r>
              <w:rPr>
                <w:b/>
                <w:bCs/>
                <w:color w:val="000000" w:themeColor="text1"/>
                <w:sz w:val="24"/>
                <w:szCs w:val="20"/>
              </w:rPr>
              <w:t>2026 Revenue Requirement</w:t>
            </w:r>
          </w:p>
        </w:tc>
        <w:tc>
          <w:tcPr>
            <w:tcW w:w="1313" w:type="dxa"/>
            <w:vMerge w:val="restart"/>
            <w:tcBorders>
              <w:top w:val="single" w:color="000000" w:sz="6" w:space="0"/>
              <w:left w:val="single" w:color="auto" w:sz="4" w:space="0"/>
              <w:right w:val="single" w:color="000000" w:sz="6" w:space="0"/>
            </w:tcBorders>
            <w:tcMar>
              <w:top w:w="60" w:type="dxa"/>
              <w:left w:w="60" w:type="dxa"/>
              <w:bottom w:w="60" w:type="dxa"/>
              <w:right w:w="60" w:type="dxa"/>
            </w:tcMar>
            <w:vAlign w:val="center"/>
          </w:tcPr>
          <w:p w:rsidRPr="002B265F" w:rsidR="002B265F" w:rsidP="002B265F" w:rsidRDefault="002B265F" w14:paraId="74CC8F57" w14:textId="77777777">
            <w:pPr>
              <w:spacing w:line="240" w:lineRule="auto"/>
              <w:ind w:firstLine="0"/>
              <w:jc w:val="center"/>
              <w:rPr>
                <w:b/>
                <w:bCs/>
                <w:color w:val="000000" w:themeColor="text1"/>
                <w:sz w:val="24"/>
                <w:szCs w:val="20"/>
              </w:rPr>
            </w:pPr>
            <w:r>
              <w:rPr>
                <w:b/>
                <w:bCs/>
                <w:color w:val="000000" w:themeColor="text1"/>
                <w:sz w:val="24"/>
                <w:szCs w:val="20"/>
              </w:rPr>
              <w:t>2027 Proposed Change</w:t>
            </w:r>
          </w:p>
        </w:tc>
        <w:tc>
          <w:tcPr>
            <w:tcW w:w="3402" w:type="dxa"/>
            <w:gridSpan w:val="3"/>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rsidRPr="002B265F" w:rsidR="002B265F" w:rsidP="002B265F" w:rsidRDefault="002B265F" w14:paraId="66A403A0" w14:textId="77777777">
            <w:pPr>
              <w:spacing w:line="240" w:lineRule="auto"/>
              <w:ind w:firstLine="0"/>
              <w:jc w:val="center"/>
              <w:rPr>
                <w:b/>
                <w:bCs/>
                <w:color w:val="000000" w:themeColor="text1"/>
                <w:sz w:val="24"/>
                <w:szCs w:val="20"/>
              </w:rPr>
            </w:pPr>
            <w:r>
              <w:rPr>
                <w:b/>
                <w:bCs/>
                <w:color w:val="000000" w:themeColor="text1"/>
                <w:sz w:val="24"/>
                <w:szCs w:val="20"/>
              </w:rPr>
              <w:t>Percent of Requested Revenue Requirement Change</w:t>
            </w:r>
          </w:p>
        </w:tc>
      </w:tr>
      <w:tr w:rsidRPr="002B265F" w:rsidR="00385472" w:rsidTr="008401E5" w14:paraId="0C9D33CD" w14:textId="77777777">
        <w:tc>
          <w:tcPr>
            <w:tcW w:w="2995" w:type="dxa"/>
            <w:vMerge/>
            <w:tcBorders>
              <w:top w:val="nil"/>
              <w:left w:val="nil"/>
              <w:bottom w:val="single" w:color="auto" w:sz="4" w:space="0"/>
              <w:right w:val="single" w:color="auto" w:sz="4" w:space="0"/>
            </w:tcBorders>
            <w:tcMar>
              <w:top w:w="60" w:type="dxa"/>
              <w:left w:w="60" w:type="dxa"/>
              <w:bottom w:w="60" w:type="dxa"/>
              <w:right w:w="60" w:type="dxa"/>
            </w:tcMar>
            <w:vAlign w:val="center"/>
            <w:hideMark/>
          </w:tcPr>
          <w:p w:rsidRPr="002B265F" w:rsidR="00385472" w:rsidP="002B265F" w:rsidRDefault="00385472" w14:paraId="5AB94231" w14:textId="77777777">
            <w:pPr>
              <w:spacing w:line="240" w:lineRule="auto"/>
              <w:ind w:firstLine="0"/>
              <w:rPr>
                <w:rFonts w:ascii="Times New Roman" w:hAnsi="Times New Roman" w:eastAsia="Times New Roman" w:cs="Times New Roman"/>
                <w:sz w:val="20"/>
                <w:szCs w:val="20"/>
              </w:rPr>
            </w:pPr>
          </w:p>
        </w:tc>
        <w:tc>
          <w:tcPr>
            <w:tcW w:w="1560" w:type="dxa"/>
            <w:vMerge/>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hideMark/>
          </w:tcPr>
          <w:p w:rsidRPr="002B265F" w:rsidR="00385472" w:rsidP="002B265F" w:rsidRDefault="00385472" w14:paraId="102D39E1" w14:textId="77777777">
            <w:pPr>
              <w:spacing w:line="240" w:lineRule="auto"/>
              <w:ind w:firstLine="0"/>
              <w:rPr>
                <w:b/>
                <w:bCs/>
                <w:color w:val="000000" w:themeColor="text1"/>
                <w:sz w:val="24"/>
                <w:szCs w:val="20"/>
              </w:rPr>
            </w:pPr>
          </w:p>
        </w:tc>
        <w:tc>
          <w:tcPr>
            <w:tcW w:w="1313" w:type="dxa"/>
            <w:vMerge/>
            <w:tcBorders>
              <w:left w:val="single" w:color="auto" w:sz="4" w:space="0"/>
              <w:bottom w:val="single" w:color="000000" w:sz="6" w:space="0"/>
              <w:right w:val="single" w:color="000000" w:sz="6" w:space="0"/>
            </w:tcBorders>
            <w:tcMar>
              <w:top w:w="60" w:type="dxa"/>
              <w:left w:w="60" w:type="dxa"/>
              <w:bottom w:w="60" w:type="dxa"/>
              <w:right w:w="60" w:type="dxa"/>
            </w:tcMar>
            <w:vAlign w:val="center"/>
            <w:hideMark/>
          </w:tcPr>
          <w:p w:rsidRPr="002B265F" w:rsidR="00385472" w:rsidP="002B265F" w:rsidRDefault="00385472" w14:paraId="32122BAE" w14:textId="77777777">
            <w:pPr>
              <w:spacing w:line="240" w:lineRule="auto"/>
              <w:ind w:firstLine="0"/>
              <w:rPr>
                <w:b/>
                <w:bCs/>
                <w:color w:val="000000" w:themeColor="text1"/>
                <w:sz w:val="24"/>
                <w:szCs w:val="20"/>
              </w:rPr>
            </w:pPr>
          </w:p>
        </w:tc>
        <w:tc>
          <w:tcPr>
            <w:tcW w:w="1134"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rsidRPr="002B265F" w:rsidR="00385472" w:rsidP="002B265F" w:rsidRDefault="00385472" w14:paraId="7E227BDD" w14:textId="77777777">
            <w:pPr>
              <w:spacing w:line="240" w:lineRule="auto"/>
              <w:ind w:firstLine="0"/>
              <w:jc w:val="center"/>
              <w:rPr>
                <w:b/>
                <w:bCs/>
                <w:color w:val="000000" w:themeColor="text1"/>
                <w:sz w:val="22"/>
                <w:szCs w:val="18"/>
              </w:rPr>
            </w:pPr>
            <w:r>
              <w:rPr>
                <w:b/>
                <w:bCs/>
                <w:color w:val="000000" w:themeColor="text1"/>
                <w:sz w:val="22"/>
                <w:szCs w:val="18"/>
              </w:rPr>
              <w:t>55%</w:t>
            </w:r>
          </w:p>
        </w:tc>
        <w:tc>
          <w:tcPr>
            <w:tcW w:w="1134"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rsidRPr="002B265F" w:rsidR="00385472" w:rsidP="002B265F" w:rsidRDefault="00385472" w14:paraId="0BF6BC55" w14:textId="77777777">
            <w:pPr>
              <w:spacing w:line="240" w:lineRule="auto"/>
              <w:ind w:firstLine="0"/>
              <w:jc w:val="center"/>
              <w:rPr>
                <w:b/>
                <w:bCs/>
                <w:color w:val="000000" w:themeColor="text1"/>
                <w:sz w:val="22"/>
                <w:szCs w:val="18"/>
              </w:rPr>
            </w:pPr>
            <w:r>
              <w:rPr>
                <w:b/>
                <w:bCs/>
                <w:color w:val="000000" w:themeColor="text1"/>
                <w:sz w:val="22"/>
                <w:szCs w:val="18"/>
              </w:rPr>
              <w:t>75%</w:t>
            </w:r>
          </w:p>
        </w:tc>
        <w:tc>
          <w:tcPr>
            <w:tcW w:w="1134" w:type="dxa"/>
            <w:tcBorders>
              <w:top w:val="single" w:color="000000" w:sz="6" w:space="0"/>
              <w:left w:val="single" w:color="000000" w:sz="6" w:space="0"/>
              <w:bottom w:val="single" w:color="000000" w:sz="6" w:space="0"/>
              <w:right w:val="single" w:color="000000" w:sz="6" w:space="0"/>
            </w:tcBorders>
            <w:vAlign w:val="center"/>
          </w:tcPr>
          <w:p w:rsidRPr="002B265F" w:rsidR="00385472" w:rsidP="002B265F" w:rsidRDefault="00385472" w14:paraId="13A3C3DA" w14:textId="77777777">
            <w:pPr>
              <w:spacing w:line="240" w:lineRule="auto"/>
              <w:ind w:firstLine="0"/>
              <w:jc w:val="center"/>
              <w:rPr>
                <w:b/>
                <w:bCs/>
                <w:color w:val="000000" w:themeColor="text1"/>
                <w:sz w:val="22"/>
                <w:szCs w:val="18"/>
              </w:rPr>
            </w:pPr>
            <w:r>
              <w:rPr>
                <w:b/>
                <w:bCs/>
                <w:color w:val="000000" w:themeColor="text1"/>
                <w:sz w:val="22"/>
                <w:szCs w:val="18"/>
              </w:rPr>
              <w:t>85%</w:t>
            </w:r>
          </w:p>
        </w:tc>
      </w:tr>
      <w:tr w:rsidRPr="002B265F" w:rsidR="00385472" w:rsidTr="008401E5" w14:paraId="772A15A3" w14:textId="77777777">
        <w:trPr>
          <w:trHeight w:val="186"/>
        </w:trPr>
        <w:tc>
          <w:tcPr>
            <w:tcW w:w="2995"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hideMark/>
          </w:tcPr>
          <w:p w:rsidRPr="002B265F" w:rsidR="00385472" w:rsidP="002B265F" w:rsidRDefault="00385472" w14:paraId="05D8FC65" w14:textId="77777777">
            <w:pPr>
              <w:spacing w:line="240" w:lineRule="auto"/>
              <w:ind w:firstLine="0"/>
              <w:rPr>
                <w:color w:val="000000" w:themeColor="text1"/>
                <w:sz w:val="24"/>
                <w:szCs w:val="20"/>
              </w:rPr>
            </w:pPr>
            <w:r>
              <w:rPr>
                <w:color w:val="000000" w:themeColor="text1"/>
                <w:sz w:val="24"/>
                <w:szCs w:val="20"/>
              </w:rPr>
              <w:t>Electric Distribution</w:t>
            </w:r>
          </w:p>
        </w:tc>
        <w:tc>
          <w:tcPr>
            <w:tcW w:w="1560"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hideMark/>
          </w:tcPr>
          <w:p w:rsidRPr="002B265F" w:rsidR="00385472" w:rsidP="002B265F" w:rsidRDefault="00385472" w14:paraId="705755A7" w14:textId="77777777">
            <w:pPr>
              <w:spacing w:line="240" w:lineRule="auto"/>
              <w:ind w:firstLine="0"/>
              <w:jc w:val="right"/>
              <w:rPr>
                <w:color w:val="000000" w:themeColor="text1"/>
                <w:sz w:val="24"/>
                <w:szCs w:val="24"/>
              </w:rPr>
            </w:pPr>
            <w:r>
              <w:rPr>
                <w:color w:val="000000" w:themeColor="text1"/>
                <w:sz w:val="24"/>
                <w:szCs w:val="24"/>
              </w:rPr>
              <w:t>$8,819</w:t>
            </w:r>
          </w:p>
        </w:tc>
        <w:tc>
          <w:tcPr>
            <w:tcW w:w="1313" w:type="dxa"/>
            <w:tcBorders>
              <w:top w:val="single" w:color="000000" w:sz="6" w:space="0"/>
              <w:left w:val="single" w:color="auto" w:sz="4" w:space="0"/>
              <w:bottom w:val="single" w:color="000000" w:sz="6" w:space="0"/>
              <w:right w:val="single" w:color="000000" w:sz="6" w:space="0"/>
            </w:tcBorders>
            <w:tcMar>
              <w:top w:w="60" w:type="dxa"/>
              <w:left w:w="60" w:type="dxa"/>
              <w:bottom w:w="60" w:type="dxa"/>
              <w:right w:w="60" w:type="dxa"/>
            </w:tcMar>
            <w:vAlign w:val="center"/>
          </w:tcPr>
          <w:p w:rsidRPr="002B265F" w:rsidR="00385472" w:rsidP="002B265F" w:rsidRDefault="00385472" w14:paraId="617DD2E3" w14:textId="77777777">
            <w:pPr>
              <w:spacing w:line="240" w:lineRule="auto"/>
              <w:ind w:firstLine="0"/>
              <w:jc w:val="right"/>
              <w:rPr>
                <w:color w:val="000000" w:themeColor="text1"/>
                <w:sz w:val="24"/>
                <w:szCs w:val="24"/>
              </w:rPr>
            </w:pPr>
            <w:r>
              <w:rPr>
                <w:color w:val="000000" w:themeColor="text1"/>
                <w:sz w:val="24"/>
                <w:szCs w:val="24"/>
              </w:rPr>
              <w:t xml:space="preserve">$722 </w:t>
            </w:r>
          </w:p>
        </w:tc>
        <w:tc>
          <w:tcPr>
            <w:tcW w:w="1134"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rsidRPr="002B265F" w:rsidR="00385472" w:rsidP="002B265F" w:rsidRDefault="00385472" w14:paraId="33104BF9" w14:textId="77777777">
            <w:pPr>
              <w:spacing w:line="240" w:lineRule="auto"/>
              <w:ind w:firstLine="0"/>
              <w:jc w:val="right"/>
              <w:rPr>
                <w:color w:val="000000" w:themeColor="text1"/>
                <w:sz w:val="24"/>
                <w:szCs w:val="24"/>
              </w:rPr>
            </w:pPr>
            <w:r>
              <w:rPr>
                <w:color w:val="000000" w:themeColor="text1"/>
                <w:sz w:val="24"/>
                <w:szCs w:val="24"/>
              </w:rPr>
              <w:t xml:space="preserve">$397 </w:t>
            </w:r>
          </w:p>
        </w:tc>
        <w:tc>
          <w:tcPr>
            <w:tcW w:w="1134"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rsidRPr="002B265F" w:rsidR="00385472" w:rsidP="002B265F" w:rsidRDefault="00385472" w14:paraId="133F4C74" w14:textId="77777777">
            <w:pPr>
              <w:spacing w:line="240" w:lineRule="auto"/>
              <w:ind w:firstLine="0"/>
              <w:jc w:val="right"/>
              <w:rPr>
                <w:color w:val="000000" w:themeColor="text1"/>
                <w:sz w:val="24"/>
                <w:szCs w:val="24"/>
              </w:rPr>
            </w:pPr>
            <w:r>
              <w:rPr>
                <w:color w:val="000000" w:themeColor="text1"/>
                <w:sz w:val="24"/>
                <w:szCs w:val="24"/>
              </w:rPr>
              <w:t xml:space="preserve">$542 </w:t>
            </w:r>
          </w:p>
        </w:tc>
        <w:tc>
          <w:tcPr>
            <w:tcW w:w="1134" w:type="dxa"/>
            <w:tcBorders>
              <w:top w:val="single" w:color="000000" w:sz="6" w:space="0"/>
              <w:left w:val="single" w:color="000000" w:sz="6" w:space="0"/>
              <w:bottom w:val="single" w:color="000000" w:sz="6" w:space="0"/>
              <w:right w:val="single" w:color="000000" w:sz="6" w:space="0"/>
            </w:tcBorders>
            <w:vAlign w:val="center"/>
          </w:tcPr>
          <w:p w:rsidRPr="002B265F" w:rsidR="00385472" w:rsidP="002B265F" w:rsidRDefault="00385472" w14:paraId="7E64AC11" w14:textId="77777777">
            <w:pPr>
              <w:spacing w:line="240" w:lineRule="auto"/>
              <w:ind w:firstLine="0"/>
              <w:jc w:val="right"/>
              <w:rPr>
                <w:color w:val="000000" w:themeColor="text1"/>
                <w:sz w:val="24"/>
                <w:szCs w:val="24"/>
              </w:rPr>
            </w:pPr>
            <w:r>
              <w:rPr>
                <w:color w:val="000000" w:themeColor="text1"/>
                <w:sz w:val="24"/>
                <w:szCs w:val="24"/>
              </w:rPr>
              <w:t xml:space="preserve">$614 </w:t>
            </w:r>
          </w:p>
        </w:tc>
      </w:tr>
      <w:tr w:rsidRPr="002B265F" w:rsidR="00385472" w:rsidTr="008401E5" w14:paraId="00B59EBD" w14:textId="77777777">
        <w:tc>
          <w:tcPr>
            <w:tcW w:w="2995" w:type="dxa"/>
            <w:tcBorders>
              <w:top w:val="single" w:color="auto" w:sz="4"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385472" w:rsidP="002B265F" w:rsidRDefault="00385472" w14:paraId="248D0C05" w14:textId="77777777">
            <w:pPr>
              <w:spacing w:line="240" w:lineRule="auto"/>
              <w:ind w:firstLine="0"/>
              <w:rPr>
                <w:color w:val="000000" w:themeColor="text1"/>
                <w:sz w:val="24"/>
                <w:szCs w:val="20"/>
              </w:rPr>
            </w:pPr>
            <w:r>
              <w:rPr>
                <w:color w:val="000000" w:themeColor="text1"/>
                <w:sz w:val="24"/>
                <w:szCs w:val="20"/>
              </w:rPr>
              <w:t>Gas Distribution</w:t>
            </w:r>
          </w:p>
        </w:tc>
        <w:tc>
          <w:tcPr>
            <w:tcW w:w="1560" w:type="dxa"/>
            <w:tcBorders>
              <w:top w:val="single" w:color="auto" w:sz="4"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385472" w:rsidP="002B265F" w:rsidRDefault="00385472" w14:paraId="5212F4C1" w14:textId="77777777">
            <w:pPr>
              <w:spacing w:line="240" w:lineRule="auto"/>
              <w:ind w:firstLine="0"/>
              <w:jc w:val="right"/>
              <w:rPr>
                <w:color w:val="000000" w:themeColor="text1"/>
                <w:sz w:val="24"/>
                <w:szCs w:val="24"/>
              </w:rPr>
            </w:pPr>
            <w:r>
              <w:rPr>
                <w:color w:val="000000" w:themeColor="text1"/>
                <w:sz w:val="24"/>
                <w:szCs w:val="24"/>
              </w:rPr>
              <w:t>$3,104</w:t>
            </w:r>
          </w:p>
        </w:tc>
        <w:tc>
          <w:tcPr>
            <w:tcW w:w="1313"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rsidRPr="002B265F" w:rsidR="00385472" w:rsidP="002B265F" w:rsidRDefault="00385472" w14:paraId="3C448141" w14:textId="77777777">
            <w:pPr>
              <w:spacing w:line="240" w:lineRule="auto"/>
              <w:ind w:firstLine="0"/>
              <w:jc w:val="right"/>
              <w:rPr>
                <w:color w:val="000000" w:themeColor="text1"/>
                <w:sz w:val="24"/>
                <w:szCs w:val="24"/>
              </w:rPr>
            </w:pPr>
            <w:r>
              <w:rPr>
                <w:color w:val="000000" w:themeColor="text1"/>
                <w:sz w:val="24"/>
                <w:szCs w:val="24"/>
              </w:rPr>
              <w:t>($63)</w:t>
            </w:r>
          </w:p>
        </w:tc>
        <w:tc>
          <w:tcPr>
            <w:tcW w:w="1134"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rsidRPr="002B265F" w:rsidR="00385472" w:rsidP="002B265F" w:rsidRDefault="00385472" w14:paraId="2B1F7F18" w14:textId="77777777">
            <w:pPr>
              <w:spacing w:line="240" w:lineRule="auto"/>
              <w:ind w:firstLine="0"/>
              <w:jc w:val="right"/>
              <w:rPr>
                <w:color w:val="000000" w:themeColor="text1"/>
                <w:sz w:val="24"/>
                <w:szCs w:val="24"/>
              </w:rPr>
            </w:pPr>
            <w:r>
              <w:rPr>
                <w:color w:val="000000" w:themeColor="text1"/>
                <w:sz w:val="24"/>
                <w:szCs w:val="24"/>
              </w:rPr>
              <w:t>($35)</w:t>
            </w:r>
          </w:p>
        </w:tc>
        <w:tc>
          <w:tcPr>
            <w:tcW w:w="1134"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rsidRPr="002B265F" w:rsidR="00385472" w:rsidP="002B265F" w:rsidRDefault="00385472" w14:paraId="725B8572" w14:textId="77777777">
            <w:pPr>
              <w:spacing w:line="240" w:lineRule="auto"/>
              <w:ind w:firstLine="0"/>
              <w:jc w:val="right"/>
              <w:rPr>
                <w:color w:val="000000" w:themeColor="text1"/>
                <w:sz w:val="24"/>
                <w:szCs w:val="24"/>
              </w:rPr>
            </w:pPr>
            <w:r>
              <w:rPr>
                <w:color w:val="000000" w:themeColor="text1"/>
                <w:sz w:val="24"/>
                <w:szCs w:val="24"/>
              </w:rPr>
              <w:t>($47)</w:t>
            </w:r>
          </w:p>
        </w:tc>
        <w:tc>
          <w:tcPr>
            <w:tcW w:w="1134" w:type="dxa"/>
            <w:tcBorders>
              <w:top w:val="single" w:color="000000" w:sz="6" w:space="0"/>
              <w:left w:val="single" w:color="000000" w:sz="6" w:space="0"/>
              <w:bottom w:val="single" w:color="000000" w:sz="6" w:space="0"/>
              <w:right w:val="single" w:color="000000" w:sz="6" w:space="0"/>
            </w:tcBorders>
            <w:vAlign w:val="center"/>
          </w:tcPr>
          <w:p w:rsidRPr="002B265F" w:rsidR="00385472" w:rsidP="002B265F" w:rsidRDefault="00385472" w14:paraId="3C1B5C6D" w14:textId="77777777">
            <w:pPr>
              <w:spacing w:line="240" w:lineRule="auto"/>
              <w:ind w:firstLine="0"/>
              <w:jc w:val="right"/>
              <w:rPr>
                <w:color w:val="000000" w:themeColor="text1"/>
                <w:sz w:val="24"/>
                <w:szCs w:val="24"/>
              </w:rPr>
            </w:pPr>
            <w:r>
              <w:rPr>
                <w:color w:val="000000" w:themeColor="text1"/>
                <w:sz w:val="24"/>
                <w:szCs w:val="24"/>
              </w:rPr>
              <w:t>($54)</w:t>
            </w:r>
          </w:p>
        </w:tc>
      </w:tr>
      <w:tr w:rsidRPr="002B265F" w:rsidR="00385472" w:rsidTr="008401E5" w14:paraId="789FEDAA" w14:textId="77777777">
        <w:tc>
          <w:tcPr>
            <w:tcW w:w="2995"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385472" w:rsidP="002B265F" w:rsidRDefault="00385472" w14:paraId="529763AB" w14:textId="77777777">
            <w:pPr>
              <w:spacing w:line="240" w:lineRule="auto"/>
              <w:ind w:firstLine="0"/>
              <w:rPr>
                <w:color w:val="000000" w:themeColor="text1"/>
                <w:sz w:val="24"/>
                <w:szCs w:val="20"/>
              </w:rPr>
            </w:pPr>
            <w:r>
              <w:rPr>
                <w:color w:val="000000" w:themeColor="text1"/>
                <w:sz w:val="24"/>
                <w:szCs w:val="20"/>
              </w:rPr>
              <w:t>Electric Generation</w:t>
            </w:r>
          </w:p>
        </w:tc>
        <w:tc>
          <w:tcPr>
            <w:tcW w:w="156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385472" w:rsidP="002B265F" w:rsidRDefault="00385472" w14:paraId="14D77B01" w14:textId="77777777">
            <w:pPr>
              <w:spacing w:line="240" w:lineRule="auto"/>
              <w:ind w:firstLine="0"/>
              <w:jc w:val="right"/>
              <w:rPr>
                <w:color w:val="000000" w:themeColor="text1"/>
                <w:sz w:val="24"/>
                <w:szCs w:val="24"/>
              </w:rPr>
            </w:pPr>
            <w:r>
              <w:rPr>
                <w:color w:val="000000" w:themeColor="text1"/>
                <w:sz w:val="24"/>
                <w:szCs w:val="24"/>
              </w:rPr>
              <w:t>$1,220</w:t>
            </w:r>
          </w:p>
        </w:tc>
        <w:tc>
          <w:tcPr>
            <w:tcW w:w="1313"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rsidRPr="002B265F" w:rsidR="00385472" w:rsidP="002B265F" w:rsidRDefault="00385472" w14:paraId="2996992D" w14:textId="77777777">
            <w:pPr>
              <w:spacing w:line="240" w:lineRule="auto"/>
              <w:ind w:firstLine="0"/>
              <w:jc w:val="right"/>
              <w:rPr>
                <w:color w:val="000000" w:themeColor="text1"/>
                <w:sz w:val="24"/>
                <w:szCs w:val="24"/>
              </w:rPr>
            </w:pPr>
            <w:r>
              <w:rPr>
                <w:color w:val="000000" w:themeColor="text1"/>
                <w:sz w:val="24"/>
                <w:szCs w:val="24"/>
              </w:rPr>
              <w:t>265</w:t>
            </w:r>
          </w:p>
        </w:tc>
        <w:tc>
          <w:tcPr>
            <w:tcW w:w="1134"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rsidRPr="002B265F" w:rsidR="00385472" w:rsidP="002B265F" w:rsidRDefault="00385472" w14:paraId="117F1596" w14:textId="77777777">
            <w:pPr>
              <w:spacing w:line="240" w:lineRule="auto"/>
              <w:ind w:firstLine="0"/>
              <w:jc w:val="right"/>
              <w:rPr>
                <w:color w:val="000000" w:themeColor="text1"/>
                <w:sz w:val="24"/>
                <w:szCs w:val="24"/>
              </w:rPr>
            </w:pPr>
            <w:r>
              <w:rPr>
                <w:color w:val="000000" w:themeColor="text1"/>
                <w:sz w:val="24"/>
                <w:szCs w:val="24"/>
              </w:rPr>
              <w:t xml:space="preserve">$146 </w:t>
            </w:r>
          </w:p>
        </w:tc>
        <w:tc>
          <w:tcPr>
            <w:tcW w:w="1134"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rsidRPr="002B265F" w:rsidR="00385472" w:rsidP="002B265F" w:rsidRDefault="00385472" w14:paraId="536BE4D9" w14:textId="77777777">
            <w:pPr>
              <w:spacing w:line="240" w:lineRule="auto"/>
              <w:ind w:firstLine="0"/>
              <w:jc w:val="right"/>
              <w:rPr>
                <w:color w:val="000000" w:themeColor="text1"/>
                <w:sz w:val="24"/>
                <w:szCs w:val="24"/>
              </w:rPr>
            </w:pPr>
            <w:r>
              <w:rPr>
                <w:color w:val="000000" w:themeColor="text1"/>
                <w:sz w:val="24"/>
                <w:szCs w:val="24"/>
              </w:rPr>
              <w:t xml:space="preserve">$199 </w:t>
            </w:r>
          </w:p>
        </w:tc>
        <w:tc>
          <w:tcPr>
            <w:tcW w:w="1134" w:type="dxa"/>
            <w:tcBorders>
              <w:top w:val="single" w:color="000000" w:sz="6" w:space="0"/>
              <w:left w:val="single" w:color="000000" w:sz="6" w:space="0"/>
              <w:bottom w:val="single" w:color="000000" w:sz="6" w:space="0"/>
              <w:right w:val="single" w:color="000000" w:sz="6" w:space="0"/>
            </w:tcBorders>
            <w:vAlign w:val="center"/>
          </w:tcPr>
          <w:p w:rsidRPr="002B265F" w:rsidR="00385472" w:rsidP="002B265F" w:rsidRDefault="00385472" w14:paraId="6D372C00" w14:textId="77777777">
            <w:pPr>
              <w:spacing w:line="240" w:lineRule="auto"/>
              <w:ind w:firstLine="0"/>
              <w:jc w:val="right"/>
              <w:rPr>
                <w:color w:val="000000" w:themeColor="text1"/>
                <w:sz w:val="24"/>
                <w:szCs w:val="24"/>
              </w:rPr>
            </w:pPr>
            <w:r>
              <w:rPr>
                <w:color w:val="000000" w:themeColor="text1"/>
                <w:sz w:val="24"/>
                <w:szCs w:val="24"/>
              </w:rPr>
              <w:t xml:space="preserve">$225 </w:t>
            </w:r>
          </w:p>
        </w:tc>
      </w:tr>
      <w:tr w:rsidRPr="002B265F" w:rsidR="00385472" w:rsidTr="008401E5" w14:paraId="5BC44B8A" w14:textId="77777777">
        <w:tc>
          <w:tcPr>
            <w:tcW w:w="2995"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385472" w:rsidP="002B265F" w:rsidRDefault="00385472" w14:paraId="2A6D81BA" w14:textId="77777777">
            <w:pPr>
              <w:spacing w:line="240" w:lineRule="auto"/>
              <w:ind w:firstLine="0"/>
              <w:rPr>
                <w:color w:val="000000" w:themeColor="text1"/>
                <w:sz w:val="24"/>
                <w:szCs w:val="20"/>
              </w:rPr>
            </w:pPr>
            <w:r>
              <w:rPr>
                <w:color w:val="000000" w:themeColor="text1"/>
                <w:sz w:val="24"/>
                <w:szCs w:val="20"/>
              </w:rPr>
              <w:t>Gas Transmission &amp; Storage</w:t>
            </w:r>
          </w:p>
        </w:tc>
        <w:tc>
          <w:tcPr>
            <w:tcW w:w="156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385472" w:rsidP="002B265F" w:rsidRDefault="00385472" w14:paraId="461696DC" w14:textId="77777777">
            <w:pPr>
              <w:spacing w:line="240" w:lineRule="auto"/>
              <w:ind w:firstLine="0"/>
              <w:jc w:val="right"/>
              <w:rPr>
                <w:color w:val="000000" w:themeColor="text1"/>
                <w:sz w:val="24"/>
                <w:szCs w:val="24"/>
              </w:rPr>
            </w:pPr>
            <w:r>
              <w:rPr>
                <w:color w:val="000000" w:themeColor="text1"/>
                <w:sz w:val="24"/>
                <w:szCs w:val="24"/>
              </w:rPr>
              <w:t>$2,196</w:t>
            </w:r>
          </w:p>
        </w:tc>
        <w:tc>
          <w:tcPr>
            <w:tcW w:w="1313"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rsidRPr="002B265F" w:rsidR="00385472" w:rsidP="002B265F" w:rsidRDefault="00385472" w14:paraId="6BA64B0A" w14:textId="77777777">
            <w:pPr>
              <w:spacing w:line="240" w:lineRule="auto"/>
              <w:ind w:firstLine="0"/>
              <w:jc w:val="right"/>
              <w:rPr>
                <w:color w:val="000000" w:themeColor="text1"/>
                <w:sz w:val="24"/>
                <w:szCs w:val="24"/>
              </w:rPr>
            </w:pPr>
            <w:r>
              <w:rPr>
                <w:color w:val="000000" w:themeColor="text1"/>
                <w:sz w:val="24"/>
                <w:szCs w:val="24"/>
              </w:rPr>
              <w:t>($39)</w:t>
            </w:r>
          </w:p>
        </w:tc>
        <w:tc>
          <w:tcPr>
            <w:tcW w:w="1134"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rsidRPr="002B265F" w:rsidR="00385472" w:rsidP="002B265F" w:rsidRDefault="00385472" w14:paraId="6599A5A8" w14:textId="77777777">
            <w:pPr>
              <w:spacing w:line="240" w:lineRule="auto"/>
              <w:ind w:firstLine="0"/>
              <w:jc w:val="right"/>
              <w:rPr>
                <w:color w:val="000000" w:themeColor="text1"/>
                <w:sz w:val="24"/>
                <w:szCs w:val="24"/>
              </w:rPr>
            </w:pPr>
            <w:r>
              <w:rPr>
                <w:color w:val="000000" w:themeColor="text1"/>
                <w:sz w:val="24"/>
                <w:szCs w:val="24"/>
              </w:rPr>
              <w:t>($21)</w:t>
            </w:r>
          </w:p>
        </w:tc>
        <w:tc>
          <w:tcPr>
            <w:tcW w:w="1134"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rsidRPr="002B265F" w:rsidR="00385472" w:rsidP="002B265F" w:rsidRDefault="00385472" w14:paraId="527514F1" w14:textId="77777777">
            <w:pPr>
              <w:spacing w:line="240" w:lineRule="auto"/>
              <w:ind w:firstLine="0"/>
              <w:jc w:val="right"/>
              <w:rPr>
                <w:color w:val="000000" w:themeColor="text1"/>
                <w:sz w:val="24"/>
                <w:szCs w:val="24"/>
              </w:rPr>
            </w:pPr>
            <w:r>
              <w:rPr>
                <w:color w:val="000000" w:themeColor="text1"/>
                <w:sz w:val="24"/>
                <w:szCs w:val="24"/>
              </w:rPr>
              <w:t>($29)</w:t>
            </w:r>
          </w:p>
        </w:tc>
        <w:tc>
          <w:tcPr>
            <w:tcW w:w="1134" w:type="dxa"/>
            <w:tcBorders>
              <w:top w:val="single" w:color="000000" w:sz="6" w:space="0"/>
              <w:left w:val="single" w:color="000000" w:sz="6" w:space="0"/>
              <w:bottom w:val="single" w:color="000000" w:sz="6" w:space="0"/>
              <w:right w:val="single" w:color="000000" w:sz="6" w:space="0"/>
            </w:tcBorders>
            <w:vAlign w:val="center"/>
          </w:tcPr>
          <w:p w:rsidRPr="002B265F" w:rsidR="00385472" w:rsidP="002B265F" w:rsidRDefault="00385472" w14:paraId="70B14581" w14:textId="77777777">
            <w:pPr>
              <w:spacing w:line="240" w:lineRule="auto"/>
              <w:ind w:firstLine="0"/>
              <w:jc w:val="right"/>
              <w:rPr>
                <w:color w:val="000000" w:themeColor="text1"/>
                <w:sz w:val="24"/>
                <w:szCs w:val="24"/>
              </w:rPr>
            </w:pPr>
            <w:r>
              <w:rPr>
                <w:color w:val="000000" w:themeColor="text1"/>
                <w:sz w:val="24"/>
                <w:szCs w:val="24"/>
              </w:rPr>
              <w:t>($33)</w:t>
            </w:r>
          </w:p>
        </w:tc>
      </w:tr>
      <w:tr w:rsidRPr="002B265F" w:rsidR="00385472" w:rsidTr="008401E5" w14:paraId="6D736D2C" w14:textId="77777777">
        <w:tc>
          <w:tcPr>
            <w:tcW w:w="2995"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385472" w:rsidP="002B265F" w:rsidRDefault="00385472" w14:paraId="1492D9B5" w14:textId="77777777">
            <w:pPr>
              <w:spacing w:line="240" w:lineRule="auto"/>
              <w:ind w:firstLine="0"/>
              <w:rPr>
                <w:b/>
                <w:bCs/>
                <w:color w:val="000000" w:themeColor="text1"/>
                <w:sz w:val="24"/>
                <w:szCs w:val="20"/>
              </w:rPr>
            </w:pPr>
            <w:r>
              <w:rPr>
                <w:b/>
                <w:bCs/>
                <w:color w:val="000000" w:themeColor="text1"/>
                <w:sz w:val="24"/>
                <w:szCs w:val="20"/>
              </w:rPr>
              <w:t>Total GRC</w:t>
            </w:r>
          </w:p>
        </w:tc>
        <w:tc>
          <w:tcPr>
            <w:tcW w:w="156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hideMark/>
          </w:tcPr>
          <w:p w:rsidRPr="002B265F" w:rsidR="00385472" w:rsidP="002B265F" w:rsidRDefault="00385472" w14:paraId="60B6AFCC" w14:textId="77777777">
            <w:pPr>
              <w:spacing w:line="240" w:lineRule="auto"/>
              <w:ind w:firstLine="0"/>
              <w:jc w:val="right"/>
              <w:rPr>
                <w:b/>
                <w:bCs/>
                <w:color w:val="000000" w:themeColor="text1"/>
                <w:sz w:val="24"/>
                <w:szCs w:val="24"/>
              </w:rPr>
            </w:pPr>
            <w:r>
              <w:rPr>
                <w:b/>
                <w:bCs/>
                <w:color w:val="000000" w:themeColor="text1"/>
                <w:sz w:val="24"/>
                <w:szCs w:val="24"/>
              </w:rPr>
              <w:t>$15,339</w:t>
            </w:r>
          </w:p>
        </w:tc>
        <w:tc>
          <w:tcPr>
            <w:tcW w:w="1313"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rsidRPr="002B265F" w:rsidR="00385472" w:rsidP="002B265F" w:rsidRDefault="00385472" w14:paraId="5B83040B" w14:textId="77777777">
            <w:pPr>
              <w:spacing w:line="240" w:lineRule="auto"/>
              <w:ind w:firstLine="0"/>
              <w:jc w:val="right"/>
              <w:rPr>
                <w:b/>
                <w:bCs/>
                <w:color w:val="000000" w:themeColor="text1"/>
                <w:sz w:val="24"/>
                <w:szCs w:val="24"/>
              </w:rPr>
            </w:pPr>
            <w:r>
              <w:rPr>
                <w:b/>
                <w:bCs/>
                <w:color w:val="000000" w:themeColor="text1"/>
                <w:sz w:val="24"/>
                <w:szCs w:val="24"/>
              </w:rPr>
              <w:t xml:space="preserve">$885 </w:t>
            </w:r>
          </w:p>
        </w:tc>
        <w:tc>
          <w:tcPr>
            <w:tcW w:w="1134"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rsidRPr="002B265F" w:rsidR="00385472" w:rsidP="002B265F" w:rsidRDefault="00385472" w14:paraId="4C3EF928" w14:textId="77777777">
            <w:pPr>
              <w:spacing w:line="240" w:lineRule="auto"/>
              <w:ind w:firstLine="0"/>
              <w:jc w:val="right"/>
              <w:rPr>
                <w:b/>
                <w:bCs/>
                <w:color w:val="000000" w:themeColor="text1"/>
                <w:sz w:val="24"/>
                <w:szCs w:val="24"/>
              </w:rPr>
            </w:pPr>
            <w:r>
              <w:rPr>
                <w:b/>
                <w:bCs/>
                <w:color w:val="000000" w:themeColor="text1"/>
                <w:sz w:val="24"/>
                <w:szCs w:val="24"/>
              </w:rPr>
              <w:t xml:space="preserve">$487 </w:t>
            </w:r>
          </w:p>
        </w:tc>
        <w:tc>
          <w:tcPr>
            <w:tcW w:w="1134"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vAlign w:val="center"/>
          </w:tcPr>
          <w:p w:rsidRPr="002B265F" w:rsidR="00385472" w:rsidP="002B265F" w:rsidRDefault="00385472" w14:paraId="26E9413C" w14:textId="77777777">
            <w:pPr>
              <w:spacing w:line="240" w:lineRule="auto"/>
              <w:ind w:firstLine="0"/>
              <w:jc w:val="right"/>
              <w:rPr>
                <w:b/>
                <w:bCs/>
                <w:color w:val="000000" w:themeColor="text1"/>
                <w:sz w:val="24"/>
                <w:szCs w:val="24"/>
              </w:rPr>
            </w:pPr>
            <w:r>
              <w:rPr>
                <w:b/>
                <w:bCs/>
                <w:color w:val="000000" w:themeColor="text1"/>
                <w:sz w:val="24"/>
                <w:szCs w:val="24"/>
              </w:rPr>
              <w:t xml:space="preserve">$664 </w:t>
            </w:r>
          </w:p>
        </w:tc>
        <w:tc>
          <w:tcPr>
            <w:tcW w:w="1134" w:type="dxa"/>
            <w:tcBorders>
              <w:top w:val="single" w:color="000000" w:sz="6" w:space="0"/>
              <w:left w:val="single" w:color="000000" w:sz="6" w:space="0"/>
              <w:bottom w:val="single" w:color="000000" w:sz="6" w:space="0"/>
              <w:right w:val="single" w:color="000000" w:sz="6" w:space="0"/>
            </w:tcBorders>
            <w:vAlign w:val="center"/>
          </w:tcPr>
          <w:p w:rsidRPr="002B265F" w:rsidR="00385472" w:rsidP="002B265F" w:rsidRDefault="00385472" w14:paraId="5D785C22" w14:textId="77777777">
            <w:pPr>
              <w:spacing w:line="240" w:lineRule="auto"/>
              <w:ind w:firstLine="0"/>
              <w:jc w:val="right"/>
              <w:rPr>
                <w:b/>
                <w:bCs/>
                <w:color w:val="000000" w:themeColor="text1"/>
                <w:sz w:val="24"/>
                <w:szCs w:val="24"/>
              </w:rPr>
            </w:pPr>
            <w:r>
              <w:rPr>
                <w:b/>
                <w:bCs/>
                <w:color w:val="000000" w:themeColor="text1"/>
                <w:sz w:val="24"/>
                <w:szCs w:val="24"/>
              </w:rPr>
              <w:t xml:space="preserve">$752 </w:t>
            </w:r>
          </w:p>
        </w:tc>
      </w:tr>
    </w:tbl>
    <w:p w:rsidRPr="002B265F" w:rsidR="002B265F" w:rsidP="002B265F" w:rsidRDefault="002B265F" w14:paraId="0030359D" w14:textId="77777777">
      <w:pPr>
        <w:pStyle w:val="Heading1"/>
        <w:spacing w:before="240"/>
        <w:ind w:hanging="720"/>
      </w:pPr>
      <w:r>
        <w:lastRenderedPageBreak/>
        <w:t>Party Comments</w:t>
      </w:r>
      <w:bookmarkEnd w:id="12"/>
    </w:p>
    <w:p w:rsidRPr="002B265F" w:rsidR="002B265F" w:rsidP="002B265F" w:rsidRDefault="002B265F" w14:paraId="548568A1" w14:textId="77777777">
      <w:r>
        <w:t>All parties that filed responses to the IRR Motion opposed granting PG&amp;E’s request.</w:t>
      </w:r>
    </w:p>
    <w:p w:rsidRPr="002B265F" w:rsidR="002B265F" w:rsidP="002B265F" w:rsidRDefault="002B265F" w14:paraId="1D0BC2DB" w14:textId="77777777">
      <w:pPr>
        <w:pStyle w:val="Heading2"/>
      </w:pPr>
      <w:bookmarkStart w:name="_Toc238553226" w:id="13"/>
      <w:r>
        <w:t>Cal Advocates</w:t>
      </w:r>
      <w:bookmarkEnd w:id="13"/>
    </w:p>
    <w:p w:rsidRPr="002B265F" w:rsidR="002B265F" w:rsidP="002B265F" w:rsidRDefault="002B265F" w14:paraId="673F0FAB" w14:textId="77777777">
      <w:pPr>
        <w:rPr>
          <w:color w:val="000000" w:themeColor="text1"/>
        </w:rPr>
      </w:pPr>
      <w:r>
        <w:t>Cal Advocates argued that the Commission should deny the IRR motion in full.</w:t>
      </w:r>
      <w:r>
        <w:rPr>
          <w:vertAlign w:val="superscript"/>
        </w:rPr>
        <w:footnoteReference w:id="15"/>
      </w:r>
      <w:r>
        <w:t xml:space="preserve"> </w:t>
      </w:r>
      <w:r>
        <w:rPr>
          <w:color w:val="000000" w:themeColor="text1"/>
        </w:rPr>
        <w:t>Cal Advocates noted that the Commission may approve interim rate recovery “if the facts warrant such summary relief”</w:t>
      </w:r>
      <w:r>
        <w:rPr>
          <w:color w:val="000000" w:themeColor="text1"/>
          <w:vertAlign w:val="superscript"/>
        </w:rPr>
        <w:footnoteReference w:id="16"/>
      </w:r>
      <w:r>
        <w:rPr>
          <w:color w:val="000000" w:themeColor="text1"/>
        </w:rPr>
        <w:t xml:space="preserve"> and where “fairness to both the utility and the public required immediate action.”</w:t>
      </w:r>
      <w:r>
        <w:rPr>
          <w:color w:val="000000" w:themeColor="text1"/>
          <w:vertAlign w:val="superscript"/>
        </w:rPr>
        <w:footnoteReference w:id="17"/>
      </w:r>
      <w:r>
        <w:rPr>
          <w:color w:val="000000" w:themeColor="text1"/>
        </w:rPr>
        <w:t xml:space="preserve"> Citing a 2024 Commission decision granting interim rate recovery, Cal Advocates stated that the Commission has considered various factors when determining whether a utility is entitled to interim rates: </w:t>
      </w:r>
    </w:p>
    <w:p w:rsidRPr="002B265F" w:rsidR="002B265F" w:rsidP="002B265F" w:rsidRDefault="002B265F" w14:paraId="7948F13A" w14:textId="77777777">
      <w:pPr>
        <w:numPr>
          <w:ilvl w:val="0"/>
          <w:numId w:val="5"/>
        </w:numPr>
        <w:spacing w:after="120" w:line="240" w:lineRule="auto"/>
        <w:ind w:left="1080" w:right="1440" w:hanging="360"/>
        <w:rPr>
          <w:color w:val="000000" w:themeColor="text1"/>
        </w:rPr>
      </w:pPr>
      <w:r>
        <w:rPr>
          <w:color w:val="000000" w:themeColor="text1"/>
        </w:rPr>
        <w:t xml:space="preserve">Fairness to both the utility and public; </w:t>
      </w:r>
    </w:p>
    <w:p w:rsidRPr="002B265F" w:rsidR="002B265F" w:rsidP="002B265F" w:rsidRDefault="002B265F" w14:paraId="7E5B43AA" w14:textId="77777777">
      <w:pPr>
        <w:numPr>
          <w:ilvl w:val="0"/>
          <w:numId w:val="5"/>
        </w:numPr>
        <w:spacing w:after="120" w:line="240" w:lineRule="auto"/>
        <w:ind w:left="1080" w:right="1440" w:hanging="360"/>
        <w:rPr>
          <w:color w:val="000000" w:themeColor="text1"/>
        </w:rPr>
      </w:pPr>
      <w:r>
        <w:rPr>
          <w:color w:val="000000" w:themeColor="text1"/>
        </w:rPr>
        <w:t xml:space="preserve">The public interest; </w:t>
      </w:r>
    </w:p>
    <w:p w:rsidRPr="002B265F" w:rsidR="002B265F" w:rsidP="002B265F" w:rsidRDefault="002B265F" w14:paraId="0E3FCBDE" w14:textId="77777777">
      <w:pPr>
        <w:numPr>
          <w:ilvl w:val="0"/>
          <w:numId w:val="5"/>
        </w:numPr>
        <w:spacing w:after="120" w:line="240" w:lineRule="auto"/>
        <w:ind w:left="1080" w:right="1440" w:hanging="360"/>
        <w:rPr>
          <w:color w:val="000000" w:themeColor="text1"/>
        </w:rPr>
      </w:pPr>
      <w:r>
        <w:rPr>
          <w:color w:val="000000" w:themeColor="text1"/>
        </w:rPr>
        <w:t xml:space="preserve">Reducing the potential for rate shock; </w:t>
      </w:r>
    </w:p>
    <w:p w:rsidRPr="002B265F" w:rsidR="002B265F" w:rsidP="002B265F" w:rsidRDefault="002B265F" w14:paraId="407CC7E9" w14:textId="77777777">
      <w:pPr>
        <w:numPr>
          <w:ilvl w:val="0"/>
          <w:numId w:val="5"/>
        </w:numPr>
        <w:spacing w:after="120" w:line="240" w:lineRule="auto"/>
        <w:ind w:left="1080" w:right="1440" w:hanging="360"/>
        <w:rPr>
          <w:color w:val="000000" w:themeColor="text1"/>
        </w:rPr>
      </w:pPr>
      <w:r>
        <w:rPr>
          <w:color w:val="000000" w:themeColor="text1"/>
        </w:rPr>
        <w:t xml:space="preserve">Intergenerational equity; </w:t>
      </w:r>
    </w:p>
    <w:p w:rsidR="002B265F" w:rsidP="002B265F" w:rsidRDefault="002B265F" w14:paraId="0E0DFB55" w14:textId="77777777">
      <w:pPr>
        <w:numPr>
          <w:ilvl w:val="0"/>
          <w:numId w:val="5"/>
        </w:numPr>
        <w:spacing w:after="120" w:line="240" w:lineRule="auto"/>
        <w:ind w:left="1080" w:right="1440" w:hanging="360"/>
        <w:rPr>
          <w:color w:val="000000" w:themeColor="text1"/>
        </w:rPr>
      </w:pPr>
      <w:r>
        <w:rPr>
          <w:color w:val="000000" w:themeColor="text1"/>
        </w:rPr>
        <w:t xml:space="preserve">Preserving the financial integrity of a utility; </w:t>
      </w:r>
    </w:p>
    <w:p w:rsidRPr="002B265F" w:rsidR="002B265F" w:rsidP="002B265F" w:rsidRDefault="002B265F" w14:paraId="496F9C82" w14:textId="77777777">
      <w:pPr>
        <w:numPr>
          <w:ilvl w:val="0"/>
          <w:numId w:val="5"/>
        </w:numPr>
        <w:spacing w:after="120" w:line="240" w:lineRule="auto"/>
        <w:ind w:left="1080" w:right="1440" w:hanging="360"/>
        <w:rPr>
          <w:color w:val="000000" w:themeColor="text1"/>
        </w:rPr>
      </w:pPr>
      <w:r>
        <w:rPr>
          <w:color w:val="000000" w:themeColor="text1"/>
        </w:rPr>
        <w:t xml:space="preserve">Minimizing costs incurred by ratepayers; and </w:t>
      </w:r>
    </w:p>
    <w:p w:rsidRPr="002B265F" w:rsidR="002B265F" w:rsidP="002B265F" w:rsidRDefault="002B265F" w14:paraId="59D3FCA5" w14:textId="77777777">
      <w:pPr>
        <w:numPr>
          <w:ilvl w:val="0"/>
          <w:numId w:val="5"/>
        </w:numPr>
        <w:spacing w:after="120" w:line="240" w:lineRule="auto"/>
        <w:ind w:left="1080" w:right="1440" w:hanging="360"/>
        <w:rPr>
          <w:color w:val="000000" w:themeColor="text1"/>
        </w:rPr>
      </w:pPr>
      <w:r>
        <w:rPr>
          <w:color w:val="000000" w:themeColor="text1"/>
        </w:rPr>
        <w:t>Ensuring rate stability.</w:t>
      </w:r>
      <w:r>
        <w:rPr>
          <w:color w:val="000000" w:themeColor="text1"/>
          <w:vertAlign w:val="superscript"/>
        </w:rPr>
        <w:footnoteReference w:id="18"/>
      </w:r>
      <w:r>
        <w:rPr>
          <w:color w:val="000000" w:themeColor="text1"/>
        </w:rPr>
        <w:t xml:space="preserve"> </w:t>
      </w:r>
    </w:p>
    <w:p w:rsidRPr="002B265F" w:rsidR="002B265F" w:rsidP="002B265F" w:rsidRDefault="002B265F" w14:paraId="3490227B" w14:textId="77777777">
      <w:pPr>
        <w:rPr>
          <w:color w:val="000000" w:themeColor="text1"/>
        </w:rPr>
      </w:pPr>
      <w:r>
        <w:rPr>
          <w:color w:val="000000" w:themeColor="text1"/>
        </w:rPr>
        <w:lastRenderedPageBreak/>
        <w:t>Cal Advocates noted that “interim rate relief is not routine” and that such relief “requires a showing of need and urgency, not merely a net benefit.”</w:t>
      </w:r>
      <w:r>
        <w:rPr>
          <w:color w:val="000000" w:themeColor="text1"/>
          <w:vertAlign w:val="superscript"/>
        </w:rPr>
        <w:footnoteReference w:id="19"/>
      </w:r>
    </w:p>
    <w:p w:rsidRPr="002B265F" w:rsidR="002B265F" w:rsidP="002B265F" w:rsidRDefault="002B265F" w14:paraId="188788AD" w14:textId="77777777">
      <w:pPr>
        <w:rPr>
          <w:color w:val="000000" w:themeColor="text1"/>
        </w:rPr>
      </w:pPr>
      <w:r>
        <w:rPr>
          <w:color w:val="000000" w:themeColor="text1"/>
        </w:rPr>
        <w:t>Cal Advocates further argued that PG&amp;E’s request in the IRR Motion is fundamentally different from past cases in which the Commission has authorized interim rate relief.</w:t>
      </w:r>
      <w:r>
        <w:rPr>
          <w:color w:val="000000" w:themeColor="text1"/>
          <w:vertAlign w:val="superscript"/>
        </w:rPr>
        <w:footnoteReference w:id="20"/>
      </w:r>
      <w:r>
        <w:rPr>
          <w:color w:val="000000" w:themeColor="text1"/>
        </w:rPr>
        <w:t xml:space="preserve"> Cal Advocates stated that GRC proceedings prospectively authorize rates for future costs and projects; that these costs are inherently uncertain and may not be incurred at all; and that, following a GRC, utilities retain the discretion and flexibility to reprioritize funding within the authorized revenue requirement.</w:t>
      </w:r>
      <w:r>
        <w:rPr>
          <w:color w:val="000000" w:themeColor="text1"/>
          <w:vertAlign w:val="superscript"/>
        </w:rPr>
        <w:footnoteReference w:id="21"/>
      </w:r>
      <w:r>
        <w:rPr>
          <w:color w:val="000000" w:themeColor="text1"/>
        </w:rPr>
        <w:t xml:space="preserve"> Further, the Commission may modify, reduce, or fully reject many proposed expenditures under examination in the current PG&amp;E 2027 GRC. Cal Advocates argued that if the Commission were to grant the requested interim rate relief, PG&amp;E could fund projects that have yet to be approved and where no costs have been incurred.  </w:t>
      </w:r>
    </w:p>
    <w:p w:rsidRPr="002B265F" w:rsidR="002B265F" w:rsidP="002B265F" w:rsidRDefault="002B265F" w14:paraId="22930CF9" w14:textId="77777777">
      <w:pPr>
        <w:rPr>
          <w:color w:val="000000" w:themeColor="text1"/>
        </w:rPr>
      </w:pPr>
      <w:r>
        <w:rPr>
          <w:color w:val="000000" w:themeColor="text1"/>
        </w:rPr>
        <w:t>In addition, Cal Advocates noted that PG&amp;E’s request for interim rates “is not grounded in operational necessity,”</w:t>
      </w:r>
      <w:r>
        <w:rPr>
          <w:color w:val="000000" w:themeColor="text1"/>
          <w:vertAlign w:val="superscript"/>
        </w:rPr>
        <w:footnoteReference w:id="22"/>
      </w:r>
      <w:r>
        <w:rPr>
          <w:color w:val="000000" w:themeColor="text1"/>
        </w:rPr>
        <w:t xml:space="preserve"> as it does not identify or claim any safety, reliability, wildfire, gas, electric, or customer-service work would not proceed absent interim rate relief.</w:t>
      </w:r>
      <w:r>
        <w:rPr>
          <w:color w:val="000000" w:themeColor="text1"/>
          <w:vertAlign w:val="superscript"/>
        </w:rPr>
        <w:footnoteReference w:id="23"/>
      </w:r>
      <w:r>
        <w:rPr>
          <w:color w:val="000000" w:themeColor="text1"/>
        </w:rPr>
        <w:t xml:space="preserve"> In addition, Cal Advocates noted that PG&amp;E does not identify any project, program, compliance activity, or operational function that depends on receiving a partial GRC increase before the </w:t>
      </w:r>
      <w:r>
        <w:rPr>
          <w:color w:val="000000" w:themeColor="text1"/>
        </w:rPr>
        <w:lastRenderedPageBreak/>
        <w:t>Commission issues a final decision. Cal Advocates further argued that PG&amp;E’s request therefore is not grounded in operational necessity and does not identify any concrete, time-sensitive harm to either customers or the utility that would be addressed with interim rate recovery.</w:t>
      </w:r>
      <w:r>
        <w:rPr>
          <w:color w:val="000000" w:themeColor="text1"/>
          <w:vertAlign w:val="superscript"/>
        </w:rPr>
        <w:footnoteReference w:id="24"/>
      </w:r>
      <w:r>
        <w:rPr>
          <w:color w:val="000000" w:themeColor="text1"/>
        </w:rPr>
        <w:t xml:space="preserve">  </w:t>
      </w:r>
    </w:p>
    <w:p w:rsidRPr="002B265F" w:rsidR="002B265F" w:rsidP="002B265F" w:rsidRDefault="002B265F" w14:paraId="7E6561CD" w14:textId="77777777">
      <w:pPr>
        <w:rPr>
          <w:color w:val="000000" w:themeColor="text1"/>
        </w:rPr>
      </w:pPr>
      <w:r>
        <w:rPr>
          <w:color w:val="000000" w:themeColor="text1"/>
        </w:rPr>
        <w:t>Cal Advocates also stated that it is unclear why PG&amp;E chose to request interim rate relief rather than avail itself of a memorandum account as it has done in past GRCs.</w:t>
      </w:r>
      <w:r>
        <w:rPr>
          <w:color w:val="000000" w:themeColor="text1"/>
          <w:vertAlign w:val="superscript"/>
        </w:rPr>
        <w:footnoteReference w:id="25"/>
      </w:r>
      <w:r>
        <w:rPr>
          <w:color w:val="000000" w:themeColor="text1"/>
        </w:rPr>
        <w:t xml:space="preserve"> For example, in the 2023 GRC, rather than request interim rates, PG&amp;E sought an order making the 2023 Test Year GRC revenue requirement effective as of January 1, 2023 in the event the Commission adopted its final decision after that date.</w:t>
      </w:r>
      <w:r>
        <w:rPr>
          <w:color w:val="000000" w:themeColor="text1"/>
          <w:vertAlign w:val="superscript"/>
        </w:rPr>
        <w:footnoteReference w:id="26"/>
      </w:r>
      <w:r>
        <w:rPr>
          <w:color w:val="000000" w:themeColor="text1"/>
        </w:rPr>
        <w:t xml:space="preserve"> Cal Advocates stated the established memorandum account mechanism would preserve the status quo while allowing the Commission to complete its review on a full record before authorizing any rate changes.</w:t>
      </w:r>
      <w:r>
        <w:rPr>
          <w:color w:val="000000" w:themeColor="text1"/>
          <w:vertAlign w:val="superscript"/>
        </w:rPr>
        <w:footnoteReference w:id="27"/>
      </w:r>
      <w:r>
        <w:rPr>
          <w:color w:val="000000" w:themeColor="text1"/>
        </w:rPr>
        <w:t xml:space="preserve"> According to Cal Advocates, granting interim rates in a GRC would “invert GRC due process by requiring customers pay first and litigate later.”</w:t>
      </w:r>
      <w:r>
        <w:rPr>
          <w:color w:val="000000" w:themeColor="text1"/>
          <w:vertAlign w:val="superscript"/>
        </w:rPr>
        <w:footnoteReference w:id="28"/>
      </w:r>
    </w:p>
    <w:p w:rsidRPr="002B265F" w:rsidR="002B265F" w:rsidP="002B265F" w:rsidRDefault="002B265F" w14:paraId="12660244" w14:textId="77777777">
      <w:pPr>
        <w:pStyle w:val="Heading2"/>
      </w:pPr>
      <w:bookmarkStart w:name="_Toc238553227" w:id="14"/>
      <w:r>
        <w:t>Joint Parties</w:t>
      </w:r>
      <w:bookmarkEnd w:id="14"/>
    </w:p>
    <w:p w:rsidRPr="002B265F" w:rsidR="002B265F" w:rsidP="002B265F" w:rsidRDefault="002B265F" w14:paraId="6E71A9DD" w14:textId="77777777">
      <w:pPr>
        <w:rPr>
          <w:color w:val="000000" w:themeColor="text1"/>
        </w:rPr>
      </w:pPr>
      <w:r>
        <w:rPr>
          <w:color w:val="000000" w:themeColor="text1"/>
        </w:rPr>
        <w:t xml:space="preserve">The Joint Parties asked the Commission to deny PG&amp;E’s request for interim recovery of any portion of its proposed TY 2027 revenue requirement </w:t>
      </w:r>
      <w:r>
        <w:rPr>
          <w:color w:val="000000" w:themeColor="text1"/>
        </w:rPr>
        <w:lastRenderedPageBreak/>
        <w:t>increase.</w:t>
      </w:r>
      <w:r>
        <w:rPr>
          <w:color w:val="000000" w:themeColor="text1"/>
          <w:vertAlign w:val="superscript"/>
        </w:rPr>
        <w:footnoteReference w:id="29"/>
      </w:r>
      <w:r>
        <w:rPr>
          <w:color w:val="000000" w:themeColor="text1"/>
        </w:rPr>
        <w:t xml:space="preserve"> According to the Joint Parties, the IRR Motion failed to establish that the proposed relief is warranted.</w:t>
      </w:r>
      <w:r>
        <w:rPr>
          <w:color w:val="000000" w:themeColor="text1"/>
          <w:vertAlign w:val="superscript"/>
        </w:rPr>
        <w:footnoteReference w:id="30"/>
      </w:r>
      <w:r>
        <w:rPr>
          <w:color w:val="000000" w:themeColor="text1"/>
        </w:rPr>
        <w:t xml:space="preserve"> </w:t>
      </w:r>
    </w:p>
    <w:p w:rsidRPr="002B265F" w:rsidR="002B265F" w:rsidP="002B265F" w:rsidRDefault="002B265F" w14:paraId="198E8836" w14:textId="77777777">
      <w:pPr>
        <w:rPr>
          <w:color w:val="000000" w:themeColor="text1"/>
        </w:rPr>
      </w:pPr>
      <w:r>
        <w:rPr>
          <w:color w:val="000000" w:themeColor="text1"/>
        </w:rPr>
        <w:t>The Joint Parties argued that PG&amp;E: 1) overstates the extent to which its request resembles interim rate relief the Commission has granted in prior cases;</w:t>
      </w:r>
      <w:r>
        <w:rPr>
          <w:color w:val="000000" w:themeColor="text1"/>
          <w:vertAlign w:val="superscript"/>
        </w:rPr>
        <w:footnoteReference w:id="31"/>
      </w:r>
      <w:r>
        <w:rPr>
          <w:color w:val="000000" w:themeColor="text1"/>
        </w:rPr>
        <w:t xml:space="preserve"> 2) unreasonably presumes that its proposed $1.18 billion revenue increase is reasonable and will be approved;</w:t>
      </w:r>
      <w:r>
        <w:rPr>
          <w:color w:val="000000" w:themeColor="text1"/>
          <w:vertAlign w:val="superscript"/>
        </w:rPr>
        <w:footnoteReference w:id="32"/>
      </w:r>
      <w:r>
        <w:rPr>
          <w:color w:val="000000" w:themeColor="text1"/>
        </w:rPr>
        <w:t xml:space="preserve"> and 3) has a “fundamentally incomplete” affordability and rate-volatility showing that ignores impacts on non-residential customers.</w:t>
      </w:r>
      <w:r>
        <w:rPr>
          <w:color w:val="000000" w:themeColor="text1"/>
          <w:vertAlign w:val="superscript"/>
        </w:rPr>
        <w:footnoteReference w:id="33"/>
      </w:r>
      <w:r>
        <w:rPr>
          <w:color w:val="000000" w:themeColor="text1"/>
        </w:rPr>
        <w:t xml:space="preserve"> </w:t>
      </w:r>
    </w:p>
    <w:p w:rsidRPr="002B265F" w:rsidR="002B265F" w:rsidP="002B265F" w:rsidRDefault="002B265F" w14:paraId="0C0C3C16" w14:textId="77777777">
      <w:pPr>
        <w:pStyle w:val="Heading2"/>
      </w:pPr>
      <w:bookmarkStart w:name="_Toc238553228" w:id="15"/>
      <w:r>
        <w:t>TURN</w:t>
      </w:r>
      <w:bookmarkEnd w:id="15"/>
    </w:p>
    <w:p w:rsidRPr="002B265F" w:rsidR="002B265F" w:rsidP="002B265F" w:rsidRDefault="002B265F" w14:paraId="4C69E1DF" w14:textId="77777777">
      <w:r>
        <w:t>TURN asks the Commission to deny PG&amp;E’s request because the IRR Motion “lacks sufficient support for the extraordinary relief sought therein.”</w:t>
      </w:r>
      <w:r>
        <w:rPr>
          <w:vertAlign w:val="superscript"/>
        </w:rPr>
        <w:footnoteReference w:id="34"/>
      </w:r>
      <w:r>
        <w:t xml:space="preserve"> According to TURN, unlike the circumstances underlying the decisions PG&amp;E cited in support of its motion, PG&amp;E seeks relief for “speculative, forecasted costs in 2027, and anticipates being able to start collecting those costs deemed reasonable by the Commission the same year, in 2027.”</w:t>
      </w:r>
      <w:r>
        <w:rPr>
          <w:vertAlign w:val="superscript"/>
        </w:rPr>
        <w:footnoteReference w:id="35"/>
      </w:r>
      <w:r>
        <w:t xml:space="preserve"> TURN also stated that ratepayers would likely overpay under any of PG&amp;E’s three proposals, and </w:t>
      </w:r>
      <w:r>
        <w:lastRenderedPageBreak/>
        <w:t>noted that PG&amp;E “exaggerates the benefits to ratepayers associated with interest expense, rate smoothing, and intergenerational equity.”</w:t>
      </w:r>
      <w:r>
        <w:rPr>
          <w:vertAlign w:val="superscript"/>
        </w:rPr>
        <w:footnoteReference w:id="36"/>
      </w:r>
      <w:r>
        <w:t xml:space="preserve"> </w:t>
      </w:r>
    </w:p>
    <w:p w:rsidRPr="0023798B" w:rsidR="01054C14" w:rsidP="007A4D19" w:rsidRDefault="01054C14" w14:paraId="150B059A" w14:textId="77777777">
      <w:pPr>
        <w:pStyle w:val="Heading1"/>
      </w:pPr>
      <w:r>
        <w:t>Standard of Review for Interim Rate Relief</w:t>
      </w:r>
    </w:p>
    <w:p w:rsidRPr="0023798B" w:rsidR="001619DB" w:rsidP="005625C1" w:rsidRDefault="001619DB" w14:paraId="62E29366" w14:textId="77777777">
      <w:pPr>
        <w:pStyle w:val="Standard"/>
      </w:pPr>
      <w:r>
        <w:t>The Commission is charged with the responsibility of ensuring that all rates demanded or received by a public utility are just and reasonable.</w:t>
      </w:r>
      <w:r>
        <w:rPr>
          <w:rStyle w:val="FootnoteReference"/>
        </w:rPr>
        <w:footnoteReference w:id="37"/>
      </w:r>
      <w:r>
        <w:t xml:space="preserve"> In ratemaking applications, the burden of proof is on the applicant utility.</w:t>
      </w:r>
      <w:r>
        <w:rPr>
          <w:rStyle w:val="FootnoteReference"/>
        </w:rPr>
        <w:footnoteReference w:id="38"/>
      </w:r>
    </w:p>
    <w:p w:rsidRPr="0023798B" w:rsidR="00ED624F" w:rsidP="001619DB" w:rsidRDefault="00ED624F" w14:paraId="293DA193" w14:textId="77777777">
      <w:pPr>
        <w:pStyle w:val="Standard"/>
      </w:pPr>
      <w:r>
        <w:t xml:space="preserve">The Commission’s power to grant interim rate relief is well established. In </w:t>
      </w:r>
      <w:r>
        <w:rPr>
          <w:i/>
          <w:iCs/>
        </w:rPr>
        <w:t>City of Los Angeles v. Public Utilities Commission</w:t>
      </w:r>
      <w:r>
        <w:t>, the Supreme Court recognized that the Commission may grant interim rate increases should it find them appropriate.</w:t>
      </w:r>
      <w:r>
        <w:rPr>
          <w:rStyle w:val="FootnoteReference"/>
        </w:rPr>
        <w:footnoteReference w:id="39"/>
      </w:r>
      <w:r>
        <w:t xml:space="preserve"> In </w:t>
      </w:r>
      <w:r>
        <w:rPr>
          <w:i/>
          <w:iCs/>
          <w:color w:val="000000" w:themeColor="text1"/>
        </w:rPr>
        <w:t>TURN v. PUC</w:t>
      </w:r>
      <w:r>
        <w:t>, the petitioner, TURN, contended that the Commission could not authorize interim relief unless failure to do so would result in a financial emergency or unless the reasonableness of the investment costs covered by the utility’s rates is undisputed.</w:t>
      </w:r>
      <w:r>
        <w:rPr>
          <w:rStyle w:val="FootnoteReference"/>
        </w:rPr>
        <w:footnoteReference w:id="40"/>
      </w:r>
      <w:r>
        <w:rPr>
          <w:color w:val="FF0000"/>
        </w:rPr>
        <w:t xml:space="preserve"> </w:t>
      </w:r>
      <w:r>
        <w:t>The Supreme Court recognized that the Commission had granted interim rate relief under those standards in the past but noted: “[f]rom the existence of those two exceptions, however, it does not follow that no other circumstances can justify an interim increase.”</w:t>
      </w:r>
      <w:r>
        <w:rPr>
          <w:rStyle w:val="FootnoteReference"/>
        </w:rPr>
        <w:footnoteReference w:id="41"/>
      </w:r>
      <w:r>
        <w:t xml:space="preserve"> </w:t>
      </w:r>
    </w:p>
    <w:p w:rsidRPr="0023798B" w:rsidR="001619DB" w:rsidP="5730A06E" w:rsidRDefault="008D1BBB" w14:paraId="3C6C3EFF" w14:textId="77777777">
      <w:pPr>
        <w:pStyle w:val="Standard"/>
        <w:rPr>
          <w:color w:val="000000" w:themeColor="text1"/>
        </w:rPr>
      </w:pPr>
      <w:r>
        <w:rPr>
          <w:color w:val="000000" w:themeColor="text1"/>
        </w:rPr>
        <w:lastRenderedPageBreak/>
        <w:t>In subsequent determinations, the Commission has applied as relevant factors fairness to both the utility and public;</w:t>
      </w:r>
      <w:r>
        <w:rPr>
          <w:rStyle w:val="FootnoteReference"/>
          <w:color w:val="000000" w:themeColor="text1"/>
        </w:rPr>
        <w:footnoteReference w:id="42"/>
      </w:r>
      <w:r>
        <w:rPr>
          <w:color w:val="000000" w:themeColor="text1"/>
        </w:rPr>
        <w:t xml:space="preserve"> the public interest;</w:t>
      </w:r>
      <w:r>
        <w:rPr>
          <w:rStyle w:val="FootnoteReference"/>
          <w:color w:val="000000" w:themeColor="text1"/>
        </w:rPr>
        <w:footnoteReference w:id="43"/>
      </w:r>
      <w:r>
        <w:rPr>
          <w:color w:val="000000" w:themeColor="text1"/>
        </w:rPr>
        <w:t xml:space="preserve"> reducing the potential for rate shock;</w:t>
      </w:r>
      <w:r>
        <w:rPr>
          <w:rStyle w:val="FootnoteReference"/>
          <w:color w:val="000000" w:themeColor="text1"/>
        </w:rPr>
        <w:footnoteReference w:id="44"/>
      </w:r>
      <w:r>
        <w:rPr>
          <w:color w:val="000000" w:themeColor="text1"/>
        </w:rPr>
        <w:t xml:space="preserve"> intergenerational equity; and preserving the financial integrity of a utility,</w:t>
      </w:r>
      <w:r>
        <w:rPr>
          <w:rStyle w:val="FootnoteReference"/>
          <w:color w:val="000000" w:themeColor="text1"/>
        </w:rPr>
        <w:footnoteReference w:id="45"/>
      </w:r>
      <w:r>
        <w:rPr>
          <w:color w:val="000000" w:themeColor="text1"/>
        </w:rPr>
        <w:t xml:space="preserve"> minimizing costs incurred by ratepayers, and ensuring rate stability.</w:t>
      </w:r>
      <w:r>
        <w:rPr>
          <w:rStyle w:val="FootnoteReference"/>
          <w:color w:val="000000" w:themeColor="text1"/>
        </w:rPr>
        <w:footnoteReference w:id="46"/>
      </w:r>
    </w:p>
    <w:p w:rsidRPr="0023798B" w:rsidR="007F4ACE" w:rsidP="5730A06E" w:rsidRDefault="00C70C39" w14:paraId="1FB99820" w14:textId="77777777">
      <w:pPr>
        <w:pStyle w:val="Standard"/>
        <w:rPr>
          <w:color w:val="000000" w:themeColor="text1"/>
        </w:rPr>
      </w:pPr>
      <w:r>
        <w:rPr>
          <w:color w:val="000000" w:themeColor="text1"/>
        </w:rPr>
        <w:t>The utility’s continued viability need not be at risk before interim rate relief may be granted. It is sufficient “where there is a showing that fairness to both the public and the utility require immediate action.”</w:t>
      </w:r>
      <w:r>
        <w:rPr>
          <w:rStyle w:val="FootnoteReference"/>
          <w:color w:val="000000" w:themeColor="text1"/>
        </w:rPr>
        <w:footnoteReference w:id="47"/>
      </w:r>
      <w:r>
        <w:rPr>
          <w:color w:val="000000" w:themeColor="text1"/>
        </w:rPr>
        <w:t xml:space="preserve"> </w:t>
      </w:r>
    </w:p>
    <w:p w:rsidRPr="0023798B" w:rsidR="00D64A9B" w:rsidP="007A4D19" w:rsidRDefault="00B55D9A" w14:paraId="2E0DD526" w14:textId="77777777">
      <w:pPr>
        <w:pStyle w:val="Heading2"/>
      </w:pPr>
      <w:r>
        <w:t>Party Positions</w:t>
      </w:r>
    </w:p>
    <w:p w:rsidRPr="0023798B" w:rsidR="00D64A9B" w:rsidP="008A1A5C" w:rsidRDefault="00D64A9B" w14:paraId="63B6DE41" w14:textId="77777777">
      <w:pPr>
        <w:pStyle w:val="Standard"/>
        <w:rPr>
          <w:color w:val="000000" w:themeColor="text1"/>
        </w:rPr>
      </w:pPr>
      <w:r>
        <w:t>Cal Advocates argues that the proposed decision commits legal error by applying an incorrect standard.</w:t>
      </w:r>
      <w:r>
        <w:rPr>
          <w:rStyle w:val="FootnoteReference"/>
        </w:rPr>
        <w:footnoteReference w:id="48"/>
      </w:r>
      <w:r>
        <w:t xml:space="preserve"> It contends that under Pub. Util. Code §§ 451 and 454, the Commission may not grant any increase for costs, including interim rate recovery, before finally determining that the larger costs are reasonable and prudent, subject to exceptions such as a “financial emergency” or investment costs that are “indisputably reasonable.”</w:t>
      </w:r>
      <w:r>
        <w:rPr>
          <w:rStyle w:val="FootnoteReference"/>
          <w:color w:val="000000" w:themeColor="text1"/>
        </w:rPr>
        <w:footnoteReference w:id="49"/>
      </w:r>
      <w:r>
        <w:t xml:space="preserve"> </w:t>
      </w:r>
      <w:r>
        <w:rPr>
          <w:color w:val="000000" w:themeColor="text1"/>
        </w:rPr>
        <w:t xml:space="preserve">Cal Advocates further argues that </w:t>
      </w:r>
      <w:r>
        <w:rPr>
          <w:color w:val="000000" w:themeColor="text1"/>
        </w:rPr>
        <w:lastRenderedPageBreak/>
        <w:t>there is no “need and urgency,” because PG&amp;E fails to show it has an operational need for funds or faces concrete harm if interim rate relief is not granted.</w:t>
      </w:r>
      <w:r>
        <w:rPr>
          <w:rStyle w:val="FootnoteReference"/>
          <w:color w:val="000000" w:themeColor="text1"/>
        </w:rPr>
        <w:footnoteReference w:id="50"/>
      </w:r>
      <w:r>
        <w:rPr>
          <w:color w:val="000000" w:themeColor="text1"/>
        </w:rPr>
        <w:t xml:space="preserve"> </w:t>
      </w:r>
    </w:p>
    <w:p w:rsidRPr="002B265F" w:rsidR="002B265F" w:rsidP="002B265F" w:rsidRDefault="002B265F" w14:paraId="79796071" w14:textId="77777777">
      <w:pPr>
        <w:rPr>
          <w:color w:val="000000" w:themeColor="text1"/>
        </w:rPr>
      </w:pPr>
      <w:bookmarkStart w:name="_Toc238553231" w:id="16"/>
      <w:r>
        <w:t>Cal Advocates stated that “interim rate relief is not routine” and that such relief “requires a showing of need and urgency, not merely a net benefit</w:t>
      </w:r>
      <w:r>
        <w:rPr>
          <w:color w:val="000000" w:themeColor="text1"/>
        </w:rPr>
        <w:t>” for the Commission to justify authorization.</w:t>
      </w:r>
      <w:r>
        <w:rPr>
          <w:color w:val="000000" w:themeColor="text1"/>
          <w:vertAlign w:val="superscript"/>
        </w:rPr>
        <w:footnoteReference w:id="51"/>
      </w:r>
      <w:r>
        <w:rPr>
          <w:color w:val="000000" w:themeColor="text1"/>
        </w:rPr>
        <w:t xml:space="preserve"> TURN </w:t>
      </w:r>
      <w:r>
        <w:t>similarly argued that the IRR Motion “lacks sufficient support for the extraordinary relief sought therein.”</w:t>
      </w:r>
      <w:r>
        <w:rPr>
          <w:vertAlign w:val="superscript"/>
        </w:rPr>
        <w:footnoteReference w:id="52"/>
      </w:r>
      <w:r>
        <w:t xml:space="preserve"> </w:t>
      </w:r>
    </w:p>
    <w:p w:rsidRPr="00AF440B" w:rsidR="002B265F" w:rsidP="00AF440B" w:rsidRDefault="00D64A9B" w14:paraId="4075C06B" w14:textId="77777777">
      <w:pPr>
        <w:pStyle w:val="Standard"/>
        <w:rPr>
          <w:color w:val="000000" w:themeColor="text1"/>
        </w:rPr>
      </w:pPr>
      <w:r>
        <w:t xml:space="preserve">The Joint Parties separately argue that the proposed decision misapplies </w:t>
      </w:r>
      <w:r>
        <w:rPr>
          <w:i/>
          <w:iCs/>
        </w:rPr>
        <w:t>TURN v. PUC</w:t>
      </w:r>
      <w:r>
        <w:t xml:space="preserve"> by relying on the Court’s concluding statement that the Commission could set interim rates “as long as the rate is subject to refund and sufficiently justified” while omitting the standard the Court actually applied.</w:t>
      </w:r>
      <w:r>
        <w:rPr>
          <w:rStyle w:val="FootnoteReference"/>
        </w:rPr>
        <w:footnoteReference w:id="53"/>
      </w:r>
      <w:r>
        <w:t xml:space="preserve"> According to the Joint Parties, that standard permits interim relief “if the facts warrant such summary relief,” and the Court upheld the relief there because “fairness to both the utility and the public required immediate action.”</w:t>
      </w:r>
      <w:r>
        <w:rPr>
          <w:rStyle w:val="FootnoteReference"/>
        </w:rPr>
        <w:footnoteReference w:id="54"/>
      </w:r>
      <w:r>
        <w:t xml:space="preserve"> </w:t>
      </w:r>
    </w:p>
    <w:p w:rsidRPr="0023798B" w:rsidR="00D64A9B" w:rsidP="00D64A9B" w:rsidRDefault="00D64A9B" w14:paraId="00639BF9" w14:textId="77777777">
      <w:pPr>
        <w:pStyle w:val="Standard"/>
        <w:rPr>
          <w:color w:val="000000" w:themeColor="text1"/>
        </w:rPr>
      </w:pPr>
      <w:r>
        <w:rPr>
          <w:color w:val="000000" w:themeColor="text1"/>
        </w:rPr>
        <w:t xml:space="preserve">PG&amp;E responds that the proposed decision correctly finds that the Commission may grant interim rate relief under </w:t>
      </w:r>
      <w:r>
        <w:rPr>
          <w:i/>
          <w:iCs/>
          <w:color w:val="000000" w:themeColor="text1"/>
        </w:rPr>
        <w:t>TURN v. PUC</w:t>
      </w:r>
      <w:r>
        <w:rPr>
          <w:color w:val="000000" w:themeColor="text1"/>
        </w:rPr>
        <w:t xml:space="preserve"> where “fairness to both the utility and the public required immediate action,” and that the Commission weighs factors such as reducing rate shock, ensuring rate stability, </w:t>
      </w:r>
      <w:r>
        <w:rPr>
          <w:color w:val="000000" w:themeColor="text1"/>
        </w:rPr>
        <w:lastRenderedPageBreak/>
        <w:t>and smoothing rate impacts, any one of which may suffice.</w:t>
      </w:r>
      <w:r>
        <w:rPr>
          <w:rStyle w:val="FootnoteReference"/>
          <w:color w:val="000000" w:themeColor="text1"/>
        </w:rPr>
        <w:footnoteReference w:id="55"/>
      </w:r>
      <w:r>
        <w:rPr>
          <w:color w:val="000000" w:themeColor="text1"/>
        </w:rPr>
        <w:t xml:space="preserve"> PG&amp;E states that the Supreme Court in </w:t>
      </w:r>
      <w:r>
        <w:rPr>
          <w:i/>
          <w:iCs/>
          <w:color w:val="000000" w:themeColor="text1"/>
        </w:rPr>
        <w:t>TURN v. PUC</w:t>
      </w:r>
      <w:r>
        <w:rPr>
          <w:color w:val="000000" w:themeColor="text1"/>
        </w:rPr>
        <w:t xml:space="preserve"> already rejected the claim that interim rates require a financial emergency or undisputed investment costs, holding that the Commission’s power “is not so narrow.”</w:t>
      </w:r>
      <w:r>
        <w:rPr>
          <w:rStyle w:val="FootnoteReference"/>
          <w:color w:val="000000" w:themeColor="text1"/>
        </w:rPr>
        <w:footnoteReference w:id="56"/>
      </w:r>
      <w:r>
        <w:rPr>
          <w:color w:val="000000" w:themeColor="text1"/>
        </w:rPr>
        <w:t xml:space="preserve"> PG&amp;E further contends that Cal Advocates’ “need and urgency” standard appears nowhere in the Court’s decision, that the criticisms built on it should be ignored, and that </w:t>
      </w:r>
      <w:r>
        <w:rPr>
          <w:i/>
          <w:iCs/>
          <w:color w:val="000000" w:themeColor="text1"/>
        </w:rPr>
        <w:t>Southern California Gas Co. v. PUC</w:t>
      </w:r>
      <w:r>
        <w:rPr>
          <w:color w:val="000000" w:themeColor="text1"/>
        </w:rPr>
        <w:t xml:space="preserve"> concerns attorney-client privilege, not interim rates.</w:t>
      </w:r>
      <w:r>
        <w:rPr>
          <w:rStyle w:val="FootnoteReference"/>
          <w:color w:val="000000" w:themeColor="text1"/>
        </w:rPr>
        <w:footnoteReference w:id="57"/>
      </w:r>
    </w:p>
    <w:p w:rsidRPr="0023798B" w:rsidR="003745A9" w:rsidP="00D64A9B" w:rsidRDefault="003745A9" w14:paraId="08633D6F" w14:textId="77777777">
      <w:pPr>
        <w:pStyle w:val="Standard"/>
        <w:rPr>
          <w:color w:val="000000" w:themeColor="text1"/>
        </w:rPr>
      </w:pPr>
      <w:r>
        <w:rPr>
          <w:color w:val="000000" w:themeColor="text1"/>
        </w:rPr>
        <w:t>PG&amp;E also rejects the Joint Parties’ claim that the proposed decision fails to explain why immediate action is necessary. PG&amp;E contends that the Joint Parties cite no authority requiring PG&amp;E to identify an operational activity dependent on interim recovery or a threat to its financial integrity, and that the Commission has held “extreme financial conditions” or other “extraordinary situations” are not required.</w:t>
      </w:r>
      <w:r>
        <w:rPr>
          <w:rStyle w:val="FootnoteReference"/>
          <w:color w:val="000000" w:themeColor="text1"/>
        </w:rPr>
        <w:footnoteReference w:id="58"/>
      </w:r>
      <w:r>
        <w:rPr>
          <w:color w:val="000000" w:themeColor="text1"/>
        </w:rPr>
        <w:t xml:space="preserve"> PG&amp;E argues that it showed immediate action was needed to capture the benefits of interim recovery.</w:t>
      </w:r>
      <w:r>
        <w:rPr>
          <w:rStyle w:val="FootnoteReference"/>
          <w:color w:val="000000" w:themeColor="text1"/>
        </w:rPr>
        <w:footnoteReference w:id="59"/>
      </w:r>
    </w:p>
    <w:p w:rsidRPr="002B265F" w:rsidR="002B265F" w:rsidP="00AF440B" w:rsidRDefault="002B265F" w14:paraId="6238719D" w14:textId="77777777">
      <w:pPr>
        <w:pStyle w:val="Heading2"/>
      </w:pPr>
      <w:r>
        <w:t>Discussion</w:t>
      </w:r>
    </w:p>
    <w:p w:rsidRPr="0023798B" w:rsidR="00626CE8" w:rsidP="008A1A5C" w:rsidRDefault="0053728E" w14:paraId="2A6B7549" w14:textId="77777777">
      <w:pPr>
        <w:pStyle w:val="Standard"/>
        <w:rPr>
          <w:color w:val="000000" w:themeColor="text1"/>
        </w:rPr>
      </w:pPr>
      <w:r>
        <w:rPr>
          <w:color w:val="000000" w:themeColor="text1"/>
        </w:rPr>
        <w:t>We agree with PG&amp;E that fairness to ratepayers requires the Commission to take “immediate” action to capture millions in customer savings because, as the Commission recognizes that “with the passage of time, these benefits may diminish.”</w:t>
      </w:r>
      <w:r>
        <w:rPr>
          <w:color w:val="000000" w:themeColor="text1"/>
          <w:vertAlign w:val="superscript"/>
        </w:rPr>
        <w:footnoteReference w:id="60"/>
      </w:r>
      <w:r>
        <w:rPr>
          <w:color w:val="000000" w:themeColor="text1"/>
        </w:rPr>
        <w:t xml:space="preserve"> </w:t>
      </w:r>
      <w:r>
        <w:rPr>
          <w:rStyle w:val="FootnoteReference"/>
          <w:color w:val="000000" w:themeColor="text1"/>
        </w:rPr>
        <w:footnoteReference w:id="61"/>
      </w:r>
      <w:r>
        <w:rPr>
          <w:color w:val="000000" w:themeColor="text1"/>
        </w:rPr>
        <w:t xml:space="preserve"> The benefits of interim recovery here are time sensitive. PG&amp;E </w:t>
      </w:r>
      <w:r>
        <w:rPr>
          <w:color w:val="000000" w:themeColor="text1"/>
        </w:rPr>
        <w:lastRenderedPageBreak/>
        <w:t>estimates that interim recovery beginning January 1, 2027 would save customers approximately $13.6 million to $21.0 million in interest, depending on the percentage authorized.</w:t>
      </w:r>
      <w:r>
        <w:rPr>
          <w:rStyle w:val="FootnoteReference"/>
          <w:color w:val="000000" w:themeColor="text1"/>
        </w:rPr>
        <w:footnoteReference w:id="62"/>
      </w:r>
      <w:r>
        <w:rPr>
          <w:color w:val="000000" w:themeColor="text1"/>
        </w:rPr>
        <w:t xml:space="preserve"> An interim rate relief avoids interest accruing on the undercollection in the memorandum accounts, makes rate changes more predictable by smoothing rates, and avoids shifting costs to future customers if the final decision schedule is delayed beyond May 2027.</w:t>
      </w:r>
      <w:r>
        <w:rPr>
          <w:rStyle w:val="FootnoteReference"/>
          <w:color w:val="000000" w:themeColor="text1"/>
        </w:rPr>
        <w:footnoteReference w:id="63"/>
      </w:r>
      <w:r>
        <w:rPr>
          <w:color w:val="000000" w:themeColor="text1"/>
        </w:rPr>
        <w:t xml:space="preserve"> Interim recovery is also limited and subject to refund with interest, so customers are protected if the final decision authorizes a lower amount. </w:t>
      </w:r>
    </w:p>
    <w:p w:rsidRPr="0023798B" w:rsidR="00207C22" w:rsidP="00207C22" w:rsidRDefault="00207C22" w14:paraId="777F333B" w14:textId="77777777">
      <w:pPr>
        <w:pStyle w:val="Standard"/>
        <w:rPr>
          <w:color w:val="000000" w:themeColor="text1"/>
        </w:rPr>
      </w:pPr>
      <w:r>
        <w:rPr>
          <w:color w:val="000000" w:themeColor="text1"/>
        </w:rPr>
        <w:t>Regarding fairness to PG&amp;E, granting the IRR Motion aligns recovery more closely with the period in which costs are incurred.</w:t>
      </w:r>
      <w:r>
        <w:rPr>
          <w:rStyle w:val="FootnoteReference"/>
          <w:color w:val="000000" w:themeColor="text1"/>
        </w:rPr>
        <w:footnoteReference w:id="64"/>
      </w:r>
      <w:r>
        <w:rPr>
          <w:color w:val="000000" w:themeColor="text1"/>
        </w:rPr>
        <w:t xml:space="preserve"> If a final decision is expected after the January 1, 2027 test year begins, PG&amp;E will incur costs of service without recovering them in commensurate rates, and even though it will be made whole later, that recovery costs ratepayers more due to accrued interest. PG&amp;E does not claim a financial emergency, and none is required. Fairness to the utility is instead served by aligning recovery more closely with the period in which costs are incurred. Although PG&amp;E seeks 55%, 75%, or 85% of its requested increase, the decision grants measured interim rate relief. Customers bear no risk of overpayment because PG&amp;E will refund any overcollections with interest.</w:t>
      </w:r>
    </w:p>
    <w:p w:rsidRPr="0023798B" w:rsidR="00207C22" w:rsidP="00207C22" w:rsidRDefault="00207C22" w14:paraId="65DD43BC" w14:textId="77777777">
      <w:pPr>
        <w:pStyle w:val="Standard"/>
        <w:rPr>
          <w:color w:val="000000" w:themeColor="text1"/>
        </w:rPr>
      </w:pPr>
      <w:r>
        <w:rPr>
          <w:color w:val="000000" w:themeColor="text1"/>
        </w:rPr>
        <w:t xml:space="preserve">Cal Advocates’ position that PG&amp;E must show an operational need for funds or concrete harm misstates the standard. </w:t>
      </w:r>
      <w:r>
        <w:rPr>
          <w:i/>
          <w:iCs/>
          <w:color w:val="000000" w:themeColor="text1"/>
        </w:rPr>
        <w:t>TURN v. PUC</w:t>
      </w:r>
      <w:r>
        <w:rPr>
          <w:color w:val="000000" w:themeColor="text1"/>
        </w:rPr>
        <w:t xml:space="preserve"> asks whether fairness to both the utility and the public requires immediate action, not whether the utility has an operational need. Timeliness satisfies that standard here </w:t>
      </w:r>
      <w:r>
        <w:rPr>
          <w:color w:val="000000" w:themeColor="text1"/>
        </w:rPr>
        <w:lastRenderedPageBreak/>
        <w:t>because customer benefits are time sensitive. We agree with PG&amp;E that the Commission considers multiple factors in determining whether to grant interim rate recovery and has noted that one factor alone can establish appropriateness.</w:t>
      </w:r>
      <w:r>
        <w:rPr>
          <w:rStyle w:val="FootnoteReference"/>
          <w:color w:val="000000" w:themeColor="text1"/>
        </w:rPr>
        <w:footnoteReference w:id="65"/>
      </w:r>
      <w:r>
        <w:rPr>
          <w:color w:val="000000" w:themeColor="text1"/>
        </w:rPr>
        <w:t xml:space="preserve"> </w:t>
      </w:r>
      <w:r>
        <w:t xml:space="preserve">We disagree with Cal Advocates that PG&amp;E must show a need and urgency for a premature interim rate increase. Cal Advocates characterizes the request as a “premature” interim rate increase. Interim relief is, by nature, granted before a final decision, and </w:t>
      </w:r>
      <w:r>
        <w:rPr>
          <w:i/>
          <w:iCs/>
        </w:rPr>
        <w:t>TURN v. PUC</w:t>
      </w:r>
      <w:r>
        <w:t xml:space="preserve"> rejected the argument that the Commission must make an immediate finding as to reasonableness of costs. The request is timely. The adopted schedule sets the final decision for May 2027, after the January 1, 2027 test year begins, and the benefits of interim recovery would diminish if the Commission waits. </w:t>
      </w:r>
      <w:r>
        <w:rPr>
          <w:color w:val="000000" w:themeColor="text1"/>
        </w:rPr>
        <w:t xml:space="preserve">The decision views immediacy through quantifiable benefits that erode with delay, not through PG&amp;E’s financial condition. </w:t>
      </w:r>
    </w:p>
    <w:p w:rsidRPr="0023798B" w:rsidR="00857C00" w:rsidP="00857C00" w:rsidRDefault="00E91F5B" w14:paraId="747C7350" w14:textId="77777777">
      <w:pPr>
        <w:pStyle w:val="Standard"/>
        <w:rPr>
          <w:color w:val="000000" w:themeColor="text1"/>
        </w:rPr>
      </w:pPr>
      <w:r>
        <w:t xml:space="preserve">We reject the argument that Pub. Util. Code §§ 451 and 454 restrict interim relief before a final determination that costs are reasonable and prudent. As </w:t>
      </w:r>
      <w:r>
        <w:rPr>
          <w:i/>
          <w:iCs/>
        </w:rPr>
        <w:t>TURN v. PUC</w:t>
      </w:r>
      <w:r>
        <w:t xml:space="preserve"> explained, the exceptions Cal Advocates identifies, a financial emergency and undisputed reasonableness of investment costs, do not exclude other circumstances that can justify an interim increase.</w:t>
      </w:r>
      <w:r>
        <w:rPr>
          <w:rStyle w:val="FootnoteReference"/>
        </w:rPr>
        <w:footnoteReference w:id="66"/>
      </w:r>
      <w:r>
        <w:t xml:space="preserve"> The decision applies a fairness standard to both the utility and the public in granting the IRR Motion. The decision’s analysis addresses the Joint Parties’ concern that the proposed decision omitted that standard. </w:t>
      </w:r>
      <w:r>
        <w:rPr>
          <w:color w:val="000000" w:themeColor="text1"/>
        </w:rPr>
        <w:t xml:space="preserve">We find that interim rate relief in an amount less than PG&amp;E requested is reasonable. Interim recovery of </w:t>
      </w:r>
      <w:r>
        <w:t xml:space="preserve">up to $456 million in </w:t>
      </w:r>
      <w:r>
        <w:rPr>
          <w:color w:val="000000" w:themeColor="text1"/>
        </w:rPr>
        <w:t xml:space="preserve">PG&amp;E’s requested 2027 revenue requirement increase reduces interest costs and </w:t>
      </w:r>
      <w:r>
        <w:rPr>
          <w:color w:val="000000" w:themeColor="text1"/>
        </w:rPr>
        <w:lastRenderedPageBreak/>
        <w:t>rate volatility, protects customers through interest-bearing refunds, and is fair to PG&amp;E because it aligns recovery more closely with the period in which costs are incurred. A limited amount of interim relief balances the interests of the public and the utility, because it provides recovery before the final decision while reducing the risk that customers will be asked to refund a significant overcollection.</w:t>
      </w:r>
    </w:p>
    <w:p w:rsidRPr="0023798B" w:rsidR="00BF7A41" w:rsidP="00857C00" w:rsidRDefault="00D86806" w14:paraId="6560B31B" w14:textId="77777777">
      <w:pPr>
        <w:pStyle w:val="Standard"/>
        <w:rPr>
          <w:color w:val="000000" w:themeColor="text1"/>
        </w:rPr>
      </w:pPr>
      <w:r>
        <w:rPr>
          <w:color w:val="000000" w:themeColor="text1"/>
        </w:rPr>
        <w:t xml:space="preserve">As explained further in the decision, we apply a lower percentage increase (55%) to the electric functions, where PG&amp;E requests increases, to limit the risk of overcollection that would have to be refunded. We apply a higher percentage (85%) to the gas functions, where PG&amp;E proposes decreases, so that customers receive more of those reductions sooner. This interim relief is consistent with the fairness standard in </w:t>
      </w:r>
      <w:r>
        <w:rPr>
          <w:i/>
          <w:iCs/>
          <w:color w:val="000000" w:themeColor="text1"/>
        </w:rPr>
        <w:t>TURN v. PUC</w:t>
      </w:r>
      <w:r>
        <w:rPr>
          <w:color w:val="000000" w:themeColor="text1"/>
        </w:rPr>
        <w:t xml:space="preserve"> for both the utility and the public, and it is subject to refund with interest at the three-month commercial paper rate pending the final decision in A.25-05-009. </w:t>
      </w:r>
    </w:p>
    <w:p w:rsidRPr="0023798B" w:rsidR="008351C3" w:rsidP="008351C3" w:rsidRDefault="008351C3" w14:paraId="49C3F424" w14:textId="77777777">
      <w:pPr>
        <w:pStyle w:val="Heading1"/>
      </w:pPr>
      <w:r>
        <w:t xml:space="preserve">Ratepayer Impacts </w:t>
      </w:r>
    </w:p>
    <w:p w:rsidRPr="0023798B" w:rsidR="008351C3" w:rsidP="008351C3" w:rsidRDefault="00B55D9A" w14:paraId="7D79E10A" w14:textId="77777777">
      <w:pPr>
        <w:pStyle w:val="Heading2"/>
      </w:pPr>
      <w:r>
        <w:t>Party Positions</w:t>
      </w:r>
    </w:p>
    <w:p w:rsidRPr="0023798B" w:rsidR="008351C3" w:rsidP="008351C3" w:rsidRDefault="008351C3" w14:paraId="47BB4647" w14:textId="77777777">
      <w:pPr>
        <w:pStyle w:val="Standard"/>
      </w:pPr>
      <w:r>
        <w:t>Cal Advocates argues that the rate smoothing PG&amp;E shows is negligible. Cal Advocates disputes PG&amp;E’s claim that interim relief will smooth rates and reduce rate volatility. It argues that PG&amp;E is essentially asking ratepayers to pre-pay for costs that may never materialize.</w:t>
      </w:r>
      <w:r>
        <w:rPr>
          <w:rStyle w:val="FootnoteReference"/>
        </w:rPr>
        <w:footnoteReference w:id="67"/>
      </w:r>
      <w:r>
        <w:t xml:space="preserve"> Cal Advocates further contends that the reduction in volatility PG&amp;E shows is negligible, as PG&amp;E’s own estimates show a 5.9% residential bill increase on September 1, 2027 without interim relief, compared with a 1.9% increase on January 1, 2027 and a 2.7% increase on September 1, 2027 under its 55% scenario.</w:t>
      </w:r>
      <w:r>
        <w:rPr>
          <w:rStyle w:val="FootnoteReference"/>
        </w:rPr>
        <w:footnoteReference w:id="68"/>
      </w:r>
      <w:r>
        <w:t xml:space="preserve"> </w:t>
      </w:r>
    </w:p>
    <w:p w:rsidRPr="0023798B" w:rsidR="008351C3" w:rsidP="008351C3" w:rsidRDefault="008351C3" w14:paraId="7683DF31" w14:textId="77777777">
      <w:pPr>
        <w:pStyle w:val="Standard"/>
      </w:pPr>
      <w:r>
        <w:lastRenderedPageBreak/>
        <w:t>TURN disagrees that interim relief would benefit customers, arguing that PG&amp;E’s estimated interest savings and rate smoothing both assume the Commission will authorize 100% of PG&amp;E’s requested increase when it has historically authorized only about 41% (38% for litigated GRCs).</w:t>
      </w:r>
      <w:r>
        <w:rPr>
          <w:rStyle w:val="FootnoteReference"/>
        </w:rPr>
        <w:footnoteReference w:id="69"/>
      </w:r>
      <w:r>
        <w:t xml:space="preserve"> TURN further argues that the interest benefits are modest and the smoothing analysis is overly simplistic because it ignores other rate changes and because correcting an overcollection in September 2027 would itself increase bill volatility.</w:t>
      </w:r>
      <w:r>
        <w:rPr>
          <w:rStyle w:val="FootnoteReference"/>
        </w:rPr>
        <w:footnoteReference w:id="70"/>
      </w:r>
      <w:r>
        <w:t xml:space="preserve"> TURN argues that intergenerational equity is not a concern here because the Commission has previously considered only costs incurred years before recovery was foreseeable (as in D.19-04-039 and D.24-03-006), whereas PG&amp;E expects to begin collecting its 2027 revenue requirement on September 1, 2027, so 2027 customers will pay for 2027 costs and any lag in recovery will be minor.</w:t>
      </w:r>
      <w:r>
        <w:rPr>
          <w:rStyle w:val="FootnoteReference"/>
        </w:rPr>
        <w:footnoteReference w:id="71"/>
      </w:r>
    </w:p>
    <w:p w:rsidRPr="0023798B" w:rsidR="00C1086D" w:rsidP="00C1086D" w:rsidRDefault="00C1086D" w14:paraId="3C164CFE" w14:textId="77777777">
      <w:pPr>
        <w:pStyle w:val="Standard"/>
        <w:rPr>
          <w:color w:val="000000" w:themeColor="text1"/>
        </w:rPr>
      </w:pPr>
      <w:r>
        <w:rPr>
          <w:color w:val="000000" w:themeColor="text1"/>
        </w:rPr>
        <w:t>The Joint Parties argue that the proposed decision “ultimately undermines the rate stability it purports to promote.”</w:t>
      </w:r>
      <w:r>
        <w:rPr>
          <w:rStyle w:val="FootnoteReference"/>
          <w:color w:val="000000" w:themeColor="text1"/>
        </w:rPr>
        <w:footnoteReference w:id="72"/>
      </w:r>
      <w:r>
        <w:rPr>
          <w:color w:val="000000" w:themeColor="text1"/>
        </w:rPr>
        <w:t xml:space="preserve"> The Joint Parties say that changing rates based on disputed forecast amounts creates a substantial risk that customers will face another rate change when the final decision is implemented,</w:t>
      </w:r>
      <w:r>
        <w:rPr>
          <w:rStyle w:val="FootnoteReference"/>
          <w:color w:val="000000" w:themeColor="text1"/>
        </w:rPr>
        <w:footnoteReference w:id="73"/>
      </w:r>
      <w:r>
        <w:rPr>
          <w:color w:val="000000" w:themeColor="text1"/>
        </w:rPr>
        <w:t xml:space="preserve"> resulting in less stable rates.</w:t>
      </w:r>
      <w:r>
        <w:rPr>
          <w:rStyle w:val="FootnoteReference"/>
          <w:color w:val="000000" w:themeColor="text1"/>
        </w:rPr>
        <w:footnoteReference w:id="74"/>
      </w:r>
    </w:p>
    <w:p w:rsidRPr="0023798B" w:rsidR="008351C3" w:rsidP="008351C3" w:rsidRDefault="008351C3" w14:paraId="3E947F38" w14:textId="77777777">
      <w:pPr>
        <w:pStyle w:val="Standard"/>
      </w:pPr>
      <w:r>
        <w:t xml:space="preserve">PG&amp;E argues that interim recovery smooths rates because the 2027 revenue requirement will not be in rates on January 1, 2027, so a memorandum account will accumulate an undercollection that must be collected on top of the </w:t>
      </w:r>
      <w:r>
        <w:lastRenderedPageBreak/>
        <w:t>new revenue requirement. PG&amp;E states that interim recovery reduces that balance and therefore the rate change when the final decision is implemented, including if less than 100% of the request is authorized, whereas delaying implementation until fall 2027 would enlarge the undercollection and worsen volatility.</w:t>
      </w:r>
      <w:r>
        <w:rPr>
          <w:rStyle w:val="FootnoteReference"/>
        </w:rPr>
        <w:footnoteReference w:id="75"/>
      </w:r>
      <w:r>
        <w:t xml:space="preserve"> PG&amp;E contends that rate smoothing and interest savings are independent benefits. It estimates interest savings of $13.6 million to $21.0 million at the 90-day commercial paper rate (3.71% as of March 2026) and argues that even at half those amounts ($7 to $10.5 million), the Commission has found savings of about $7 million sufficient to justify interim recovery.</w:t>
      </w:r>
      <w:r>
        <w:rPr>
          <w:rStyle w:val="FootnoteReference"/>
        </w:rPr>
        <w:footnoteReference w:id="76"/>
      </w:r>
      <w:r>
        <w:t xml:space="preserve"> </w:t>
      </w:r>
    </w:p>
    <w:p w:rsidRPr="0023798B" w:rsidR="008351C3" w:rsidP="008351C3" w:rsidRDefault="008351C3" w14:paraId="61E1641A" w14:textId="77777777">
      <w:pPr>
        <w:pStyle w:val="Standard"/>
      </w:pPr>
      <w:r>
        <w:t>On intergenerational equity, PG&amp;E argues that interim recovery allocates costs to customers who benefit from the services, so without it, future customers would bear the revenue requirement for 2027 work, a problem that grows if the schedule slips.</w:t>
      </w:r>
      <w:r>
        <w:rPr>
          <w:rStyle w:val="FootnoteReference"/>
        </w:rPr>
        <w:footnoteReference w:id="77"/>
      </w:r>
      <w:r>
        <w:t xml:space="preserve"> PG&amp;E’s reply does not address that argument.</w:t>
      </w:r>
    </w:p>
    <w:p w:rsidRPr="0023798B" w:rsidR="008351C3" w:rsidP="008351C3" w:rsidRDefault="008351C3" w14:paraId="1ECA34B4" w14:textId="77777777">
      <w:pPr>
        <w:pStyle w:val="Heading2"/>
      </w:pPr>
      <w:r>
        <w:t>Discussion</w:t>
      </w:r>
    </w:p>
    <w:p w:rsidRPr="0023798B" w:rsidR="008351C3" w:rsidP="008351C3" w:rsidRDefault="008351C3" w14:paraId="4E54AF83" w14:textId="77777777">
      <w:pPr>
        <w:pStyle w:val="Standard"/>
      </w:pPr>
      <w:r>
        <w:t>TURN and Cal Advocates argue that the rate smoothing benefit is speculative and negligible. They note that PG&amp;E’s illustrations assume the Commission authorizes 100% of the requested increase, that those illustrations predate PG&amp;E’s reduced request, and that they leave out other rate changes, such as the 2027 Energy Resource Recovery Account forecast. Cal Advocates adds that ratepayers are being asked to pre-pay costs that may never materialize.</w:t>
      </w:r>
    </w:p>
    <w:p w:rsidRPr="0023798B" w:rsidR="008351C3" w:rsidP="008351C3" w:rsidRDefault="008351C3" w14:paraId="21DE116E" w14:textId="77777777">
      <w:pPr>
        <w:pStyle w:val="Standard"/>
      </w:pPr>
      <w:r>
        <w:t xml:space="preserve">We agree that PG&amp;E’s illustrations are not a forecast of customer bills, and we do not rely on the specific percentages. We rely on the mechanism and the reasonableness of smoothing rates. The 2027 revenue requirement will not be in </w:t>
      </w:r>
      <w:r>
        <w:lastRenderedPageBreak/>
        <w:t>rates on January 1, 2027, the difference between the current revenue requirement and the amount ultimately authorized will accumulate in a memorandum account because the current rates will not be effective starting January 1, 2027. PG&amp;E will have to collect the balance on top of the new revenue requirement when the final decision is adopted. Interim recovery reduces the balance, so the rate change at implementation is smaller. This is true whether the Commission ultimately authorizes 100% of PG&amp;E’s request or less. A smaller undercollection means a smaller true-up under any outcome.</w:t>
      </w:r>
    </w:p>
    <w:p w:rsidRPr="0023798B" w:rsidR="008351C3" w:rsidP="008351C3" w:rsidRDefault="00D80839" w14:paraId="5F4F5E75" w14:textId="77777777">
      <w:pPr>
        <w:pStyle w:val="Standard"/>
      </w:pPr>
      <w:r>
        <w:t>We disagree with TURN’s suggestion that delaying implementation until fall 2027 would avoid layered increases.</w:t>
      </w:r>
      <w:r>
        <w:rPr>
          <w:rStyle w:val="FootnoteReference"/>
        </w:rPr>
        <w:footnoteReference w:id="78"/>
      </w:r>
      <w:r>
        <w:t xml:space="preserve"> Instead, it would deepen the undercollection and increase the volatility it seeks to avoid. Smoothing is one of several factors we weigh, and the Commission has found a smaller difference is also sufficient to support interim relief.</w:t>
      </w:r>
      <w:r>
        <w:rPr>
          <w:rStyle w:val="FootnoteReference"/>
        </w:rPr>
        <w:footnoteReference w:id="79"/>
      </w:r>
      <w:r>
        <w:t xml:space="preserve"> Further in the discussion, we address pre-payment of the revenue requirement. The interim relief is limited to 51.5% of the revenue requirement increase and subject to refund with interest, customers should not pre-pay costs that may never materialize.</w:t>
      </w:r>
    </w:p>
    <w:p w:rsidRPr="0023798B" w:rsidR="008351C3" w:rsidP="008351C3" w:rsidRDefault="00D80839" w14:paraId="02E7A2DF" w14:textId="77777777">
      <w:pPr>
        <w:pStyle w:val="Standard"/>
      </w:pPr>
      <w:r>
        <w:t xml:space="preserve">Regarding intergenerational equity, we agree with TURN that the regulatory lag here is expected to be shorter than previous GRCs, but it is still unknown. The underlying principle is that costs should be allocated to ratepayers in a manner that more closely aligns with the timing of when they are incurred, and it does not depend on a minimum lag. TURN also acknowledges that the Commission will have to consider amortization. Under the adopted schedule, the undercollection for January through May 2027 will be collected </w:t>
      </w:r>
      <w:r>
        <w:lastRenderedPageBreak/>
        <w:t>over a 12-month amortization or more that extends into 2028, so customers in 2028 will pay part of the cost of service provided in 2027. Interim recovery reduces that shift. The shift is modest, and we give this factor correspondingly modest weight.</w:t>
      </w:r>
    </w:p>
    <w:p w:rsidRPr="0023798B" w:rsidR="00377B61" w:rsidP="008351C3" w:rsidRDefault="00D60476" w14:paraId="0B5FFBDD" w14:textId="77777777">
      <w:pPr>
        <w:pStyle w:val="Standard"/>
      </w:pPr>
      <w:r>
        <w:t xml:space="preserve">TURN and Cal Advocates argue that ratepayers will overpay and that a refund with interest offers little comfort to customers under financial strain. The Commission takes this matter seriously, and the decision adopts several protections in response. </w:t>
      </w:r>
    </w:p>
    <w:p w:rsidRPr="0023798B" w:rsidR="00D80839" w:rsidP="008351C3" w:rsidRDefault="00377B61" w14:paraId="7C4DFF43" w14:textId="77777777">
      <w:pPr>
        <w:pStyle w:val="Standard"/>
      </w:pPr>
      <w:r>
        <w:t>First, the authorized amount is limited to the most recent updated information from PG&amp;E. The decision authorizes $456 million, about 51.5% of PG&amp;E’s requested net increase, below any of the 55%, 75%, or 85% scenarios PG&amp;E proposed and within the 31.5% to 56.9% range of recent GRC authorizations.</w:t>
      </w:r>
    </w:p>
    <w:p w:rsidRPr="0023798B" w:rsidR="00377B61" w:rsidP="008351C3" w:rsidRDefault="00377B61" w14:paraId="5746A417" w14:textId="77777777">
      <w:pPr>
        <w:pStyle w:val="Standard"/>
      </w:pPr>
      <w:r>
        <w:t>Second, all amounts collected are subject to refund with interest at the three-month commercial paper rate, the same rate that applies to undercollections, so interest runs in both directions on equal terms.</w:t>
      </w:r>
      <w:bookmarkStart w:name="_cp_change_6" w:id="17"/>
      <w:r>
        <w:rPr>
          <w:color w:val="0000FF"/>
          <w:u w:val="double" w:color="0000FF"/>
        </w:rPr>
        <w:t xml:space="preserve"> PG&amp;E may also recover Yield Spread Adjustment pursuant to Ordering Paragraph 1 in D.25-12-043. The decision states that beginning January 1, 2026, PG&amp;E is authorized to track and request an annual temporary Yield Spread Adjustment via a Tier 2 advice letter by November 15 each year, terminating either on December 31, 2028, or when the company accesses Tier 1 Commercial Paper.</w:t>
      </w:r>
      <w:bookmarkEnd w:id="17"/>
    </w:p>
    <w:p w:rsidRPr="0023798B" w:rsidR="00377B61" w:rsidP="00CF2CDA" w:rsidRDefault="00CF2CDA" w14:paraId="4C11F387" w14:textId="77777777">
      <w:pPr>
        <w:pStyle w:val="Standard"/>
      </w:pPr>
      <w:r>
        <w:t xml:space="preserve">Third, refunds protect ratepayers, but denying interim relief does not shield them from rate volatility and unpredictable rate changes. Any refund must be returned through rates as soon as possible after the final decision. The limited authorized amount also caps any true-up. Without interim rates, however, a final increase leaves the utility with undercollected balances in the </w:t>
      </w:r>
      <w:r>
        <w:lastRenderedPageBreak/>
        <w:t>GRC memorandum account during the delay, creating long-term economic pressure on both the utility and ratepayers. Not authorizing interim rates may also require the Commission to amortize collection beyond the 2027 test year.</w:t>
      </w:r>
    </w:p>
    <w:p w:rsidRPr="002B265F" w:rsidR="002B265F" w:rsidP="00AF440B" w:rsidRDefault="007A4D19" w14:paraId="67B84E78" w14:textId="77777777">
      <w:pPr>
        <w:pStyle w:val="Heading1"/>
      </w:pPr>
      <w:r>
        <w:t xml:space="preserve">Reasonable Interim Rate </w:t>
      </w:r>
      <w:bookmarkEnd w:id="16"/>
      <w:r>
        <w:t>Relief</w:t>
      </w:r>
    </w:p>
    <w:p w:rsidRPr="0023798B" w:rsidR="007A4D19" w:rsidP="002B265F" w:rsidRDefault="007A4D19" w14:paraId="24A735ED" w14:textId="77777777">
      <w:pPr>
        <w:rPr>
          <w:color w:val="000000" w:themeColor="text1"/>
        </w:rPr>
      </w:pPr>
      <w:r>
        <w:rPr>
          <w:color w:val="000000" w:themeColor="text1"/>
        </w:rPr>
        <w:t>PG&amp;E and the parties presented various interim rate recovery decisions for the Commission’s consideration. We reviewed these decisions and find that the Commission has recently granted 50-85% interim rate recovery. However, the circumstances in each case differ from those in this proceeding because each decision addressed applications to recover costs already recorded in memorandum or other regulatory accounts. In the instant Application, PG&amp;E is forecasting revenues needed for operations. Therefore, we consider similar decisions when weighing whether and to what extent to approve PG&amp;E’s request, including final revenue requirement authorizations in recent GRCs. It is reasonable to conclude that interim rate recovery should not exceed authorized amounts in similar cases.</w:t>
      </w:r>
    </w:p>
    <w:p w:rsidRPr="002B265F" w:rsidR="002B265F" w:rsidP="002B265F" w:rsidRDefault="003B2AB4" w14:paraId="3DCC80E4" w14:textId="77777777">
      <w:pPr>
        <w:rPr>
          <w:color w:val="000000" w:themeColor="text1"/>
        </w:rPr>
      </w:pPr>
      <w:r>
        <w:rPr>
          <w:color w:val="000000" w:themeColor="text1"/>
        </w:rPr>
        <w:t>Final authorizations in recent GRCs ranged from 31.5% to 56.9% of the amounts requested. PG&amp;E’s 75% and 85% scenarios exceed that range, and its 55% scenario is at the top of it. We are therefore not persuaded to grant PG&amp;E’s request in full at any of the percentages it proposed before a final decision.</w:t>
      </w:r>
    </w:p>
    <w:p w:rsidRPr="002B265F" w:rsidR="002B265F" w:rsidP="002B265F" w:rsidRDefault="002B265F" w14:paraId="697982B8" w14:textId="77777777">
      <w:pPr>
        <w:rPr>
          <w:color w:val="000000" w:themeColor="text1"/>
        </w:rPr>
      </w:pPr>
      <w:r>
        <w:rPr>
          <w:color w:val="000000" w:themeColor="text1"/>
        </w:rPr>
        <w:t>In the most recently concluded GRC Phase 1, the Commission granted SCE 56.9% of its requested increase for the Test Year 2025 GRC. Of the $1.901 billion increase proposed, $1.082 billion was authorized.</w:t>
      </w:r>
      <w:r>
        <w:rPr>
          <w:color w:val="000000" w:themeColor="text1"/>
          <w:vertAlign w:val="superscript"/>
        </w:rPr>
        <w:footnoteReference w:id="80"/>
      </w:r>
    </w:p>
    <w:p w:rsidRPr="002B265F" w:rsidR="002B265F" w:rsidP="002B265F" w:rsidRDefault="002B265F" w14:paraId="7598A927" w14:textId="77777777">
      <w:pPr>
        <w:rPr>
          <w:color w:val="000000" w:themeColor="text1"/>
        </w:rPr>
      </w:pPr>
      <w:r>
        <w:rPr>
          <w:color w:val="000000" w:themeColor="text1"/>
        </w:rPr>
        <w:t xml:space="preserve">In 2024, the Commission authorized 31.5% of the initial combined request of Southern California Gas Company (SoCalGas) and SDG&amp;E. The two utilities </w:t>
      </w:r>
      <w:r>
        <w:rPr>
          <w:color w:val="000000" w:themeColor="text1"/>
        </w:rPr>
        <w:lastRenderedPageBreak/>
        <w:t>proposed a total increase of $1.368 billion and the Commission authorized $431 million.</w:t>
      </w:r>
      <w:r>
        <w:rPr>
          <w:color w:val="000000" w:themeColor="text1"/>
          <w:vertAlign w:val="superscript"/>
        </w:rPr>
        <w:footnoteReference w:id="81"/>
      </w:r>
    </w:p>
    <w:p w:rsidRPr="002B265F" w:rsidR="002B265F" w:rsidP="002B265F" w:rsidRDefault="005101FF" w14:paraId="7C9E34FA" w14:textId="77777777">
      <w:pPr>
        <w:rPr>
          <w:color w:val="000000" w:themeColor="text1"/>
        </w:rPr>
      </w:pPr>
      <w:r>
        <w:rPr>
          <w:color w:val="000000" w:themeColor="text1"/>
        </w:rPr>
        <w:t>In its final decision on PG&amp;E’s Test Year 2023 GRC, the Commission authorized 40.9% of the total requested increase: PG&amp;E proposed a $3.198 billion increase and the Commission authorized a $1.307 billion increase.</w:t>
      </w:r>
      <w:r>
        <w:rPr>
          <w:color w:val="000000" w:themeColor="text1"/>
          <w:vertAlign w:val="superscript"/>
        </w:rPr>
        <w:footnoteReference w:id="82"/>
      </w:r>
    </w:p>
    <w:p w:rsidRPr="0023798B" w:rsidR="003E42CC" w:rsidP="002B265F" w:rsidRDefault="008F007A" w14:paraId="5C6345BE" w14:textId="77777777">
      <w:pPr>
        <w:rPr>
          <w:color w:val="000000" w:themeColor="text1"/>
        </w:rPr>
      </w:pPr>
      <w:r>
        <w:rPr>
          <w:color w:val="000000" w:themeColor="text1"/>
        </w:rPr>
        <w:t>We adopt interim recovery of 55% of PG&amp;E’s requested increases for electric distribution and electric generation, and 85% of its requested decreases for gas distribution and gas transmission and storage, as follows:</w:t>
      </w:r>
    </w:p>
    <w:p w:rsidRPr="00AF440B" w:rsidR="00AD7503" w:rsidP="00AF440B" w:rsidRDefault="00AD7503" w14:paraId="67776BA7" w14:textId="77777777">
      <w:pPr>
        <w:spacing w:after="160" w:line="259" w:lineRule="auto"/>
        <w:ind w:firstLine="0"/>
        <w:rPr>
          <w:color w:val="000000" w:themeColor="text1"/>
        </w:rPr>
      </w:pPr>
      <w:r>
        <w:rPr>
          <w:b/>
          <w:bCs/>
          <w:color w:val="000000" w:themeColor="text1"/>
          <w:sz w:val="24"/>
          <w:szCs w:val="24"/>
        </w:rPr>
        <w:t xml:space="preserve">Table </w:t>
      </w:r>
      <w:r>
        <w:rPr>
          <w:b/>
          <w:bCs/>
          <w:color w:val="000000" w:themeColor="text1"/>
          <w:sz w:val="24"/>
          <w:szCs w:val="24"/>
        </w:rPr>
        <w:fldChar w:fldCharType="begin"/>
      </w:r>
      <w:r>
        <w:rPr>
          <w:b/>
          <w:bCs/>
          <w:color w:val="000000" w:themeColor="text1"/>
          <w:sz w:val="24"/>
          <w:szCs w:val="24"/>
        </w:rPr>
        <w:instrText xml:space="preserve"> SEQ Table \* ARABIC </w:instrText>
      </w:r>
      <w:r>
        <w:rPr>
          <w:b/>
          <w:bCs/>
          <w:color w:val="000000" w:themeColor="text1"/>
          <w:sz w:val="24"/>
          <w:szCs w:val="24"/>
        </w:rPr>
        <w:fldChar w:fldCharType="separate"/>
      </w:r>
      <w:r>
        <w:rPr>
          <w:b/>
          <w:bCs/>
          <w:noProof/>
          <w:color w:val="000000" w:themeColor="text1"/>
          <w:sz w:val="24"/>
          <w:szCs w:val="24"/>
        </w:rPr>
        <w:t>5</w:t>
      </w:r>
      <w:r>
        <w:rPr>
          <w:b/>
          <w:bCs/>
          <w:color w:val="000000" w:themeColor="text1"/>
          <w:sz w:val="24"/>
          <w:szCs w:val="24"/>
        </w:rPr>
        <w:fldChar w:fldCharType="end"/>
      </w:r>
      <w:r>
        <w:rPr>
          <w:b/>
          <w:bCs/>
          <w:color w:val="000000" w:themeColor="text1"/>
          <w:sz w:val="24"/>
          <w:szCs w:val="24"/>
        </w:rPr>
        <w:t>: Authorized Interim Rate Recovery (Millions)</w:t>
      </w:r>
    </w:p>
    <w:tbl>
      <w:tblPr>
        <w:tblW w:w="9990" w:type="dxa"/>
        <w:jc w:val="center"/>
        <w:tblBorders>
          <w:top w:val="single" w:color="000000" w:sz="6" w:space="0"/>
          <w:left w:val="single" w:color="000000" w:sz="6" w:space="0"/>
          <w:bottom w:val="single" w:color="000000" w:sz="6" w:space="0"/>
          <w:right w:val="single" w:color="000000" w:sz="6" w:space="0"/>
        </w:tblBorders>
        <w:tblLayout w:type="fixed"/>
        <w:tblCellMar>
          <w:top w:w="15" w:type="dxa"/>
          <w:left w:w="15" w:type="dxa"/>
          <w:bottom w:w="15" w:type="dxa"/>
          <w:right w:w="72" w:type="dxa"/>
        </w:tblCellMar>
        <w:tblLook w:val="04A0" w:firstRow="1" w:lastRow="0" w:firstColumn="1" w:lastColumn="0" w:noHBand="0" w:noVBand="1"/>
      </w:tblPr>
      <w:tblGrid>
        <w:gridCol w:w="2430"/>
        <w:gridCol w:w="1800"/>
        <w:gridCol w:w="1710"/>
        <w:gridCol w:w="1980"/>
        <w:gridCol w:w="2070"/>
      </w:tblGrid>
      <w:tr w:rsidRPr="0023798B" w:rsidR="008F007A" w:rsidTr="0023798B" w14:paraId="492AB92B" w14:textId="77777777">
        <w:trPr>
          <w:trHeight w:val="483"/>
          <w:jc w:val="center"/>
        </w:trPr>
        <w:tc>
          <w:tcPr>
            <w:tcW w:w="2430" w:type="dxa"/>
            <w:tcBorders>
              <w:top w:val="nil"/>
              <w:left w:val="nil"/>
              <w:bottom w:val="nil"/>
              <w:right w:val="single" w:color="auto" w:sz="4" w:space="0"/>
            </w:tcBorders>
            <w:tcMar>
              <w:top w:w="60" w:type="dxa"/>
              <w:left w:w="60" w:type="dxa"/>
              <w:bottom w:w="60" w:type="dxa"/>
              <w:right w:w="60" w:type="dxa"/>
            </w:tcMar>
            <w:vAlign w:val="center"/>
          </w:tcPr>
          <w:p w:rsidRPr="0023798B" w:rsidR="008F007A" w:rsidRDefault="008F007A" w14:paraId="6B69D981" w14:textId="77777777">
            <w:pPr>
              <w:spacing w:line="240" w:lineRule="auto"/>
              <w:ind w:firstLine="0"/>
              <w:rPr>
                <w:rFonts w:ascii="Times New Roman" w:hAnsi="Times New Roman" w:eastAsia="Times New Roman" w:cs="Times New Roman"/>
                <w:sz w:val="20"/>
                <w:szCs w:val="20"/>
              </w:rPr>
            </w:pPr>
          </w:p>
        </w:tc>
        <w:tc>
          <w:tcPr>
            <w:tcW w:w="1800"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tcPr>
          <w:p w:rsidRPr="0023798B" w:rsidR="008F007A" w:rsidRDefault="008F007A" w14:paraId="56CA2305" w14:textId="77777777">
            <w:pPr>
              <w:spacing w:line="240" w:lineRule="auto"/>
              <w:ind w:firstLine="0"/>
              <w:jc w:val="center"/>
              <w:rPr>
                <w:b/>
                <w:bCs/>
                <w:color w:val="000000" w:themeColor="text1"/>
                <w:sz w:val="24"/>
                <w:szCs w:val="20"/>
              </w:rPr>
            </w:pPr>
            <w:r>
              <w:rPr>
                <w:b/>
                <w:bCs/>
                <w:color w:val="000000" w:themeColor="text1"/>
                <w:sz w:val="24"/>
                <w:szCs w:val="20"/>
              </w:rPr>
              <w:t>2026 Revenue Requirement</w:t>
            </w:r>
          </w:p>
        </w:tc>
        <w:tc>
          <w:tcPr>
            <w:tcW w:w="1710" w:type="dxa"/>
            <w:tcBorders>
              <w:top w:val="single" w:color="000000" w:themeColor="text1" w:sz="6" w:space="0"/>
              <w:left w:val="single" w:color="auto" w:sz="4" w:space="0"/>
              <w:right w:val="single" w:color="000000" w:themeColor="text1" w:sz="6" w:space="0"/>
            </w:tcBorders>
            <w:tcMar>
              <w:top w:w="60" w:type="dxa"/>
              <w:left w:w="60" w:type="dxa"/>
              <w:bottom w:w="60" w:type="dxa"/>
              <w:right w:w="60" w:type="dxa"/>
            </w:tcMar>
            <w:vAlign w:val="center"/>
          </w:tcPr>
          <w:p w:rsidRPr="0023798B" w:rsidR="008F007A" w:rsidRDefault="008F007A" w14:paraId="23AE6C15" w14:textId="77777777">
            <w:pPr>
              <w:spacing w:line="240" w:lineRule="auto"/>
              <w:ind w:firstLine="0"/>
              <w:jc w:val="center"/>
              <w:rPr>
                <w:b/>
                <w:bCs/>
                <w:color w:val="000000" w:themeColor="text1"/>
                <w:sz w:val="24"/>
                <w:szCs w:val="20"/>
              </w:rPr>
            </w:pPr>
            <w:r>
              <w:rPr>
                <w:b/>
                <w:bCs/>
                <w:color w:val="000000" w:themeColor="text1"/>
                <w:sz w:val="24"/>
                <w:szCs w:val="20"/>
              </w:rPr>
              <w:t>2027 Proposed Change</w:t>
            </w:r>
          </w:p>
        </w:tc>
        <w:tc>
          <w:tcPr>
            <w:tcW w:w="1980" w:type="dxa"/>
            <w:tcBorders>
              <w:top w:val="single" w:color="000000" w:themeColor="text1" w:sz="6" w:space="0"/>
              <w:left w:val="single" w:color="000000" w:themeColor="text1" w:sz="6" w:space="0"/>
              <w:right w:val="single" w:color="000000" w:themeColor="text1" w:sz="6" w:space="0"/>
            </w:tcBorders>
            <w:tcMar>
              <w:top w:w="60" w:type="dxa"/>
              <w:left w:w="60" w:type="dxa"/>
              <w:bottom w:w="60" w:type="dxa"/>
              <w:right w:w="60" w:type="dxa"/>
            </w:tcMar>
            <w:vAlign w:val="center"/>
          </w:tcPr>
          <w:p w:rsidRPr="0023798B" w:rsidR="008F007A" w:rsidRDefault="008F007A" w14:paraId="75751F5E" w14:textId="77777777">
            <w:pPr>
              <w:spacing w:line="240" w:lineRule="auto"/>
              <w:ind w:firstLine="0"/>
              <w:jc w:val="center"/>
              <w:rPr>
                <w:b/>
                <w:bCs/>
                <w:color w:val="000000" w:themeColor="text1"/>
                <w:sz w:val="24"/>
                <w:szCs w:val="20"/>
              </w:rPr>
            </w:pPr>
            <w:r>
              <w:rPr>
                <w:b/>
                <w:bCs/>
                <w:color w:val="000000" w:themeColor="text1"/>
                <w:sz w:val="24"/>
                <w:szCs w:val="20"/>
              </w:rPr>
              <w:t xml:space="preserve">Interim Authorization </w:t>
            </w:r>
          </w:p>
        </w:tc>
        <w:tc>
          <w:tcPr>
            <w:tcW w:w="2070" w:type="dxa"/>
            <w:tcBorders>
              <w:top w:val="single" w:color="000000" w:themeColor="text1" w:sz="6" w:space="0"/>
              <w:left w:val="single" w:color="000000" w:themeColor="text1" w:sz="6" w:space="0"/>
              <w:right w:val="single" w:color="000000" w:themeColor="text1" w:sz="6" w:space="0"/>
            </w:tcBorders>
          </w:tcPr>
          <w:p w:rsidRPr="0023798B" w:rsidR="008F007A" w:rsidRDefault="008F007A" w14:paraId="29414CC4" w14:textId="77777777">
            <w:pPr>
              <w:spacing w:line="240" w:lineRule="auto"/>
              <w:ind w:firstLine="0"/>
              <w:jc w:val="center"/>
              <w:rPr>
                <w:b/>
                <w:bCs/>
                <w:color w:val="000000" w:themeColor="text1"/>
                <w:sz w:val="24"/>
                <w:szCs w:val="20"/>
              </w:rPr>
            </w:pPr>
            <w:r>
              <w:rPr>
                <w:b/>
                <w:bCs/>
                <w:color w:val="000000" w:themeColor="text1"/>
                <w:sz w:val="24"/>
                <w:szCs w:val="20"/>
              </w:rPr>
              <w:t>Percent Adopted</w:t>
            </w:r>
          </w:p>
        </w:tc>
      </w:tr>
      <w:tr w:rsidRPr="0023798B" w:rsidR="008F007A" w:rsidTr="0023798B" w14:paraId="36AA8CDD" w14:textId="77777777">
        <w:trPr>
          <w:trHeight w:val="186"/>
          <w:jc w:val="center"/>
        </w:trPr>
        <w:tc>
          <w:tcPr>
            <w:tcW w:w="2430"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hideMark/>
          </w:tcPr>
          <w:p w:rsidRPr="0023798B" w:rsidR="008F007A" w:rsidRDefault="008F007A" w14:paraId="070E88C8" w14:textId="77777777">
            <w:pPr>
              <w:spacing w:line="240" w:lineRule="auto"/>
              <w:ind w:firstLine="0"/>
              <w:rPr>
                <w:color w:val="000000" w:themeColor="text1"/>
                <w:sz w:val="24"/>
                <w:szCs w:val="20"/>
              </w:rPr>
            </w:pPr>
            <w:r>
              <w:rPr>
                <w:color w:val="000000" w:themeColor="text1"/>
                <w:sz w:val="24"/>
                <w:szCs w:val="20"/>
              </w:rPr>
              <w:t>Electric Distribution</w:t>
            </w:r>
          </w:p>
        </w:tc>
        <w:tc>
          <w:tcPr>
            <w:tcW w:w="1800" w:type="dxa"/>
            <w:tcBorders>
              <w:top w:val="single" w:color="auto" w:sz="4" w:space="0"/>
              <w:left w:val="single" w:color="auto" w:sz="4" w:space="0"/>
              <w:bottom w:val="single" w:color="auto" w:sz="4" w:space="0"/>
              <w:right w:val="single" w:color="auto" w:sz="4" w:space="0"/>
            </w:tcBorders>
            <w:tcMar>
              <w:top w:w="60" w:type="dxa"/>
              <w:left w:w="60" w:type="dxa"/>
              <w:bottom w:w="60" w:type="dxa"/>
              <w:right w:w="60" w:type="dxa"/>
            </w:tcMar>
            <w:vAlign w:val="center"/>
            <w:hideMark/>
          </w:tcPr>
          <w:p w:rsidRPr="0023798B" w:rsidR="008F007A" w:rsidRDefault="008F007A" w14:paraId="53A2122F" w14:textId="77777777">
            <w:pPr>
              <w:spacing w:line="240" w:lineRule="auto"/>
              <w:ind w:firstLine="0"/>
              <w:jc w:val="right"/>
              <w:rPr>
                <w:color w:val="000000" w:themeColor="text1"/>
                <w:sz w:val="24"/>
                <w:szCs w:val="24"/>
              </w:rPr>
            </w:pPr>
            <w:r>
              <w:rPr>
                <w:color w:val="000000" w:themeColor="text1"/>
                <w:sz w:val="24"/>
                <w:szCs w:val="24"/>
              </w:rPr>
              <w:t>$8,819</w:t>
            </w:r>
          </w:p>
        </w:tc>
        <w:tc>
          <w:tcPr>
            <w:tcW w:w="1710" w:type="dxa"/>
            <w:tcBorders>
              <w:top w:val="single" w:color="000000" w:themeColor="text1" w:sz="6" w:space="0"/>
              <w:left w:val="single" w:color="auto" w:sz="4" w:space="0"/>
              <w:bottom w:val="single" w:color="000000" w:themeColor="text1" w:sz="6" w:space="0"/>
              <w:right w:val="single" w:color="000000" w:themeColor="text1" w:sz="6" w:space="0"/>
            </w:tcBorders>
            <w:tcMar>
              <w:top w:w="60" w:type="dxa"/>
              <w:left w:w="60" w:type="dxa"/>
              <w:bottom w:w="60" w:type="dxa"/>
              <w:right w:w="60" w:type="dxa"/>
            </w:tcMar>
            <w:vAlign w:val="center"/>
          </w:tcPr>
          <w:p w:rsidRPr="0023798B" w:rsidR="008F007A" w:rsidRDefault="008F007A" w14:paraId="0BA07164" w14:textId="77777777">
            <w:pPr>
              <w:spacing w:line="240" w:lineRule="auto"/>
              <w:ind w:firstLine="0"/>
              <w:jc w:val="right"/>
              <w:rPr>
                <w:color w:val="000000" w:themeColor="text1"/>
                <w:sz w:val="24"/>
                <w:szCs w:val="24"/>
              </w:rPr>
            </w:pPr>
            <w:r>
              <w:rPr>
                <w:color w:val="000000" w:themeColor="text1"/>
                <w:sz w:val="24"/>
                <w:szCs w:val="24"/>
              </w:rPr>
              <w:t xml:space="preserve">$722 </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60" w:type="dxa"/>
              <w:left w:w="60" w:type="dxa"/>
              <w:bottom w:w="60" w:type="dxa"/>
              <w:right w:w="60" w:type="dxa"/>
            </w:tcMar>
            <w:vAlign w:val="center"/>
          </w:tcPr>
          <w:p w:rsidRPr="0023798B" w:rsidR="008F007A" w:rsidRDefault="008F007A" w14:paraId="252AB46A" w14:textId="77777777">
            <w:pPr>
              <w:spacing w:line="240" w:lineRule="auto"/>
              <w:ind w:firstLine="0"/>
              <w:jc w:val="right"/>
              <w:rPr>
                <w:color w:val="000000" w:themeColor="text1"/>
                <w:sz w:val="24"/>
                <w:szCs w:val="24"/>
              </w:rPr>
            </w:pPr>
            <w:r>
              <w:rPr>
                <w:color w:val="000000" w:themeColor="text1"/>
                <w:sz w:val="24"/>
                <w:szCs w:val="24"/>
              </w:rPr>
              <w:t>$397</w:t>
            </w:r>
          </w:p>
        </w:tc>
        <w:tc>
          <w:tcPr>
            <w:tcW w:w="207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23798B" w:rsidR="008F007A" w:rsidP="006E09C2" w:rsidRDefault="008F007A" w14:paraId="72580AFD" w14:textId="77777777">
            <w:pPr>
              <w:spacing w:line="240" w:lineRule="auto"/>
              <w:ind w:firstLine="0"/>
              <w:jc w:val="right"/>
              <w:rPr>
                <w:color w:val="000000" w:themeColor="text1"/>
                <w:sz w:val="24"/>
                <w:szCs w:val="24"/>
              </w:rPr>
            </w:pPr>
            <w:r>
              <w:rPr>
                <w:color w:val="000000" w:themeColor="text1"/>
                <w:sz w:val="24"/>
                <w:szCs w:val="24"/>
              </w:rPr>
              <w:t>55%</w:t>
            </w:r>
          </w:p>
        </w:tc>
      </w:tr>
      <w:tr w:rsidRPr="0023798B" w:rsidR="008F007A" w:rsidTr="0023798B" w14:paraId="12990B9B" w14:textId="77777777">
        <w:trPr>
          <w:jc w:val="center"/>
        </w:trPr>
        <w:tc>
          <w:tcPr>
            <w:tcW w:w="2430" w:type="dxa"/>
            <w:tcBorders>
              <w:top w:val="single" w:color="auto" w:sz="4" w:space="0"/>
              <w:left w:val="single" w:color="000000" w:themeColor="text1" w:sz="6" w:space="0"/>
              <w:bottom w:val="single" w:color="000000" w:themeColor="text1" w:sz="6" w:space="0"/>
              <w:right w:val="single" w:color="000000" w:themeColor="text1" w:sz="6" w:space="0"/>
            </w:tcBorders>
            <w:tcMar>
              <w:top w:w="60" w:type="dxa"/>
              <w:left w:w="60" w:type="dxa"/>
              <w:bottom w:w="60" w:type="dxa"/>
              <w:right w:w="60" w:type="dxa"/>
            </w:tcMar>
            <w:vAlign w:val="center"/>
          </w:tcPr>
          <w:p w:rsidRPr="0023798B" w:rsidR="008F007A" w:rsidP="008F007A" w:rsidRDefault="008F007A" w14:paraId="47EAC4FD" w14:textId="77777777">
            <w:pPr>
              <w:spacing w:line="240" w:lineRule="auto"/>
              <w:ind w:firstLine="0"/>
              <w:rPr>
                <w:color w:val="000000" w:themeColor="text1"/>
                <w:sz w:val="24"/>
                <w:szCs w:val="20"/>
              </w:rPr>
            </w:pPr>
            <w:r>
              <w:rPr>
                <w:color w:val="000000" w:themeColor="text1"/>
                <w:sz w:val="24"/>
                <w:szCs w:val="20"/>
              </w:rPr>
              <w:t>Electric Generation</w:t>
            </w:r>
          </w:p>
        </w:tc>
        <w:tc>
          <w:tcPr>
            <w:tcW w:w="1800" w:type="dxa"/>
            <w:tcBorders>
              <w:top w:val="single" w:color="auto" w:sz="4" w:space="0"/>
              <w:left w:val="single" w:color="000000" w:themeColor="text1" w:sz="6" w:space="0"/>
              <w:bottom w:val="single" w:color="000000" w:themeColor="text1" w:sz="6" w:space="0"/>
              <w:right w:val="single" w:color="000000" w:themeColor="text1" w:sz="6" w:space="0"/>
            </w:tcBorders>
            <w:tcMar>
              <w:top w:w="60" w:type="dxa"/>
              <w:left w:w="60" w:type="dxa"/>
              <w:bottom w:w="60" w:type="dxa"/>
              <w:right w:w="60" w:type="dxa"/>
            </w:tcMar>
            <w:vAlign w:val="center"/>
          </w:tcPr>
          <w:p w:rsidRPr="0023798B" w:rsidR="008F007A" w:rsidP="008F007A" w:rsidRDefault="008F007A" w14:paraId="1493FB6C" w14:textId="77777777">
            <w:pPr>
              <w:spacing w:line="240" w:lineRule="auto"/>
              <w:ind w:firstLine="0"/>
              <w:jc w:val="right"/>
              <w:rPr>
                <w:color w:val="000000" w:themeColor="text1"/>
                <w:sz w:val="24"/>
                <w:szCs w:val="24"/>
              </w:rPr>
            </w:pPr>
            <w:r>
              <w:rPr>
                <w:color w:val="000000" w:themeColor="text1"/>
                <w:sz w:val="24"/>
                <w:szCs w:val="24"/>
              </w:rPr>
              <w:t>$1,220</w:t>
            </w:r>
          </w:p>
        </w:tc>
        <w:tc>
          <w:tcPr>
            <w:tcW w:w="17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60" w:type="dxa"/>
              <w:left w:w="60" w:type="dxa"/>
              <w:bottom w:w="60" w:type="dxa"/>
              <w:right w:w="60" w:type="dxa"/>
            </w:tcMar>
            <w:vAlign w:val="center"/>
          </w:tcPr>
          <w:p w:rsidRPr="0023798B" w:rsidR="008F007A" w:rsidP="008F007A" w:rsidRDefault="008F007A" w14:paraId="0C212C17" w14:textId="77777777">
            <w:pPr>
              <w:spacing w:line="240" w:lineRule="auto"/>
              <w:ind w:firstLine="0"/>
              <w:jc w:val="right"/>
              <w:rPr>
                <w:color w:val="000000" w:themeColor="text1"/>
                <w:sz w:val="24"/>
                <w:szCs w:val="24"/>
              </w:rPr>
            </w:pPr>
            <w:r>
              <w:rPr>
                <w:color w:val="000000" w:themeColor="text1"/>
                <w:sz w:val="24"/>
                <w:szCs w:val="24"/>
              </w:rPr>
              <w:t>265</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60" w:type="dxa"/>
              <w:left w:w="60" w:type="dxa"/>
              <w:bottom w:w="60" w:type="dxa"/>
              <w:right w:w="60" w:type="dxa"/>
            </w:tcMar>
            <w:vAlign w:val="center"/>
          </w:tcPr>
          <w:p w:rsidRPr="0023798B" w:rsidR="008F007A" w:rsidP="008F007A" w:rsidRDefault="00A4537F" w14:paraId="6FA51744" w14:textId="77777777">
            <w:pPr>
              <w:spacing w:line="240" w:lineRule="auto"/>
              <w:ind w:firstLine="0"/>
              <w:jc w:val="right"/>
              <w:rPr>
                <w:color w:val="000000" w:themeColor="text1"/>
                <w:sz w:val="24"/>
                <w:szCs w:val="24"/>
              </w:rPr>
            </w:pPr>
            <w:r>
              <w:rPr>
                <w:color w:val="000000" w:themeColor="text1"/>
                <w:sz w:val="24"/>
                <w:szCs w:val="24"/>
              </w:rPr>
              <w:t>$146</w:t>
            </w:r>
          </w:p>
        </w:tc>
        <w:tc>
          <w:tcPr>
            <w:tcW w:w="207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23798B" w:rsidR="008F007A" w:rsidP="006E09C2" w:rsidRDefault="008F007A" w14:paraId="2B7A6C4A" w14:textId="77777777">
            <w:pPr>
              <w:spacing w:line="240" w:lineRule="auto"/>
              <w:ind w:firstLine="0"/>
              <w:jc w:val="right"/>
              <w:rPr>
                <w:color w:val="000000" w:themeColor="text1"/>
                <w:sz w:val="24"/>
                <w:szCs w:val="24"/>
              </w:rPr>
            </w:pPr>
            <w:r>
              <w:rPr>
                <w:color w:val="000000" w:themeColor="text1"/>
                <w:sz w:val="24"/>
                <w:szCs w:val="24"/>
              </w:rPr>
              <w:t>55%</w:t>
            </w:r>
          </w:p>
        </w:tc>
      </w:tr>
      <w:tr w:rsidRPr="0023798B" w:rsidR="008F007A" w:rsidTr="0023798B" w14:paraId="1767F20B" w14:textId="77777777">
        <w:trPr>
          <w:jc w:val="center"/>
        </w:trPr>
        <w:tc>
          <w:tcPr>
            <w:tcW w:w="2430" w:type="dxa"/>
            <w:tcBorders>
              <w:top w:val="single" w:color="auto" w:sz="4" w:space="0"/>
              <w:left w:val="single" w:color="000000" w:themeColor="text1" w:sz="6" w:space="0"/>
              <w:bottom w:val="single" w:color="000000" w:themeColor="text1" w:sz="6" w:space="0"/>
              <w:right w:val="single" w:color="000000" w:themeColor="text1" w:sz="6" w:space="0"/>
            </w:tcBorders>
            <w:tcMar>
              <w:top w:w="60" w:type="dxa"/>
              <w:left w:w="60" w:type="dxa"/>
              <w:bottom w:w="60" w:type="dxa"/>
              <w:right w:w="60" w:type="dxa"/>
            </w:tcMar>
            <w:vAlign w:val="center"/>
            <w:hideMark/>
          </w:tcPr>
          <w:p w:rsidRPr="0023798B" w:rsidR="008F007A" w:rsidP="008F007A" w:rsidRDefault="008F007A" w14:paraId="145F000B" w14:textId="77777777">
            <w:pPr>
              <w:spacing w:line="240" w:lineRule="auto"/>
              <w:ind w:firstLine="0"/>
              <w:rPr>
                <w:color w:val="000000" w:themeColor="text1"/>
                <w:sz w:val="24"/>
                <w:szCs w:val="20"/>
              </w:rPr>
            </w:pPr>
            <w:r>
              <w:rPr>
                <w:color w:val="000000" w:themeColor="text1"/>
                <w:sz w:val="24"/>
                <w:szCs w:val="20"/>
              </w:rPr>
              <w:t>Gas Distribution</w:t>
            </w:r>
          </w:p>
        </w:tc>
        <w:tc>
          <w:tcPr>
            <w:tcW w:w="1800" w:type="dxa"/>
            <w:tcBorders>
              <w:top w:val="single" w:color="auto" w:sz="4" w:space="0"/>
              <w:left w:val="single" w:color="000000" w:themeColor="text1" w:sz="6" w:space="0"/>
              <w:bottom w:val="single" w:color="000000" w:themeColor="text1" w:sz="6" w:space="0"/>
              <w:right w:val="single" w:color="000000" w:themeColor="text1" w:sz="6" w:space="0"/>
            </w:tcBorders>
            <w:tcMar>
              <w:top w:w="60" w:type="dxa"/>
              <w:left w:w="60" w:type="dxa"/>
              <w:bottom w:w="60" w:type="dxa"/>
              <w:right w:w="60" w:type="dxa"/>
            </w:tcMar>
            <w:vAlign w:val="center"/>
            <w:hideMark/>
          </w:tcPr>
          <w:p w:rsidRPr="0023798B" w:rsidR="008F007A" w:rsidP="008F007A" w:rsidRDefault="008F007A" w14:paraId="1B916B75" w14:textId="77777777">
            <w:pPr>
              <w:spacing w:line="240" w:lineRule="auto"/>
              <w:ind w:firstLine="0"/>
              <w:jc w:val="right"/>
              <w:rPr>
                <w:color w:val="000000" w:themeColor="text1"/>
                <w:sz w:val="24"/>
                <w:szCs w:val="24"/>
              </w:rPr>
            </w:pPr>
            <w:r>
              <w:rPr>
                <w:color w:val="000000" w:themeColor="text1"/>
                <w:sz w:val="24"/>
                <w:szCs w:val="24"/>
              </w:rPr>
              <w:t>$3,104</w:t>
            </w:r>
          </w:p>
        </w:tc>
        <w:tc>
          <w:tcPr>
            <w:tcW w:w="17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60" w:type="dxa"/>
              <w:left w:w="60" w:type="dxa"/>
              <w:bottom w:w="60" w:type="dxa"/>
              <w:right w:w="60" w:type="dxa"/>
            </w:tcMar>
            <w:vAlign w:val="center"/>
          </w:tcPr>
          <w:p w:rsidRPr="0023798B" w:rsidR="008F007A" w:rsidP="008F007A" w:rsidRDefault="008F007A" w14:paraId="34D42997" w14:textId="77777777">
            <w:pPr>
              <w:spacing w:line="240" w:lineRule="auto"/>
              <w:ind w:firstLine="0"/>
              <w:jc w:val="right"/>
              <w:rPr>
                <w:color w:val="000000" w:themeColor="text1"/>
                <w:sz w:val="24"/>
                <w:szCs w:val="24"/>
              </w:rPr>
            </w:pPr>
            <w:r>
              <w:rPr>
                <w:color w:val="000000" w:themeColor="text1"/>
                <w:sz w:val="24"/>
                <w:szCs w:val="24"/>
              </w:rPr>
              <w:t>($63)</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60" w:type="dxa"/>
              <w:left w:w="60" w:type="dxa"/>
              <w:bottom w:w="60" w:type="dxa"/>
              <w:right w:w="60" w:type="dxa"/>
            </w:tcMar>
            <w:vAlign w:val="center"/>
          </w:tcPr>
          <w:p w:rsidRPr="0023798B" w:rsidR="008F007A" w:rsidP="008F007A" w:rsidRDefault="008F007A" w14:paraId="4A4C67A3" w14:textId="77777777">
            <w:pPr>
              <w:spacing w:line="240" w:lineRule="auto"/>
              <w:ind w:firstLine="0"/>
              <w:jc w:val="right"/>
              <w:rPr>
                <w:color w:val="000000" w:themeColor="text1"/>
                <w:sz w:val="24"/>
                <w:szCs w:val="24"/>
              </w:rPr>
            </w:pPr>
            <w:r>
              <w:rPr>
                <w:color w:val="000000" w:themeColor="text1"/>
                <w:sz w:val="24"/>
                <w:szCs w:val="24"/>
              </w:rPr>
              <w:t>($54)</w:t>
            </w:r>
          </w:p>
        </w:tc>
        <w:tc>
          <w:tcPr>
            <w:tcW w:w="207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23798B" w:rsidR="008F007A" w:rsidP="006E09C2" w:rsidRDefault="00512426" w14:paraId="7030B3A0" w14:textId="77777777">
            <w:pPr>
              <w:spacing w:line="240" w:lineRule="auto"/>
              <w:ind w:firstLine="0"/>
              <w:jc w:val="right"/>
              <w:rPr>
                <w:color w:val="000000" w:themeColor="text1"/>
                <w:sz w:val="24"/>
                <w:szCs w:val="24"/>
              </w:rPr>
            </w:pPr>
            <w:r>
              <w:rPr>
                <w:color w:val="000000" w:themeColor="text1"/>
                <w:sz w:val="24"/>
                <w:szCs w:val="24"/>
              </w:rPr>
              <w:t>(85%)</w:t>
            </w:r>
          </w:p>
        </w:tc>
      </w:tr>
      <w:tr w:rsidRPr="0023798B" w:rsidR="008F007A" w:rsidTr="0023798B" w14:paraId="4A908CD8" w14:textId="77777777">
        <w:trPr>
          <w:jc w:val="center"/>
        </w:trPr>
        <w:tc>
          <w:tcPr>
            <w:tcW w:w="24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60" w:type="dxa"/>
              <w:left w:w="60" w:type="dxa"/>
              <w:bottom w:w="60" w:type="dxa"/>
              <w:right w:w="60" w:type="dxa"/>
            </w:tcMar>
            <w:vAlign w:val="center"/>
          </w:tcPr>
          <w:p w:rsidRPr="0023798B" w:rsidR="008F007A" w:rsidP="008F007A" w:rsidRDefault="008F007A" w14:paraId="09BD5FA6" w14:textId="77777777">
            <w:pPr>
              <w:spacing w:line="240" w:lineRule="auto"/>
              <w:ind w:firstLine="0"/>
              <w:rPr>
                <w:color w:val="000000" w:themeColor="text1"/>
                <w:sz w:val="24"/>
                <w:szCs w:val="20"/>
              </w:rPr>
            </w:pPr>
            <w:r>
              <w:rPr>
                <w:color w:val="000000" w:themeColor="text1"/>
                <w:sz w:val="24"/>
                <w:szCs w:val="20"/>
              </w:rPr>
              <w:t>Gas Transmission &amp; Storage</w:t>
            </w:r>
          </w:p>
        </w:tc>
        <w:tc>
          <w:tcPr>
            <w:tcW w:w="18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60" w:type="dxa"/>
              <w:left w:w="60" w:type="dxa"/>
              <w:bottom w:w="60" w:type="dxa"/>
              <w:right w:w="60" w:type="dxa"/>
            </w:tcMar>
            <w:vAlign w:val="center"/>
          </w:tcPr>
          <w:p w:rsidRPr="0023798B" w:rsidR="008F007A" w:rsidP="008F007A" w:rsidRDefault="008F007A" w14:paraId="410B1A01" w14:textId="77777777">
            <w:pPr>
              <w:spacing w:line="240" w:lineRule="auto"/>
              <w:ind w:firstLine="0"/>
              <w:jc w:val="right"/>
              <w:rPr>
                <w:color w:val="000000" w:themeColor="text1"/>
                <w:sz w:val="24"/>
                <w:szCs w:val="24"/>
              </w:rPr>
            </w:pPr>
            <w:r>
              <w:rPr>
                <w:color w:val="000000" w:themeColor="text1"/>
                <w:sz w:val="24"/>
                <w:szCs w:val="24"/>
              </w:rPr>
              <w:t>$2,196</w:t>
            </w:r>
          </w:p>
        </w:tc>
        <w:tc>
          <w:tcPr>
            <w:tcW w:w="17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60" w:type="dxa"/>
              <w:left w:w="60" w:type="dxa"/>
              <w:bottom w:w="60" w:type="dxa"/>
              <w:right w:w="60" w:type="dxa"/>
            </w:tcMar>
            <w:vAlign w:val="center"/>
          </w:tcPr>
          <w:p w:rsidRPr="0023798B" w:rsidR="008F007A" w:rsidP="008F007A" w:rsidRDefault="008F007A" w14:paraId="61F162C4" w14:textId="77777777">
            <w:pPr>
              <w:spacing w:line="240" w:lineRule="auto"/>
              <w:ind w:firstLine="0"/>
              <w:jc w:val="right"/>
              <w:rPr>
                <w:color w:val="000000" w:themeColor="text1"/>
                <w:sz w:val="24"/>
                <w:szCs w:val="24"/>
              </w:rPr>
            </w:pPr>
            <w:r>
              <w:rPr>
                <w:color w:val="000000" w:themeColor="text1"/>
                <w:sz w:val="24"/>
                <w:szCs w:val="24"/>
              </w:rPr>
              <w:t>($39)</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60" w:type="dxa"/>
              <w:left w:w="60" w:type="dxa"/>
              <w:bottom w:w="60" w:type="dxa"/>
              <w:right w:w="60" w:type="dxa"/>
            </w:tcMar>
            <w:vAlign w:val="center"/>
          </w:tcPr>
          <w:p w:rsidRPr="0023798B" w:rsidR="008F007A" w:rsidP="008F007A" w:rsidRDefault="008F007A" w14:paraId="0466E135" w14:textId="77777777">
            <w:pPr>
              <w:spacing w:line="240" w:lineRule="auto"/>
              <w:ind w:firstLine="0"/>
              <w:jc w:val="right"/>
              <w:rPr>
                <w:color w:val="000000" w:themeColor="text1"/>
                <w:sz w:val="24"/>
                <w:szCs w:val="24"/>
              </w:rPr>
            </w:pPr>
            <w:r>
              <w:rPr>
                <w:color w:val="000000" w:themeColor="text1"/>
                <w:sz w:val="24"/>
                <w:szCs w:val="24"/>
              </w:rPr>
              <w:t>($33)</w:t>
            </w:r>
          </w:p>
        </w:tc>
        <w:tc>
          <w:tcPr>
            <w:tcW w:w="207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23798B" w:rsidR="008F007A" w:rsidP="006E09C2" w:rsidRDefault="00512426" w14:paraId="79DA6639" w14:textId="77777777">
            <w:pPr>
              <w:spacing w:line="240" w:lineRule="auto"/>
              <w:ind w:firstLine="0"/>
              <w:jc w:val="right"/>
              <w:rPr>
                <w:color w:val="000000" w:themeColor="text1"/>
                <w:sz w:val="24"/>
                <w:szCs w:val="24"/>
              </w:rPr>
            </w:pPr>
            <w:r>
              <w:rPr>
                <w:color w:val="000000" w:themeColor="text1"/>
                <w:sz w:val="24"/>
                <w:szCs w:val="24"/>
              </w:rPr>
              <w:t>(85%)</w:t>
            </w:r>
          </w:p>
        </w:tc>
      </w:tr>
      <w:tr w:rsidRPr="0023798B" w:rsidR="008F007A" w:rsidTr="0023798B" w14:paraId="24426BA0" w14:textId="77777777">
        <w:trPr>
          <w:jc w:val="center"/>
        </w:trPr>
        <w:tc>
          <w:tcPr>
            <w:tcW w:w="24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60" w:type="dxa"/>
              <w:left w:w="60" w:type="dxa"/>
              <w:bottom w:w="60" w:type="dxa"/>
              <w:right w:w="60" w:type="dxa"/>
            </w:tcMar>
            <w:vAlign w:val="center"/>
            <w:hideMark/>
          </w:tcPr>
          <w:p w:rsidRPr="0023798B" w:rsidR="008F007A" w:rsidP="008F007A" w:rsidRDefault="008F007A" w14:paraId="2678294A" w14:textId="77777777">
            <w:pPr>
              <w:spacing w:line="240" w:lineRule="auto"/>
              <w:ind w:firstLine="0"/>
              <w:rPr>
                <w:b/>
                <w:bCs/>
                <w:color w:val="000000" w:themeColor="text1"/>
                <w:sz w:val="24"/>
                <w:szCs w:val="20"/>
              </w:rPr>
            </w:pPr>
            <w:r>
              <w:rPr>
                <w:b/>
                <w:bCs/>
                <w:color w:val="000000" w:themeColor="text1"/>
                <w:sz w:val="24"/>
                <w:szCs w:val="20"/>
              </w:rPr>
              <w:t>Total GRC</w:t>
            </w:r>
          </w:p>
        </w:tc>
        <w:tc>
          <w:tcPr>
            <w:tcW w:w="18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60" w:type="dxa"/>
              <w:left w:w="60" w:type="dxa"/>
              <w:bottom w:w="60" w:type="dxa"/>
              <w:right w:w="60" w:type="dxa"/>
            </w:tcMar>
            <w:vAlign w:val="center"/>
            <w:hideMark/>
          </w:tcPr>
          <w:p w:rsidRPr="0023798B" w:rsidR="008F007A" w:rsidP="008F007A" w:rsidRDefault="008F007A" w14:paraId="6AD4C828" w14:textId="77777777">
            <w:pPr>
              <w:spacing w:line="240" w:lineRule="auto"/>
              <w:ind w:firstLine="0"/>
              <w:jc w:val="right"/>
              <w:rPr>
                <w:b/>
                <w:bCs/>
                <w:color w:val="000000" w:themeColor="text1"/>
                <w:sz w:val="24"/>
                <w:szCs w:val="24"/>
              </w:rPr>
            </w:pPr>
            <w:r>
              <w:rPr>
                <w:b/>
                <w:bCs/>
                <w:color w:val="000000" w:themeColor="text1"/>
                <w:sz w:val="24"/>
                <w:szCs w:val="24"/>
              </w:rPr>
              <w:t>$15,339</w:t>
            </w:r>
          </w:p>
        </w:tc>
        <w:tc>
          <w:tcPr>
            <w:tcW w:w="17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60" w:type="dxa"/>
              <w:left w:w="60" w:type="dxa"/>
              <w:bottom w:w="60" w:type="dxa"/>
              <w:right w:w="60" w:type="dxa"/>
            </w:tcMar>
          </w:tcPr>
          <w:p w:rsidRPr="0023798B" w:rsidR="008F007A" w:rsidP="008F007A" w:rsidRDefault="008F007A" w14:paraId="000FA34B" w14:textId="77777777">
            <w:pPr>
              <w:spacing w:line="240" w:lineRule="auto"/>
              <w:ind w:firstLine="0"/>
              <w:jc w:val="right"/>
              <w:rPr>
                <w:b/>
                <w:bCs/>
                <w:color w:val="000000" w:themeColor="text1"/>
                <w:sz w:val="24"/>
                <w:szCs w:val="24"/>
              </w:rPr>
            </w:pPr>
            <w:r>
              <w:rPr>
                <w:b/>
                <w:bCs/>
                <w:color w:val="000000" w:themeColor="text1"/>
                <w:sz w:val="24"/>
                <w:szCs w:val="24"/>
              </w:rPr>
              <w:t xml:space="preserve">$885 </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60" w:type="dxa"/>
              <w:left w:w="60" w:type="dxa"/>
              <w:bottom w:w="60" w:type="dxa"/>
              <w:right w:w="60" w:type="dxa"/>
            </w:tcMar>
            <w:vAlign w:val="center"/>
          </w:tcPr>
          <w:p w:rsidRPr="0023798B" w:rsidR="008F007A" w:rsidP="008F007A" w:rsidRDefault="008F007A" w14:paraId="72F811FD" w14:textId="77777777">
            <w:pPr>
              <w:spacing w:line="240" w:lineRule="auto"/>
              <w:ind w:firstLine="0"/>
              <w:jc w:val="right"/>
              <w:rPr>
                <w:b/>
                <w:bCs/>
                <w:color w:val="000000" w:themeColor="text1"/>
                <w:sz w:val="24"/>
                <w:szCs w:val="24"/>
              </w:rPr>
            </w:pPr>
            <w:r>
              <w:rPr>
                <w:b/>
                <w:bCs/>
                <w:color w:val="000000" w:themeColor="text1"/>
                <w:sz w:val="24"/>
                <w:szCs w:val="24"/>
              </w:rPr>
              <w:t>$456</w:t>
            </w:r>
          </w:p>
        </w:tc>
        <w:tc>
          <w:tcPr>
            <w:tcW w:w="207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23798B" w:rsidR="008F007A" w:rsidP="006E09C2" w:rsidRDefault="008F007A" w14:paraId="31D71B63" w14:textId="77777777">
            <w:pPr>
              <w:spacing w:line="240" w:lineRule="auto"/>
              <w:ind w:firstLine="0"/>
              <w:jc w:val="right"/>
              <w:rPr>
                <w:b/>
                <w:bCs/>
                <w:color w:val="000000" w:themeColor="text1"/>
                <w:sz w:val="24"/>
                <w:szCs w:val="24"/>
              </w:rPr>
            </w:pPr>
            <w:r>
              <w:rPr>
                <w:b/>
                <w:bCs/>
                <w:color w:val="000000" w:themeColor="text1"/>
                <w:sz w:val="24"/>
                <w:szCs w:val="24"/>
              </w:rPr>
              <w:t>51.5%</w:t>
            </w:r>
          </w:p>
        </w:tc>
      </w:tr>
    </w:tbl>
    <w:p w:rsidRPr="0023798B" w:rsidR="008F007A" w:rsidP="002B265F" w:rsidRDefault="008F007A" w14:paraId="2327979E" w14:textId="77777777">
      <w:pPr>
        <w:rPr>
          <w:color w:val="000000" w:themeColor="text1"/>
        </w:rPr>
      </w:pPr>
      <w:r>
        <w:rPr>
          <w:color w:val="000000" w:themeColor="text1"/>
        </w:rPr>
        <w:t>The adopted interim increase of $456 million is 2.97% of the 2026 adopted revenue requirement. It equals approximately 51.5% of PG&amp;E’s requested net increase, within the range of recent GRC authorizations, and is below the $487 million PG&amp;E would have recovered under its 55% scenario. We apply a higher percentage to the gas functions because PG&amp;E proposes decreases there, and a higher percentage passes more of those decreases to customers sooner.</w:t>
      </w:r>
    </w:p>
    <w:p w:rsidRPr="002B265F" w:rsidR="002B265F" w:rsidP="00AF440B" w:rsidRDefault="002B265F" w14:paraId="40F04E9B" w14:textId="77777777">
      <w:pPr>
        <w:pStyle w:val="Heading1"/>
      </w:pPr>
      <w:r>
        <w:lastRenderedPageBreak/>
        <w:t>Conclusion</w:t>
      </w:r>
    </w:p>
    <w:p w:rsidRPr="0023798B" w:rsidR="008F007A" w:rsidP="008F007A" w:rsidRDefault="008F007A" w14:paraId="5E0471B7" w14:textId="77777777">
      <w:pPr>
        <w:pStyle w:val="Standard"/>
      </w:pPr>
      <w:r>
        <w:t xml:space="preserve">We have reviewed the arguments of PG&amp;E, Cal Advocates, TURN, and the Joint Parties. We find that </w:t>
      </w:r>
      <w:r>
        <w:rPr>
          <w:i/>
          <w:iCs/>
        </w:rPr>
        <w:t>TURN v. PUC</w:t>
      </w:r>
      <w:r>
        <w:t xml:space="preserve"> does not require an urgency need, a financial emergency, resolving investment related costs, or a prior final determination of costs before interim rates may be set, and that the Commission may grant interim relief where fairness to both the utility and the public requires a timely decision before the final decision.</w:t>
      </w:r>
    </w:p>
    <w:p w:rsidRPr="00637592" w:rsidR="008F007A" w:rsidP="00637592" w:rsidRDefault="008F007A" w14:paraId="6B8B586A" w14:textId="77777777">
      <w:pPr>
        <w:pStyle w:val="Standard"/>
      </w:pPr>
      <w:r>
        <w:t>We find that interim rate relief in an amount less than PG&amp;E requested is reasonable. The relief we adopt reduces interest costs and rate volatility, protects customers through interest-bearing refunds, and is fair to PG&amp;E because it aligns recovery more closely with the period in which costs are incurred. This relief is consistent with the standard of fairness to both the utility and the public.</w:t>
      </w:r>
    </w:p>
    <w:p w:rsidRPr="00637592" w:rsidR="00AD7503" w:rsidP="00637592" w:rsidRDefault="008F007A" w14:paraId="5BCBB9AA" w14:textId="77777777">
      <w:pPr>
        <w:pStyle w:val="Standard"/>
      </w:pPr>
      <w:r>
        <w:t xml:space="preserve">Accordingly, we grant PG&amp;E’s IRR Motion in part, in the amount of $456 million effective January 1, 2027, subject to refund with interest at the three-month commercial paper rate </w:t>
      </w:r>
      <w:bookmarkStart w:name="_cp_change_7" w:id="18"/>
      <w:r>
        <w:rPr>
          <w:color w:val="0000FF"/>
          <w:u w:val="double" w:color="0000FF"/>
        </w:rPr>
        <w:t xml:space="preserve">plus an additional Yield Spread Adjustment </w:t>
      </w:r>
      <w:bookmarkEnd w:id="18"/>
      <w:r>
        <w:t>pending the final decision in A.25-05-009. We deny the remainder of PG&amp;E’s interim rate relief request.</w:t>
      </w:r>
    </w:p>
    <w:p w:rsidRPr="002B265F" w:rsidR="002B265F" w:rsidP="002B265F" w:rsidRDefault="002B265F" w14:paraId="319EA2F9" w14:textId="77777777">
      <w:pPr>
        <w:pStyle w:val="Heading1"/>
        <w:ind w:hanging="720"/>
      </w:pPr>
      <w:bookmarkStart w:name="_Toc238553235" w:id="19"/>
      <w:r>
        <w:t>Comments on Proposed Decision</w:t>
      </w:r>
      <w:bookmarkEnd w:id="19"/>
    </w:p>
    <w:p w:rsidRPr="00AF440B" w:rsidR="002B265F" w:rsidP="002B265F" w:rsidRDefault="002B265F" w14:paraId="2DDEF9BC" w14:textId="77777777">
      <w:r>
        <w:t>The proposed decision of Administrative Law Judges (ALJs) Elizabeth Fox, Darryl Gruen, and John Larsen in this matter was mailed to the parties in accordance with Pub. Util. Code §311 and comments were allowed under Rule 14.3 of the Commission’s Rules of Practice and Procedure. Cal Advocates, TURN, and the Joint Parties filed comments on October 13, 2026 and PG&amp;E filed reply comments on October 19, 2026.</w:t>
      </w:r>
    </w:p>
    <w:p w:rsidRPr="0023798B" w:rsidR="00D60476" w:rsidP="002B265F" w:rsidRDefault="00DF5F6D" w14:paraId="5E1F5B84" w14:textId="77777777">
      <w:r>
        <w:t xml:space="preserve">These comments are summarized and addressed in the body of the decision, as appropriate. After reviewing the comments, we decline to adopt </w:t>
      </w:r>
      <w:r>
        <w:lastRenderedPageBreak/>
        <w:t>changes to the decision. Per Rule 14.3(c), we give no weight to comments that fail to focus on factual, legal or technical errors, or merely re-argue a party’s position, and therefore do not address those comments here.</w:t>
      </w:r>
    </w:p>
    <w:p w:rsidRPr="0023798B" w:rsidR="00C1086D" w:rsidP="002B265F" w:rsidRDefault="00C1086D" w14:paraId="7406B5F6" w14:textId="77777777">
      <w:r>
        <w:t xml:space="preserve">The revisions herein have clarified Commission’s interpretation of </w:t>
      </w:r>
      <w:r>
        <w:rPr>
          <w:i/>
          <w:iCs/>
        </w:rPr>
        <w:t xml:space="preserve">TURN v. PUC. </w:t>
      </w:r>
      <w:r>
        <w:t>The revisions also clarify Commission’s rationale for ratepayer protections in the context of rate smoothing, and interest accrual on undercollections.</w:t>
      </w:r>
    </w:p>
    <w:p w:rsidRPr="002B265F" w:rsidR="002B265F" w:rsidP="002B265F" w:rsidRDefault="002B265F" w14:paraId="407F847F" w14:textId="77777777">
      <w:pPr>
        <w:pStyle w:val="Heading1"/>
        <w:ind w:hanging="720"/>
      </w:pPr>
      <w:bookmarkStart w:name="_Toc238553236" w:id="20"/>
      <w:r>
        <w:t>Assignment of Proceeding</w:t>
      </w:r>
      <w:bookmarkEnd w:id="20"/>
    </w:p>
    <w:p w:rsidRPr="002B265F" w:rsidR="002B265F" w:rsidP="002B265F" w:rsidRDefault="002B265F" w14:paraId="770AC5CA" w14:textId="77777777">
      <w:r>
        <w:t>Matthew Baker is the assigned Commissioner and Elizabeth Fox, Darryl Gruen, and John Larsen are the assigned ALJs in this proceeding.</w:t>
      </w:r>
    </w:p>
    <w:p w:rsidRPr="002B265F" w:rsidR="002B265F" w:rsidP="002B265F" w:rsidRDefault="002B265F" w14:paraId="7352C56C" w14:textId="77777777">
      <w:pPr>
        <w:keepNext/>
        <w:keepLines/>
        <w:spacing w:after="120" w:line="240" w:lineRule="auto"/>
        <w:ind w:firstLine="0"/>
        <w:outlineLvl w:val="0"/>
        <w:rPr>
          <w:rFonts w:ascii="Arial" w:hAnsi="Arial" w:cs="Arial"/>
          <w:b/>
          <w:szCs w:val="26"/>
        </w:rPr>
      </w:pPr>
      <w:bookmarkStart w:name="_Toc238553237" w:id="21"/>
      <w:r>
        <w:rPr>
          <w:rFonts w:ascii="Arial" w:hAnsi="Arial" w:cs="Arial"/>
          <w:b/>
          <w:szCs w:val="26"/>
        </w:rPr>
        <w:t>Findings of Fact</w:t>
      </w:r>
      <w:bookmarkEnd w:id="21"/>
    </w:p>
    <w:p w:rsidRPr="002B265F" w:rsidR="002B265F" w:rsidP="002B265F" w:rsidRDefault="002B265F" w14:paraId="496CC7EE" w14:textId="77777777">
      <w:pPr>
        <w:numPr>
          <w:ilvl w:val="0"/>
          <w:numId w:val="1"/>
        </w:numPr>
        <w:ind w:firstLine="547"/>
        <w:rPr>
          <w:color w:val="000000" w:themeColor="text1"/>
        </w:rPr>
      </w:pPr>
      <w:r>
        <w:rPr>
          <w:color w:val="000000" w:themeColor="text1"/>
        </w:rPr>
        <w:t xml:space="preserve">PG&amp;E filed a motion requesting interim authorization to recover 55%, 75%, or 85% of its requested $1.188 billion revenue requirement increase for TY 2027, beginning January 1, 2027, to remain in effect until implementation of a final decision in this proceeding. </w:t>
      </w:r>
    </w:p>
    <w:p w:rsidRPr="002B265F" w:rsidR="002B265F" w:rsidP="002B265F" w:rsidRDefault="002B265F" w14:paraId="6D3ECD80" w14:textId="77777777">
      <w:pPr>
        <w:numPr>
          <w:ilvl w:val="0"/>
          <w:numId w:val="1"/>
        </w:numPr>
        <w:ind w:firstLine="547"/>
        <w:rPr>
          <w:color w:val="000000" w:themeColor="text1"/>
        </w:rPr>
      </w:pPr>
      <w:r>
        <w:rPr>
          <w:color w:val="000000" w:themeColor="text1"/>
        </w:rPr>
        <w:t>Cal Advocates, California Large Energy Consumers Association, Energy Producers and Users Coalition, Indicated Shippers, and TURN opposed PG&amp;E’s motion.</w:t>
      </w:r>
    </w:p>
    <w:p w:rsidRPr="0023798B" w:rsidR="00A4537F" w:rsidP="002B265F" w:rsidRDefault="002B265F" w14:paraId="1D5E91C0" w14:textId="77777777">
      <w:pPr>
        <w:numPr>
          <w:ilvl w:val="0"/>
          <w:numId w:val="1"/>
        </w:numPr>
        <w:ind w:firstLine="547"/>
        <w:rPr>
          <w:color w:val="000000" w:themeColor="text1"/>
        </w:rPr>
      </w:pPr>
      <w:r>
        <w:rPr>
          <w:color w:val="000000" w:themeColor="text1"/>
        </w:rPr>
        <w:t xml:space="preserve">PG&amp;E updated its TY 2027 revenue requirement request to $885 million above the 2026 adopted value. </w:t>
      </w:r>
    </w:p>
    <w:p w:rsidRPr="0023798B" w:rsidR="00096541" w:rsidP="00096541" w:rsidRDefault="00096541" w14:paraId="500A3C1B" w14:textId="77777777">
      <w:pPr>
        <w:numPr>
          <w:ilvl w:val="0"/>
          <w:numId w:val="1"/>
        </w:numPr>
        <w:ind w:firstLine="547"/>
        <w:rPr>
          <w:color w:val="000000" w:themeColor="text1"/>
        </w:rPr>
      </w:pPr>
      <w:r>
        <w:rPr>
          <w:color w:val="000000" w:themeColor="text1"/>
        </w:rPr>
        <w:t>PG&amp;E estimates that interim recovery beginning January 1, 2027 would save customers roughly $13.6 million to $21.0 million in interest, depending on the percentage authorized.</w:t>
      </w:r>
    </w:p>
    <w:p w:rsidRPr="0023798B" w:rsidR="00F77FB7" w:rsidP="00F77FB7" w:rsidRDefault="00F77FB7" w14:paraId="33B0AAFB" w14:textId="77777777">
      <w:pPr>
        <w:numPr>
          <w:ilvl w:val="0"/>
          <w:numId w:val="1"/>
        </w:numPr>
        <w:ind w:firstLine="547"/>
        <w:rPr>
          <w:color w:val="000000" w:themeColor="text1"/>
        </w:rPr>
      </w:pPr>
      <w:r>
        <w:rPr>
          <w:color w:val="000000" w:themeColor="text1"/>
        </w:rPr>
        <w:t>PG&amp;E does not claim a financial emergency in its request for an interim rate relief, and there is none.</w:t>
      </w:r>
    </w:p>
    <w:p w:rsidRPr="0023798B" w:rsidR="00960BB5" w:rsidP="00096541" w:rsidRDefault="00960BB5" w14:paraId="1B9C2A7D" w14:textId="77777777">
      <w:pPr>
        <w:numPr>
          <w:ilvl w:val="0"/>
          <w:numId w:val="1"/>
        </w:numPr>
        <w:ind w:firstLine="547"/>
        <w:rPr>
          <w:color w:val="000000" w:themeColor="text1"/>
        </w:rPr>
      </w:pPr>
      <w:r>
        <w:rPr>
          <w:color w:val="000000" w:themeColor="text1"/>
        </w:rPr>
        <w:lastRenderedPageBreak/>
        <w:t>If no interim rate relief is granted, the difference between the current revenue requirement and the amount ultimately authorized in the final decision will accumulate in a GRC memorandum account. PG&amp;E will have to collect that balance on top of the new revenue requirement when the final decision is adopted.</w:t>
      </w:r>
    </w:p>
    <w:p w:rsidRPr="0023798B" w:rsidR="00960BB5" w:rsidP="00096541" w:rsidRDefault="00960BB5" w14:paraId="5116C5F1" w14:textId="77777777">
      <w:pPr>
        <w:numPr>
          <w:ilvl w:val="0"/>
          <w:numId w:val="1"/>
        </w:numPr>
        <w:ind w:firstLine="547"/>
        <w:rPr>
          <w:color w:val="000000" w:themeColor="text1"/>
        </w:rPr>
      </w:pPr>
      <w:r>
        <w:rPr>
          <w:color w:val="000000" w:themeColor="text1"/>
        </w:rPr>
        <w:t xml:space="preserve">Interim recovery reduces the need to accrue a balance in the GRC memorandum account, so the rate change at implementation is smaller whether the Commission ultimately authorizes 100% of the request or less. </w:t>
      </w:r>
    </w:p>
    <w:p w:rsidRPr="0023798B" w:rsidR="00960BB5" w:rsidP="00096541" w:rsidRDefault="00960BB5" w14:paraId="71B481CB" w14:textId="77777777">
      <w:pPr>
        <w:numPr>
          <w:ilvl w:val="0"/>
          <w:numId w:val="1"/>
        </w:numPr>
        <w:ind w:firstLine="547"/>
        <w:rPr>
          <w:color w:val="000000" w:themeColor="text1"/>
        </w:rPr>
      </w:pPr>
      <w:r>
        <w:rPr>
          <w:color w:val="000000" w:themeColor="text1"/>
        </w:rPr>
        <w:t>Interim recovery avoids interest accruing on the undercollection in the memorandum accounts, smooths rates and makes them more predictable, and avoids shifting costs to future customers if the final decision is delayed beyond May 2027.</w:t>
      </w:r>
    </w:p>
    <w:p w:rsidRPr="0023798B" w:rsidR="00096541" w:rsidP="00096541" w:rsidRDefault="00096541" w14:paraId="34E44162" w14:textId="77777777">
      <w:pPr>
        <w:numPr>
          <w:ilvl w:val="0"/>
          <w:numId w:val="1"/>
        </w:numPr>
        <w:ind w:firstLine="547"/>
        <w:rPr>
          <w:color w:val="000000" w:themeColor="text1"/>
        </w:rPr>
      </w:pPr>
      <w:r>
        <w:rPr>
          <w:color w:val="000000" w:themeColor="text1"/>
        </w:rPr>
        <w:t>The benefits of interim recovery are time-sensitive and would diminish if the Commission denies any level of interim rate relief.</w:t>
      </w:r>
    </w:p>
    <w:p w:rsidRPr="0023798B" w:rsidR="002D5ED9" w:rsidP="002D5ED9" w:rsidRDefault="00F77FB7" w14:paraId="33AD1129" w14:textId="77777777">
      <w:pPr>
        <w:numPr>
          <w:ilvl w:val="0"/>
          <w:numId w:val="1"/>
        </w:numPr>
        <w:ind w:firstLine="547"/>
        <w:rPr>
          <w:color w:val="000000" w:themeColor="text1"/>
        </w:rPr>
      </w:pPr>
      <w:r>
        <w:rPr>
          <w:color w:val="000000" w:themeColor="text1"/>
        </w:rPr>
        <w:t>The Commission may grant interim rate relief where fairness to both the utility and the public supports immediate action.</w:t>
      </w:r>
    </w:p>
    <w:p w:rsidRPr="002B265F" w:rsidR="002B265F" w:rsidP="002B265F" w:rsidRDefault="002D5ED9" w14:paraId="11783374" w14:textId="77777777">
      <w:pPr>
        <w:numPr>
          <w:ilvl w:val="0"/>
          <w:numId w:val="1"/>
        </w:numPr>
        <w:ind w:firstLine="547"/>
        <w:rPr>
          <w:color w:val="000000" w:themeColor="text1"/>
        </w:rPr>
      </w:pPr>
      <w:r>
        <w:rPr>
          <w:color w:val="000000" w:themeColor="text1"/>
        </w:rPr>
        <w:t>PG&amp;E estimates that interim recovery beginning January 1, 2027 would save customers roughly $13.6 million to $21.0 million in interest, depending on the percentage authorized, at the commercial paper rate.</w:t>
      </w:r>
    </w:p>
    <w:p w:rsidRPr="0023798B" w:rsidR="006B421D" w:rsidP="006B421D" w:rsidRDefault="002D5ED9" w14:paraId="4B5AAFA6" w14:textId="77777777">
      <w:pPr>
        <w:numPr>
          <w:ilvl w:val="0"/>
          <w:numId w:val="1"/>
        </w:numPr>
        <w:ind w:firstLine="547"/>
        <w:rPr>
          <w:color w:val="000000" w:themeColor="text1"/>
        </w:rPr>
      </w:pPr>
      <w:r>
        <w:rPr>
          <w:color w:val="000000" w:themeColor="text1"/>
        </w:rPr>
        <w:t>PG&amp;E’s bill illustrations are not a forecast of customer bills. The bill illustrations predate the updated reduced request and omit other rate changes.</w:t>
      </w:r>
    </w:p>
    <w:p w:rsidRPr="00EF1733" w:rsidR="00EF1733" w:rsidRDefault="00EF1733" w14:paraId="71114A38" w14:textId="77777777">
      <w:pPr>
        <w:numPr>
          <w:ilvl w:val="0"/>
          <w:numId w:val="28"/>
        </w:numPr>
        <w:ind w:firstLine="547"/>
        <w:rPr>
          <w:color w:val="0000FF"/>
          <w:u w:val="double"/>
        </w:rPr>
      </w:pPr>
      <w:bookmarkStart w:name="_cp_change_8" w:id="22"/>
      <w:bookmarkStart w:name="_cp_change_10" w:id="23"/>
      <w:r>
        <w:rPr>
          <w:color w:val="0000FF"/>
          <w:u w:val="double" w:color="0000FF"/>
        </w:rPr>
        <w:t>P</w:t>
      </w:r>
      <w:bookmarkEnd w:id="22"/>
      <w:r>
        <w:rPr>
          <w:color w:val="0000FF"/>
          <w:u w:val="double" w:color="0000FF"/>
        </w:rPr>
        <w:t xml:space="preserve">G&amp;E is authorized to recover an additional Yield Spread Adjustment through December 31, 2028. </w:t>
      </w:r>
      <w:bookmarkStart w:name="_cp_change_9" w:id="24"/>
      <w:bookmarkEnd w:id="23"/>
    </w:p>
    <w:p w:rsidRPr="0023798B" w:rsidR="00F77FB7" w:rsidP="006B421D" w:rsidRDefault="00F77FB7" w14:paraId="3F593B28" w14:textId="77777777">
      <w:pPr>
        <w:numPr>
          <w:ilvl w:val="0"/>
          <w:numId w:val="28"/>
        </w:numPr>
        <w:ind w:firstLine="547"/>
        <w:rPr>
          <w:color w:val="000000" w:themeColor="text1"/>
        </w:rPr>
      </w:pPr>
      <w:bookmarkStart w:name="_cp_change_13" w:id="25"/>
      <w:bookmarkStart w:name="_cp_change_12" w:id="26"/>
      <w:bookmarkEnd w:id="24"/>
      <w:r>
        <w:rPr>
          <w:strike/>
          <w:color w:val="FF0000"/>
          <w:u w:color="FF0000"/>
        </w:rPr>
        <w:t>1</w:t>
      </w:r>
      <w:bookmarkEnd w:id="25"/>
      <w:r>
        <w:rPr>
          <w:strike/>
          <w:color w:val="FF0000"/>
          <w:u w:color="FF0000"/>
        </w:rPr>
        <w:t xml:space="preserve">3. </w:t>
      </w:r>
      <w:bookmarkEnd w:id="26"/>
      <w:r>
        <w:rPr>
          <w:color w:val="000000" w:themeColor="text1"/>
        </w:rPr>
        <w:t>If the Phase 1 decision is adopted after the test year begins, PG&amp;E will incur costs of service without recovering them in commensurate rates, and later recovery will cost ratepayers more due to accrued interest.</w:t>
      </w:r>
    </w:p>
    <w:p w:rsidRPr="0023798B" w:rsidR="00F77FB7" w:rsidP="00F77FB7" w:rsidRDefault="00F77FB7" w14:paraId="5D3F4E43" w14:textId="77777777">
      <w:pPr>
        <w:numPr>
          <w:ilvl w:val="0"/>
          <w:numId w:val="28"/>
        </w:numPr>
        <w:ind w:firstLine="547"/>
        <w:rPr>
          <w:color w:val="000000" w:themeColor="text1"/>
        </w:rPr>
      </w:pPr>
      <w:bookmarkStart w:name="_cp_change_16" w:id="27"/>
      <w:bookmarkStart w:name="_cp_change_15" w:id="28"/>
      <w:r>
        <w:rPr>
          <w:strike/>
          <w:color w:val="FF0000"/>
          <w:u w:color="FF0000"/>
        </w:rPr>
        <w:lastRenderedPageBreak/>
        <w:t>1</w:t>
      </w:r>
      <w:bookmarkEnd w:id="27"/>
      <w:r>
        <w:rPr>
          <w:strike/>
          <w:color w:val="FF0000"/>
          <w:u w:color="FF0000"/>
        </w:rPr>
        <w:t xml:space="preserve">4. </w:t>
      </w:r>
      <w:bookmarkEnd w:id="28"/>
      <w:r>
        <w:rPr>
          <w:color w:val="000000" w:themeColor="text1"/>
        </w:rPr>
        <w:t>Interim recovery aligns recovery more closely with the period in which costs are incurred.</w:t>
      </w:r>
    </w:p>
    <w:p w:rsidRPr="0023798B" w:rsidR="006B421D" w:rsidP="00F77FB7" w:rsidRDefault="006B421D" w14:paraId="60AA4D49" w14:textId="77777777">
      <w:pPr>
        <w:numPr>
          <w:ilvl w:val="0"/>
          <w:numId w:val="28"/>
        </w:numPr>
        <w:ind w:firstLine="547"/>
        <w:rPr>
          <w:color w:val="000000" w:themeColor="text1"/>
        </w:rPr>
      </w:pPr>
      <w:bookmarkStart w:name="_cp_change_19" w:id="29"/>
      <w:bookmarkStart w:name="_cp_change_18" w:id="30"/>
      <w:r>
        <w:rPr>
          <w:strike/>
          <w:color w:val="FF0000"/>
          <w:u w:color="FF0000"/>
        </w:rPr>
        <w:t>1</w:t>
      </w:r>
      <w:bookmarkEnd w:id="29"/>
      <w:r>
        <w:rPr>
          <w:strike/>
          <w:color w:val="FF0000"/>
          <w:u w:color="FF0000"/>
        </w:rPr>
        <w:t xml:space="preserve">5. </w:t>
      </w:r>
      <w:bookmarkEnd w:id="30"/>
      <w:r>
        <w:rPr>
          <w:color w:val="000000" w:themeColor="text1"/>
        </w:rPr>
        <w:t>If the proceeding schedule remains unchanged, the regulatory lag is expected to be shorter than in previous GRCs, but it is still unknown.</w:t>
      </w:r>
    </w:p>
    <w:p w:rsidRPr="0023798B" w:rsidR="006B421D" w:rsidP="002B265F" w:rsidRDefault="006B421D" w14:paraId="0063C769" w14:textId="77777777">
      <w:pPr>
        <w:numPr>
          <w:ilvl w:val="0"/>
          <w:numId w:val="28"/>
        </w:numPr>
        <w:ind w:firstLine="547"/>
        <w:rPr>
          <w:color w:val="000000" w:themeColor="text1"/>
        </w:rPr>
      </w:pPr>
      <w:bookmarkStart w:name="_cp_change_22" w:id="31"/>
      <w:bookmarkStart w:name="_cp_change_21" w:id="32"/>
      <w:r>
        <w:rPr>
          <w:strike/>
          <w:color w:val="FF0000"/>
          <w:u w:color="FF0000"/>
        </w:rPr>
        <w:t>1</w:t>
      </w:r>
      <w:bookmarkEnd w:id="31"/>
      <w:r>
        <w:rPr>
          <w:strike/>
          <w:color w:val="FF0000"/>
          <w:u w:color="FF0000"/>
        </w:rPr>
        <w:t xml:space="preserve">6. </w:t>
      </w:r>
      <w:bookmarkEnd w:id="32"/>
      <w:r>
        <w:rPr>
          <w:color w:val="000000" w:themeColor="text1"/>
        </w:rPr>
        <w:t>Final authorizations in recent GRCs ranged from 31.5% to 56.9% of the amounts requested.</w:t>
      </w:r>
    </w:p>
    <w:p w:rsidR="002B265F" w:rsidP="002B265F" w:rsidRDefault="00A4537F" w14:paraId="0EE5AB1D" w14:textId="77777777">
      <w:pPr>
        <w:numPr>
          <w:ilvl w:val="0"/>
          <w:numId w:val="28"/>
        </w:numPr>
        <w:ind w:firstLine="547"/>
        <w:rPr>
          <w:color w:val="000000" w:themeColor="text1"/>
        </w:rPr>
      </w:pPr>
      <w:bookmarkStart w:name="_cp_change_25" w:id="33"/>
      <w:bookmarkStart w:name="_cp_change_24" w:id="34"/>
      <w:r>
        <w:rPr>
          <w:strike/>
          <w:color w:val="FF0000"/>
          <w:u w:color="FF0000"/>
        </w:rPr>
        <w:t>1</w:t>
      </w:r>
      <w:bookmarkEnd w:id="33"/>
      <w:r>
        <w:rPr>
          <w:strike/>
          <w:color w:val="FF0000"/>
          <w:u w:color="FF0000"/>
        </w:rPr>
        <w:t xml:space="preserve">7. </w:t>
      </w:r>
      <w:bookmarkEnd w:id="34"/>
      <w:r>
        <w:rPr>
          <w:color w:val="000000" w:themeColor="text1"/>
        </w:rPr>
        <w:t xml:space="preserve">The decision applies a 55% increase in electric functional costs, which is the lower percentage increase to the electric functions, where PG&amp;E requests increases, to limit the risk of overcollection that would have to be refunded. </w:t>
      </w:r>
    </w:p>
    <w:p w:rsidRPr="0023798B" w:rsidR="00A4537F" w:rsidP="002B265F" w:rsidRDefault="00A4537F" w14:paraId="1BE23235" w14:textId="77777777">
      <w:pPr>
        <w:numPr>
          <w:ilvl w:val="0"/>
          <w:numId w:val="28"/>
        </w:numPr>
        <w:ind w:firstLine="547"/>
        <w:rPr>
          <w:color w:val="000000" w:themeColor="text1"/>
        </w:rPr>
      </w:pPr>
      <w:bookmarkStart w:name="_cp_change_28" w:id="35"/>
      <w:bookmarkStart w:name="_cp_change_27" w:id="36"/>
      <w:r>
        <w:rPr>
          <w:strike/>
          <w:color w:val="FF0000"/>
          <w:u w:color="FF0000"/>
        </w:rPr>
        <w:t>1</w:t>
      </w:r>
      <w:bookmarkEnd w:id="35"/>
      <w:r>
        <w:rPr>
          <w:strike/>
          <w:color w:val="FF0000"/>
          <w:u w:color="FF0000"/>
        </w:rPr>
        <w:t xml:space="preserve">8. </w:t>
      </w:r>
      <w:bookmarkEnd w:id="36"/>
      <w:r>
        <w:rPr>
          <w:color w:val="000000" w:themeColor="text1"/>
        </w:rPr>
        <w:t>The decision applies an 85% decrease for gas functions, which is the highest percentage decrease to the gas functions, so that customers receive more of those reductions sooner.</w:t>
      </w:r>
    </w:p>
    <w:p w:rsidRPr="0023798B" w:rsidR="00F77FB7" w:rsidP="002B265F" w:rsidRDefault="00F77FB7" w14:paraId="4FACE5B7" w14:textId="77777777">
      <w:pPr>
        <w:numPr>
          <w:ilvl w:val="0"/>
          <w:numId w:val="28"/>
        </w:numPr>
        <w:ind w:firstLine="547"/>
        <w:rPr>
          <w:color w:val="000000" w:themeColor="text1"/>
        </w:rPr>
      </w:pPr>
      <w:bookmarkStart w:name="_cp_change_31" w:id="37"/>
      <w:bookmarkStart w:name="_cp_change_30" w:id="38"/>
      <w:r>
        <w:rPr>
          <w:strike/>
          <w:color w:val="FF0000"/>
          <w:u w:color="FF0000"/>
        </w:rPr>
        <w:t>1</w:t>
      </w:r>
      <w:bookmarkEnd w:id="37"/>
      <w:r>
        <w:rPr>
          <w:strike/>
          <w:color w:val="FF0000"/>
          <w:u w:color="FF0000"/>
        </w:rPr>
        <w:t xml:space="preserve">9. </w:t>
      </w:r>
      <w:bookmarkEnd w:id="38"/>
      <w:r>
        <w:rPr>
          <w:color w:val="000000" w:themeColor="text1"/>
        </w:rPr>
        <w:t>Based on the combined increase in electric function costs and decrease in gas function costs, interim recovery is limited to up to $456 million of PG&amp;E’s requested 2027 revenue requirement increase.</w:t>
      </w:r>
    </w:p>
    <w:p w:rsidRPr="0023798B" w:rsidR="00F77FB7" w:rsidP="002B265F" w:rsidRDefault="00F77FB7" w14:paraId="36F56DF4" w14:textId="77777777">
      <w:pPr>
        <w:numPr>
          <w:ilvl w:val="0"/>
          <w:numId w:val="28"/>
        </w:numPr>
        <w:ind w:firstLine="547"/>
        <w:rPr>
          <w:color w:val="000000" w:themeColor="text1"/>
        </w:rPr>
      </w:pPr>
      <w:bookmarkStart w:name="_cp_change_37" w:id="39"/>
      <w:bookmarkStart w:name="_cp_change_36" w:id="40"/>
      <w:r>
        <w:rPr>
          <w:strike/>
          <w:color w:val="FF0000"/>
          <w:u w:color="FF0000"/>
        </w:rPr>
        <w:t>2</w:t>
      </w:r>
      <w:bookmarkEnd w:id="39"/>
      <w:r>
        <w:rPr>
          <w:strike/>
          <w:color w:val="FF0000"/>
          <w:u w:color="FF0000"/>
        </w:rPr>
        <w:t xml:space="preserve">0. </w:t>
      </w:r>
      <w:bookmarkEnd w:id="40"/>
      <w:r>
        <w:rPr>
          <w:color w:val="000000" w:themeColor="text1"/>
        </w:rPr>
        <w:t xml:space="preserve">The interim relief is subject to refund with interest at the three-month </w:t>
      </w:r>
      <w:bookmarkStart w:name="_cp_change_32" w:id="41"/>
      <w:r>
        <w:rPr>
          <w:strike/>
          <w:color w:val="FF0000"/>
          <w:u w:color="FF0000"/>
        </w:rPr>
        <w:t>commercial paper</w:t>
      </w:r>
      <w:bookmarkStart w:name="_cp_change_33" w:id="42"/>
      <w:bookmarkEnd w:id="41"/>
      <w:r>
        <w:rPr>
          <w:color w:val="0000FF"/>
          <w:u w:val="double" w:color="0000FF"/>
        </w:rPr>
        <w:t>Commercial Paper</w:t>
      </w:r>
      <w:bookmarkEnd w:id="42"/>
      <w:r>
        <w:rPr>
          <w:color w:val="000000" w:themeColor="text1"/>
        </w:rPr>
        <w:t xml:space="preserve"> rate</w:t>
      </w:r>
      <w:bookmarkStart w:name="_cp_change_34" w:id="43"/>
      <w:r>
        <w:rPr>
          <w:color w:val="0000FF"/>
          <w:u w:val="double" w:color="0000FF"/>
        </w:rPr>
        <w:t xml:space="preserve"> and Yield Spread Adjustment</w:t>
      </w:r>
      <w:bookmarkEnd w:id="43"/>
      <w:r>
        <w:rPr>
          <w:color w:val="000000" w:themeColor="text1"/>
        </w:rPr>
        <w:t>, pending the final decision in this proceeding, so customers are protected against overpayment by refund with interest.</w:t>
      </w:r>
    </w:p>
    <w:p w:rsidRPr="002B265F" w:rsidR="002B265F" w:rsidP="002B265F" w:rsidRDefault="002B265F" w14:paraId="008806A1" w14:textId="77777777">
      <w:pPr>
        <w:keepNext/>
        <w:keepLines/>
        <w:spacing w:after="120" w:line="240" w:lineRule="auto"/>
        <w:ind w:firstLine="0"/>
        <w:outlineLvl w:val="0"/>
        <w:rPr>
          <w:rFonts w:ascii="Arial" w:hAnsi="Arial" w:cs="Arial"/>
          <w:b/>
          <w:color w:val="000000" w:themeColor="text1"/>
          <w:szCs w:val="26"/>
        </w:rPr>
      </w:pPr>
      <w:bookmarkStart w:name="_Toc8123726" w:id="44"/>
      <w:bookmarkStart w:name="_Toc238553238" w:id="45"/>
      <w:r>
        <w:rPr>
          <w:rFonts w:ascii="Arial" w:hAnsi="Arial" w:cs="Arial"/>
          <w:b/>
          <w:color w:val="000000" w:themeColor="text1"/>
          <w:szCs w:val="26"/>
        </w:rPr>
        <w:t>Conclusions of Law</w:t>
      </w:r>
      <w:bookmarkEnd w:id="44"/>
      <w:bookmarkEnd w:id="45"/>
    </w:p>
    <w:p w:rsidRPr="0023798B" w:rsidR="006B421D" w:rsidP="002B265F" w:rsidRDefault="00EC5AF5" w14:paraId="7D7311EC" w14:textId="77777777">
      <w:pPr>
        <w:numPr>
          <w:ilvl w:val="0"/>
          <w:numId w:val="2"/>
        </w:numPr>
        <w:ind w:firstLine="547"/>
        <w:rPr>
          <w:color w:val="000000" w:themeColor="text1"/>
        </w:rPr>
      </w:pPr>
      <w:r>
        <w:rPr>
          <w:color w:val="000000" w:themeColor="text1"/>
        </w:rPr>
        <w:t>Pub. Util. Code §§ 451 and 454 do not bar interim relief before a final determination that costs are just and reasonable.</w:t>
      </w:r>
    </w:p>
    <w:p w:rsidRPr="002B265F" w:rsidR="002B265F" w:rsidP="002B265F" w:rsidRDefault="002B265F" w14:paraId="428376DB" w14:textId="77777777">
      <w:pPr>
        <w:numPr>
          <w:ilvl w:val="0"/>
          <w:numId w:val="2"/>
        </w:numPr>
        <w:ind w:firstLine="547"/>
        <w:rPr>
          <w:color w:val="000000" w:themeColor="text1"/>
        </w:rPr>
      </w:pPr>
      <w:r>
        <w:rPr>
          <w:color w:val="000000" w:themeColor="text1"/>
        </w:rPr>
        <w:t>The Commission has the authority to set interim rates (</w:t>
      </w:r>
      <w:r>
        <w:rPr>
          <w:i/>
          <w:iCs/>
          <w:color w:val="000000" w:themeColor="text1"/>
        </w:rPr>
        <w:t>City of Los Angeles v. Public Utilities Commission</w:t>
      </w:r>
      <w:r>
        <w:rPr>
          <w:color w:val="000000" w:themeColor="text1"/>
        </w:rPr>
        <w:t xml:space="preserve">; </w:t>
      </w:r>
      <w:r>
        <w:rPr>
          <w:i/>
          <w:iCs/>
          <w:color w:val="000000" w:themeColor="text1"/>
        </w:rPr>
        <w:t>TURN v. PUC</w:t>
      </w:r>
      <w:r>
        <w:rPr>
          <w:color w:val="000000" w:themeColor="text1"/>
        </w:rPr>
        <w:t>).</w:t>
      </w:r>
    </w:p>
    <w:p w:rsidRPr="0023798B" w:rsidR="00EC5AF5" w:rsidP="002B265F" w:rsidRDefault="00EC5AF5" w14:paraId="48739922" w14:textId="77777777">
      <w:pPr>
        <w:numPr>
          <w:ilvl w:val="0"/>
          <w:numId w:val="2"/>
        </w:numPr>
        <w:ind w:firstLine="547"/>
        <w:rPr>
          <w:color w:val="000000" w:themeColor="text1"/>
        </w:rPr>
      </w:pPr>
      <w:r>
        <w:rPr>
          <w:color w:val="000000" w:themeColor="text1"/>
        </w:rPr>
        <w:lastRenderedPageBreak/>
        <w:t xml:space="preserve">Interim relief is by nature granted before a final decision, and </w:t>
      </w:r>
      <w:r>
        <w:rPr>
          <w:i/>
          <w:iCs/>
          <w:color w:val="000000" w:themeColor="text1"/>
        </w:rPr>
        <w:t>TURN v. PUC</w:t>
      </w:r>
      <w:r>
        <w:rPr>
          <w:color w:val="000000" w:themeColor="text1"/>
        </w:rPr>
        <w:t xml:space="preserve"> rejected the argument that the Commission must make an immediate finding as to the reasonableness of costs.</w:t>
      </w:r>
    </w:p>
    <w:p w:rsidRPr="002B265F" w:rsidR="002B265F" w:rsidP="002B265F" w:rsidRDefault="002B265F" w14:paraId="15C68492" w14:textId="77777777">
      <w:pPr>
        <w:numPr>
          <w:ilvl w:val="0"/>
          <w:numId w:val="2"/>
        </w:numPr>
        <w:ind w:firstLine="547"/>
        <w:rPr>
          <w:color w:val="000000" w:themeColor="text1"/>
        </w:rPr>
      </w:pPr>
      <w:r>
        <w:rPr>
          <w:color w:val="000000" w:themeColor="text1"/>
        </w:rPr>
        <w:t xml:space="preserve">In </w:t>
      </w:r>
      <w:r>
        <w:rPr>
          <w:i/>
          <w:iCs/>
          <w:color w:val="000000" w:themeColor="text1"/>
        </w:rPr>
        <w:t>TURN v. PUC</w:t>
      </w:r>
      <w:r>
        <w:rPr>
          <w:color w:val="000000" w:themeColor="text1"/>
        </w:rPr>
        <w:t>, the California Supreme Court held that the Commission could set interim rates where fairness to both the utility and the public supports immediate action. Interim relief is not limited to financial emergencies or undisputed investment costs.</w:t>
      </w:r>
    </w:p>
    <w:p w:rsidRPr="0023798B" w:rsidR="00EC5AF5" w:rsidP="002B265F" w:rsidRDefault="00EC5AF5" w14:paraId="7BD898FF" w14:textId="77777777">
      <w:pPr>
        <w:numPr>
          <w:ilvl w:val="0"/>
          <w:numId w:val="2"/>
        </w:numPr>
        <w:ind w:firstLine="547"/>
        <w:rPr>
          <w:color w:val="000000" w:themeColor="text1"/>
        </w:rPr>
      </w:pPr>
      <w:r>
        <w:rPr>
          <w:color w:val="000000" w:themeColor="text1"/>
        </w:rPr>
        <w:t>It is reasonable to consider fairness to the utility and the public, the public interest, reducing rate shock, intergenerational equity, preserving the utility’s financial integrity, minimizing costs to ratepayers, and ensuring rate stability, and one factor alone can establish that interim relief is appropriate.</w:t>
      </w:r>
    </w:p>
    <w:p w:rsidRPr="0023798B" w:rsidR="00EC5AF5" w:rsidP="002B265F" w:rsidRDefault="00EC5AF5" w14:paraId="3F72652C" w14:textId="77777777">
      <w:pPr>
        <w:numPr>
          <w:ilvl w:val="0"/>
          <w:numId w:val="2"/>
        </w:numPr>
        <w:ind w:firstLine="547"/>
        <w:rPr>
          <w:color w:val="000000" w:themeColor="text1"/>
        </w:rPr>
      </w:pPr>
      <w:r>
        <w:rPr>
          <w:color w:val="000000" w:themeColor="text1"/>
        </w:rPr>
        <w:t>Fairness to ratepayers requires immediate action to capture customer savings, because the benefits of interim recovery are time-sensitive and would diminish with delay.</w:t>
      </w:r>
    </w:p>
    <w:p w:rsidRPr="0023798B" w:rsidR="00EC5AF5" w:rsidP="002B265F" w:rsidRDefault="002B265F" w14:paraId="22A0309D" w14:textId="77777777">
      <w:pPr>
        <w:numPr>
          <w:ilvl w:val="0"/>
          <w:numId w:val="2"/>
        </w:numPr>
        <w:ind w:firstLine="547"/>
        <w:rPr>
          <w:color w:val="000000" w:themeColor="text1"/>
        </w:rPr>
      </w:pPr>
      <w:r>
        <w:rPr>
          <w:color w:val="000000" w:themeColor="text1"/>
        </w:rPr>
        <w:t xml:space="preserve">It is reasonable to rely on the rate smoothing mechanism by which interim recovery reduces the memorandum account balance rather than on PG&amp;E’s specific bill illustrations. </w:t>
      </w:r>
    </w:p>
    <w:p w:rsidRPr="0023798B" w:rsidR="00EC5AF5" w:rsidP="002B265F" w:rsidRDefault="00EC5AF5" w14:paraId="7675B286" w14:textId="77777777">
      <w:pPr>
        <w:numPr>
          <w:ilvl w:val="0"/>
          <w:numId w:val="2"/>
        </w:numPr>
        <w:ind w:firstLine="547"/>
        <w:rPr>
          <w:color w:val="000000" w:themeColor="text1"/>
        </w:rPr>
      </w:pPr>
      <w:r>
        <w:rPr>
          <w:color w:val="000000" w:themeColor="text1"/>
        </w:rPr>
        <w:t>It is reasonable to consider even a smaller amount of savings to ratepayers as sufficient to support interim relief.</w:t>
      </w:r>
    </w:p>
    <w:p w:rsidRPr="0023798B" w:rsidR="00C211D6" w:rsidP="002B265F" w:rsidRDefault="00EC5AF5" w14:paraId="1C4EC76D" w14:textId="77777777">
      <w:pPr>
        <w:numPr>
          <w:ilvl w:val="0"/>
          <w:numId w:val="2"/>
        </w:numPr>
        <w:ind w:firstLine="547"/>
        <w:rPr>
          <w:color w:val="000000" w:themeColor="text1"/>
        </w:rPr>
      </w:pPr>
      <w:r>
        <w:rPr>
          <w:color w:val="000000" w:themeColor="text1"/>
        </w:rPr>
        <w:t xml:space="preserve">It is reasonable to align cost recovery more closely with the period in which costs are incurred. </w:t>
      </w:r>
    </w:p>
    <w:p w:rsidRPr="0023798B" w:rsidR="00EC5AF5" w:rsidP="002B265F" w:rsidRDefault="00C211D6" w14:paraId="1545671C" w14:textId="77777777">
      <w:pPr>
        <w:numPr>
          <w:ilvl w:val="0"/>
          <w:numId w:val="2"/>
        </w:numPr>
        <w:ind w:firstLine="547"/>
        <w:rPr>
          <w:color w:val="000000" w:themeColor="text1"/>
        </w:rPr>
      </w:pPr>
      <w:r>
        <w:rPr>
          <w:color w:val="000000" w:themeColor="text1"/>
        </w:rPr>
        <w:t>It is reasonable to avoid amortization of costs that could result in layering of rate increases in 2028.</w:t>
      </w:r>
    </w:p>
    <w:p w:rsidRPr="0023798B" w:rsidR="00D36D23" w:rsidP="00D36D23" w:rsidRDefault="00D36D23" w14:paraId="22914DBA" w14:textId="77777777">
      <w:pPr>
        <w:pStyle w:val="FoF"/>
        <w:rPr>
          <w:color w:val="000000" w:themeColor="text1"/>
        </w:rPr>
      </w:pPr>
      <w:r>
        <w:rPr>
          <w:color w:val="000000" w:themeColor="text1"/>
        </w:rPr>
        <w:t xml:space="preserve">It is reasonable to consider the amounts authorized in similar cases, including final revenue requirement authorizations in recent GRCs. </w:t>
      </w:r>
    </w:p>
    <w:p w:rsidRPr="0023798B" w:rsidR="00D36D23" w:rsidP="00D36D23" w:rsidRDefault="00D36D23" w14:paraId="3B5FA705" w14:textId="77777777">
      <w:pPr>
        <w:pStyle w:val="FoF"/>
        <w:rPr>
          <w:color w:val="000000" w:themeColor="text1"/>
        </w:rPr>
      </w:pPr>
      <w:r>
        <w:rPr>
          <w:color w:val="000000" w:themeColor="text1"/>
        </w:rPr>
        <w:lastRenderedPageBreak/>
        <w:t>It is reasonable not to grant PG&amp;E’s full request for interim recovery at 55-85% of its requested increase in full at any of those percentages.</w:t>
      </w:r>
    </w:p>
    <w:p w:rsidRPr="002B265F" w:rsidR="002B265F" w:rsidP="002B265F" w:rsidRDefault="00D36D23" w14:paraId="5F974B79" w14:textId="77777777">
      <w:pPr>
        <w:numPr>
          <w:ilvl w:val="0"/>
          <w:numId w:val="2"/>
        </w:numPr>
        <w:ind w:firstLine="547"/>
        <w:rPr>
          <w:color w:val="000000" w:themeColor="text1"/>
        </w:rPr>
      </w:pPr>
      <w:r>
        <w:rPr>
          <w:color w:val="000000" w:themeColor="text1"/>
        </w:rPr>
        <w:t>Interim recovery of up to $456 million of PG&amp;E’s requested 2027 revenue requirement increase (55% of the electric distribution and generation increases and 85% of the gas distribution and gas transmission and storage decreases) is reasonable and balances the interests of the public and the utility.</w:t>
      </w:r>
    </w:p>
    <w:p w:rsidRPr="002B265F" w:rsidR="002B265F" w:rsidP="002B265F" w:rsidRDefault="00D36D23" w14:paraId="4A3746EF" w14:textId="77777777">
      <w:pPr>
        <w:numPr>
          <w:ilvl w:val="0"/>
          <w:numId w:val="2"/>
        </w:numPr>
        <w:ind w:firstLine="547"/>
        <w:rPr>
          <w:color w:val="000000" w:themeColor="text1"/>
        </w:rPr>
      </w:pPr>
      <w:r>
        <w:rPr>
          <w:color w:val="000000" w:themeColor="text1"/>
        </w:rPr>
        <w:t xml:space="preserve">Interim relief should be subject to refund with interest at the three-month </w:t>
      </w:r>
      <w:bookmarkStart w:name="_cp_change_38" w:id="46"/>
      <w:r>
        <w:rPr>
          <w:strike/>
          <w:color w:val="FF0000"/>
          <w:u w:color="FF0000"/>
        </w:rPr>
        <w:t>commercial paper rate</w:t>
      </w:r>
      <w:bookmarkStart w:name="_cp_change_39" w:id="47"/>
      <w:bookmarkEnd w:id="46"/>
      <w:r>
        <w:rPr>
          <w:color w:val="0000FF"/>
          <w:u w:val="double" w:color="0000FF"/>
        </w:rPr>
        <w:t>Commercial Paper rate plus an additional Yield Spread Adjustment, if a Yield Spread Adjustment is requested for a given year</w:t>
      </w:r>
      <w:bookmarkEnd w:id="47"/>
      <w:r>
        <w:rPr>
          <w:color w:val="000000" w:themeColor="text1"/>
        </w:rPr>
        <w:t>, pending the final decision in the proceeding.</w:t>
      </w:r>
    </w:p>
    <w:p w:rsidRPr="002B265F" w:rsidR="002B265F" w:rsidP="002B265F" w:rsidRDefault="002B265F" w14:paraId="45A920D5" w14:textId="77777777">
      <w:pPr>
        <w:numPr>
          <w:ilvl w:val="0"/>
          <w:numId w:val="2"/>
        </w:numPr>
        <w:ind w:firstLine="547"/>
        <w:rPr>
          <w:color w:val="000000" w:themeColor="text1"/>
        </w:rPr>
      </w:pPr>
      <w:r>
        <w:rPr>
          <w:color w:val="000000" w:themeColor="text1"/>
        </w:rPr>
        <w:t xml:space="preserve">This proceeding should remain open. </w:t>
      </w:r>
    </w:p>
    <w:p w:rsidRPr="002B265F" w:rsidR="002B265F" w:rsidP="002B265F" w:rsidRDefault="002B265F" w14:paraId="045D5556" w14:textId="77777777">
      <w:pPr>
        <w:keepNext/>
        <w:ind w:firstLine="0"/>
        <w:jc w:val="center"/>
        <w:outlineLvl w:val="0"/>
        <w:rPr>
          <w:rFonts w:ascii="Arial" w:hAnsi="Arial" w:eastAsiaTheme="majorEastAsia" w:cstheme="majorBidi"/>
          <w:b/>
          <w:caps/>
          <w:color w:val="000000" w:themeColor="text1"/>
          <w:spacing w:val="120"/>
          <w:szCs w:val="56"/>
        </w:rPr>
      </w:pPr>
      <w:bookmarkStart w:name="_Toc238553239" w:id="48"/>
      <w:r>
        <w:rPr>
          <w:rFonts w:ascii="Arial" w:hAnsi="Arial" w:eastAsiaTheme="majorEastAsia" w:cstheme="majorBidi"/>
          <w:b/>
          <w:caps/>
          <w:color w:val="000000" w:themeColor="text1"/>
          <w:spacing w:val="120"/>
          <w:szCs w:val="56"/>
        </w:rPr>
        <w:t>ORDER</w:t>
      </w:r>
      <w:bookmarkEnd w:id="48"/>
    </w:p>
    <w:p w:rsidRPr="002B265F" w:rsidR="002B265F" w:rsidP="002B265F" w:rsidRDefault="002B265F" w14:paraId="0B9F8270" w14:textId="77777777">
      <w:pPr>
        <w:keepNext/>
        <w:rPr>
          <w:color w:val="000000" w:themeColor="text1"/>
        </w:rPr>
      </w:pPr>
      <w:r>
        <w:rPr>
          <w:b/>
          <w:color w:val="000000" w:themeColor="text1"/>
        </w:rPr>
        <w:t>IT IS ORDERED</w:t>
      </w:r>
      <w:r>
        <w:rPr>
          <w:color w:val="000000" w:themeColor="text1"/>
        </w:rPr>
        <w:t xml:space="preserve"> that:</w:t>
      </w:r>
    </w:p>
    <w:p w:rsidRPr="002B265F" w:rsidR="002B265F" w:rsidP="002B265F" w:rsidRDefault="002B265F" w14:paraId="015BAD07" w14:textId="77777777">
      <w:pPr>
        <w:numPr>
          <w:ilvl w:val="0"/>
          <w:numId w:val="3"/>
        </w:numPr>
        <w:rPr>
          <w:color w:val="000000" w:themeColor="text1"/>
        </w:rPr>
      </w:pPr>
      <w:r>
        <w:rPr>
          <w:color w:val="000000" w:themeColor="text1"/>
        </w:rPr>
        <w:t xml:space="preserve">Pacific Gas and Electric Company is authorized to recover, on an interim rate basis, up to $456 million in revenue requirement, beginning January 1, 2027, to remain in effect until a final decision is implemented. This comprises an increase of $397 million for Electric Distribution and $146 million for Electric Generation, and a reduction of revenue requirement of $54 million for Gas Distribution, and $33 million for Gas Transmission &amp; Storage. </w:t>
      </w:r>
    </w:p>
    <w:p w:rsidRPr="00385C44" w:rsidR="002B265F" w:rsidP="008401E5" w:rsidRDefault="002B265F" w14:paraId="35098AB5" w14:textId="77777777">
      <w:pPr>
        <w:numPr>
          <w:ilvl w:val="0"/>
          <w:numId w:val="3"/>
        </w:numPr>
        <w:rPr>
          <w:color w:val="000000" w:themeColor="text1"/>
        </w:rPr>
      </w:pPr>
      <w:r>
        <w:rPr>
          <w:color w:val="000000" w:themeColor="text1"/>
        </w:rPr>
        <w:t xml:space="preserve">Pacific Gas and Electric Company (PG&amp;E) shall promptly refund, with interest at the three-month </w:t>
      </w:r>
      <w:bookmarkStart w:name="_cp_change_40" w:id="49"/>
      <w:r>
        <w:rPr>
          <w:strike/>
          <w:color w:val="FF0000"/>
          <w:u w:color="FF0000"/>
        </w:rPr>
        <w:t>commercial paper rate</w:t>
      </w:r>
      <w:bookmarkStart w:name="_cp_change_41" w:id="50"/>
      <w:bookmarkEnd w:id="49"/>
      <w:r>
        <w:rPr>
          <w:color w:val="0000FF"/>
          <w:u w:val="double" w:color="0000FF"/>
        </w:rPr>
        <w:t>Commercial Paper rate, plus an additional Yield Spread Adjustment, if a Yield Spread Adjustment is granted for a given year pursuant to Decision 25-12-043</w:t>
      </w:r>
      <w:bookmarkEnd w:id="50"/>
      <w:r>
        <w:rPr>
          <w:color w:val="000000" w:themeColor="text1"/>
        </w:rPr>
        <w:t xml:space="preserve">, any amount PG&amp;E is authorized to recover pursuant to this decision that exceeds the amount authorized for cost recovery in a final Phase 1 decision in this proceeding. </w:t>
      </w:r>
    </w:p>
    <w:p w:rsidRPr="002B265F" w:rsidR="002B265F" w:rsidP="002B265F" w:rsidRDefault="002B265F" w14:paraId="4A1B1F31" w14:textId="77777777">
      <w:pPr>
        <w:numPr>
          <w:ilvl w:val="0"/>
          <w:numId w:val="3"/>
        </w:numPr>
        <w:rPr>
          <w:color w:val="000000" w:themeColor="text1"/>
        </w:rPr>
      </w:pPr>
      <w:r>
        <w:rPr>
          <w:color w:val="000000" w:themeColor="text1"/>
        </w:rPr>
        <w:t>Application 25-05-009 remains open.</w:t>
      </w:r>
    </w:p>
    <w:p w:rsidRPr="002B265F" w:rsidR="002B265F" w:rsidP="002B265F" w:rsidRDefault="002B265F" w14:paraId="0D886D30" w14:textId="77777777">
      <w:r>
        <w:lastRenderedPageBreak/>
        <w:t>This order is effective today.</w:t>
      </w:r>
    </w:p>
    <w:p w:rsidRPr="002B265F" w:rsidR="002B265F" w:rsidP="002B265F" w:rsidRDefault="002B265F" w14:paraId="45D18615" w14:textId="77777777">
      <w:r>
        <w:t xml:space="preserve">Dated </w:t>
      </w:r>
      <w:r>
        <w:rPr>
          <w:u w:val="single"/>
        </w:rPr>
        <w:tab/>
      </w:r>
      <w:r>
        <w:rPr>
          <w:u w:val="single"/>
        </w:rPr>
        <w:tab/>
      </w:r>
      <w:r>
        <w:rPr>
          <w:u w:val="single"/>
        </w:rPr>
        <w:tab/>
      </w:r>
      <w:r>
        <w:rPr>
          <w:u w:val="single"/>
        </w:rPr>
        <w:tab/>
      </w:r>
      <w:r>
        <w:t>, at San Francisco, California</w:t>
      </w:r>
    </w:p>
    <w:p w:rsidR="005A32FA" w:rsidRDefault="005A32FA" w14:paraId="12119D96" w14:textId="77777777">
      <w:pPr>
        <w:rPr>
          <w:sz w:val="24"/>
        </w:rPr>
      </w:pPr>
    </w:p>
    <w:p w:rsidR="005A32FA" w:rsidRDefault="005A32FA" w14:paraId="48D741AF" w14:textId="77777777">
      <w:pPr>
        <w:rPr>
          <w:sz w:val="24"/>
        </w:rPr>
      </w:pPr>
    </w:p>
    <w:p w:rsidR="005A32FA" w:rsidRDefault="005A32FA" w14:paraId="04FFA747" w14:textId="77777777">
      <w:pPr>
        <w:rPr>
          <w:sz w:val="24"/>
        </w:rPr>
        <w:sectPr w:rsidR="005A32FA" w:rsidSect="002B265F">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pgNumType w:start="1"/>
          <w:cols w:space="720"/>
          <w:titlePg/>
          <w:docGrid w:linePitch="360"/>
        </w:sectPr>
      </w:pPr>
    </w:p>
    <w:p w:rsidR="005A32FA" w:rsidRDefault="005A32FA" w14:paraId="5EC0F3F5" w14:textId="77777777">
      <w:pPr>
        <w:rPr>
          <w:sz w:val="24"/>
        </w:rPr>
      </w:pPr>
    </w:p>
    <w:p w:rsidR="005A32FA" w:rsidRDefault="005A32FA" w14:paraId="2B5BDB71" w14:textId="77777777">
      <w:pPr>
        <w:rPr>
          <w:sz w:val="24"/>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4A0" w:firstRow="1" w:lastRow="0" w:firstColumn="1" w:lastColumn="0" w:noHBand="0" w:noVBand="1"/>
      </w:tblPr>
      <w:tblGrid>
        <w:gridCol w:w="6200"/>
        <w:gridCol w:w="1800"/>
      </w:tblGrid>
      <w:tr w:rsidR="005A32FA" w14:paraId="14F03CA1" w14:textId="77777777">
        <w:trPr>
          <w:jc w:val="center"/>
        </w:trPr>
        <w:tc>
          <w:tcPr>
            <w:tcW w:w="8000" w:type="dxa"/>
            <w:gridSpan w:val="2"/>
          </w:tcPr>
          <w:p w:rsidR="005A32FA" w:rsidRDefault="003138B2" w14:paraId="7DFE44EE" w14:textId="77777777">
            <w:pPr>
              <w:spacing w:line="240" w:lineRule="auto"/>
              <w:jc w:val="center"/>
              <w:rPr>
                <w:sz w:val="24"/>
              </w:rPr>
            </w:pPr>
            <w:r>
              <w:rPr>
                <w:rFonts w:ascii="Times New Roman" w:hAnsi="Times New Roman" w:eastAsia="Times New Roman" w:cs="Times New Roman"/>
                <w:b/>
                <w:color w:val="000000"/>
                <w:sz w:val="24"/>
              </w:rPr>
              <w:t xml:space="preserve">Summary report: </w:t>
            </w:r>
          </w:p>
          <w:p w:rsidR="005A32FA" w:rsidRDefault="003138B2" w14:paraId="1EA75839" w14:textId="77777777">
            <w:pPr>
              <w:spacing w:line="240" w:lineRule="auto"/>
              <w:jc w:val="center"/>
              <w:rPr>
                <w:sz w:val="24"/>
              </w:rPr>
            </w:pPr>
            <w:r>
              <w:rPr>
                <w:rFonts w:ascii="Times New Roman" w:hAnsi="Times New Roman" w:eastAsia="Times New Roman" w:cs="Times New Roman"/>
                <w:b/>
                <w:color w:val="000000"/>
                <w:sz w:val="24"/>
              </w:rPr>
              <w:t>Litera Compare for Word 11.6.0.100 Document comparison done on 10/27/2026 2:27:48 PM</w:t>
            </w:r>
          </w:p>
        </w:tc>
      </w:tr>
      <w:tr w:rsidR="005A32FA" w14:paraId="02285D61" w14:textId="77777777">
        <w:trPr>
          <w:jc w:val="center"/>
        </w:trPr>
        <w:tc>
          <w:tcPr>
            <w:tcW w:w="8000" w:type="dxa"/>
            <w:gridSpan w:val="2"/>
          </w:tcPr>
          <w:p w:rsidR="005A32FA" w:rsidRDefault="003138B2" w14:paraId="5F52AF9F" w14:textId="77777777">
            <w:pPr>
              <w:spacing w:line="240" w:lineRule="auto"/>
              <w:rPr>
                <w:sz w:val="24"/>
              </w:rPr>
            </w:pPr>
            <w:r>
              <w:rPr>
                <w:rFonts w:ascii="Times New Roman" w:hAnsi="Times New Roman" w:eastAsia="Times New Roman" w:cs="Times New Roman"/>
                <w:b/>
                <w:color w:val="000000"/>
                <w:sz w:val="24"/>
              </w:rPr>
              <w:t xml:space="preserve">Style name: </w:t>
            </w:r>
            <w:r>
              <w:rPr>
                <w:rFonts w:ascii="Times New Roman" w:hAnsi="Times New Roman" w:eastAsia="Times New Roman" w:cs="Times New Roman"/>
                <w:sz w:val="24"/>
              </w:rPr>
              <w:t>Default Style</w:t>
            </w:r>
          </w:p>
        </w:tc>
      </w:tr>
      <w:tr w:rsidR="005A32FA" w14:paraId="5DA5CDCE" w14:textId="77777777">
        <w:trPr>
          <w:jc w:val="center"/>
        </w:trPr>
        <w:tc>
          <w:tcPr>
            <w:tcW w:w="8000" w:type="dxa"/>
            <w:gridSpan w:val="2"/>
          </w:tcPr>
          <w:p w:rsidR="005A32FA" w:rsidRDefault="003138B2" w14:paraId="6192F3F4" w14:textId="77777777">
            <w:pPr>
              <w:spacing w:line="240" w:lineRule="auto"/>
              <w:rPr>
                <w:sz w:val="24"/>
              </w:rPr>
            </w:pPr>
            <w:r>
              <w:rPr>
                <w:rFonts w:ascii="Times New Roman" w:hAnsi="Times New Roman" w:eastAsia="Times New Roman" w:cs="Times New Roman"/>
                <w:b/>
                <w:color w:val="000000"/>
                <w:sz w:val="24"/>
              </w:rPr>
              <w:t xml:space="preserve">Intelligent Table Comparison: </w:t>
            </w:r>
            <w:r>
              <w:rPr>
                <w:rFonts w:ascii="Times New Roman" w:hAnsi="Times New Roman" w:eastAsia="Times New Roman" w:cs="Times New Roman"/>
                <w:sz w:val="24"/>
              </w:rPr>
              <w:t>Active</w:t>
            </w:r>
          </w:p>
        </w:tc>
      </w:tr>
      <w:tr w:rsidR="005A32FA" w14:paraId="5A24886A" w14:textId="77777777">
        <w:trPr>
          <w:jc w:val="center"/>
        </w:trPr>
        <w:tc>
          <w:tcPr>
            <w:tcW w:w="8000" w:type="dxa"/>
            <w:gridSpan w:val="2"/>
          </w:tcPr>
          <w:p w:rsidR="005A32FA" w:rsidRDefault="003138B2" w14:paraId="3CD53379" w14:textId="77777777">
            <w:pPr>
              <w:spacing w:line="240" w:lineRule="auto"/>
              <w:rPr>
                <w:sz w:val="24"/>
              </w:rPr>
            </w:pPr>
            <w:r>
              <w:rPr>
                <w:rFonts w:ascii="Times New Roman" w:hAnsi="Times New Roman" w:eastAsia="Times New Roman" w:cs="Times New Roman"/>
                <w:b/>
                <w:color w:val="000000"/>
                <w:sz w:val="24"/>
              </w:rPr>
              <w:t xml:space="preserve">Original filename: </w:t>
            </w:r>
            <w:r>
              <w:rPr>
                <w:rFonts w:ascii="Times New Roman" w:hAnsi="Times New Roman" w:eastAsia="Times New Roman" w:cs="Times New Roman"/>
                <w:sz w:val="24"/>
              </w:rPr>
              <w:t>[REV.1] A2505009 Interim Rate Recovery Decision PD (10-29) Agenda.docx</w:t>
            </w:r>
          </w:p>
        </w:tc>
      </w:tr>
      <w:tr w:rsidR="005A32FA" w14:paraId="71E4E0D8" w14:textId="77777777">
        <w:trPr>
          <w:jc w:val="center"/>
        </w:trPr>
        <w:tc>
          <w:tcPr>
            <w:tcW w:w="8000" w:type="dxa"/>
            <w:gridSpan w:val="2"/>
          </w:tcPr>
          <w:p w:rsidR="005A32FA" w:rsidRDefault="003138B2" w14:paraId="46923415" w14:textId="77777777">
            <w:pPr>
              <w:spacing w:line="240" w:lineRule="auto"/>
              <w:rPr>
                <w:sz w:val="24"/>
              </w:rPr>
            </w:pPr>
            <w:r>
              <w:rPr>
                <w:rFonts w:ascii="Times New Roman" w:hAnsi="Times New Roman" w:eastAsia="Times New Roman" w:cs="Times New Roman"/>
                <w:b/>
                <w:color w:val="000000"/>
                <w:sz w:val="24"/>
              </w:rPr>
              <w:t xml:space="preserve">Modified filename: </w:t>
            </w:r>
            <w:r>
              <w:rPr>
                <w:rFonts w:ascii="Times New Roman" w:hAnsi="Times New Roman" w:eastAsia="Times New Roman" w:cs="Times New Roman"/>
                <w:sz w:val="24"/>
              </w:rPr>
              <w:t>[REV.2] A2505009 Interim Rate Recovery Decision PD (10-29) Agenda.docx</w:t>
            </w:r>
          </w:p>
        </w:tc>
      </w:tr>
      <w:tr w:rsidR="005A32FA" w14:paraId="396243FF" w14:textId="77777777">
        <w:trPr>
          <w:jc w:val="center"/>
        </w:trPr>
        <w:tc>
          <w:tcPr>
            <w:tcW w:w="8000" w:type="dxa"/>
            <w:gridSpan w:val="2"/>
          </w:tcPr>
          <w:p w:rsidR="005A32FA" w:rsidRDefault="003138B2" w14:paraId="7492A8CA" w14:textId="77777777">
            <w:pPr>
              <w:spacing w:line="240" w:lineRule="auto"/>
              <w:rPr>
                <w:sz w:val="24"/>
              </w:rPr>
            </w:pPr>
            <w:r>
              <w:rPr>
                <w:rFonts w:ascii="Times New Roman" w:hAnsi="Times New Roman" w:eastAsia="Times New Roman" w:cs="Times New Roman"/>
                <w:b/>
                <w:color w:val="000000"/>
                <w:sz w:val="24"/>
              </w:rPr>
              <w:t xml:space="preserve">Changes: </w:t>
            </w:r>
          </w:p>
        </w:tc>
      </w:tr>
      <w:tr w:rsidR="005A32FA" w14:paraId="04763F78" w14:textId="77777777">
        <w:trPr>
          <w:jc w:val="center"/>
        </w:trPr>
        <w:tc>
          <w:tcPr>
            <w:tcW w:w="6200" w:type="dxa"/>
          </w:tcPr>
          <w:p w:rsidR="005A32FA" w:rsidRDefault="003138B2" w14:paraId="09D755CC" w14:textId="77777777">
            <w:pPr>
              <w:spacing w:line="240" w:lineRule="auto"/>
              <w:rPr>
                <w:sz w:val="24"/>
              </w:rPr>
            </w:pPr>
            <w:r>
              <w:rPr>
                <w:rFonts w:ascii="Times New Roman" w:hAnsi="Times New Roman" w:eastAsia="Times New Roman" w:cs="Times New Roman"/>
                <w:color w:val="0000FF"/>
                <w:sz w:val="24"/>
                <w:u w:val="double"/>
              </w:rPr>
              <w:t xml:space="preserve">Add </w:t>
            </w:r>
          </w:p>
        </w:tc>
        <w:tc>
          <w:tcPr>
            <w:tcW w:w="1800" w:type="dxa"/>
          </w:tcPr>
          <w:p w:rsidR="005A32FA" w:rsidRDefault="003138B2" w14:paraId="25032384" w14:textId="77777777">
            <w:pPr>
              <w:spacing w:line="240" w:lineRule="auto"/>
              <w:rPr>
                <w:sz w:val="24"/>
              </w:rPr>
            </w:pPr>
            <w:r>
              <w:rPr>
                <w:rFonts w:ascii="Times New Roman" w:hAnsi="Times New Roman" w:eastAsia="Times New Roman" w:cs="Times New Roman"/>
                <w:color w:val="000000"/>
                <w:sz w:val="24"/>
              </w:rPr>
              <w:t>22</w:t>
            </w:r>
          </w:p>
        </w:tc>
      </w:tr>
      <w:tr w:rsidR="005A32FA" w14:paraId="3A6AAB08" w14:textId="77777777">
        <w:trPr>
          <w:jc w:val="center"/>
        </w:trPr>
        <w:tc>
          <w:tcPr>
            <w:tcW w:w="6200" w:type="dxa"/>
          </w:tcPr>
          <w:p w:rsidR="005A32FA" w:rsidRDefault="003138B2" w14:paraId="476DA121" w14:textId="77777777">
            <w:pPr>
              <w:spacing w:line="240" w:lineRule="auto"/>
              <w:rPr>
                <w:sz w:val="24"/>
              </w:rPr>
            </w:pPr>
            <w:r>
              <w:rPr>
                <w:rFonts w:ascii="Times New Roman" w:hAnsi="Times New Roman" w:eastAsia="Times New Roman" w:cs="Times New Roman"/>
                <w:strike/>
                <w:color w:val="FF0000"/>
                <w:sz w:val="24"/>
              </w:rPr>
              <w:t xml:space="preserve">Delete </w:t>
            </w:r>
          </w:p>
        </w:tc>
        <w:tc>
          <w:tcPr>
            <w:tcW w:w="1800" w:type="dxa"/>
          </w:tcPr>
          <w:p w:rsidR="005A32FA" w:rsidRDefault="003138B2" w14:paraId="53CB5437" w14:textId="77777777">
            <w:pPr>
              <w:spacing w:line="240" w:lineRule="auto"/>
              <w:rPr>
                <w:sz w:val="24"/>
              </w:rPr>
            </w:pPr>
            <w:r>
              <w:rPr>
                <w:rFonts w:ascii="Times New Roman" w:hAnsi="Times New Roman" w:eastAsia="Times New Roman" w:cs="Times New Roman"/>
                <w:color w:val="000000"/>
                <w:sz w:val="24"/>
              </w:rPr>
              <w:t>17</w:t>
            </w:r>
          </w:p>
        </w:tc>
      </w:tr>
      <w:tr w:rsidR="005A32FA" w14:paraId="2797EFDD" w14:textId="77777777">
        <w:trPr>
          <w:jc w:val="center"/>
        </w:trPr>
        <w:tc>
          <w:tcPr>
            <w:tcW w:w="6200" w:type="dxa"/>
          </w:tcPr>
          <w:p w:rsidR="005A32FA" w:rsidRDefault="003138B2" w14:paraId="29301EB6" w14:textId="77777777">
            <w:pPr>
              <w:spacing w:line="240" w:lineRule="auto"/>
              <w:rPr>
                <w:sz w:val="24"/>
              </w:rPr>
            </w:pPr>
            <w:r>
              <w:rPr>
                <w:rFonts w:ascii="Times New Roman" w:hAnsi="Times New Roman" w:eastAsia="Times New Roman" w:cs="Times New Roman"/>
                <w:strike/>
                <w:color w:val="008000"/>
                <w:sz w:val="24"/>
              </w:rPr>
              <w:t>Move From</w:t>
            </w:r>
          </w:p>
        </w:tc>
        <w:tc>
          <w:tcPr>
            <w:tcW w:w="1800" w:type="dxa"/>
          </w:tcPr>
          <w:p w:rsidR="005A32FA" w:rsidRDefault="003138B2" w14:paraId="3616E690" w14:textId="77777777">
            <w:pPr>
              <w:spacing w:line="240" w:lineRule="auto"/>
              <w:rPr>
                <w:sz w:val="24"/>
              </w:rPr>
            </w:pPr>
            <w:r>
              <w:rPr>
                <w:rFonts w:ascii="Times New Roman" w:hAnsi="Times New Roman" w:eastAsia="Times New Roman" w:cs="Times New Roman"/>
                <w:color w:val="000000"/>
                <w:sz w:val="24"/>
              </w:rPr>
              <w:t>0</w:t>
            </w:r>
          </w:p>
        </w:tc>
      </w:tr>
      <w:tr w:rsidR="005A32FA" w14:paraId="64653F1B" w14:textId="77777777">
        <w:trPr>
          <w:jc w:val="center"/>
        </w:trPr>
        <w:tc>
          <w:tcPr>
            <w:tcW w:w="6200" w:type="dxa"/>
          </w:tcPr>
          <w:p w:rsidR="005A32FA" w:rsidRDefault="003138B2" w14:paraId="0AD9CB0E" w14:textId="77777777">
            <w:pPr>
              <w:spacing w:line="240" w:lineRule="auto"/>
              <w:rPr>
                <w:sz w:val="24"/>
              </w:rPr>
            </w:pPr>
            <w:r>
              <w:rPr>
                <w:rFonts w:ascii="Times New Roman" w:hAnsi="Times New Roman" w:eastAsia="Times New Roman" w:cs="Times New Roman"/>
                <w:color w:val="008000"/>
                <w:sz w:val="24"/>
                <w:u w:val="double"/>
              </w:rPr>
              <w:t>Move To</w:t>
            </w:r>
          </w:p>
        </w:tc>
        <w:tc>
          <w:tcPr>
            <w:tcW w:w="1800" w:type="dxa"/>
          </w:tcPr>
          <w:p w:rsidR="005A32FA" w:rsidRDefault="003138B2" w14:paraId="604F7C6D" w14:textId="77777777">
            <w:pPr>
              <w:spacing w:line="240" w:lineRule="auto"/>
              <w:rPr>
                <w:sz w:val="24"/>
              </w:rPr>
            </w:pPr>
            <w:r>
              <w:rPr>
                <w:rFonts w:ascii="Times New Roman" w:hAnsi="Times New Roman" w:eastAsia="Times New Roman" w:cs="Times New Roman"/>
                <w:color w:val="000000"/>
                <w:sz w:val="24"/>
              </w:rPr>
              <w:t>0</w:t>
            </w:r>
          </w:p>
        </w:tc>
      </w:tr>
      <w:tr w:rsidR="005A32FA" w14:paraId="41823EB9" w14:textId="77777777">
        <w:trPr>
          <w:jc w:val="center"/>
        </w:trPr>
        <w:tc>
          <w:tcPr>
            <w:tcW w:w="6200" w:type="dxa"/>
          </w:tcPr>
          <w:p w:rsidR="005A32FA" w:rsidRDefault="003138B2" w14:paraId="1B32E306" w14:textId="77777777">
            <w:pPr>
              <w:spacing w:line="240" w:lineRule="auto"/>
              <w:rPr>
                <w:sz w:val="24"/>
              </w:rPr>
            </w:pPr>
            <w:r>
              <w:rPr>
                <w:rFonts w:ascii="Times New Roman" w:hAnsi="Times New Roman" w:eastAsia="Times New Roman" w:cs="Times New Roman"/>
                <w:color w:val="0000FF"/>
                <w:sz w:val="24"/>
                <w:u w:val="double"/>
              </w:rPr>
              <w:t>Table Insert</w:t>
            </w:r>
          </w:p>
        </w:tc>
        <w:tc>
          <w:tcPr>
            <w:tcW w:w="1800" w:type="dxa"/>
          </w:tcPr>
          <w:p w:rsidR="005A32FA" w:rsidRDefault="003138B2" w14:paraId="0A3C2C75" w14:textId="77777777">
            <w:pPr>
              <w:spacing w:line="240" w:lineRule="auto"/>
              <w:rPr>
                <w:sz w:val="24"/>
              </w:rPr>
            </w:pPr>
            <w:r>
              <w:rPr>
                <w:rFonts w:ascii="Times New Roman" w:hAnsi="Times New Roman" w:eastAsia="Times New Roman" w:cs="Times New Roman"/>
                <w:color w:val="000000"/>
                <w:sz w:val="24"/>
              </w:rPr>
              <w:t>0</w:t>
            </w:r>
          </w:p>
        </w:tc>
      </w:tr>
      <w:tr w:rsidR="005A32FA" w14:paraId="6A299DC0" w14:textId="77777777">
        <w:trPr>
          <w:jc w:val="center"/>
        </w:trPr>
        <w:tc>
          <w:tcPr>
            <w:tcW w:w="6200" w:type="dxa"/>
          </w:tcPr>
          <w:p w:rsidR="005A32FA" w:rsidRDefault="003138B2" w14:paraId="3CAD1E37" w14:textId="77777777">
            <w:pPr>
              <w:spacing w:line="240" w:lineRule="auto"/>
              <w:rPr>
                <w:sz w:val="24"/>
              </w:rPr>
            </w:pPr>
            <w:r>
              <w:rPr>
                <w:rFonts w:ascii="Times New Roman" w:hAnsi="Times New Roman" w:eastAsia="Times New Roman" w:cs="Times New Roman"/>
                <w:strike/>
                <w:color w:val="FF0000"/>
                <w:sz w:val="24"/>
              </w:rPr>
              <w:t>Table Delete</w:t>
            </w:r>
          </w:p>
        </w:tc>
        <w:tc>
          <w:tcPr>
            <w:tcW w:w="1800" w:type="dxa"/>
          </w:tcPr>
          <w:p w:rsidR="005A32FA" w:rsidRDefault="003138B2" w14:paraId="586D0A1B" w14:textId="77777777">
            <w:pPr>
              <w:spacing w:line="240" w:lineRule="auto"/>
              <w:rPr>
                <w:sz w:val="24"/>
              </w:rPr>
            </w:pPr>
            <w:r>
              <w:rPr>
                <w:rFonts w:ascii="Times New Roman" w:hAnsi="Times New Roman" w:eastAsia="Times New Roman" w:cs="Times New Roman"/>
                <w:color w:val="000000"/>
                <w:sz w:val="24"/>
              </w:rPr>
              <w:t>0</w:t>
            </w:r>
          </w:p>
        </w:tc>
      </w:tr>
      <w:tr w:rsidR="005A32FA" w14:paraId="3DB8FDA9" w14:textId="77777777">
        <w:trPr>
          <w:jc w:val="center"/>
        </w:trPr>
        <w:tc>
          <w:tcPr>
            <w:tcW w:w="6200" w:type="dxa"/>
          </w:tcPr>
          <w:p w:rsidR="005A32FA" w:rsidRDefault="003138B2" w14:paraId="5995B6D3" w14:textId="77777777">
            <w:pPr>
              <w:spacing w:line="240" w:lineRule="auto"/>
              <w:rPr>
                <w:sz w:val="24"/>
              </w:rPr>
            </w:pPr>
            <w:r>
              <w:rPr>
                <w:rFonts w:ascii="Times New Roman" w:hAnsi="Times New Roman" w:eastAsia="Times New Roman" w:cs="Times New Roman"/>
                <w:color w:val="008000"/>
                <w:sz w:val="24"/>
                <w:u w:val="double"/>
              </w:rPr>
              <w:t>Table moves to</w:t>
            </w:r>
          </w:p>
        </w:tc>
        <w:tc>
          <w:tcPr>
            <w:tcW w:w="1800" w:type="dxa"/>
          </w:tcPr>
          <w:p w:rsidR="005A32FA" w:rsidRDefault="003138B2" w14:paraId="5F93A1F4" w14:textId="77777777">
            <w:pPr>
              <w:spacing w:line="240" w:lineRule="auto"/>
              <w:rPr>
                <w:sz w:val="24"/>
              </w:rPr>
            </w:pPr>
            <w:r>
              <w:rPr>
                <w:rFonts w:ascii="Times New Roman" w:hAnsi="Times New Roman" w:eastAsia="Times New Roman" w:cs="Times New Roman"/>
                <w:color w:val="000000"/>
                <w:sz w:val="24"/>
              </w:rPr>
              <w:t>0</w:t>
            </w:r>
          </w:p>
        </w:tc>
      </w:tr>
      <w:tr w:rsidR="005A32FA" w14:paraId="5E3F9518" w14:textId="77777777">
        <w:trPr>
          <w:jc w:val="center"/>
        </w:trPr>
        <w:tc>
          <w:tcPr>
            <w:tcW w:w="6200" w:type="dxa"/>
          </w:tcPr>
          <w:p w:rsidR="005A32FA" w:rsidRDefault="003138B2" w14:paraId="7CE80512" w14:textId="77777777">
            <w:pPr>
              <w:spacing w:line="240" w:lineRule="auto"/>
              <w:rPr>
                <w:sz w:val="24"/>
              </w:rPr>
            </w:pPr>
            <w:r>
              <w:rPr>
                <w:rFonts w:ascii="Times New Roman" w:hAnsi="Times New Roman" w:eastAsia="Times New Roman" w:cs="Times New Roman"/>
                <w:strike/>
                <w:color w:val="008000"/>
                <w:sz w:val="24"/>
              </w:rPr>
              <w:t>Table moves from</w:t>
            </w:r>
          </w:p>
        </w:tc>
        <w:tc>
          <w:tcPr>
            <w:tcW w:w="1800" w:type="dxa"/>
          </w:tcPr>
          <w:p w:rsidR="005A32FA" w:rsidRDefault="003138B2" w14:paraId="6C178B15" w14:textId="77777777">
            <w:pPr>
              <w:spacing w:line="240" w:lineRule="auto"/>
              <w:rPr>
                <w:sz w:val="24"/>
              </w:rPr>
            </w:pPr>
            <w:r>
              <w:rPr>
                <w:rFonts w:ascii="Times New Roman" w:hAnsi="Times New Roman" w:eastAsia="Times New Roman" w:cs="Times New Roman"/>
                <w:color w:val="000000"/>
                <w:sz w:val="24"/>
              </w:rPr>
              <w:t>0</w:t>
            </w:r>
          </w:p>
        </w:tc>
      </w:tr>
      <w:tr w:rsidR="005A32FA" w14:paraId="776D7B11" w14:textId="77777777">
        <w:trPr>
          <w:jc w:val="center"/>
        </w:trPr>
        <w:tc>
          <w:tcPr>
            <w:tcW w:w="6200" w:type="dxa"/>
          </w:tcPr>
          <w:p w:rsidR="005A32FA" w:rsidRDefault="003138B2" w14:paraId="4847AC49" w14:textId="77777777">
            <w:pPr>
              <w:spacing w:line="240" w:lineRule="auto"/>
              <w:rPr>
                <w:sz w:val="24"/>
              </w:rPr>
            </w:pPr>
            <w:r>
              <w:rPr>
                <w:rFonts w:ascii="Times New Roman" w:hAnsi="Times New Roman" w:eastAsia="Times New Roman" w:cs="Times New Roman"/>
                <w:color w:val="000000"/>
                <w:sz w:val="24"/>
              </w:rPr>
              <w:t>Embedded Graphics (Visio, ChemDraw, Images etc.)</w:t>
            </w:r>
          </w:p>
        </w:tc>
        <w:tc>
          <w:tcPr>
            <w:tcW w:w="1800" w:type="dxa"/>
          </w:tcPr>
          <w:p w:rsidR="005A32FA" w:rsidRDefault="003138B2" w14:paraId="00A93BF3" w14:textId="77777777">
            <w:pPr>
              <w:spacing w:line="240" w:lineRule="auto"/>
              <w:rPr>
                <w:sz w:val="24"/>
              </w:rPr>
            </w:pPr>
            <w:r>
              <w:rPr>
                <w:rFonts w:ascii="Times New Roman" w:hAnsi="Times New Roman" w:eastAsia="Times New Roman" w:cs="Times New Roman"/>
                <w:color w:val="000000"/>
                <w:sz w:val="24"/>
              </w:rPr>
              <w:t>0</w:t>
            </w:r>
          </w:p>
        </w:tc>
      </w:tr>
      <w:tr w:rsidR="005A32FA" w14:paraId="47BB7F9A" w14:textId="77777777">
        <w:trPr>
          <w:jc w:val="center"/>
        </w:trPr>
        <w:tc>
          <w:tcPr>
            <w:tcW w:w="6200" w:type="dxa"/>
          </w:tcPr>
          <w:p w:rsidR="005A32FA" w:rsidRDefault="003138B2" w14:paraId="3E17384F" w14:textId="77777777">
            <w:pPr>
              <w:spacing w:line="240" w:lineRule="auto"/>
              <w:rPr>
                <w:sz w:val="24"/>
              </w:rPr>
            </w:pPr>
            <w:r>
              <w:rPr>
                <w:rFonts w:ascii="Times New Roman" w:hAnsi="Times New Roman" w:eastAsia="Times New Roman" w:cs="Times New Roman"/>
                <w:color w:val="000000"/>
                <w:sz w:val="24"/>
              </w:rPr>
              <w:t xml:space="preserve">Embedded Excel </w:t>
            </w:r>
          </w:p>
        </w:tc>
        <w:tc>
          <w:tcPr>
            <w:tcW w:w="1800" w:type="dxa"/>
          </w:tcPr>
          <w:p w:rsidR="005A32FA" w:rsidRDefault="003138B2" w14:paraId="1BD7FAC1" w14:textId="77777777">
            <w:pPr>
              <w:spacing w:line="240" w:lineRule="auto"/>
              <w:rPr>
                <w:sz w:val="24"/>
              </w:rPr>
            </w:pPr>
            <w:r>
              <w:rPr>
                <w:rFonts w:ascii="Times New Roman" w:hAnsi="Times New Roman" w:eastAsia="Times New Roman" w:cs="Times New Roman"/>
                <w:color w:val="000000"/>
                <w:sz w:val="24"/>
              </w:rPr>
              <w:t>0</w:t>
            </w:r>
          </w:p>
        </w:tc>
      </w:tr>
      <w:tr w:rsidR="005A32FA" w14:paraId="49C80177" w14:textId="77777777">
        <w:trPr>
          <w:jc w:val="center"/>
        </w:trPr>
        <w:tc>
          <w:tcPr>
            <w:tcW w:w="6200" w:type="dxa"/>
          </w:tcPr>
          <w:p w:rsidR="005A32FA" w:rsidRDefault="003138B2" w14:paraId="7F1B0757" w14:textId="77777777">
            <w:pPr>
              <w:spacing w:line="240" w:lineRule="auto"/>
              <w:rPr>
                <w:sz w:val="24"/>
              </w:rPr>
            </w:pPr>
            <w:r>
              <w:rPr>
                <w:rFonts w:ascii="Times New Roman" w:hAnsi="Times New Roman" w:eastAsia="Times New Roman" w:cs="Times New Roman"/>
                <w:color w:val="000000"/>
                <w:sz w:val="24"/>
              </w:rPr>
              <w:t>Format changes</w:t>
            </w:r>
          </w:p>
        </w:tc>
        <w:tc>
          <w:tcPr>
            <w:tcW w:w="1800" w:type="dxa"/>
          </w:tcPr>
          <w:p w:rsidR="005A32FA" w:rsidRDefault="003138B2" w14:paraId="4AF590FC" w14:textId="77777777">
            <w:pPr>
              <w:spacing w:line="240" w:lineRule="auto"/>
              <w:rPr>
                <w:sz w:val="24"/>
              </w:rPr>
            </w:pPr>
            <w:r>
              <w:rPr>
                <w:rFonts w:ascii="Times New Roman" w:hAnsi="Times New Roman" w:eastAsia="Times New Roman" w:cs="Times New Roman"/>
                <w:color w:val="000000"/>
                <w:sz w:val="24"/>
              </w:rPr>
              <w:t>0</w:t>
            </w:r>
          </w:p>
        </w:tc>
      </w:tr>
      <w:tr w:rsidR="005A32FA" w14:paraId="39072CE0" w14:textId="77777777">
        <w:trPr>
          <w:jc w:val="center"/>
        </w:trPr>
        <w:tc>
          <w:tcPr>
            <w:tcW w:w="6200" w:type="dxa"/>
          </w:tcPr>
          <w:p w:rsidR="005A32FA" w:rsidRDefault="003138B2" w14:paraId="18ED1DFB" w14:textId="77777777">
            <w:pPr>
              <w:spacing w:line="240" w:lineRule="auto"/>
              <w:rPr>
                <w:sz w:val="24"/>
              </w:rPr>
            </w:pPr>
            <w:r>
              <w:rPr>
                <w:rFonts w:ascii="Times New Roman" w:hAnsi="Times New Roman" w:eastAsia="Times New Roman" w:cs="Times New Roman"/>
                <w:b/>
                <w:color w:val="000000"/>
                <w:sz w:val="24"/>
              </w:rPr>
              <w:t xml:space="preserve">Total Changes: </w:t>
            </w:r>
          </w:p>
        </w:tc>
        <w:tc>
          <w:tcPr>
            <w:tcW w:w="1800" w:type="dxa"/>
          </w:tcPr>
          <w:p w:rsidR="005A32FA" w:rsidRDefault="003138B2" w14:paraId="5BA3E14D" w14:textId="77777777">
            <w:pPr>
              <w:spacing w:line="240" w:lineRule="auto"/>
              <w:rPr>
                <w:sz w:val="24"/>
              </w:rPr>
            </w:pPr>
            <w:r>
              <w:rPr>
                <w:rFonts w:ascii="Times New Roman" w:hAnsi="Times New Roman" w:eastAsia="Times New Roman" w:cs="Times New Roman"/>
                <w:color w:val="000000"/>
                <w:sz w:val="24"/>
              </w:rPr>
              <w:t>39</w:t>
            </w:r>
          </w:p>
        </w:tc>
      </w:tr>
    </w:tbl>
    <w:p w:rsidR="005A32FA" w:rsidRDefault="005A32FA" w14:paraId="63516869" w14:textId="77777777">
      <w:pPr>
        <w:rPr>
          <w:sz w:val="24"/>
        </w:rPr>
      </w:pPr>
    </w:p>
    <w:p w:rsidR="005A32FA" w:rsidRDefault="005A32FA" w14:paraId="451F7895" w14:textId="77777777">
      <w:pPr>
        <w:rPr>
          <w:sz w:val="24"/>
        </w:rPr>
      </w:pPr>
    </w:p>
    <w:sectPr w:rsidR="005A32FA">
      <w:headerReference w:type="default" r:id="rId23"/>
      <w:footerReference w:type="default" r:id="rId2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6F2A9" w14:textId="77777777" w:rsidR="003138B2" w:rsidRDefault="003138B2" w:rsidP="0098138E">
      <w:pPr>
        <w:spacing w:line="240" w:lineRule="auto"/>
      </w:pPr>
      <w:r>
        <w:separator/>
      </w:r>
    </w:p>
  </w:endnote>
  <w:endnote w:type="continuationSeparator" w:id="0">
    <w:p w14:paraId="30FB637D" w14:textId="77777777" w:rsidR="003138B2" w:rsidRDefault="003138B2"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altName w:val="Cambri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B0BD4" w14:textId="77777777" w:rsidR="005A32FA" w:rsidRDefault="005A32FA">
    <w:pPr>
      <w:rPr>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C796C" w14:textId="77777777" w:rsidR="005A32FA" w:rsidRDefault="005A32FA">
    <w:pPr>
      <w:rPr>
        <w:sz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9040A" w14:textId="77777777" w:rsidR="002B265F" w:rsidRDefault="00865A85" w:rsidP="00C87A67">
    <w:pPr>
      <w:pStyle w:val="Footer"/>
      <w:ind w:firstLine="0"/>
    </w:pPr>
    <w:bookmarkStart w:id="3" w:name="_cp_change_42"/>
    <w:r>
      <w:rPr>
        <w:strike/>
        <w:color w:val="FF0000"/>
        <w:sz w:val="16"/>
        <w:szCs w:val="16"/>
        <w:u w:color="FF0000"/>
      </w:rPr>
      <w:t>626480880</w:t>
    </w:r>
    <w:bookmarkStart w:id="4" w:name="_cp_change_43"/>
    <w:bookmarkEnd w:id="3"/>
    <w:r>
      <w:rPr>
        <w:color w:val="0000FF"/>
        <w:sz w:val="16"/>
        <w:szCs w:val="16"/>
        <w:u w:val="double" w:color="0000FF"/>
      </w:rPr>
      <w:t>626520400</w:t>
    </w:r>
    <w:bookmarkEnd w:id="4"/>
    <w:r>
      <w:tab/>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DAA62" w14:textId="77777777" w:rsidR="005A32FA" w:rsidRDefault="005A32FA">
    <w:pPr>
      <w:rPr>
        <w:sz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E1B9A" w14:textId="77777777" w:rsidR="00E23CBB" w:rsidRDefault="00E23CBB" w:rsidP="007E0FEE">
    <w:pPr>
      <w:ind w:firstLine="0"/>
      <w:jc w:val="center"/>
    </w:pPr>
    <w:r>
      <w:t>-</w:t>
    </w:r>
    <w:sdt>
      <w:sdtPr>
        <w:id w:val="-1034043401"/>
        <w:docPartObj>
          <w:docPartGallery w:val="Page Numbers (Bottom of Page)"/>
          <w:docPartUnique/>
        </w:docPartObj>
      </w:sdtPr>
      <w:sdtEndPr>
        <w:rPr>
          <w:noProof/>
        </w:rPr>
      </w:sdtEndPr>
      <w:sdtContent>
        <w:r>
          <w:t xml:space="preserve"> </w:t>
        </w:r>
        <w:r>
          <w:fldChar w:fldCharType="begin"/>
        </w:r>
        <w:r>
          <w:instrText>PAGE   \* MERGEFORMAT</w:instrText>
        </w:r>
        <w:r>
          <w:fldChar w:fldCharType="separate"/>
        </w:r>
        <w:r>
          <w:rPr>
            <w:noProof/>
          </w:rPr>
          <w:t>1</w:t>
        </w:r>
        <w:r>
          <w:rPr>
            <w:noProof/>
          </w:rPr>
          <w:fldChar w:fldCharType="end"/>
        </w:r>
        <w:r>
          <w:rPr>
            <w:noProof/>
          </w:rPr>
          <w:t xml:space="preserve"> -</w:t>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9D271" w14:textId="77777777" w:rsidR="002B265F" w:rsidRDefault="00865A85" w:rsidP="00C87A67">
    <w:pPr>
      <w:pStyle w:val="Footer1"/>
      <w:ind w:firstLine="0"/>
    </w:pPr>
    <w:bookmarkStart w:id="53" w:name="_cp_change_46"/>
    <w:r>
      <w:rPr>
        <w:strike/>
        <w:color w:val="FF0000"/>
        <w:sz w:val="16"/>
        <w:szCs w:val="16"/>
        <w:u w:color="FF0000"/>
      </w:rPr>
      <w:t>626480880</w:t>
    </w:r>
    <w:bookmarkStart w:id="54" w:name="_cp_change_47"/>
    <w:bookmarkEnd w:id="53"/>
    <w:r>
      <w:rPr>
        <w:color w:val="0000FF"/>
        <w:sz w:val="16"/>
        <w:szCs w:val="16"/>
        <w:u w:val="double" w:color="0000FF"/>
      </w:rPr>
      <w:t>626520400</w:t>
    </w:r>
    <w:bookmarkEnd w:id="54"/>
    <w:r>
      <w:tab/>
      <w:t>-1-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FBDFB" w14:textId="77777777" w:rsidR="005A32FA" w:rsidRDefault="005A32FA">
    <w:pPr>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4DCEC" w14:textId="77777777" w:rsidR="003138B2" w:rsidRDefault="003138B2" w:rsidP="00DF58E7">
      <w:pPr>
        <w:spacing w:line="240" w:lineRule="auto"/>
        <w:ind w:firstLine="0"/>
      </w:pPr>
      <w:r>
        <w:separator/>
      </w:r>
    </w:p>
  </w:footnote>
  <w:footnote w:type="continuationSeparator" w:id="0">
    <w:p w14:paraId="730CC2D3" w14:textId="77777777" w:rsidR="003138B2" w:rsidRDefault="003138B2" w:rsidP="00DF58E7">
      <w:pPr>
        <w:spacing w:line="240" w:lineRule="auto"/>
        <w:ind w:firstLine="0"/>
      </w:pPr>
      <w:r>
        <w:continuationSeparator/>
      </w:r>
    </w:p>
  </w:footnote>
  <w:footnote w:type="continuationNotice" w:id="1">
    <w:p w14:paraId="15945813" w14:textId="77777777" w:rsidR="003138B2" w:rsidRPr="00DF58E7" w:rsidRDefault="003138B2" w:rsidP="00DF58E7">
      <w:pPr>
        <w:spacing w:line="240" w:lineRule="auto"/>
        <w:ind w:firstLine="0"/>
        <w:jc w:val="right"/>
        <w:rPr>
          <w:i/>
          <w:sz w:val="22"/>
        </w:rPr>
      </w:pPr>
      <w:r>
        <w:rPr>
          <w:i/>
          <w:sz w:val="22"/>
        </w:rPr>
        <w:t>Footnote continued on next page.</w:t>
      </w:r>
    </w:p>
  </w:footnote>
  <w:footnote w:id="2">
    <w:p w14:paraId="6AC10E2F" w14:textId="77777777" w:rsidR="002B265F" w:rsidRDefault="002B265F" w:rsidP="002B265F">
      <w:pPr>
        <w:pStyle w:val="FootnoteText"/>
      </w:pPr>
      <w:r>
        <w:rPr>
          <w:rStyle w:val="FootnoteReference"/>
        </w:rPr>
        <w:footnoteRef/>
      </w:r>
      <w:r>
        <w:t xml:space="preserve"> </w:t>
      </w:r>
      <w:r>
        <w:rPr>
          <w:color w:val="000000" w:themeColor="text1"/>
        </w:rPr>
        <w:t>Assigned Commissioner’s Scoping Memo and Ruling issued on July 31, 2025 at 19.</w:t>
      </w:r>
      <w:r>
        <w:rPr>
          <w:color w:val="FF0000"/>
        </w:rPr>
        <w:t xml:space="preserve"> </w:t>
      </w:r>
      <w:r>
        <w:t xml:space="preserve">As noted in the </w:t>
      </w:r>
      <w:r>
        <w:rPr>
          <w:color w:val="000000" w:themeColor="text1"/>
        </w:rPr>
        <w:t xml:space="preserve">Scoping Memo and Ruling, </w:t>
      </w:r>
      <w:r>
        <w:t>the schedule may be modified by the Administrative Law Judges as required to promote the efficient and fair resolution of the Application.</w:t>
      </w:r>
    </w:p>
  </w:footnote>
  <w:footnote w:id="3">
    <w:p w14:paraId="0B4A0E19" w14:textId="77777777" w:rsidR="002B265F" w:rsidRPr="00863E50" w:rsidRDefault="002B265F" w:rsidP="002B265F">
      <w:pPr>
        <w:pStyle w:val="FootnoteText"/>
      </w:pPr>
      <w:r>
        <w:rPr>
          <w:rStyle w:val="FootnoteReference"/>
        </w:rPr>
        <w:footnoteRef/>
      </w:r>
      <w:r>
        <w:t xml:space="preserve"> PG&amp;E Opening Brief.</w:t>
      </w:r>
    </w:p>
  </w:footnote>
  <w:footnote w:id="4">
    <w:p w14:paraId="330B9393" w14:textId="77777777" w:rsidR="002B265F" w:rsidRPr="00863E50" w:rsidRDefault="002B265F" w:rsidP="002B265F">
      <w:pPr>
        <w:pStyle w:val="FootnoteText"/>
      </w:pPr>
      <w:r>
        <w:rPr>
          <w:rStyle w:val="FootnoteReference"/>
        </w:rPr>
        <w:footnoteRef/>
      </w:r>
      <w:r>
        <w:t xml:space="preserve"> PG&amp;E Ex-10-E-2, Table 1.</w:t>
      </w:r>
    </w:p>
  </w:footnote>
  <w:footnote w:id="5">
    <w:p w14:paraId="5E29349C" w14:textId="77777777" w:rsidR="002B265F" w:rsidRDefault="002B265F" w:rsidP="002B265F">
      <w:pPr>
        <w:pStyle w:val="FootnoteText"/>
      </w:pPr>
      <w:r>
        <w:rPr>
          <w:rStyle w:val="FootnoteReference"/>
        </w:rPr>
        <w:footnoteRef/>
      </w:r>
      <w:r>
        <w:t xml:space="preserve"> IRR Motion at 4. Note that values were originally presented in thousands and have been rounded to millions to correspond with values presented in PG&amp;E Ex-10, Table 1-1.</w:t>
      </w:r>
    </w:p>
  </w:footnote>
  <w:footnote w:id="6">
    <w:p w14:paraId="6DD42614" w14:textId="77777777" w:rsidR="002B265F" w:rsidRPr="00D94CB5" w:rsidRDefault="002B265F" w:rsidP="002B265F">
      <w:pPr>
        <w:pStyle w:val="FootnoteText"/>
      </w:pPr>
      <w:r>
        <w:rPr>
          <w:rStyle w:val="FootnoteReference"/>
        </w:rPr>
        <w:footnoteRef/>
      </w:r>
      <w:r>
        <w:t xml:space="preserve"> Assigned Commissioner’s Scoping Memo and Ruling issued on July 31, 2025 at 19.</w:t>
      </w:r>
    </w:p>
  </w:footnote>
  <w:footnote w:id="7">
    <w:p w14:paraId="7EC5AC32" w14:textId="77777777" w:rsidR="002B265F" w:rsidRPr="00D94CB5" w:rsidRDefault="002B265F" w:rsidP="002B265F">
      <w:pPr>
        <w:pStyle w:val="FootnoteText"/>
      </w:pPr>
      <w:r>
        <w:rPr>
          <w:rStyle w:val="FootnoteReference"/>
        </w:rPr>
        <w:footnoteRef/>
      </w:r>
      <w:r>
        <w:t xml:space="preserve"> IRR Motion at 3, citing Decision (D.) 20-01-002 at 27.</w:t>
      </w:r>
    </w:p>
  </w:footnote>
  <w:footnote w:id="8">
    <w:p w14:paraId="006BFFC4" w14:textId="77777777" w:rsidR="002B265F" w:rsidRPr="00D94CB5" w:rsidRDefault="002B265F" w:rsidP="002B265F">
      <w:pPr>
        <w:pStyle w:val="FootnoteText"/>
      </w:pPr>
      <w:r>
        <w:rPr>
          <w:rStyle w:val="FootnoteReference"/>
        </w:rPr>
        <w:footnoteRef/>
      </w:r>
      <w:r>
        <w:t xml:space="preserve"> IRR Motion at 1, 4, 6. </w:t>
      </w:r>
    </w:p>
  </w:footnote>
  <w:footnote w:id="9">
    <w:p w14:paraId="4A3FB095" w14:textId="77777777" w:rsidR="002B265F" w:rsidRPr="00AF440B" w:rsidRDefault="002B265F" w:rsidP="002B265F">
      <w:pPr>
        <w:pStyle w:val="FootnoteText"/>
        <w:rPr>
          <w:lang w:val="en-ZW"/>
        </w:rPr>
      </w:pPr>
      <w:r>
        <w:rPr>
          <w:rStyle w:val="FootnoteReference"/>
        </w:rPr>
        <w:footnoteRef/>
      </w:r>
      <w:r>
        <w:t xml:space="preserve"> IRR Motion at 7-10.</w:t>
      </w:r>
    </w:p>
  </w:footnote>
  <w:footnote w:id="10">
    <w:p w14:paraId="08662EAF" w14:textId="77777777" w:rsidR="002B265F" w:rsidRPr="00D94CB5" w:rsidRDefault="002B265F" w:rsidP="002B265F">
      <w:pPr>
        <w:pStyle w:val="FootnoteText"/>
      </w:pPr>
      <w:r>
        <w:rPr>
          <w:rStyle w:val="FootnoteReference"/>
        </w:rPr>
        <w:footnoteRef/>
      </w:r>
      <w:r>
        <w:t xml:space="preserve"> IRR Motion at 1.</w:t>
      </w:r>
    </w:p>
  </w:footnote>
  <w:footnote w:id="11">
    <w:p w14:paraId="53199364" w14:textId="77777777" w:rsidR="002B265F" w:rsidRDefault="002B265F" w:rsidP="002B265F">
      <w:pPr>
        <w:pStyle w:val="FootnoteText"/>
      </w:pPr>
      <w:r>
        <w:rPr>
          <w:rStyle w:val="FootnoteReference"/>
        </w:rPr>
        <w:footnoteRef/>
      </w:r>
      <w:r>
        <w:t xml:space="preserve"> IRR Motion at 8.</w:t>
      </w:r>
    </w:p>
  </w:footnote>
  <w:footnote w:id="12">
    <w:p w14:paraId="1738366D" w14:textId="77777777" w:rsidR="002B265F" w:rsidRDefault="002B265F" w:rsidP="002B265F">
      <w:pPr>
        <w:pStyle w:val="FootnoteText"/>
      </w:pPr>
      <w:r>
        <w:rPr>
          <w:rStyle w:val="FootnoteReference"/>
          <w:color w:val="000000" w:themeColor="text1"/>
        </w:rPr>
        <w:footnoteRef/>
      </w:r>
      <w:r>
        <w:rPr>
          <w:color w:val="000000" w:themeColor="text1"/>
        </w:rPr>
        <w:t xml:space="preserve"> Note that this calculation presumes a 12-month amortization of any undercollection. Non-CARE customers are customers that pay standard gas and/or electric rates and do not receive the California Alternate Rates for Energy (CARE) program monthly discount.</w:t>
      </w:r>
    </w:p>
  </w:footnote>
  <w:footnote w:id="13">
    <w:p w14:paraId="628CB7EE" w14:textId="77777777" w:rsidR="002B265F" w:rsidRDefault="002B265F" w:rsidP="002B265F">
      <w:pPr>
        <w:pStyle w:val="FootnoteText"/>
      </w:pPr>
      <w:r>
        <w:rPr>
          <w:rStyle w:val="FootnoteReference"/>
        </w:rPr>
        <w:footnoteRef/>
      </w:r>
      <w:r>
        <w:t xml:space="preserve"> IRR Motion at 1.</w:t>
      </w:r>
    </w:p>
  </w:footnote>
  <w:footnote w:id="14">
    <w:p w14:paraId="4B79187A" w14:textId="77777777" w:rsidR="002B265F" w:rsidRDefault="002B265F" w:rsidP="002B265F">
      <w:pPr>
        <w:pStyle w:val="FootnoteText"/>
      </w:pPr>
      <w:r>
        <w:rPr>
          <w:rStyle w:val="FootnoteReference"/>
        </w:rPr>
        <w:footnoteRef/>
      </w:r>
      <w:r>
        <w:t xml:space="preserve"> PG&amp;E Opening Brief at 10-47 updates the 2027 proposed revenue requirement, removing costs from memorandum accounts related to Senate Bill 410 and Assembly Bill 841 from this GRC as discussed in PG&amp;E Ex-22 at 7-27, 7-29.</w:t>
      </w:r>
    </w:p>
  </w:footnote>
  <w:footnote w:id="15">
    <w:p w14:paraId="7FACD330" w14:textId="77777777" w:rsidR="002B265F" w:rsidRDefault="002B265F" w:rsidP="002B265F">
      <w:pPr>
        <w:pStyle w:val="FootnoteText"/>
      </w:pPr>
      <w:r>
        <w:rPr>
          <w:rStyle w:val="FootnoteReference"/>
        </w:rPr>
        <w:footnoteRef/>
      </w:r>
      <w:r>
        <w:t xml:space="preserve"> Public Advocates Office Response in Opposition to Pacific Gas and Electric Company’s Motion for Interim Rate Recovery (Cal Advocates Response) at 9.</w:t>
      </w:r>
    </w:p>
  </w:footnote>
  <w:footnote w:id="16">
    <w:p w14:paraId="242ED499" w14:textId="77777777" w:rsidR="002B265F" w:rsidRPr="00D460DB" w:rsidRDefault="002B265F" w:rsidP="002B265F">
      <w:pPr>
        <w:pStyle w:val="FootnoteText"/>
        <w:rPr>
          <w:color w:val="000000" w:themeColor="text1"/>
        </w:rPr>
      </w:pPr>
      <w:r>
        <w:rPr>
          <w:rStyle w:val="FootnoteReference"/>
          <w:color w:val="000000" w:themeColor="text1"/>
        </w:rPr>
        <w:footnoteRef/>
      </w:r>
      <w:r>
        <w:rPr>
          <w:color w:val="000000" w:themeColor="text1"/>
        </w:rPr>
        <w:t xml:space="preserve"> Cal Advocates Response at 11, citing Pub. </w:t>
      </w:r>
      <w:r>
        <w:rPr>
          <w:color w:val="000000" w:themeColor="text1"/>
          <w:lang w:val="es-CO"/>
        </w:rPr>
        <w:t xml:space="preserve">Util. Code §451; </w:t>
      </w:r>
      <w:r>
        <w:rPr>
          <w:i/>
          <w:color w:val="000000" w:themeColor="text1"/>
          <w:lang w:val="es-CO"/>
        </w:rPr>
        <w:t xml:space="preserve">Los Angeles v. Pub. </w:t>
      </w:r>
      <w:r>
        <w:rPr>
          <w:i/>
          <w:color w:val="000000" w:themeColor="text1"/>
          <w:lang w:val="da-DK"/>
        </w:rPr>
        <w:t xml:space="preserve">Utils. </w:t>
      </w:r>
      <w:r>
        <w:rPr>
          <w:i/>
          <w:iCs/>
          <w:color w:val="000000" w:themeColor="text1"/>
        </w:rPr>
        <w:t xml:space="preserve">Com., </w:t>
      </w:r>
      <w:r>
        <w:rPr>
          <w:color w:val="000000" w:themeColor="text1"/>
        </w:rPr>
        <w:t xml:space="preserve">7 Cal. 3d 331, 102 Cal. Rptr. 313, 497 P.2d 785 (1972), 354; </w:t>
      </w:r>
      <w:r>
        <w:rPr>
          <w:i/>
          <w:iCs/>
          <w:color w:val="000000" w:themeColor="text1"/>
        </w:rPr>
        <w:t>Toward Util. Rate Normalization v. Pub. Utils. Com</w:t>
      </w:r>
      <w:r>
        <w:rPr>
          <w:color w:val="000000" w:themeColor="text1"/>
        </w:rPr>
        <w:t xml:space="preserve"> </w:t>
      </w:r>
      <w:r>
        <w:rPr>
          <w:i/>
          <w:iCs/>
          <w:color w:val="000000" w:themeColor="text1"/>
        </w:rPr>
        <w:t>(TURN v. PUC)</w:t>
      </w:r>
      <w:r>
        <w:rPr>
          <w:color w:val="000000" w:themeColor="text1"/>
        </w:rPr>
        <w:t>, 44 Cal. 3d 870, 245 Cal. Rptr. 8, 750 P.2d 787 (1988) at 878.</w:t>
      </w:r>
    </w:p>
  </w:footnote>
  <w:footnote w:id="17">
    <w:p w14:paraId="339EA44F" w14:textId="77777777" w:rsidR="002B265F" w:rsidRPr="00457E6A" w:rsidRDefault="002B265F" w:rsidP="002B265F">
      <w:pPr>
        <w:pStyle w:val="FootnoteText"/>
      </w:pPr>
      <w:r>
        <w:rPr>
          <w:rStyle w:val="FootnoteReference"/>
          <w:color w:val="000000" w:themeColor="text1"/>
        </w:rPr>
        <w:footnoteRef/>
      </w:r>
      <w:r>
        <w:rPr>
          <w:color w:val="000000" w:themeColor="text1"/>
        </w:rPr>
        <w:t xml:space="preserve"> Cal Advocates Response at 11, citing </w:t>
      </w:r>
      <w:r>
        <w:rPr>
          <w:i/>
          <w:iCs/>
          <w:color w:val="000000" w:themeColor="text1"/>
        </w:rPr>
        <w:t>TURN v. PUC</w:t>
      </w:r>
      <w:r>
        <w:rPr>
          <w:color w:val="000000" w:themeColor="text1"/>
        </w:rPr>
        <w:t xml:space="preserve"> at 879.</w:t>
      </w:r>
    </w:p>
  </w:footnote>
  <w:footnote w:id="18">
    <w:p w14:paraId="6812436A" w14:textId="77777777" w:rsidR="002B265F" w:rsidRDefault="002B265F" w:rsidP="002B265F">
      <w:pPr>
        <w:pStyle w:val="FootnoteText"/>
      </w:pPr>
      <w:r>
        <w:rPr>
          <w:rStyle w:val="FootnoteReference"/>
        </w:rPr>
        <w:footnoteRef/>
      </w:r>
      <w:r>
        <w:t xml:space="preserve"> Cal Advocates Response at 2, citing D.24-03-006 at 11.</w:t>
      </w:r>
    </w:p>
  </w:footnote>
  <w:footnote w:id="19">
    <w:p w14:paraId="1FB115BF" w14:textId="77777777" w:rsidR="002B265F" w:rsidRDefault="002B265F" w:rsidP="002B265F">
      <w:pPr>
        <w:pStyle w:val="FootnoteText"/>
      </w:pPr>
      <w:r>
        <w:rPr>
          <w:rStyle w:val="FootnoteReference"/>
        </w:rPr>
        <w:footnoteRef/>
      </w:r>
      <w:r>
        <w:t xml:space="preserve"> Cal Advocates Response at 2, citing </w:t>
      </w:r>
      <w:r>
        <w:rPr>
          <w:i/>
          <w:iCs/>
        </w:rPr>
        <w:t xml:space="preserve">TURN v. PUC </w:t>
      </w:r>
      <w:r>
        <w:t>at 879. Cal Advocates notes that the California Supreme Court explained that while the situation for interim rate relief need not rise to the level of an “emergency,” it must be a situation where “fairness to both the utility and the public required immediate action.”</w:t>
      </w:r>
    </w:p>
  </w:footnote>
  <w:footnote w:id="20">
    <w:p w14:paraId="679C0ADD" w14:textId="77777777" w:rsidR="002B265F" w:rsidRDefault="002B265F" w:rsidP="002B265F">
      <w:pPr>
        <w:pStyle w:val="FootnoteText"/>
      </w:pPr>
      <w:r>
        <w:rPr>
          <w:rStyle w:val="FootnoteReference"/>
        </w:rPr>
        <w:footnoteRef/>
      </w:r>
      <w:r>
        <w:t xml:space="preserve"> Cal </w:t>
      </w:r>
      <w:r>
        <w:rPr>
          <w:color w:val="000000" w:themeColor="text1"/>
        </w:rPr>
        <w:t>Advocates Response at 2-4.</w:t>
      </w:r>
    </w:p>
  </w:footnote>
  <w:footnote w:id="21">
    <w:p w14:paraId="6859AF40" w14:textId="77777777" w:rsidR="002B265F" w:rsidRDefault="002B265F" w:rsidP="002B265F">
      <w:pPr>
        <w:pStyle w:val="FootnoteText"/>
      </w:pPr>
      <w:r>
        <w:rPr>
          <w:rStyle w:val="FootnoteReference"/>
        </w:rPr>
        <w:footnoteRef/>
      </w:r>
      <w:r>
        <w:t xml:space="preserve"> Cal Advocates Response at 3.</w:t>
      </w:r>
    </w:p>
  </w:footnote>
  <w:footnote w:id="22">
    <w:p w14:paraId="53A52AD3" w14:textId="77777777" w:rsidR="002B265F" w:rsidRDefault="002B265F" w:rsidP="002B265F">
      <w:pPr>
        <w:pStyle w:val="FootnoteText"/>
      </w:pPr>
      <w:r>
        <w:rPr>
          <w:rStyle w:val="FootnoteReference"/>
        </w:rPr>
        <w:footnoteRef/>
      </w:r>
      <w:r>
        <w:t xml:space="preserve"> Cal Advocates Response at 3.</w:t>
      </w:r>
    </w:p>
  </w:footnote>
  <w:footnote w:id="23">
    <w:p w14:paraId="0268D52B" w14:textId="77777777" w:rsidR="002B265F" w:rsidRDefault="002B265F" w:rsidP="002B265F">
      <w:pPr>
        <w:pStyle w:val="FootnoteText"/>
      </w:pPr>
      <w:r>
        <w:rPr>
          <w:rStyle w:val="FootnoteReference"/>
        </w:rPr>
        <w:footnoteRef/>
      </w:r>
      <w:r>
        <w:t xml:space="preserve"> Cal Advocates Response at 3.</w:t>
      </w:r>
    </w:p>
  </w:footnote>
  <w:footnote w:id="24">
    <w:p w14:paraId="0AC69769" w14:textId="77777777" w:rsidR="002B265F" w:rsidRDefault="002B265F" w:rsidP="002B265F">
      <w:pPr>
        <w:pStyle w:val="FootnoteText"/>
      </w:pPr>
      <w:r>
        <w:rPr>
          <w:rStyle w:val="FootnoteReference"/>
        </w:rPr>
        <w:footnoteRef/>
      </w:r>
      <w:r>
        <w:t xml:space="preserve"> Cal Advocates Response at 4.</w:t>
      </w:r>
    </w:p>
  </w:footnote>
  <w:footnote w:id="25">
    <w:p w14:paraId="7FAB40E1" w14:textId="77777777" w:rsidR="002B265F" w:rsidRDefault="002B265F" w:rsidP="002B265F">
      <w:pPr>
        <w:pStyle w:val="FootnoteText"/>
      </w:pPr>
      <w:r>
        <w:rPr>
          <w:rStyle w:val="FootnoteReference"/>
        </w:rPr>
        <w:footnoteRef/>
      </w:r>
      <w:r>
        <w:t xml:space="preserve"> Cal Advocates Response at 4, citing D.22-06-033. </w:t>
      </w:r>
    </w:p>
  </w:footnote>
  <w:footnote w:id="26">
    <w:p w14:paraId="67E4EF3D" w14:textId="77777777" w:rsidR="002B265F" w:rsidRDefault="002B265F" w:rsidP="002B265F">
      <w:pPr>
        <w:pStyle w:val="FootnoteText"/>
      </w:pPr>
      <w:r>
        <w:rPr>
          <w:rStyle w:val="FootnoteReference"/>
        </w:rPr>
        <w:footnoteRef/>
      </w:r>
      <w:r>
        <w:t xml:space="preserve"> Cal Advocates Response at 4, citing D.22-06-033 at 2. </w:t>
      </w:r>
    </w:p>
  </w:footnote>
  <w:footnote w:id="27">
    <w:p w14:paraId="54BADD49" w14:textId="77777777" w:rsidR="002B265F" w:rsidRDefault="002B265F" w:rsidP="002B265F">
      <w:pPr>
        <w:pStyle w:val="FootnoteText"/>
      </w:pPr>
      <w:r>
        <w:rPr>
          <w:rStyle w:val="FootnoteReference"/>
        </w:rPr>
        <w:footnoteRef/>
      </w:r>
      <w:r>
        <w:t xml:space="preserve"> Cal Advocates Response at 4.</w:t>
      </w:r>
    </w:p>
  </w:footnote>
  <w:footnote w:id="28">
    <w:p w14:paraId="1FC82977" w14:textId="77777777" w:rsidR="002B265F" w:rsidRDefault="002B265F" w:rsidP="002B265F">
      <w:pPr>
        <w:pStyle w:val="FootnoteText"/>
      </w:pPr>
      <w:r>
        <w:rPr>
          <w:rStyle w:val="FootnoteReference"/>
        </w:rPr>
        <w:footnoteRef/>
      </w:r>
      <w:r>
        <w:t xml:space="preserve"> Cal Advocates Response at 4.</w:t>
      </w:r>
    </w:p>
  </w:footnote>
  <w:footnote w:id="29">
    <w:p w14:paraId="5CEB7BF1" w14:textId="77777777" w:rsidR="002B265F" w:rsidRPr="000E2638" w:rsidRDefault="002B265F" w:rsidP="002B265F">
      <w:pPr>
        <w:pStyle w:val="FootnoteText"/>
        <w:rPr>
          <w:color w:val="000000" w:themeColor="text1"/>
        </w:rPr>
      </w:pPr>
      <w:r>
        <w:rPr>
          <w:rStyle w:val="FootnoteReference"/>
        </w:rPr>
        <w:footnoteRef/>
      </w:r>
      <w:r>
        <w:t xml:space="preserve"> </w:t>
      </w:r>
      <w:r>
        <w:rPr>
          <w:color w:val="000000" w:themeColor="text1"/>
        </w:rPr>
        <w:t>Joint Response of California Large Energy Consumers Association, Indicated Shippers, and Energy Producers and Users Coalition in Opposition to Motion of Pacific Gas and Electric Company for Interim Rate Recovery (Joint Response), filed June 1, 2026.</w:t>
      </w:r>
    </w:p>
  </w:footnote>
  <w:footnote w:id="30">
    <w:p w14:paraId="50FEB1DA" w14:textId="77777777" w:rsidR="002B265F" w:rsidRPr="000E2638" w:rsidRDefault="002B265F" w:rsidP="002B265F">
      <w:pPr>
        <w:pStyle w:val="FootnoteText"/>
        <w:rPr>
          <w:color w:val="000000" w:themeColor="text1"/>
        </w:rPr>
      </w:pPr>
      <w:r>
        <w:rPr>
          <w:rStyle w:val="FootnoteReference"/>
          <w:color w:val="000000" w:themeColor="text1"/>
        </w:rPr>
        <w:footnoteRef/>
      </w:r>
      <w:r>
        <w:rPr>
          <w:color w:val="000000" w:themeColor="text1"/>
        </w:rPr>
        <w:t xml:space="preserve"> Joint Response at 2.</w:t>
      </w:r>
    </w:p>
  </w:footnote>
  <w:footnote w:id="31">
    <w:p w14:paraId="55F9E836" w14:textId="77777777" w:rsidR="002B265F" w:rsidRDefault="002B265F" w:rsidP="002B265F">
      <w:pPr>
        <w:pStyle w:val="FootnoteText"/>
      </w:pPr>
      <w:r>
        <w:rPr>
          <w:rStyle w:val="FootnoteReference"/>
          <w:color w:val="000000" w:themeColor="text1"/>
        </w:rPr>
        <w:footnoteRef/>
      </w:r>
      <w:r>
        <w:rPr>
          <w:color w:val="000000" w:themeColor="text1"/>
        </w:rPr>
        <w:t xml:space="preserve"> Joint Response at</w:t>
      </w:r>
      <w:r>
        <w:rPr>
          <w:color w:val="FF0000"/>
        </w:rPr>
        <w:t xml:space="preserve"> </w:t>
      </w:r>
      <w:r>
        <w:rPr>
          <w:color w:val="000000" w:themeColor="text1"/>
        </w:rPr>
        <w:t>2-5.</w:t>
      </w:r>
    </w:p>
  </w:footnote>
  <w:footnote w:id="32">
    <w:p w14:paraId="6F4E4EA9" w14:textId="77777777" w:rsidR="002B265F" w:rsidRDefault="002B265F" w:rsidP="002B265F">
      <w:pPr>
        <w:pStyle w:val="FootnoteText"/>
      </w:pPr>
      <w:r>
        <w:rPr>
          <w:rStyle w:val="FootnoteReference"/>
        </w:rPr>
        <w:footnoteRef/>
      </w:r>
      <w:r>
        <w:t xml:space="preserve"> Joint Response at </w:t>
      </w:r>
      <w:r>
        <w:rPr>
          <w:color w:val="000000" w:themeColor="text1"/>
        </w:rPr>
        <w:t>3, 5-6</w:t>
      </w:r>
      <w:r>
        <w:t>.</w:t>
      </w:r>
    </w:p>
  </w:footnote>
  <w:footnote w:id="33">
    <w:p w14:paraId="2A2C8A94" w14:textId="77777777" w:rsidR="002B265F" w:rsidRDefault="002B265F" w:rsidP="002B265F">
      <w:pPr>
        <w:pStyle w:val="FootnoteText"/>
      </w:pPr>
      <w:r>
        <w:rPr>
          <w:rStyle w:val="FootnoteReference"/>
        </w:rPr>
        <w:footnoteRef/>
      </w:r>
      <w:r>
        <w:t xml:space="preserve"> Joint Response at 3, 6-8.</w:t>
      </w:r>
    </w:p>
  </w:footnote>
  <w:footnote w:id="34">
    <w:p w14:paraId="09CD19E0" w14:textId="77777777" w:rsidR="002B265F" w:rsidRDefault="002B265F" w:rsidP="002B265F">
      <w:pPr>
        <w:pStyle w:val="FootnoteText"/>
      </w:pPr>
      <w:r>
        <w:rPr>
          <w:rStyle w:val="FootnoteReference"/>
        </w:rPr>
        <w:footnoteRef/>
      </w:r>
      <w:r>
        <w:t xml:space="preserve"> Response of The Utility Reform Network to the Motion of Pacific Gas and Electric Company for Interim Rate Recovery (TURN Response), filed June 1, 2026 at 2.</w:t>
      </w:r>
    </w:p>
  </w:footnote>
  <w:footnote w:id="35">
    <w:p w14:paraId="1C664C24" w14:textId="77777777" w:rsidR="002B265F" w:rsidRDefault="002B265F" w:rsidP="002B265F">
      <w:pPr>
        <w:pStyle w:val="FootnoteText"/>
      </w:pPr>
      <w:r>
        <w:rPr>
          <w:rStyle w:val="FootnoteReference"/>
        </w:rPr>
        <w:footnoteRef/>
      </w:r>
      <w:r>
        <w:t xml:space="preserve"> TURN Response at 2.</w:t>
      </w:r>
    </w:p>
  </w:footnote>
  <w:footnote w:id="36">
    <w:p w14:paraId="1B83C989" w14:textId="77777777" w:rsidR="002B265F" w:rsidRPr="009511F9" w:rsidRDefault="002B265F" w:rsidP="002B265F">
      <w:pPr>
        <w:pStyle w:val="FootnoteText"/>
      </w:pPr>
      <w:r>
        <w:rPr>
          <w:rStyle w:val="FootnoteReference"/>
        </w:rPr>
        <w:footnoteRef/>
      </w:r>
      <w:r>
        <w:t xml:space="preserve"> TURN Response at 2.</w:t>
      </w:r>
    </w:p>
  </w:footnote>
  <w:footnote w:id="37">
    <w:p w14:paraId="29D7590C" w14:textId="77777777" w:rsidR="001619DB" w:rsidRPr="0023798B" w:rsidRDefault="001619DB">
      <w:pPr>
        <w:pStyle w:val="FootnoteText"/>
      </w:pPr>
      <w:r>
        <w:rPr>
          <w:rStyle w:val="FootnoteReference"/>
        </w:rPr>
        <w:footnoteRef/>
      </w:r>
      <w:r>
        <w:t xml:space="preserve"> Pub. Util. Code § 451.</w:t>
      </w:r>
    </w:p>
  </w:footnote>
  <w:footnote w:id="38">
    <w:p w14:paraId="457FF7C0" w14:textId="77777777" w:rsidR="001619DB" w:rsidRPr="0023798B" w:rsidRDefault="001619DB">
      <w:pPr>
        <w:pStyle w:val="FootnoteText"/>
      </w:pPr>
      <w:r>
        <w:rPr>
          <w:rStyle w:val="FootnoteReference"/>
        </w:rPr>
        <w:footnoteRef/>
      </w:r>
      <w:r>
        <w:t xml:space="preserve"> Application of Pacific Gas and Electric Company (2000) D.00-02-046, at 36, 2000 Cal. PUC LEXIS 239, citing </w:t>
      </w:r>
      <w:r>
        <w:rPr>
          <w:i/>
          <w:iCs/>
        </w:rPr>
        <w:t>Re Pacific Bell</w:t>
      </w:r>
      <w:r>
        <w:t xml:space="preserve"> (1987) 27 CPUC 2d 1, 21, D.87-12-067. See also </w:t>
      </w:r>
      <w:r>
        <w:rPr>
          <w:i/>
          <w:iCs/>
        </w:rPr>
        <w:t>Re Energy Cost Adjustment Clauses</w:t>
      </w:r>
      <w:r>
        <w:t xml:space="preserve"> (1980) 4 CPUC 2d 693, 701; D.92496, </w:t>
      </w:r>
      <w:r>
        <w:rPr>
          <w:i/>
          <w:iCs/>
        </w:rPr>
        <w:t>Re Southern California Edison Company</w:t>
      </w:r>
      <w:r>
        <w:t xml:space="preserve"> (1983) 11 CPUC 2d 474, 475; D.83-05-036 (“Of course the burden of proof is on the utility applicant to establish the reasonableness …. We expect a substantial affirmative showing by each utility with percipient witnesses in support of all elements of its application.”).</w:t>
      </w:r>
    </w:p>
  </w:footnote>
  <w:footnote w:id="39">
    <w:p w14:paraId="59506B26" w14:textId="77777777" w:rsidR="00265272" w:rsidRPr="0023798B" w:rsidRDefault="00265272" w:rsidP="00265272">
      <w:pPr>
        <w:pStyle w:val="FootnoteText"/>
      </w:pPr>
      <w:r>
        <w:rPr>
          <w:rStyle w:val="FootnoteReference"/>
        </w:rPr>
        <w:footnoteRef/>
      </w:r>
      <w:r>
        <w:t xml:space="preserve"> </w:t>
      </w:r>
      <w:r>
        <w:rPr>
          <w:i/>
          <w:iCs/>
        </w:rPr>
        <w:t xml:space="preserve">City of Los Angeles v. Public Utilities Commission </w:t>
      </w:r>
      <w:r>
        <w:t>(1972) 7 Cal.3d 331 [102 Cal. Rptr. 313, 497 P.2d 785].</w:t>
      </w:r>
    </w:p>
  </w:footnote>
  <w:footnote w:id="40">
    <w:p w14:paraId="7D2B67F1" w14:textId="77777777" w:rsidR="00065FF5" w:rsidRPr="0023798B" w:rsidRDefault="00065FF5" w:rsidP="00065FF5">
      <w:pPr>
        <w:pStyle w:val="FootnoteText"/>
      </w:pPr>
      <w:r>
        <w:rPr>
          <w:rStyle w:val="FootnoteReference"/>
          <w:color w:val="000000" w:themeColor="text1"/>
        </w:rPr>
        <w:footnoteRef/>
      </w:r>
      <w:r>
        <w:rPr>
          <w:color w:val="000000" w:themeColor="text1"/>
        </w:rPr>
        <w:t xml:space="preserve"> 44 Cal.3d at 870.</w:t>
      </w:r>
    </w:p>
  </w:footnote>
  <w:footnote w:id="41">
    <w:p w14:paraId="053F9246" w14:textId="77777777" w:rsidR="00ED624F" w:rsidRPr="0023798B" w:rsidRDefault="00ED624F">
      <w:pPr>
        <w:pStyle w:val="FootnoteText"/>
      </w:pPr>
      <w:r>
        <w:rPr>
          <w:rStyle w:val="FootnoteReference"/>
          <w:color w:val="000000" w:themeColor="text1"/>
        </w:rPr>
        <w:footnoteRef/>
      </w:r>
      <w:r>
        <w:rPr>
          <w:color w:val="000000" w:themeColor="text1"/>
        </w:rPr>
        <w:t xml:space="preserve"> 44 Cal.3d at 875.</w:t>
      </w:r>
    </w:p>
  </w:footnote>
  <w:footnote w:id="42">
    <w:p w14:paraId="72DB3582" w14:textId="77777777" w:rsidR="00765D41" w:rsidRPr="0023798B" w:rsidRDefault="00765D41">
      <w:pPr>
        <w:pStyle w:val="FootnoteText"/>
      </w:pPr>
      <w:r>
        <w:rPr>
          <w:rStyle w:val="FootnoteReference"/>
        </w:rPr>
        <w:footnoteRef/>
      </w:r>
      <w:r>
        <w:t xml:space="preserve"> D.02-07-031 at 13-14; D.20-10-016 at 22. </w:t>
      </w:r>
    </w:p>
  </w:footnote>
  <w:footnote w:id="43">
    <w:p w14:paraId="5EA0B143" w14:textId="77777777" w:rsidR="00765D41" w:rsidRPr="0023798B" w:rsidRDefault="00765D41">
      <w:pPr>
        <w:pStyle w:val="FootnoteText"/>
      </w:pPr>
      <w:r>
        <w:rPr>
          <w:rStyle w:val="FootnoteReference"/>
        </w:rPr>
        <w:footnoteRef/>
      </w:r>
      <w:r>
        <w:t xml:space="preserve"> A.19-08-013, Administrative Law Judges’ Ruling Denying Southern California Edison Company’s Motion for Interim Rate Relief, May 22, 2020.</w:t>
      </w:r>
    </w:p>
  </w:footnote>
  <w:footnote w:id="44">
    <w:p w14:paraId="55BD4D0D" w14:textId="77777777" w:rsidR="00765D41" w:rsidRPr="0023798B" w:rsidRDefault="00765D41">
      <w:pPr>
        <w:pStyle w:val="FootnoteText"/>
      </w:pPr>
      <w:r>
        <w:rPr>
          <w:rStyle w:val="FootnoteReference"/>
        </w:rPr>
        <w:footnoteRef/>
      </w:r>
      <w:r>
        <w:t xml:space="preserve"> D.16-08-003 at 9. </w:t>
      </w:r>
    </w:p>
  </w:footnote>
  <w:footnote w:id="45">
    <w:p w14:paraId="5A41D346" w14:textId="77777777" w:rsidR="00765D41" w:rsidRPr="0023798B" w:rsidRDefault="00765D41">
      <w:pPr>
        <w:pStyle w:val="FootnoteText"/>
      </w:pPr>
      <w:r>
        <w:rPr>
          <w:rStyle w:val="FootnoteReference"/>
        </w:rPr>
        <w:footnoteRef/>
      </w:r>
      <w:r>
        <w:t xml:space="preserve"> D.22-05-001; Administrative Law Judges’ Ruling Denying Southern California Edison Company’s Motion for Interim Rate Relief, May 22, 2020. </w:t>
      </w:r>
    </w:p>
  </w:footnote>
  <w:footnote w:id="46">
    <w:p w14:paraId="2A52FF52" w14:textId="77777777" w:rsidR="00765D41" w:rsidRPr="0023798B" w:rsidRDefault="00765D41">
      <w:pPr>
        <w:pStyle w:val="FootnoteText"/>
      </w:pPr>
      <w:r>
        <w:rPr>
          <w:rStyle w:val="FootnoteReference"/>
        </w:rPr>
        <w:footnoteRef/>
      </w:r>
      <w:r>
        <w:t xml:space="preserve"> D.88-05-074 at 14; D.20-10-016 at 22. </w:t>
      </w:r>
    </w:p>
  </w:footnote>
  <w:footnote w:id="47">
    <w:p w14:paraId="4D19ACED" w14:textId="77777777" w:rsidR="00ED624F" w:rsidRPr="0023798B" w:rsidRDefault="00ED624F">
      <w:pPr>
        <w:pStyle w:val="FootnoteText"/>
      </w:pPr>
      <w:r>
        <w:rPr>
          <w:rStyle w:val="FootnoteReference"/>
        </w:rPr>
        <w:footnoteRef/>
      </w:r>
      <w:r>
        <w:t xml:space="preserve"> D.91-02-035 at 10, citing </w:t>
      </w:r>
      <w:r>
        <w:rPr>
          <w:i/>
          <w:iCs/>
        </w:rPr>
        <w:t>TURN v. PUC</w:t>
      </w:r>
      <w:r>
        <w:t xml:space="preserve"> at 879.</w:t>
      </w:r>
    </w:p>
  </w:footnote>
  <w:footnote w:id="48">
    <w:p w14:paraId="6D0BEC84" w14:textId="77777777" w:rsidR="00D64A9B" w:rsidRPr="0023798B" w:rsidRDefault="00D64A9B" w:rsidP="00D64A9B">
      <w:pPr>
        <w:pStyle w:val="FootnoteText"/>
        <w:rPr>
          <w:color w:val="000000" w:themeColor="text1"/>
        </w:rPr>
      </w:pPr>
      <w:r>
        <w:rPr>
          <w:rStyle w:val="FootnoteReference"/>
        </w:rPr>
        <w:footnoteRef/>
      </w:r>
      <w:r>
        <w:t xml:space="preserve"> Comments of the Public Advocates Office on Proposed Decision </w:t>
      </w:r>
      <w:r>
        <w:rPr>
          <w:color w:val="000000" w:themeColor="text1"/>
        </w:rPr>
        <w:t>Authorizing Interim Rate Recovery (Cal Advocates Opening Comments), October 13, 2026, at 2-8.</w:t>
      </w:r>
    </w:p>
  </w:footnote>
  <w:footnote w:id="49">
    <w:p w14:paraId="7D7D7DC8" w14:textId="77777777" w:rsidR="00D64A9B" w:rsidRPr="0023798B" w:rsidRDefault="00D64A9B" w:rsidP="00D64A9B">
      <w:pPr>
        <w:pStyle w:val="FootnoteText"/>
      </w:pPr>
      <w:r>
        <w:rPr>
          <w:rStyle w:val="FootnoteReference"/>
        </w:rPr>
        <w:footnoteRef/>
      </w:r>
      <w:r>
        <w:t xml:space="preserve"> Cal Advocates Opening Comments at 2, citing D.13-10-051 at 20, </w:t>
      </w:r>
      <w:r>
        <w:rPr>
          <w:i/>
          <w:iCs/>
        </w:rPr>
        <w:t xml:space="preserve">Southern California Gas Co. v. PUC </w:t>
      </w:r>
      <w:r>
        <w:t>(1990) 50 Cal. 3d 31, 35.</w:t>
      </w:r>
    </w:p>
  </w:footnote>
  <w:footnote w:id="50">
    <w:p w14:paraId="524F6F58" w14:textId="77777777" w:rsidR="00D64A9B" w:rsidRPr="0023798B" w:rsidRDefault="00D64A9B" w:rsidP="00D64A9B">
      <w:pPr>
        <w:pStyle w:val="FootnoteText"/>
      </w:pPr>
      <w:r>
        <w:rPr>
          <w:rStyle w:val="FootnoteReference"/>
        </w:rPr>
        <w:footnoteRef/>
      </w:r>
      <w:r>
        <w:t xml:space="preserve"> </w:t>
      </w:r>
      <w:r>
        <w:rPr>
          <w:color w:val="000000" w:themeColor="text1"/>
        </w:rPr>
        <w:t>Cal Advocates Opening Comments</w:t>
      </w:r>
      <w:r>
        <w:t xml:space="preserve"> at 6.</w:t>
      </w:r>
    </w:p>
  </w:footnote>
  <w:footnote w:id="51">
    <w:p w14:paraId="4C6F6F64" w14:textId="77777777" w:rsidR="002B265F" w:rsidRDefault="002B265F" w:rsidP="002B265F">
      <w:pPr>
        <w:pStyle w:val="FootnoteText"/>
      </w:pPr>
      <w:r>
        <w:rPr>
          <w:rStyle w:val="FootnoteReference"/>
        </w:rPr>
        <w:footnoteRef/>
      </w:r>
      <w:r>
        <w:t xml:space="preserve"> </w:t>
      </w:r>
      <w:r>
        <w:rPr>
          <w:color w:val="000000" w:themeColor="text1"/>
        </w:rPr>
        <w:t>Cal Advocates Opening Comments</w:t>
      </w:r>
      <w:r>
        <w:t xml:space="preserve"> at 2, citing </w:t>
      </w:r>
      <w:r>
        <w:rPr>
          <w:i/>
          <w:iCs/>
        </w:rPr>
        <w:t xml:space="preserve">TURN v. PUC </w:t>
      </w:r>
      <w:r>
        <w:t xml:space="preserve">at 879. </w:t>
      </w:r>
    </w:p>
  </w:footnote>
  <w:footnote w:id="52">
    <w:p w14:paraId="6A1122CC" w14:textId="77777777" w:rsidR="002B265F" w:rsidRDefault="002B265F" w:rsidP="002B265F">
      <w:pPr>
        <w:pStyle w:val="FootnoteText"/>
      </w:pPr>
      <w:r>
        <w:rPr>
          <w:rStyle w:val="FootnoteReference"/>
        </w:rPr>
        <w:footnoteRef/>
      </w:r>
      <w:r>
        <w:t xml:space="preserve"> Comments of The Utility Reform Network on the Proposed Decision Authorizing Interim Rate Recovery (TURN Opening Comments), </w:t>
      </w:r>
      <w:r>
        <w:rPr>
          <w:color w:val="000000" w:themeColor="text1"/>
        </w:rPr>
        <w:t>October 13, 2026,</w:t>
      </w:r>
      <w:r>
        <w:t xml:space="preserve"> at 2.</w:t>
      </w:r>
    </w:p>
  </w:footnote>
  <w:footnote w:id="53">
    <w:p w14:paraId="2E70D349" w14:textId="77777777" w:rsidR="00D64A9B" w:rsidRPr="0023798B" w:rsidRDefault="00D64A9B" w:rsidP="00D64A9B">
      <w:pPr>
        <w:pStyle w:val="FootnoteText"/>
      </w:pPr>
      <w:r>
        <w:rPr>
          <w:rStyle w:val="FootnoteReference"/>
        </w:rPr>
        <w:footnoteRef/>
      </w:r>
      <w:r>
        <w:t xml:space="preserve"> The Energy Producers and Users Coalition, The Indicated Shippers, and California Large Energy Consumers Association’s Comments on Proposed Decision of Administrative Law Judge Regarding Ratesetting, October 16, 2026 (Joint Parties Opening Comments) at 3, citing Proposed Decision at 10-11.</w:t>
      </w:r>
    </w:p>
  </w:footnote>
  <w:footnote w:id="54">
    <w:p w14:paraId="396675EE" w14:textId="77777777" w:rsidR="00D64A9B" w:rsidRPr="0023798B" w:rsidRDefault="00D64A9B" w:rsidP="00D64A9B">
      <w:pPr>
        <w:pStyle w:val="FootnoteText"/>
      </w:pPr>
      <w:r>
        <w:rPr>
          <w:rStyle w:val="FootnoteReference"/>
        </w:rPr>
        <w:footnoteRef/>
      </w:r>
      <w:r>
        <w:t xml:space="preserve"> Joint Parties Opening Comments at 3, citing </w:t>
      </w:r>
      <w:r>
        <w:rPr>
          <w:i/>
          <w:iCs/>
        </w:rPr>
        <w:t xml:space="preserve">TURN v. PUC </w:t>
      </w:r>
      <w:r>
        <w:t>at 878-879.</w:t>
      </w:r>
    </w:p>
  </w:footnote>
  <w:footnote w:id="55">
    <w:p w14:paraId="2AC70035" w14:textId="77777777" w:rsidR="00D64A9B" w:rsidRPr="0023798B" w:rsidRDefault="00D64A9B" w:rsidP="00631FEC">
      <w:pPr>
        <w:pStyle w:val="FootnoteText"/>
      </w:pPr>
      <w:r>
        <w:rPr>
          <w:rStyle w:val="FootnoteReference"/>
        </w:rPr>
        <w:footnoteRef/>
      </w:r>
      <w:r>
        <w:t xml:space="preserve"> Reply Comments of Pacific Gas and Electric Company (U 39 M) on Proposed Decision Authorizing Interim Rate Recovery (PG&amp;E Reply Comments), October 19, 2026, at 1.</w:t>
      </w:r>
    </w:p>
  </w:footnote>
  <w:footnote w:id="56">
    <w:p w14:paraId="2F5FB571" w14:textId="77777777" w:rsidR="00817EA5" w:rsidRPr="0023798B" w:rsidRDefault="00817EA5">
      <w:pPr>
        <w:pStyle w:val="FootnoteText"/>
      </w:pPr>
      <w:r>
        <w:rPr>
          <w:rStyle w:val="FootnoteReference"/>
        </w:rPr>
        <w:footnoteRef/>
      </w:r>
      <w:r>
        <w:t xml:space="preserve"> PG&amp;E Reply Comments at 1-2 citing </w:t>
      </w:r>
      <w:r>
        <w:rPr>
          <w:i/>
          <w:iCs/>
        </w:rPr>
        <w:t>TURN v. PUC</w:t>
      </w:r>
      <w:r>
        <w:t xml:space="preserve"> at 872, 879.</w:t>
      </w:r>
    </w:p>
  </w:footnote>
  <w:footnote w:id="57">
    <w:p w14:paraId="05C06EC5" w14:textId="77777777" w:rsidR="00D64A9B" w:rsidRPr="0023798B" w:rsidRDefault="00D64A9B" w:rsidP="00D64A9B">
      <w:pPr>
        <w:pStyle w:val="FootnoteText"/>
      </w:pPr>
      <w:r>
        <w:rPr>
          <w:rStyle w:val="FootnoteReference"/>
        </w:rPr>
        <w:footnoteRef/>
      </w:r>
      <w:r>
        <w:t xml:space="preserve"> PG&amp;E Reply Comments at 2.</w:t>
      </w:r>
    </w:p>
  </w:footnote>
  <w:footnote w:id="58">
    <w:p w14:paraId="42663051" w14:textId="77777777" w:rsidR="0084053E" w:rsidRPr="0023798B" w:rsidRDefault="0084053E">
      <w:pPr>
        <w:pStyle w:val="FootnoteText"/>
      </w:pPr>
      <w:r>
        <w:rPr>
          <w:rStyle w:val="FootnoteReference"/>
        </w:rPr>
        <w:footnoteRef/>
      </w:r>
      <w:r>
        <w:t xml:space="preserve"> PG&amp;E Reply Comments at 3.</w:t>
      </w:r>
    </w:p>
  </w:footnote>
  <w:footnote w:id="59">
    <w:p w14:paraId="65586878" w14:textId="77777777" w:rsidR="00B43CDE" w:rsidRPr="0023798B" w:rsidRDefault="00B43CDE">
      <w:pPr>
        <w:pStyle w:val="FootnoteText"/>
      </w:pPr>
      <w:r>
        <w:rPr>
          <w:rStyle w:val="FootnoteReference"/>
        </w:rPr>
        <w:footnoteRef/>
      </w:r>
      <w:r>
        <w:t xml:space="preserve"> PG&amp;E Reply Comments at 3.</w:t>
      </w:r>
    </w:p>
  </w:footnote>
  <w:footnote w:id="60">
    <w:p w14:paraId="0BACA3A8" w14:textId="77777777" w:rsidR="0053728E" w:rsidRPr="005B6F06" w:rsidRDefault="0053728E" w:rsidP="0053728E">
      <w:pPr>
        <w:pStyle w:val="FootnoteText"/>
        <w:rPr>
          <w:lang w:val="da-DK"/>
        </w:rPr>
      </w:pPr>
      <w:r>
        <w:rPr>
          <w:rStyle w:val="FootnoteReference"/>
        </w:rPr>
        <w:footnoteRef/>
      </w:r>
      <w:r>
        <w:rPr>
          <w:lang w:val="da-DK"/>
        </w:rPr>
        <w:t xml:space="preserve"> IRR Motion at 7.</w:t>
      </w:r>
    </w:p>
  </w:footnote>
  <w:footnote w:id="61">
    <w:p w14:paraId="790F1242" w14:textId="77777777" w:rsidR="00626CE8" w:rsidRPr="005B6F06" w:rsidRDefault="00626CE8">
      <w:pPr>
        <w:pStyle w:val="FootnoteText"/>
        <w:rPr>
          <w:lang w:val="da-DK"/>
        </w:rPr>
      </w:pPr>
      <w:r>
        <w:rPr>
          <w:rStyle w:val="FootnoteReference"/>
        </w:rPr>
        <w:footnoteRef/>
      </w:r>
      <w:r>
        <w:rPr>
          <w:lang w:val="da-DK"/>
        </w:rPr>
        <w:t xml:space="preserve"> D.24-07-012 at 15; D.24-09-003 at 15.</w:t>
      </w:r>
    </w:p>
  </w:footnote>
  <w:footnote w:id="62">
    <w:p w14:paraId="523C70F3" w14:textId="77777777" w:rsidR="00626CE8" w:rsidRPr="0023798B" w:rsidRDefault="00626CE8">
      <w:pPr>
        <w:pStyle w:val="FootnoteText"/>
      </w:pPr>
      <w:r>
        <w:rPr>
          <w:rStyle w:val="FootnoteReference"/>
        </w:rPr>
        <w:footnoteRef/>
      </w:r>
      <w:r>
        <w:t xml:space="preserve"> IRR Motion, Attachment A, Ramaiya Decl. at 15.</w:t>
      </w:r>
    </w:p>
  </w:footnote>
  <w:footnote w:id="63">
    <w:p w14:paraId="73C60798" w14:textId="77777777" w:rsidR="00626CE8" w:rsidRPr="0023798B" w:rsidRDefault="00626CE8" w:rsidP="00626CE8">
      <w:pPr>
        <w:pStyle w:val="FootnoteText"/>
      </w:pPr>
      <w:r>
        <w:rPr>
          <w:rStyle w:val="FootnoteReference"/>
        </w:rPr>
        <w:footnoteRef/>
      </w:r>
      <w:r>
        <w:t xml:space="preserve"> IRR Motion, Attachment A, Ramaiya Decl. at 13-21.</w:t>
      </w:r>
    </w:p>
  </w:footnote>
  <w:footnote w:id="64">
    <w:p w14:paraId="0F1E52F3" w14:textId="77777777" w:rsidR="00207C22" w:rsidRPr="0023798B" w:rsidRDefault="00207C22" w:rsidP="00207C22">
      <w:pPr>
        <w:pStyle w:val="FootnoteText"/>
      </w:pPr>
      <w:r>
        <w:rPr>
          <w:rStyle w:val="FootnoteReference"/>
        </w:rPr>
        <w:footnoteRef/>
      </w:r>
      <w:r>
        <w:t xml:space="preserve"> IRR Motion at 5, citing D.24-09-003 at 7-8; D.23-06-004 at 10.</w:t>
      </w:r>
    </w:p>
  </w:footnote>
  <w:footnote w:id="65">
    <w:p w14:paraId="1960EA27" w14:textId="77777777" w:rsidR="008A1A5C" w:rsidRPr="0023798B" w:rsidRDefault="008A1A5C" w:rsidP="008A1A5C">
      <w:pPr>
        <w:pStyle w:val="FootnoteText"/>
      </w:pPr>
      <w:r>
        <w:rPr>
          <w:rStyle w:val="FootnoteReference"/>
        </w:rPr>
        <w:footnoteRef/>
      </w:r>
      <w:r>
        <w:t xml:space="preserve"> PG&amp;E Reply Comments at 3.</w:t>
      </w:r>
    </w:p>
  </w:footnote>
  <w:footnote w:id="66">
    <w:p w14:paraId="3603A4A6" w14:textId="77777777" w:rsidR="002660D2" w:rsidRPr="0023798B" w:rsidRDefault="002660D2">
      <w:pPr>
        <w:pStyle w:val="FootnoteText"/>
      </w:pPr>
      <w:r>
        <w:rPr>
          <w:rStyle w:val="FootnoteReference"/>
        </w:rPr>
        <w:footnoteRef/>
      </w:r>
      <w:r>
        <w:t xml:space="preserve"> </w:t>
      </w:r>
      <w:r>
        <w:rPr>
          <w:i/>
          <w:iCs/>
        </w:rPr>
        <w:t>TURN v. PUC</w:t>
      </w:r>
      <w:r>
        <w:t xml:space="preserve"> at 870, 872; see also D.13-10-051 at 14.</w:t>
      </w:r>
    </w:p>
  </w:footnote>
  <w:footnote w:id="67">
    <w:p w14:paraId="44D03CE9" w14:textId="77777777" w:rsidR="008351C3" w:rsidRPr="0023798B" w:rsidRDefault="008351C3" w:rsidP="008351C3">
      <w:pPr>
        <w:pStyle w:val="FootnoteText"/>
      </w:pPr>
      <w:r>
        <w:rPr>
          <w:rStyle w:val="FootnoteReference"/>
        </w:rPr>
        <w:footnoteRef/>
      </w:r>
      <w:r>
        <w:t xml:space="preserve"> Cal Advocates Response at 6-8.</w:t>
      </w:r>
    </w:p>
  </w:footnote>
  <w:footnote w:id="68">
    <w:p w14:paraId="03BD90DD" w14:textId="77777777" w:rsidR="008351C3" w:rsidRPr="0023798B" w:rsidRDefault="008351C3" w:rsidP="008351C3">
      <w:pPr>
        <w:pStyle w:val="FootnoteText"/>
      </w:pPr>
      <w:r>
        <w:rPr>
          <w:rStyle w:val="FootnoteReference"/>
        </w:rPr>
        <w:footnoteRef/>
      </w:r>
      <w:r>
        <w:t xml:space="preserve"> Cal Advocates Response at 6-8.</w:t>
      </w:r>
    </w:p>
  </w:footnote>
  <w:footnote w:id="69">
    <w:p w14:paraId="1A6B1613" w14:textId="77777777" w:rsidR="008351C3" w:rsidRPr="0023798B" w:rsidRDefault="008351C3" w:rsidP="008351C3">
      <w:pPr>
        <w:pStyle w:val="FootnoteText"/>
      </w:pPr>
      <w:r>
        <w:rPr>
          <w:rStyle w:val="FootnoteReference"/>
        </w:rPr>
        <w:footnoteRef/>
      </w:r>
      <w:r>
        <w:t xml:space="preserve"> TURN Response at 6.</w:t>
      </w:r>
    </w:p>
  </w:footnote>
  <w:footnote w:id="70">
    <w:p w14:paraId="193A9BB0" w14:textId="77777777" w:rsidR="008351C3" w:rsidRPr="0023798B" w:rsidRDefault="008351C3" w:rsidP="008351C3">
      <w:pPr>
        <w:pStyle w:val="FootnoteText"/>
      </w:pPr>
      <w:r>
        <w:rPr>
          <w:rStyle w:val="FootnoteReference"/>
        </w:rPr>
        <w:footnoteRef/>
      </w:r>
      <w:r>
        <w:t xml:space="preserve"> TURN Response at 7-11.</w:t>
      </w:r>
    </w:p>
  </w:footnote>
  <w:footnote w:id="71">
    <w:p w14:paraId="78737F08" w14:textId="77777777" w:rsidR="008351C3" w:rsidRPr="0023798B" w:rsidRDefault="008351C3" w:rsidP="008351C3">
      <w:pPr>
        <w:pStyle w:val="FootnoteText"/>
      </w:pPr>
      <w:r>
        <w:rPr>
          <w:rStyle w:val="FootnoteReference"/>
        </w:rPr>
        <w:footnoteRef/>
      </w:r>
      <w:r>
        <w:t xml:space="preserve"> TURN Response at 11-13.</w:t>
      </w:r>
    </w:p>
  </w:footnote>
  <w:footnote w:id="72">
    <w:p w14:paraId="01DD5CC8" w14:textId="77777777" w:rsidR="00C1086D" w:rsidRPr="0023798B" w:rsidRDefault="00C1086D" w:rsidP="00C1086D">
      <w:pPr>
        <w:pStyle w:val="FootnoteText"/>
      </w:pPr>
      <w:r>
        <w:rPr>
          <w:rStyle w:val="FootnoteReference"/>
        </w:rPr>
        <w:footnoteRef/>
      </w:r>
      <w:r>
        <w:t xml:space="preserve"> Joint Parties Opening Comments at 6, citing Proposed Decision at 12. </w:t>
      </w:r>
    </w:p>
  </w:footnote>
  <w:footnote w:id="73">
    <w:p w14:paraId="243D1656" w14:textId="77777777" w:rsidR="00C1086D" w:rsidRPr="0023798B" w:rsidRDefault="00C1086D" w:rsidP="00C1086D">
      <w:pPr>
        <w:pStyle w:val="FootnoteText"/>
      </w:pPr>
      <w:r>
        <w:rPr>
          <w:rStyle w:val="FootnoteReference"/>
        </w:rPr>
        <w:footnoteRef/>
      </w:r>
      <w:r>
        <w:t xml:space="preserve"> Joint Parties Opening Comments at 6, citing Proposed Decision at 13-14; Ordering Paragraphs 1-2.</w:t>
      </w:r>
    </w:p>
  </w:footnote>
  <w:footnote w:id="74">
    <w:p w14:paraId="568EA521" w14:textId="77777777" w:rsidR="00C1086D" w:rsidRPr="0023798B" w:rsidRDefault="00C1086D" w:rsidP="00C1086D">
      <w:pPr>
        <w:pStyle w:val="FootnoteText"/>
      </w:pPr>
      <w:r>
        <w:rPr>
          <w:rStyle w:val="FootnoteReference"/>
        </w:rPr>
        <w:footnoteRef/>
      </w:r>
      <w:r>
        <w:t xml:space="preserve"> Joint Parties Opening Comments at 6.</w:t>
      </w:r>
    </w:p>
  </w:footnote>
  <w:footnote w:id="75">
    <w:p w14:paraId="3961C332" w14:textId="77777777" w:rsidR="008351C3" w:rsidRPr="0023798B" w:rsidRDefault="008351C3" w:rsidP="008351C3">
      <w:pPr>
        <w:pStyle w:val="FootnoteText"/>
      </w:pPr>
      <w:r>
        <w:rPr>
          <w:rStyle w:val="FootnoteReference"/>
        </w:rPr>
        <w:footnoteRef/>
      </w:r>
      <w:r>
        <w:t xml:space="preserve"> IRR Motion at 7-10; PG&amp;E Reply Comments at 3-4.</w:t>
      </w:r>
    </w:p>
  </w:footnote>
  <w:footnote w:id="76">
    <w:p w14:paraId="768A37B1" w14:textId="77777777" w:rsidR="008351C3" w:rsidRPr="0023798B" w:rsidRDefault="008351C3" w:rsidP="008351C3">
      <w:pPr>
        <w:pStyle w:val="FootnoteText"/>
      </w:pPr>
      <w:r>
        <w:rPr>
          <w:rStyle w:val="FootnoteReference"/>
        </w:rPr>
        <w:footnoteRef/>
      </w:r>
      <w:r>
        <w:t xml:space="preserve"> IRR Motion at 6; PG&amp;E Reply Comments at 4.</w:t>
      </w:r>
    </w:p>
  </w:footnote>
  <w:footnote w:id="77">
    <w:p w14:paraId="2F877C09" w14:textId="77777777" w:rsidR="008351C3" w:rsidRPr="0023798B" w:rsidRDefault="008351C3" w:rsidP="008351C3">
      <w:pPr>
        <w:pStyle w:val="FootnoteText"/>
      </w:pPr>
      <w:r>
        <w:rPr>
          <w:rStyle w:val="FootnoteReference"/>
        </w:rPr>
        <w:footnoteRef/>
      </w:r>
      <w:r>
        <w:t xml:space="preserve"> IRR Motion at 10-11.</w:t>
      </w:r>
    </w:p>
  </w:footnote>
  <w:footnote w:id="78">
    <w:p w14:paraId="7BAE2D1F" w14:textId="77777777" w:rsidR="00D80839" w:rsidRPr="0023798B" w:rsidRDefault="00D80839" w:rsidP="00D80839">
      <w:pPr>
        <w:pStyle w:val="FootnoteText"/>
      </w:pPr>
      <w:r>
        <w:rPr>
          <w:rStyle w:val="FootnoteReference"/>
        </w:rPr>
        <w:footnoteRef/>
      </w:r>
      <w:r>
        <w:t xml:space="preserve"> TURN Opening Comments at 4.</w:t>
      </w:r>
    </w:p>
  </w:footnote>
  <w:footnote w:id="79">
    <w:p w14:paraId="640605E1" w14:textId="77777777" w:rsidR="008351C3" w:rsidRPr="0023798B" w:rsidRDefault="008351C3" w:rsidP="008351C3">
      <w:pPr>
        <w:pStyle w:val="FootnoteText"/>
      </w:pPr>
      <w:r>
        <w:rPr>
          <w:rStyle w:val="FootnoteReference"/>
        </w:rPr>
        <w:footnoteRef/>
      </w:r>
      <w:r>
        <w:t xml:space="preserve"> D.23-06-004 at 16-22.</w:t>
      </w:r>
    </w:p>
  </w:footnote>
  <w:footnote w:id="80">
    <w:p w14:paraId="561C803F" w14:textId="77777777" w:rsidR="002B265F" w:rsidRDefault="002B265F" w:rsidP="002B265F">
      <w:pPr>
        <w:pStyle w:val="FootnoteText"/>
      </w:pPr>
      <w:r>
        <w:rPr>
          <w:rStyle w:val="FootnoteReference"/>
        </w:rPr>
        <w:footnoteRef/>
      </w:r>
      <w:r>
        <w:t xml:space="preserve"> D.25-09-010, Appendix B, 2025 CPUC Results of Operations at 4.</w:t>
      </w:r>
    </w:p>
  </w:footnote>
  <w:footnote w:id="81">
    <w:p w14:paraId="1E70E63A" w14:textId="77777777" w:rsidR="002B265F" w:rsidRPr="002D581F" w:rsidRDefault="002B265F" w:rsidP="002B265F">
      <w:pPr>
        <w:pStyle w:val="FootnoteText"/>
        <w:rPr>
          <w:color w:val="000000" w:themeColor="text1"/>
        </w:rPr>
      </w:pPr>
      <w:r>
        <w:rPr>
          <w:rStyle w:val="FootnoteReference"/>
        </w:rPr>
        <w:footnoteRef/>
      </w:r>
      <w:r>
        <w:t xml:space="preserve"> D.24-12-</w:t>
      </w:r>
      <w:r>
        <w:rPr>
          <w:color w:val="000000" w:themeColor="text1"/>
        </w:rPr>
        <w:t>074, Appendix A, 2024 GRC FD Revenue Requirement and Base Margin Comparison.</w:t>
      </w:r>
    </w:p>
  </w:footnote>
  <w:footnote w:id="82">
    <w:p w14:paraId="6C3D03C7" w14:textId="77777777" w:rsidR="002B265F" w:rsidRDefault="002B265F" w:rsidP="002B265F">
      <w:pPr>
        <w:pStyle w:val="FootnoteText"/>
      </w:pPr>
      <w:r>
        <w:rPr>
          <w:rStyle w:val="FootnoteReference"/>
        </w:rPr>
        <w:footnoteRef/>
      </w:r>
      <w:r>
        <w:t xml:space="preserve"> D.23-11-069, Appendix A, Table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EADFB" w14:textId="77777777" w:rsidR="005A32FA" w:rsidRDefault="005A32FA">
    <w:pPr>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F3ACE" w14:textId="77777777" w:rsidR="005A32FA" w:rsidRDefault="005A32FA">
    <w:pPr>
      <w:rPr>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17433" w14:textId="77777777" w:rsidR="002B265F" w:rsidRDefault="002B265F" w:rsidP="002B265F">
    <w:pPr>
      <w:pStyle w:val="Header"/>
      <w:ind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82F5C" w14:textId="77777777" w:rsidR="005A32FA" w:rsidRDefault="005A32FA">
    <w:pPr>
      <w:rPr>
        <w:sz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D1E68" w14:textId="77777777" w:rsidR="00FE2351" w:rsidRDefault="002B265F" w:rsidP="00EE4315">
    <w:pPr>
      <w:pStyle w:val="Header"/>
      <w:tabs>
        <w:tab w:val="clear" w:pos="4680"/>
      </w:tabs>
      <w:ind w:firstLine="0"/>
      <w:rPr>
        <w:b/>
      </w:rPr>
    </w:pPr>
    <w:r>
      <w:t>A.25-05-009 ALJ/EF1/smt</w:t>
    </w:r>
    <w:r>
      <w:tab/>
    </w:r>
    <w:r>
      <w:rPr>
        <w:b/>
      </w:rPr>
      <w:t>PROPOSED DECISION (Rev.</w:t>
    </w:r>
    <w:bookmarkStart w:id="51" w:name="_cp_change_44"/>
    <w:r>
      <w:rPr>
        <w:b/>
        <w:strike/>
        <w:color w:val="FF0000"/>
        <w:u w:color="FF0000"/>
      </w:rPr>
      <w:t>1</w:t>
    </w:r>
    <w:bookmarkStart w:id="52" w:name="_cp_change_45"/>
    <w:bookmarkEnd w:id="51"/>
    <w:r>
      <w:rPr>
        <w:b/>
        <w:color w:val="0000FF"/>
        <w:u w:val="double" w:color="0000FF"/>
      </w:rPr>
      <w:t>2</w:t>
    </w:r>
    <w:bookmarkEnd w:id="52"/>
    <w:r>
      <w:rPr>
        <w:b/>
      </w:rPr>
      <w:t>)</w:t>
    </w:r>
  </w:p>
  <w:p w14:paraId="1C2482F4" w14:textId="77777777" w:rsidR="00DD5D30" w:rsidRDefault="00DD5D30" w:rsidP="00B3087D">
    <w:pPr>
      <w:pStyle w:val="Header"/>
      <w:tabs>
        <w:tab w:val="clear" w:pos="4680"/>
      </w:tabs>
      <w:ind w:firstLine="0"/>
      <w:rPr>
        <w:i/>
        <w:color w:val="FF0000"/>
      </w:rPr>
    </w:pPr>
  </w:p>
  <w:p w14:paraId="3FC09831" w14:textId="77777777" w:rsidR="00F16116" w:rsidRPr="00B3087D" w:rsidRDefault="00F16116" w:rsidP="00B3087D">
    <w:pPr>
      <w:pStyle w:val="Header"/>
      <w:tabs>
        <w:tab w:val="clear" w:pos="4680"/>
      </w:tabs>
      <w:ind w:firstLine="0"/>
      <w:rPr>
        <w:i/>
        <w:color w:val="FF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2EEEE" w14:textId="77777777" w:rsidR="002B265F" w:rsidRDefault="002B265F" w:rsidP="002B265F">
    <w:pPr>
      <w:pStyle w:val="Header1"/>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46B6D" w14:textId="77777777" w:rsidR="005A32FA" w:rsidRDefault="005A32FA">
    <w:pPr>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8B2854"/>
    <w:multiLevelType w:val="multilevel"/>
    <w:tmpl w:val="19F64C9C"/>
    <w:lvl w:ilvl="0">
      <w:start w:val="13"/>
      <w:numFmt w:val="decimal"/>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2" w15:restartNumberingAfterBreak="0">
    <w:nsid w:val="008B2855"/>
    <w:multiLevelType w:val="multilevel"/>
    <w:tmpl w:val="5978B258"/>
    <w:lvl w:ilvl="0">
      <w:start w:val="20"/>
      <w:numFmt w:val="decimal"/>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3" w15:restartNumberingAfterBreak="0">
    <w:nsid w:val="02E126B7"/>
    <w:multiLevelType w:val="multilevel"/>
    <w:tmpl w:val="362EEC68"/>
    <w:styleLink w:val="CurrentList1"/>
    <w:lvl w:ilvl="0">
      <w:start w:val="1"/>
      <w:numFmt w:val="decimal"/>
      <w:lvlText w:val="%1."/>
      <w:lvlJc w:val="left"/>
      <w:pPr>
        <w:ind w:left="720" w:hanging="360"/>
      </w:pPr>
      <w:rPr>
        <w:rFonts w:ascii="Book Antiqua" w:eastAsia="Book Antiqua" w:hAnsi="Book Antiqua" w:cs="Book Antiqu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1."/>
      <w:lvlJc w:val="left"/>
      <w:pPr>
        <w:ind w:left="5760" w:hanging="360"/>
      </w:pPr>
    </w:lvl>
    <w:lvl w:ilvl="8">
      <w:start w:val="1"/>
      <w:numFmt w:val="bullet"/>
      <w:lvlText w:val="o"/>
      <w:lvlJc w:val="left"/>
      <w:pPr>
        <w:ind w:left="6480" w:hanging="180"/>
      </w:pPr>
      <w:rPr>
        <w:rFonts w:hint="default"/>
      </w:rPr>
    </w:lvl>
  </w:abstractNum>
  <w:abstractNum w:abstractNumId="4" w15:restartNumberingAfterBreak="0">
    <w:nsid w:val="0FFE324E"/>
    <w:multiLevelType w:val="multilevel"/>
    <w:tmpl w:val="423698C6"/>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146C1C14"/>
    <w:multiLevelType w:val="multilevel"/>
    <w:tmpl w:val="18F4A5AC"/>
    <w:styleLink w:val="FoFCoLOP"/>
    <w:lvl w:ilvl="0">
      <w:start w:val="1"/>
      <w:numFmt w:val="decimal"/>
      <w:pStyle w:val="OP"/>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6" w15:restartNumberingAfterBreak="0">
    <w:nsid w:val="15F056CB"/>
    <w:multiLevelType w:val="multilevel"/>
    <w:tmpl w:val="18F4A5AC"/>
    <w:numStyleLink w:val="FoFCoLOP"/>
  </w:abstractNum>
  <w:abstractNum w:abstractNumId="7" w15:restartNumberingAfterBreak="0">
    <w:nsid w:val="1E0D1424"/>
    <w:multiLevelType w:val="hybridMultilevel"/>
    <w:tmpl w:val="7BE6C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5904CB"/>
    <w:multiLevelType w:val="hybridMultilevel"/>
    <w:tmpl w:val="1DBAEF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63211C0"/>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31F6D42"/>
    <w:multiLevelType w:val="multilevel"/>
    <w:tmpl w:val="A356AFA8"/>
    <w:styleLink w:val="Headings"/>
    <w:lvl w:ilvl="0">
      <w:start w:val="1"/>
      <w:numFmt w:val="bullet"/>
      <w:lvlText w:val=""/>
      <w:lvlJc w:val="left"/>
      <w:pPr>
        <w:ind w:left="720" w:hanging="720"/>
      </w:pPr>
      <w:rPr>
        <w:rFonts w:ascii="Symbol" w:hAnsi="Symbo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2286"/>
        </w:tabs>
        <w:ind w:left="228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lvlText w:val="%1.%2.%3.%4.%5."/>
      <w:lvlJc w:val="left"/>
      <w:pPr>
        <w:tabs>
          <w:tab w:val="num" w:pos="2880"/>
        </w:tabs>
        <w:ind w:left="2880" w:hanging="1440"/>
      </w:pPr>
      <w:rPr>
        <w:rFonts w:ascii="Arial" w:hAnsi="Arial" w:hint="default"/>
        <w:b/>
        <w:i w:val="0"/>
        <w:sz w:val="26"/>
      </w:rPr>
    </w:lvl>
    <w:lvl w:ilvl="5">
      <w:start w:val="1"/>
      <w:numFmt w:val="decimal"/>
      <w:lvlText w:val="%1.%2.%3.%4.%5.%6."/>
      <w:lvlJc w:val="left"/>
      <w:pPr>
        <w:tabs>
          <w:tab w:val="num" w:pos="3528"/>
        </w:tabs>
        <w:ind w:left="3528" w:hanging="1728"/>
      </w:pPr>
      <w:rPr>
        <w:rFonts w:ascii="Arial" w:hAnsi="Arial" w:hint="default"/>
        <w:b/>
        <w:i w:val="0"/>
        <w:sz w:val="26"/>
      </w:rPr>
    </w:lvl>
    <w:lvl w:ilvl="6">
      <w:start w:val="1"/>
      <w:numFmt w:val="decimal"/>
      <w:lvlText w:val="%7."/>
      <w:lvlJc w:val="left"/>
      <w:pPr>
        <w:tabs>
          <w:tab w:val="num" w:pos="1080"/>
        </w:tabs>
        <w:ind w:left="1080" w:hanging="360"/>
      </w:pPr>
      <w:rPr>
        <w:rFonts w:ascii="Book Antiqua" w:hAnsi="Book Antiqua" w:hint="default"/>
        <w:b w:val="0"/>
        <w:i w:val="0"/>
        <w:sz w:val="26"/>
      </w:rPr>
    </w:lvl>
    <w:lvl w:ilvl="7">
      <w:start w:val="1"/>
      <w:numFmt w:val="lowerLetter"/>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1" w15:restartNumberingAfterBreak="0">
    <w:nsid w:val="59D042D7"/>
    <w:multiLevelType w:val="multilevel"/>
    <w:tmpl w:val="18F4A5AC"/>
    <w:numStyleLink w:val="FoFCoLOP"/>
  </w:abstractNum>
  <w:abstractNum w:abstractNumId="12" w15:restartNumberingAfterBreak="0">
    <w:nsid w:val="61A25780"/>
    <w:multiLevelType w:val="multilevel"/>
    <w:tmpl w:val="BDBC8F48"/>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2286"/>
        </w:tabs>
        <w:ind w:left="228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3" w15:restartNumberingAfterBreak="0">
    <w:nsid w:val="68472D9A"/>
    <w:multiLevelType w:val="multilevel"/>
    <w:tmpl w:val="A356AFA8"/>
    <w:lvl w:ilvl="0">
      <w:start w:val="1"/>
      <w:numFmt w:val="bullet"/>
      <w:lvlText w:val=""/>
      <w:lvlJc w:val="left"/>
      <w:pPr>
        <w:ind w:left="720" w:hanging="720"/>
      </w:pPr>
      <w:rPr>
        <w:rFonts w:ascii="Symbol" w:hAnsi="Symbo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2286"/>
        </w:tabs>
        <w:ind w:left="228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lvlText w:val="%1.%2.%3.%4.%5."/>
      <w:lvlJc w:val="left"/>
      <w:pPr>
        <w:tabs>
          <w:tab w:val="num" w:pos="2880"/>
        </w:tabs>
        <w:ind w:left="2880" w:hanging="1440"/>
      </w:pPr>
      <w:rPr>
        <w:rFonts w:ascii="Arial" w:hAnsi="Arial" w:hint="default"/>
        <w:b/>
        <w:i w:val="0"/>
        <w:sz w:val="26"/>
      </w:rPr>
    </w:lvl>
    <w:lvl w:ilvl="5">
      <w:start w:val="1"/>
      <w:numFmt w:val="decimal"/>
      <w:lvlText w:val="%1.%2.%3.%4.%5.%6."/>
      <w:lvlJc w:val="left"/>
      <w:pPr>
        <w:tabs>
          <w:tab w:val="num" w:pos="3528"/>
        </w:tabs>
        <w:ind w:left="3528" w:hanging="1728"/>
      </w:pPr>
      <w:rPr>
        <w:rFonts w:ascii="Arial" w:hAnsi="Arial" w:hint="default"/>
        <w:b/>
        <w:i w:val="0"/>
        <w:sz w:val="26"/>
      </w:rPr>
    </w:lvl>
    <w:lvl w:ilvl="6">
      <w:start w:val="1"/>
      <w:numFmt w:val="decimal"/>
      <w:lvlText w:val="%7."/>
      <w:lvlJc w:val="left"/>
      <w:pPr>
        <w:tabs>
          <w:tab w:val="num" w:pos="1080"/>
        </w:tabs>
        <w:ind w:left="1080" w:hanging="360"/>
      </w:pPr>
      <w:rPr>
        <w:rFonts w:ascii="Book Antiqua" w:hAnsi="Book Antiqua" w:hint="default"/>
        <w:b w:val="0"/>
        <w:i w:val="0"/>
        <w:sz w:val="26"/>
      </w:rPr>
    </w:lvl>
    <w:lvl w:ilvl="7">
      <w:start w:val="1"/>
      <w:numFmt w:val="lowerLetter"/>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4"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89A0AFE"/>
    <w:multiLevelType w:val="multilevel"/>
    <w:tmpl w:val="18F4A5AC"/>
    <w:numStyleLink w:val="FoFCoLOP"/>
  </w:abstractNum>
  <w:num w:numId="1" w16cid:durableId="1839231137">
    <w:abstractNumId w:val="5"/>
  </w:num>
  <w:num w:numId="2" w16cid:durableId="669259427">
    <w:abstractNumId w:val="11"/>
  </w:num>
  <w:num w:numId="3" w16cid:durableId="661591291">
    <w:abstractNumId w:val="6"/>
  </w:num>
  <w:num w:numId="4" w16cid:durableId="768818504">
    <w:abstractNumId w:val="15"/>
  </w:num>
  <w:num w:numId="5" w16cid:durableId="1640376224">
    <w:abstractNumId w:val="10"/>
  </w:num>
  <w:num w:numId="6" w16cid:durableId="1869752659">
    <w:abstractNumId w:val="0"/>
  </w:num>
  <w:num w:numId="7" w16cid:durableId="850680968">
    <w:abstractNumId w:val="12"/>
    <w:lvlOverride w:ilvl="0">
      <w:lvl w:ilvl="0">
        <w:start w:val="1"/>
        <w:numFmt w:val="decimal"/>
        <w:lvlText w:val="%1."/>
        <w:lvlJc w:val="left"/>
        <w:pPr>
          <w:ind w:left="1080" w:hanging="360"/>
        </w:pPr>
      </w:lvl>
    </w:lvlOverride>
    <w:lvlOverride w:ilvl="1">
      <w:lvl w:ilvl="1">
        <w:start w:val="1"/>
        <w:numFmt w:val="lowerLetter"/>
        <w:lvlText w:val="%2."/>
        <w:lvlJc w:val="left"/>
        <w:pPr>
          <w:ind w:left="1800" w:hanging="360"/>
        </w:pPr>
      </w:lvl>
    </w:lvlOverride>
    <w:lvlOverride w:ilvl="2">
      <w:lvl w:ilvl="2">
        <w:start w:val="1"/>
        <w:numFmt w:val="lowerRoman"/>
        <w:pStyle w:val="Heading3"/>
        <w:lvlText w:val="%3."/>
        <w:lvlJc w:val="right"/>
        <w:pPr>
          <w:ind w:left="2520" w:hanging="180"/>
        </w:pPr>
      </w:lvl>
    </w:lvlOverride>
    <w:lvlOverride w:ilvl="3">
      <w:lvl w:ilvl="3">
        <w:start w:val="1"/>
        <w:numFmt w:val="decimal"/>
        <w:pStyle w:val="Heading4"/>
        <w:lvlText w:val="%4."/>
        <w:lvlJc w:val="left"/>
        <w:pPr>
          <w:ind w:left="3240" w:hanging="360"/>
        </w:pPr>
      </w:lvl>
    </w:lvlOverride>
    <w:lvlOverride w:ilvl="4">
      <w:lvl w:ilvl="4">
        <w:start w:val="1"/>
        <w:numFmt w:val="lowerLetter"/>
        <w:pStyle w:val="Heading5"/>
        <w:lvlText w:val="%5."/>
        <w:lvlJc w:val="left"/>
        <w:pPr>
          <w:ind w:left="3960" w:hanging="360"/>
        </w:pPr>
      </w:lvl>
    </w:lvlOverride>
    <w:lvlOverride w:ilvl="5">
      <w:lvl w:ilvl="5">
        <w:start w:val="1"/>
        <w:numFmt w:val="lowerRoman"/>
        <w:pStyle w:val="Heading6"/>
        <w:lvlText w:val="%6."/>
        <w:lvlJc w:val="right"/>
        <w:pPr>
          <w:ind w:left="4680" w:hanging="180"/>
        </w:pPr>
      </w:lvl>
    </w:lvlOverride>
    <w:lvlOverride w:ilvl="6">
      <w:lvl w:ilvl="6">
        <w:start w:val="1"/>
        <w:numFmt w:val="decimal"/>
        <w:pStyle w:val="ListNum"/>
        <w:lvlText w:val="%7."/>
        <w:lvlJc w:val="left"/>
        <w:pPr>
          <w:ind w:left="5400" w:hanging="360"/>
        </w:pPr>
      </w:lvl>
    </w:lvlOverride>
    <w:lvlOverride w:ilvl="7">
      <w:lvl w:ilvl="7">
        <w:start w:val="1"/>
        <w:numFmt w:val="lowerLetter"/>
        <w:pStyle w:val="ListAlpha"/>
        <w:lvlText w:val="%8."/>
        <w:lvlJc w:val="left"/>
        <w:pPr>
          <w:ind w:left="6120" w:hanging="360"/>
        </w:pPr>
      </w:lvl>
    </w:lvlOverride>
    <w:lvlOverride w:ilvl="8">
      <w:lvl w:ilvl="8" w:tentative="1">
        <w:start w:val="1"/>
        <w:numFmt w:val="lowerRoman"/>
        <w:lvlText w:val="%9."/>
        <w:lvlJc w:val="right"/>
        <w:pPr>
          <w:ind w:left="6840" w:hanging="180"/>
        </w:pPr>
      </w:lvl>
    </w:lvlOverride>
  </w:num>
  <w:num w:numId="8" w16cid:durableId="1894344950">
    <w:abstractNumId w:val="4"/>
  </w:num>
  <w:num w:numId="9" w16cid:durableId="71510522">
    <w:abstractNumId w:val="12"/>
  </w:num>
  <w:num w:numId="10" w16cid:durableId="1933321119">
    <w:abstractNumId w:val="3"/>
  </w:num>
  <w:num w:numId="11" w16cid:durableId="1922255705">
    <w:abstractNumId w:val="12"/>
    <w:lvlOverride w:ilvl="0">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Override>
    <w:lvlOverride w:ilvl="1">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Override>
    <w:lvlOverride w:ilvl="2">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Override>
    <w:lvlOverride w:ilvl="3">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Override>
    <w:lvlOverride w:ilvl="4">
      <w:lvl w:ilvl="4">
        <w:start w:val="1"/>
        <w:numFmt w:val="decimal"/>
        <w:pStyle w:val="Heading5"/>
        <w:lvlText w:val="%1.%2.%3.%4.%5."/>
        <w:lvlJc w:val="left"/>
        <w:pPr>
          <w:tabs>
            <w:tab w:val="num" w:pos="2880"/>
          </w:tabs>
          <w:ind w:left="2880" w:hanging="1440"/>
        </w:pPr>
        <w:rPr>
          <w:rFonts w:ascii="Arial" w:hAnsi="Arial" w:hint="default"/>
          <w:b/>
          <w:i w:val="0"/>
          <w:sz w:val="26"/>
        </w:rPr>
      </w:lvl>
    </w:lvlOverride>
    <w:lvlOverride w:ilvl="5">
      <w:lvl w:ilvl="5">
        <w:start w:val="1"/>
        <w:numFmt w:val="decimal"/>
        <w:pStyle w:val="Heading6"/>
        <w:lvlText w:val="%1.%2.%3.%4.%5.%6."/>
        <w:lvlJc w:val="left"/>
        <w:pPr>
          <w:tabs>
            <w:tab w:val="num" w:pos="3528"/>
          </w:tabs>
          <w:ind w:left="3528" w:hanging="1728"/>
        </w:pPr>
        <w:rPr>
          <w:rFonts w:ascii="Arial" w:hAnsi="Arial" w:hint="default"/>
          <w:b/>
          <w:i w:val="0"/>
          <w:sz w:val="26"/>
        </w:rPr>
      </w:lvl>
    </w:lvlOverride>
    <w:lvlOverride w:ilvl="6">
      <w:lvl w:ilvl="6">
        <w:start w:val="1"/>
        <w:numFmt w:val="decimal"/>
        <w:pStyle w:val="ListNum"/>
        <w:lvlText w:val="%7."/>
        <w:lvlJc w:val="left"/>
        <w:pPr>
          <w:tabs>
            <w:tab w:val="num" w:pos="1080"/>
          </w:tabs>
          <w:ind w:left="1080" w:hanging="360"/>
        </w:pPr>
        <w:rPr>
          <w:rFonts w:ascii="Book Antiqua" w:hAnsi="Book Antiqua" w:hint="default"/>
          <w:b w:val="0"/>
          <w:i w:val="0"/>
          <w:sz w:val="26"/>
        </w:rPr>
      </w:lvl>
    </w:lvlOverride>
    <w:lvlOverride w:ilvl="7">
      <w:lvl w:ilvl="7">
        <w:start w:val="1"/>
        <w:numFmt w:val="lowerLetter"/>
        <w:pStyle w:val="ListAlpha"/>
        <w:lvlText w:val="%8."/>
        <w:lvlJc w:val="left"/>
        <w:pPr>
          <w:ind w:left="1080" w:hanging="360"/>
        </w:pPr>
        <w:rPr>
          <w:rFonts w:ascii="Book Antiqua" w:hAnsi="Book Antiqua" w:hint="default"/>
          <w:sz w:val="26"/>
        </w:rPr>
      </w:lvl>
    </w:lvlOverride>
    <w:lvlOverride w:ilvl="8">
      <w:lvl w:ilvl="8">
        <w:start w:val="1"/>
        <w:numFmt w:val="none"/>
        <w:lvlText w:val=""/>
        <w:lvlJc w:val="left"/>
        <w:pPr>
          <w:ind w:left="3240" w:hanging="360"/>
        </w:pPr>
        <w:rPr>
          <w:rFonts w:hint="default"/>
        </w:rPr>
      </w:lvl>
    </w:lvlOverride>
  </w:num>
  <w:num w:numId="12" w16cid:durableId="143082299">
    <w:abstractNumId w:val="12"/>
    <w:lvlOverride w:ilvl="0">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Override>
    <w:lvlOverride w:ilvl="1">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Override>
    <w:lvlOverride w:ilvl="2">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Override>
    <w:lvlOverride w:ilvl="3">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Override>
    <w:lvlOverride w:ilvl="4">
      <w:lvl w:ilvl="4">
        <w:start w:val="1"/>
        <w:numFmt w:val="decimal"/>
        <w:pStyle w:val="Heading5"/>
        <w:lvlText w:val="%1.%2.%3.%4.%5."/>
        <w:lvlJc w:val="left"/>
        <w:pPr>
          <w:tabs>
            <w:tab w:val="num" w:pos="2880"/>
          </w:tabs>
          <w:ind w:left="2880" w:hanging="1440"/>
        </w:pPr>
        <w:rPr>
          <w:rFonts w:ascii="Arial" w:hAnsi="Arial" w:hint="default"/>
          <w:b/>
          <w:i w:val="0"/>
          <w:sz w:val="26"/>
        </w:rPr>
      </w:lvl>
    </w:lvlOverride>
    <w:lvlOverride w:ilvl="5">
      <w:lvl w:ilvl="5">
        <w:start w:val="1"/>
        <w:numFmt w:val="decimal"/>
        <w:pStyle w:val="Heading6"/>
        <w:lvlText w:val="%1.%2.%3.%4.%5.%6."/>
        <w:lvlJc w:val="left"/>
        <w:pPr>
          <w:tabs>
            <w:tab w:val="num" w:pos="3528"/>
          </w:tabs>
          <w:ind w:left="3528" w:hanging="1728"/>
        </w:pPr>
        <w:rPr>
          <w:rFonts w:ascii="Arial" w:hAnsi="Arial" w:hint="default"/>
          <w:b/>
          <w:i w:val="0"/>
          <w:sz w:val="26"/>
        </w:rPr>
      </w:lvl>
    </w:lvlOverride>
    <w:lvlOverride w:ilvl="6">
      <w:lvl w:ilvl="6">
        <w:start w:val="1"/>
        <w:numFmt w:val="decimal"/>
        <w:pStyle w:val="ListNum"/>
        <w:lvlText w:val="%7."/>
        <w:lvlJc w:val="left"/>
        <w:pPr>
          <w:tabs>
            <w:tab w:val="num" w:pos="1080"/>
          </w:tabs>
          <w:ind w:left="1080" w:hanging="360"/>
        </w:pPr>
        <w:rPr>
          <w:rFonts w:ascii="Book Antiqua" w:hAnsi="Book Antiqua" w:hint="default"/>
          <w:b w:val="0"/>
          <w:i w:val="0"/>
          <w:sz w:val="26"/>
        </w:rPr>
      </w:lvl>
    </w:lvlOverride>
    <w:lvlOverride w:ilvl="7">
      <w:lvl w:ilvl="7">
        <w:start w:val="1"/>
        <w:numFmt w:val="lowerLetter"/>
        <w:pStyle w:val="ListAlpha"/>
        <w:lvlText w:val="%8."/>
        <w:lvlJc w:val="left"/>
        <w:pPr>
          <w:ind w:left="1080" w:hanging="360"/>
        </w:pPr>
        <w:rPr>
          <w:rFonts w:ascii="Book Antiqua" w:hAnsi="Book Antiqua" w:hint="default"/>
          <w:sz w:val="26"/>
        </w:rPr>
      </w:lvl>
    </w:lvlOverride>
    <w:lvlOverride w:ilvl="8">
      <w:lvl w:ilvl="8">
        <w:start w:val="1"/>
        <w:numFmt w:val="none"/>
        <w:lvlText w:val=""/>
        <w:lvlJc w:val="left"/>
        <w:pPr>
          <w:ind w:left="3240" w:hanging="360"/>
        </w:pPr>
        <w:rPr>
          <w:rFonts w:hint="default"/>
        </w:rPr>
      </w:lvl>
    </w:lvlOverride>
  </w:num>
  <w:num w:numId="13" w16cid:durableId="1308392911">
    <w:abstractNumId w:val="12"/>
    <w:lvlOverride w:ilvl="0">
      <w:startOverride w:val="1"/>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Override>
    <w:lvlOverride w:ilvl="1">
      <w:startOverride w:val="1"/>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Override>
    <w:lvlOverride w:ilvl="2">
      <w:startOverride w:val="1"/>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Override>
    <w:lvlOverride w:ilvl="3">
      <w:startOverride w:val="1"/>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Override>
    <w:lvlOverride w:ilvl="4">
      <w:startOverride w:val="1"/>
      <w:lvl w:ilvl="4">
        <w:start w:val="1"/>
        <w:numFmt w:val="decimal"/>
        <w:pStyle w:val="Heading5"/>
        <w:lvlText w:val="%1.%2.%3.%4.%5."/>
        <w:lvlJc w:val="left"/>
        <w:pPr>
          <w:tabs>
            <w:tab w:val="num" w:pos="2880"/>
          </w:tabs>
          <w:ind w:left="2880" w:hanging="1440"/>
        </w:pPr>
        <w:rPr>
          <w:rFonts w:ascii="Arial" w:hAnsi="Arial" w:hint="default"/>
          <w:b/>
          <w:i w:val="0"/>
          <w:sz w:val="26"/>
        </w:rPr>
      </w:lvl>
    </w:lvlOverride>
    <w:lvlOverride w:ilvl="5">
      <w:startOverride w:val="1"/>
      <w:lvl w:ilvl="5">
        <w:start w:val="1"/>
        <w:numFmt w:val="decimal"/>
        <w:pStyle w:val="Heading6"/>
        <w:lvlText w:val="%1.%2.%3.%4.%5.%6."/>
        <w:lvlJc w:val="left"/>
        <w:pPr>
          <w:tabs>
            <w:tab w:val="num" w:pos="3528"/>
          </w:tabs>
          <w:ind w:left="3528" w:hanging="1728"/>
        </w:pPr>
        <w:rPr>
          <w:rFonts w:ascii="Arial" w:hAnsi="Arial" w:hint="default"/>
          <w:b/>
          <w:i w:val="0"/>
          <w:sz w:val="26"/>
        </w:rPr>
      </w:lvl>
    </w:lvlOverride>
    <w:lvlOverride w:ilvl="6">
      <w:startOverride w:val="1"/>
      <w:lvl w:ilvl="6">
        <w:start w:val="1"/>
        <w:numFmt w:val="decimal"/>
        <w:pStyle w:val="ListNum"/>
        <w:lvlText w:val="%7."/>
        <w:lvlJc w:val="left"/>
        <w:pPr>
          <w:tabs>
            <w:tab w:val="num" w:pos="1080"/>
          </w:tabs>
          <w:ind w:left="1080" w:hanging="360"/>
        </w:pPr>
        <w:rPr>
          <w:rFonts w:ascii="Book Antiqua" w:hAnsi="Book Antiqua" w:hint="default"/>
          <w:b w:val="0"/>
          <w:i w:val="0"/>
          <w:sz w:val="26"/>
        </w:rPr>
      </w:lvl>
    </w:lvlOverride>
    <w:lvlOverride w:ilvl="7">
      <w:startOverride w:val="1"/>
      <w:lvl w:ilvl="7">
        <w:start w:val="1"/>
        <w:numFmt w:val="lowerLetter"/>
        <w:pStyle w:val="ListAlpha"/>
        <w:lvlText w:val="%8."/>
        <w:lvlJc w:val="left"/>
        <w:pPr>
          <w:ind w:left="1080" w:hanging="360"/>
        </w:pPr>
        <w:rPr>
          <w:rFonts w:ascii="Book Antiqua" w:hAnsi="Book Antiqua" w:hint="default"/>
          <w:sz w:val="26"/>
        </w:rPr>
      </w:lvl>
    </w:lvlOverride>
    <w:lvlOverride w:ilvl="8">
      <w:startOverride w:val="1"/>
      <w:lvl w:ilvl="8">
        <w:start w:val="1"/>
        <w:numFmt w:val="none"/>
        <w:lvlText w:val=""/>
        <w:lvlJc w:val="left"/>
        <w:pPr>
          <w:ind w:left="3240" w:hanging="360"/>
        </w:pPr>
        <w:rPr>
          <w:rFonts w:hint="default"/>
        </w:rPr>
      </w:lvl>
    </w:lvlOverride>
  </w:num>
  <w:num w:numId="14" w16cid:durableId="1159343919">
    <w:abstractNumId w:val="12"/>
  </w:num>
  <w:num w:numId="15" w16cid:durableId="160243363">
    <w:abstractNumId w:val="12"/>
    <w:lvlOverride w:ilvl="0">
      <w:startOverride w:val="3"/>
    </w:lvlOverride>
    <w:lvlOverride w:ilvl="1">
      <w:startOverride w:val="5"/>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40376306">
    <w:abstractNumId w:val="14"/>
  </w:num>
  <w:num w:numId="17" w16cid:durableId="2073962558">
    <w:abstractNumId w:val="13"/>
  </w:num>
  <w:num w:numId="18" w16cid:durableId="1824732601">
    <w:abstractNumId w:val="7"/>
  </w:num>
  <w:num w:numId="19" w16cid:durableId="379405485">
    <w:abstractNumId w:val="9"/>
  </w:num>
  <w:num w:numId="20" w16cid:durableId="11553355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547550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643669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99193430">
    <w:abstractNumId w:val="8"/>
  </w:num>
  <w:num w:numId="24" w16cid:durableId="12873497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196727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9268616">
    <w:abstractNumId w:val="1"/>
  </w:num>
  <w:num w:numId="27" w16cid:durableId="793987897">
    <w:abstractNumId w:val="2"/>
  </w:num>
  <w:num w:numId="28" w16cid:durableId="2106461001">
    <w:abstractNumId w:val="5"/>
    <w:lvlOverride w:ilvl="0">
      <w:lvl w:ilvl="0">
        <w:start w:val="1"/>
        <w:numFmt w:val="decimal"/>
        <w:pStyle w:val="OP"/>
        <w:lvlText w:val="%1."/>
        <w:lvlJc w:val="right"/>
        <w:pPr>
          <w:ind w:left="0" w:firstLine="540"/>
        </w:pPr>
        <w:rPr>
          <w:rFonts w:hint="default"/>
          <w:color w:val="0000FF"/>
          <w:u w:val="double"/>
        </w:rPr>
      </w:lvl>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0F5"/>
    <w:rsid w:val="00000226"/>
    <w:rsid w:val="00000F6A"/>
    <w:rsid w:val="00002DDB"/>
    <w:rsid w:val="000039BA"/>
    <w:rsid w:val="00004941"/>
    <w:rsid w:val="00004A3A"/>
    <w:rsid w:val="00005802"/>
    <w:rsid w:val="00005B15"/>
    <w:rsid w:val="00006915"/>
    <w:rsid w:val="000078A7"/>
    <w:rsid w:val="00011260"/>
    <w:rsid w:val="000119FD"/>
    <w:rsid w:val="000128A7"/>
    <w:rsid w:val="0001382A"/>
    <w:rsid w:val="000147FB"/>
    <w:rsid w:val="00014EC1"/>
    <w:rsid w:val="00015BA5"/>
    <w:rsid w:val="00015C4F"/>
    <w:rsid w:val="0001691B"/>
    <w:rsid w:val="00017AFB"/>
    <w:rsid w:val="00020C2B"/>
    <w:rsid w:val="000210A2"/>
    <w:rsid w:val="00021F1A"/>
    <w:rsid w:val="000220A9"/>
    <w:rsid w:val="000221AF"/>
    <w:rsid w:val="000247E4"/>
    <w:rsid w:val="00025FA3"/>
    <w:rsid w:val="00027446"/>
    <w:rsid w:val="000275CF"/>
    <w:rsid w:val="00030BD8"/>
    <w:rsid w:val="00033D78"/>
    <w:rsid w:val="00034344"/>
    <w:rsid w:val="0003592F"/>
    <w:rsid w:val="00035957"/>
    <w:rsid w:val="00036914"/>
    <w:rsid w:val="00036C4F"/>
    <w:rsid w:val="000415DB"/>
    <w:rsid w:val="00041A32"/>
    <w:rsid w:val="00042D4F"/>
    <w:rsid w:val="00043996"/>
    <w:rsid w:val="00043CB1"/>
    <w:rsid w:val="00044563"/>
    <w:rsid w:val="000446F7"/>
    <w:rsid w:val="00045027"/>
    <w:rsid w:val="00051420"/>
    <w:rsid w:val="00053581"/>
    <w:rsid w:val="000564FD"/>
    <w:rsid w:val="0005765D"/>
    <w:rsid w:val="00060227"/>
    <w:rsid w:val="0006027D"/>
    <w:rsid w:val="00060D8D"/>
    <w:rsid w:val="000638BF"/>
    <w:rsid w:val="00063EA7"/>
    <w:rsid w:val="000641FD"/>
    <w:rsid w:val="00065757"/>
    <w:rsid w:val="000657F6"/>
    <w:rsid w:val="00065DC0"/>
    <w:rsid w:val="00065FF5"/>
    <w:rsid w:val="0006708D"/>
    <w:rsid w:val="00067C67"/>
    <w:rsid w:val="0007027E"/>
    <w:rsid w:val="0007115A"/>
    <w:rsid w:val="00072131"/>
    <w:rsid w:val="0007273A"/>
    <w:rsid w:val="00073E8A"/>
    <w:rsid w:val="00074856"/>
    <w:rsid w:val="0007507B"/>
    <w:rsid w:val="000768B6"/>
    <w:rsid w:val="00077D08"/>
    <w:rsid w:val="00077E37"/>
    <w:rsid w:val="0008155C"/>
    <w:rsid w:val="00081C88"/>
    <w:rsid w:val="00083264"/>
    <w:rsid w:val="00083815"/>
    <w:rsid w:val="000842A4"/>
    <w:rsid w:val="00085043"/>
    <w:rsid w:val="000852B6"/>
    <w:rsid w:val="0008623C"/>
    <w:rsid w:val="0008701A"/>
    <w:rsid w:val="00092EB4"/>
    <w:rsid w:val="0009397A"/>
    <w:rsid w:val="00093C6E"/>
    <w:rsid w:val="00094008"/>
    <w:rsid w:val="000940C7"/>
    <w:rsid w:val="00094547"/>
    <w:rsid w:val="00094B9A"/>
    <w:rsid w:val="000955F8"/>
    <w:rsid w:val="0009564C"/>
    <w:rsid w:val="00096541"/>
    <w:rsid w:val="00096C5D"/>
    <w:rsid w:val="000973C8"/>
    <w:rsid w:val="00097DD5"/>
    <w:rsid w:val="00097ED4"/>
    <w:rsid w:val="000A0A78"/>
    <w:rsid w:val="000A1CE5"/>
    <w:rsid w:val="000A2AA9"/>
    <w:rsid w:val="000A3009"/>
    <w:rsid w:val="000A37A7"/>
    <w:rsid w:val="000A39F9"/>
    <w:rsid w:val="000A3FBD"/>
    <w:rsid w:val="000A4A34"/>
    <w:rsid w:val="000A4ED6"/>
    <w:rsid w:val="000A56F2"/>
    <w:rsid w:val="000A5FF9"/>
    <w:rsid w:val="000A63C3"/>
    <w:rsid w:val="000A6E05"/>
    <w:rsid w:val="000A7238"/>
    <w:rsid w:val="000A7253"/>
    <w:rsid w:val="000A74C4"/>
    <w:rsid w:val="000A7777"/>
    <w:rsid w:val="000B12FA"/>
    <w:rsid w:val="000B1428"/>
    <w:rsid w:val="000B160A"/>
    <w:rsid w:val="000B1D3C"/>
    <w:rsid w:val="000B2FDB"/>
    <w:rsid w:val="000B4AB6"/>
    <w:rsid w:val="000B5570"/>
    <w:rsid w:val="000C08BF"/>
    <w:rsid w:val="000C2A18"/>
    <w:rsid w:val="000C3415"/>
    <w:rsid w:val="000C3B9A"/>
    <w:rsid w:val="000C3CF1"/>
    <w:rsid w:val="000C55A8"/>
    <w:rsid w:val="000C55C5"/>
    <w:rsid w:val="000C6B85"/>
    <w:rsid w:val="000C70A4"/>
    <w:rsid w:val="000D09EA"/>
    <w:rsid w:val="000D0ABD"/>
    <w:rsid w:val="000D0F32"/>
    <w:rsid w:val="000D25A8"/>
    <w:rsid w:val="000D41F4"/>
    <w:rsid w:val="000D539D"/>
    <w:rsid w:val="000D74F0"/>
    <w:rsid w:val="000E04E2"/>
    <w:rsid w:val="000E07E9"/>
    <w:rsid w:val="000E270A"/>
    <w:rsid w:val="000E2D3A"/>
    <w:rsid w:val="000E3732"/>
    <w:rsid w:val="000E3E86"/>
    <w:rsid w:val="000E4C53"/>
    <w:rsid w:val="000E5BD6"/>
    <w:rsid w:val="000E625E"/>
    <w:rsid w:val="000E76E1"/>
    <w:rsid w:val="000E78B0"/>
    <w:rsid w:val="000F1807"/>
    <w:rsid w:val="000F181D"/>
    <w:rsid w:val="000F2016"/>
    <w:rsid w:val="000F20AE"/>
    <w:rsid w:val="000F31F4"/>
    <w:rsid w:val="000F3CA3"/>
    <w:rsid w:val="000F529E"/>
    <w:rsid w:val="000F5749"/>
    <w:rsid w:val="000F6C7D"/>
    <w:rsid w:val="000F784F"/>
    <w:rsid w:val="000F791E"/>
    <w:rsid w:val="000F796B"/>
    <w:rsid w:val="001011B5"/>
    <w:rsid w:val="001018E3"/>
    <w:rsid w:val="001019F2"/>
    <w:rsid w:val="00102401"/>
    <w:rsid w:val="001031D8"/>
    <w:rsid w:val="00104310"/>
    <w:rsid w:val="00105128"/>
    <w:rsid w:val="0010514D"/>
    <w:rsid w:val="00105FD6"/>
    <w:rsid w:val="00106FAE"/>
    <w:rsid w:val="0011008F"/>
    <w:rsid w:val="00111B1C"/>
    <w:rsid w:val="00111EE7"/>
    <w:rsid w:val="001171E3"/>
    <w:rsid w:val="001207C4"/>
    <w:rsid w:val="00121089"/>
    <w:rsid w:val="001224C1"/>
    <w:rsid w:val="0012268E"/>
    <w:rsid w:val="00123098"/>
    <w:rsid w:val="00124368"/>
    <w:rsid w:val="00130466"/>
    <w:rsid w:val="0013075C"/>
    <w:rsid w:val="001318FF"/>
    <w:rsid w:val="001333E8"/>
    <w:rsid w:val="00133E32"/>
    <w:rsid w:val="0013733A"/>
    <w:rsid w:val="00137B86"/>
    <w:rsid w:val="001402A7"/>
    <w:rsid w:val="00142EFF"/>
    <w:rsid w:val="0014367F"/>
    <w:rsid w:val="00144F1C"/>
    <w:rsid w:val="00144F6C"/>
    <w:rsid w:val="00145C33"/>
    <w:rsid w:val="00146377"/>
    <w:rsid w:val="001505AE"/>
    <w:rsid w:val="00151804"/>
    <w:rsid w:val="00153E98"/>
    <w:rsid w:val="001573AC"/>
    <w:rsid w:val="0015760B"/>
    <w:rsid w:val="001612BF"/>
    <w:rsid w:val="001618F2"/>
    <w:rsid w:val="001619DB"/>
    <w:rsid w:val="00161D24"/>
    <w:rsid w:val="00163EBE"/>
    <w:rsid w:val="00164CE8"/>
    <w:rsid w:val="001654D3"/>
    <w:rsid w:val="00165F69"/>
    <w:rsid w:val="00166183"/>
    <w:rsid w:val="001662E3"/>
    <w:rsid w:val="0016779D"/>
    <w:rsid w:val="00167D04"/>
    <w:rsid w:val="00170155"/>
    <w:rsid w:val="0017190A"/>
    <w:rsid w:val="001728C1"/>
    <w:rsid w:val="00173585"/>
    <w:rsid w:val="001754C5"/>
    <w:rsid w:val="001807D3"/>
    <w:rsid w:val="00181478"/>
    <w:rsid w:val="001824D7"/>
    <w:rsid w:val="00183D45"/>
    <w:rsid w:val="00185908"/>
    <w:rsid w:val="00186499"/>
    <w:rsid w:val="001868D2"/>
    <w:rsid w:val="00186DDE"/>
    <w:rsid w:val="001905CF"/>
    <w:rsid w:val="0019261E"/>
    <w:rsid w:val="00192AFF"/>
    <w:rsid w:val="001940DC"/>
    <w:rsid w:val="001973AC"/>
    <w:rsid w:val="001A5D79"/>
    <w:rsid w:val="001A75EB"/>
    <w:rsid w:val="001B0498"/>
    <w:rsid w:val="001B1011"/>
    <w:rsid w:val="001B1D09"/>
    <w:rsid w:val="001B31AF"/>
    <w:rsid w:val="001B3E45"/>
    <w:rsid w:val="001B5E38"/>
    <w:rsid w:val="001B6D62"/>
    <w:rsid w:val="001C1D30"/>
    <w:rsid w:val="001C2FBB"/>
    <w:rsid w:val="001C303D"/>
    <w:rsid w:val="001C363F"/>
    <w:rsid w:val="001C3756"/>
    <w:rsid w:val="001C40E8"/>
    <w:rsid w:val="001C555C"/>
    <w:rsid w:val="001C5B33"/>
    <w:rsid w:val="001C6E94"/>
    <w:rsid w:val="001C7315"/>
    <w:rsid w:val="001D0E19"/>
    <w:rsid w:val="001D1158"/>
    <w:rsid w:val="001D1550"/>
    <w:rsid w:val="001D2305"/>
    <w:rsid w:val="001D3892"/>
    <w:rsid w:val="001D3BD7"/>
    <w:rsid w:val="001D408D"/>
    <w:rsid w:val="001D477F"/>
    <w:rsid w:val="001D60BF"/>
    <w:rsid w:val="001D705B"/>
    <w:rsid w:val="001D7A45"/>
    <w:rsid w:val="001E07CC"/>
    <w:rsid w:val="001E0AE5"/>
    <w:rsid w:val="001E10B9"/>
    <w:rsid w:val="001E150A"/>
    <w:rsid w:val="001E2A62"/>
    <w:rsid w:val="001E3B07"/>
    <w:rsid w:val="001E4204"/>
    <w:rsid w:val="001E467E"/>
    <w:rsid w:val="001E4732"/>
    <w:rsid w:val="001E51F7"/>
    <w:rsid w:val="001E5D9C"/>
    <w:rsid w:val="001E6471"/>
    <w:rsid w:val="001E7D46"/>
    <w:rsid w:val="001F0694"/>
    <w:rsid w:val="001F0D0B"/>
    <w:rsid w:val="001F2819"/>
    <w:rsid w:val="001F2E5B"/>
    <w:rsid w:val="001F3EB2"/>
    <w:rsid w:val="001F45A0"/>
    <w:rsid w:val="001F5A9F"/>
    <w:rsid w:val="001F63A6"/>
    <w:rsid w:val="001F69CD"/>
    <w:rsid w:val="001F761A"/>
    <w:rsid w:val="00200CD3"/>
    <w:rsid w:val="0020371D"/>
    <w:rsid w:val="00203C3B"/>
    <w:rsid w:val="002043EC"/>
    <w:rsid w:val="002051B8"/>
    <w:rsid w:val="00205BFE"/>
    <w:rsid w:val="00206392"/>
    <w:rsid w:val="002072E7"/>
    <w:rsid w:val="002079DB"/>
    <w:rsid w:val="00207C22"/>
    <w:rsid w:val="00207D41"/>
    <w:rsid w:val="00210F9D"/>
    <w:rsid w:val="00210FB9"/>
    <w:rsid w:val="00213CD1"/>
    <w:rsid w:val="002152BC"/>
    <w:rsid w:val="00217413"/>
    <w:rsid w:val="00222BA0"/>
    <w:rsid w:val="00222D60"/>
    <w:rsid w:val="00223583"/>
    <w:rsid w:val="002237FF"/>
    <w:rsid w:val="00223F37"/>
    <w:rsid w:val="002277A2"/>
    <w:rsid w:val="0023089A"/>
    <w:rsid w:val="0023279C"/>
    <w:rsid w:val="00232CC6"/>
    <w:rsid w:val="00233011"/>
    <w:rsid w:val="002330DB"/>
    <w:rsid w:val="002349B5"/>
    <w:rsid w:val="0023798B"/>
    <w:rsid w:val="00237F7C"/>
    <w:rsid w:val="00243157"/>
    <w:rsid w:val="00243DC0"/>
    <w:rsid w:val="00244C1C"/>
    <w:rsid w:val="0024564D"/>
    <w:rsid w:val="002466A0"/>
    <w:rsid w:val="0024717C"/>
    <w:rsid w:val="00247477"/>
    <w:rsid w:val="0024753B"/>
    <w:rsid w:val="00250CF0"/>
    <w:rsid w:val="00251E19"/>
    <w:rsid w:val="0025250F"/>
    <w:rsid w:val="00254A5B"/>
    <w:rsid w:val="00256276"/>
    <w:rsid w:val="002562BF"/>
    <w:rsid w:val="00256E6B"/>
    <w:rsid w:val="0025D257"/>
    <w:rsid w:val="002607AC"/>
    <w:rsid w:val="002607DF"/>
    <w:rsid w:val="00262714"/>
    <w:rsid w:val="00263EF7"/>
    <w:rsid w:val="00265272"/>
    <w:rsid w:val="00265C6C"/>
    <w:rsid w:val="002660D2"/>
    <w:rsid w:val="00267BBB"/>
    <w:rsid w:val="00270440"/>
    <w:rsid w:val="00270CA8"/>
    <w:rsid w:val="0027111A"/>
    <w:rsid w:val="002715DD"/>
    <w:rsid w:val="00271AFD"/>
    <w:rsid w:val="0027220D"/>
    <w:rsid w:val="00272688"/>
    <w:rsid w:val="002727E9"/>
    <w:rsid w:val="002734E4"/>
    <w:rsid w:val="00273F38"/>
    <w:rsid w:val="00275B06"/>
    <w:rsid w:val="00275B30"/>
    <w:rsid w:val="00276118"/>
    <w:rsid w:val="00281E87"/>
    <w:rsid w:val="002852B5"/>
    <w:rsid w:val="002856E7"/>
    <w:rsid w:val="00286E96"/>
    <w:rsid w:val="002872C0"/>
    <w:rsid w:val="00287435"/>
    <w:rsid w:val="00287BC5"/>
    <w:rsid w:val="00291945"/>
    <w:rsid w:val="00293DEE"/>
    <w:rsid w:val="00294296"/>
    <w:rsid w:val="00295012"/>
    <w:rsid w:val="00295294"/>
    <w:rsid w:val="002973DA"/>
    <w:rsid w:val="002A0B02"/>
    <w:rsid w:val="002A0B5D"/>
    <w:rsid w:val="002A189A"/>
    <w:rsid w:val="002A4EB8"/>
    <w:rsid w:val="002A5D07"/>
    <w:rsid w:val="002A69A5"/>
    <w:rsid w:val="002A6B82"/>
    <w:rsid w:val="002B0936"/>
    <w:rsid w:val="002B15AE"/>
    <w:rsid w:val="002B1A14"/>
    <w:rsid w:val="002B265F"/>
    <w:rsid w:val="002B3A2C"/>
    <w:rsid w:val="002B6C2E"/>
    <w:rsid w:val="002B6D56"/>
    <w:rsid w:val="002B72FF"/>
    <w:rsid w:val="002C16FB"/>
    <w:rsid w:val="002C1D13"/>
    <w:rsid w:val="002C57B1"/>
    <w:rsid w:val="002C5FE2"/>
    <w:rsid w:val="002C6E9B"/>
    <w:rsid w:val="002C7FE9"/>
    <w:rsid w:val="002D0DC5"/>
    <w:rsid w:val="002D167C"/>
    <w:rsid w:val="002D48F1"/>
    <w:rsid w:val="002D4EFD"/>
    <w:rsid w:val="002D5ED9"/>
    <w:rsid w:val="002D70EE"/>
    <w:rsid w:val="002D71AA"/>
    <w:rsid w:val="002E0E74"/>
    <w:rsid w:val="002E11EC"/>
    <w:rsid w:val="002E158A"/>
    <w:rsid w:val="002E18D0"/>
    <w:rsid w:val="002E25D2"/>
    <w:rsid w:val="002E3E33"/>
    <w:rsid w:val="002E72E5"/>
    <w:rsid w:val="002E792B"/>
    <w:rsid w:val="002E7DBE"/>
    <w:rsid w:val="002F0852"/>
    <w:rsid w:val="002F17EE"/>
    <w:rsid w:val="002F1E1D"/>
    <w:rsid w:val="002F2070"/>
    <w:rsid w:val="002F40DF"/>
    <w:rsid w:val="002F6156"/>
    <w:rsid w:val="002F64CE"/>
    <w:rsid w:val="002F6CC9"/>
    <w:rsid w:val="003000F0"/>
    <w:rsid w:val="003009F3"/>
    <w:rsid w:val="003047F2"/>
    <w:rsid w:val="0030709A"/>
    <w:rsid w:val="00310679"/>
    <w:rsid w:val="003127C8"/>
    <w:rsid w:val="003138B2"/>
    <w:rsid w:val="00315A97"/>
    <w:rsid w:val="00315E01"/>
    <w:rsid w:val="00316071"/>
    <w:rsid w:val="0031746F"/>
    <w:rsid w:val="003204EA"/>
    <w:rsid w:val="00323724"/>
    <w:rsid w:val="00325F91"/>
    <w:rsid w:val="003270CB"/>
    <w:rsid w:val="003274CB"/>
    <w:rsid w:val="00330CB0"/>
    <w:rsid w:val="0033137D"/>
    <w:rsid w:val="0033298E"/>
    <w:rsid w:val="003364E4"/>
    <w:rsid w:val="00337284"/>
    <w:rsid w:val="00337E70"/>
    <w:rsid w:val="00340509"/>
    <w:rsid w:val="00340B48"/>
    <w:rsid w:val="00343644"/>
    <w:rsid w:val="00343E5C"/>
    <w:rsid w:val="00344F99"/>
    <w:rsid w:val="00344FB8"/>
    <w:rsid w:val="00345B15"/>
    <w:rsid w:val="00345C3E"/>
    <w:rsid w:val="00345D71"/>
    <w:rsid w:val="0034652D"/>
    <w:rsid w:val="00346BE7"/>
    <w:rsid w:val="00346CB8"/>
    <w:rsid w:val="00353D09"/>
    <w:rsid w:val="0035451B"/>
    <w:rsid w:val="00355275"/>
    <w:rsid w:val="003579CD"/>
    <w:rsid w:val="0036017B"/>
    <w:rsid w:val="00361246"/>
    <w:rsid w:val="00362755"/>
    <w:rsid w:val="003629E0"/>
    <w:rsid w:val="00362E81"/>
    <w:rsid w:val="003641CD"/>
    <w:rsid w:val="0036465E"/>
    <w:rsid w:val="00365749"/>
    <w:rsid w:val="003661D2"/>
    <w:rsid w:val="00370D7C"/>
    <w:rsid w:val="003712DA"/>
    <w:rsid w:val="003713F0"/>
    <w:rsid w:val="003725DD"/>
    <w:rsid w:val="00372DE2"/>
    <w:rsid w:val="00373A70"/>
    <w:rsid w:val="00373B93"/>
    <w:rsid w:val="003745A9"/>
    <w:rsid w:val="00376A5A"/>
    <w:rsid w:val="00377B61"/>
    <w:rsid w:val="00380CD1"/>
    <w:rsid w:val="00381B72"/>
    <w:rsid w:val="0038211E"/>
    <w:rsid w:val="00383089"/>
    <w:rsid w:val="00383222"/>
    <w:rsid w:val="003845F6"/>
    <w:rsid w:val="00384DB2"/>
    <w:rsid w:val="00385152"/>
    <w:rsid w:val="00385472"/>
    <w:rsid w:val="00385B6B"/>
    <w:rsid w:val="00385C44"/>
    <w:rsid w:val="003861E3"/>
    <w:rsid w:val="00386478"/>
    <w:rsid w:val="0038767D"/>
    <w:rsid w:val="00391752"/>
    <w:rsid w:val="00391AC9"/>
    <w:rsid w:val="00391B19"/>
    <w:rsid w:val="00391C48"/>
    <w:rsid w:val="003922F7"/>
    <w:rsid w:val="0039430E"/>
    <w:rsid w:val="00394D55"/>
    <w:rsid w:val="00395548"/>
    <w:rsid w:val="00395A24"/>
    <w:rsid w:val="003A0ACA"/>
    <w:rsid w:val="003A1409"/>
    <w:rsid w:val="003A1E32"/>
    <w:rsid w:val="003A2E5C"/>
    <w:rsid w:val="003A30F1"/>
    <w:rsid w:val="003A38F0"/>
    <w:rsid w:val="003A3C3A"/>
    <w:rsid w:val="003A4AC3"/>
    <w:rsid w:val="003A55D9"/>
    <w:rsid w:val="003A5F7F"/>
    <w:rsid w:val="003A73FD"/>
    <w:rsid w:val="003A7A38"/>
    <w:rsid w:val="003B15C1"/>
    <w:rsid w:val="003B1938"/>
    <w:rsid w:val="003B1E27"/>
    <w:rsid w:val="003B2AB4"/>
    <w:rsid w:val="003B43E6"/>
    <w:rsid w:val="003B5549"/>
    <w:rsid w:val="003B5642"/>
    <w:rsid w:val="003B5C25"/>
    <w:rsid w:val="003B6FC7"/>
    <w:rsid w:val="003B7B9D"/>
    <w:rsid w:val="003C02B7"/>
    <w:rsid w:val="003C28B6"/>
    <w:rsid w:val="003C2BA5"/>
    <w:rsid w:val="003C391E"/>
    <w:rsid w:val="003D065E"/>
    <w:rsid w:val="003D0D70"/>
    <w:rsid w:val="003D112F"/>
    <w:rsid w:val="003D1384"/>
    <w:rsid w:val="003D1CF3"/>
    <w:rsid w:val="003D28A5"/>
    <w:rsid w:val="003D5A17"/>
    <w:rsid w:val="003D66E2"/>
    <w:rsid w:val="003E0223"/>
    <w:rsid w:val="003E42CC"/>
    <w:rsid w:val="003E4646"/>
    <w:rsid w:val="003E55A3"/>
    <w:rsid w:val="003E5AEF"/>
    <w:rsid w:val="003E5FFB"/>
    <w:rsid w:val="003E6780"/>
    <w:rsid w:val="003E78B1"/>
    <w:rsid w:val="003E799D"/>
    <w:rsid w:val="003F069A"/>
    <w:rsid w:val="003F08F1"/>
    <w:rsid w:val="003F1C9D"/>
    <w:rsid w:val="003F3B9F"/>
    <w:rsid w:val="003F4329"/>
    <w:rsid w:val="003F5B80"/>
    <w:rsid w:val="003F61A5"/>
    <w:rsid w:val="003F7A84"/>
    <w:rsid w:val="004003B8"/>
    <w:rsid w:val="004011EC"/>
    <w:rsid w:val="0040478D"/>
    <w:rsid w:val="004048CF"/>
    <w:rsid w:val="00404AB0"/>
    <w:rsid w:val="004067E0"/>
    <w:rsid w:val="00406B10"/>
    <w:rsid w:val="00407825"/>
    <w:rsid w:val="00410127"/>
    <w:rsid w:val="0041091A"/>
    <w:rsid w:val="00410EE5"/>
    <w:rsid w:val="00412293"/>
    <w:rsid w:val="00412534"/>
    <w:rsid w:val="00412C83"/>
    <w:rsid w:val="004147EB"/>
    <w:rsid w:val="00415467"/>
    <w:rsid w:val="004154A1"/>
    <w:rsid w:val="00417037"/>
    <w:rsid w:val="004204E6"/>
    <w:rsid w:val="00420E9B"/>
    <w:rsid w:val="004215F8"/>
    <w:rsid w:val="00421AB7"/>
    <w:rsid w:val="00421B97"/>
    <w:rsid w:val="00421D08"/>
    <w:rsid w:val="00421D9B"/>
    <w:rsid w:val="0042271F"/>
    <w:rsid w:val="00422E35"/>
    <w:rsid w:val="004244D2"/>
    <w:rsid w:val="00426014"/>
    <w:rsid w:val="00427A4E"/>
    <w:rsid w:val="00430CAA"/>
    <w:rsid w:val="0043257D"/>
    <w:rsid w:val="00432D51"/>
    <w:rsid w:val="00432D72"/>
    <w:rsid w:val="004332DE"/>
    <w:rsid w:val="00433C9C"/>
    <w:rsid w:val="0043562F"/>
    <w:rsid w:val="00437634"/>
    <w:rsid w:val="00437A73"/>
    <w:rsid w:val="00437BCA"/>
    <w:rsid w:val="00440F17"/>
    <w:rsid w:val="0044617E"/>
    <w:rsid w:val="00450AC6"/>
    <w:rsid w:val="0045172C"/>
    <w:rsid w:val="00452580"/>
    <w:rsid w:val="00453A5C"/>
    <w:rsid w:val="00454643"/>
    <w:rsid w:val="004548CE"/>
    <w:rsid w:val="00454909"/>
    <w:rsid w:val="00454C2F"/>
    <w:rsid w:val="0045663C"/>
    <w:rsid w:val="0045790C"/>
    <w:rsid w:val="0046012D"/>
    <w:rsid w:val="00460531"/>
    <w:rsid w:val="00460B7D"/>
    <w:rsid w:val="00460DBB"/>
    <w:rsid w:val="00461BAE"/>
    <w:rsid w:val="004620DE"/>
    <w:rsid w:val="00462957"/>
    <w:rsid w:val="00463F6B"/>
    <w:rsid w:val="00464361"/>
    <w:rsid w:val="00464F74"/>
    <w:rsid w:val="0046562B"/>
    <w:rsid w:val="00465787"/>
    <w:rsid w:val="00466104"/>
    <w:rsid w:val="004662DA"/>
    <w:rsid w:val="0046711E"/>
    <w:rsid w:val="004675F6"/>
    <w:rsid w:val="004707C7"/>
    <w:rsid w:val="004707F6"/>
    <w:rsid w:val="004727E0"/>
    <w:rsid w:val="00472FEA"/>
    <w:rsid w:val="00473576"/>
    <w:rsid w:val="004737B3"/>
    <w:rsid w:val="00475677"/>
    <w:rsid w:val="00475976"/>
    <w:rsid w:val="00475FB6"/>
    <w:rsid w:val="004767D0"/>
    <w:rsid w:val="00477C67"/>
    <w:rsid w:val="00480CB0"/>
    <w:rsid w:val="004811A7"/>
    <w:rsid w:val="004811AD"/>
    <w:rsid w:val="004817C8"/>
    <w:rsid w:val="004826DA"/>
    <w:rsid w:val="004833A8"/>
    <w:rsid w:val="00486DA5"/>
    <w:rsid w:val="00486EAF"/>
    <w:rsid w:val="00487914"/>
    <w:rsid w:val="0049247E"/>
    <w:rsid w:val="00495500"/>
    <w:rsid w:val="004A00C9"/>
    <w:rsid w:val="004A094A"/>
    <w:rsid w:val="004A2C16"/>
    <w:rsid w:val="004A2FE9"/>
    <w:rsid w:val="004A45FC"/>
    <w:rsid w:val="004A4C9F"/>
    <w:rsid w:val="004A5B09"/>
    <w:rsid w:val="004A622A"/>
    <w:rsid w:val="004A6E2F"/>
    <w:rsid w:val="004B02ED"/>
    <w:rsid w:val="004B03CB"/>
    <w:rsid w:val="004B0D23"/>
    <w:rsid w:val="004B0DF2"/>
    <w:rsid w:val="004B27E3"/>
    <w:rsid w:val="004B2DC1"/>
    <w:rsid w:val="004B34EA"/>
    <w:rsid w:val="004B3E03"/>
    <w:rsid w:val="004B4040"/>
    <w:rsid w:val="004B5494"/>
    <w:rsid w:val="004B5B11"/>
    <w:rsid w:val="004B6AE6"/>
    <w:rsid w:val="004B6E15"/>
    <w:rsid w:val="004B7368"/>
    <w:rsid w:val="004B7C45"/>
    <w:rsid w:val="004C1691"/>
    <w:rsid w:val="004C19A8"/>
    <w:rsid w:val="004C2685"/>
    <w:rsid w:val="004C2B56"/>
    <w:rsid w:val="004C3703"/>
    <w:rsid w:val="004C3919"/>
    <w:rsid w:val="004C56B5"/>
    <w:rsid w:val="004C6C2C"/>
    <w:rsid w:val="004C72CE"/>
    <w:rsid w:val="004C7A2B"/>
    <w:rsid w:val="004C7D3A"/>
    <w:rsid w:val="004D0CDE"/>
    <w:rsid w:val="004D0D9B"/>
    <w:rsid w:val="004D2F20"/>
    <w:rsid w:val="004D312E"/>
    <w:rsid w:val="004D3412"/>
    <w:rsid w:val="004D3A0D"/>
    <w:rsid w:val="004D3C94"/>
    <w:rsid w:val="004D5C02"/>
    <w:rsid w:val="004D7F6F"/>
    <w:rsid w:val="004E0345"/>
    <w:rsid w:val="004E19CC"/>
    <w:rsid w:val="004E1B32"/>
    <w:rsid w:val="004E259D"/>
    <w:rsid w:val="004E3D37"/>
    <w:rsid w:val="004E486C"/>
    <w:rsid w:val="004E5D03"/>
    <w:rsid w:val="004E62C4"/>
    <w:rsid w:val="004E6504"/>
    <w:rsid w:val="004E6642"/>
    <w:rsid w:val="004F0B5B"/>
    <w:rsid w:val="004F0DA9"/>
    <w:rsid w:val="004F1875"/>
    <w:rsid w:val="004F3F8D"/>
    <w:rsid w:val="004F50D2"/>
    <w:rsid w:val="004F563A"/>
    <w:rsid w:val="004F5A83"/>
    <w:rsid w:val="004F62FA"/>
    <w:rsid w:val="004F638A"/>
    <w:rsid w:val="004F68A4"/>
    <w:rsid w:val="004F73E4"/>
    <w:rsid w:val="005003FF"/>
    <w:rsid w:val="0050104F"/>
    <w:rsid w:val="005018A8"/>
    <w:rsid w:val="005039DA"/>
    <w:rsid w:val="00503A68"/>
    <w:rsid w:val="00503BC6"/>
    <w:rsid w:val="00504460"/>
    <w:rsid w:val="00504DF1"/>
    <w:rsid w:val="005054BA"/>
    <w:rsid w:val="00505A39"/>
    <w:rsid w:val="005071BA"/>
    <w:rsid w:val="005077D1"/>
    <w:rsid w:val="00507DEB"/>
    <w:rsid w:val="00510116"/>
    <w:rsid w:val="005101FF"/>
    <w:rsid w:val="005108EE"/>
    <w:rsid w:val="00512426"/>
    <w:rsid w:val="0051263D"/>
    <w:rsid w:val="0051352A"/>
    <w:rsid w:val="0051536C"/>
    <w:rsid w:val="00517D02"/>
    <w:rsid w:val="00521B79"/>
    <w:rsid w:val="00522CD5"/>
    <w:rsid w:val="005238AF"/>
    <w:rsid w:val="005240BF"/>
    <w:rsid w:val="00526971"/>
    <w:rsid w:val="00527344"/>
    <w:rsid w:val="00527A57"/>
    <w:rsid w:val="0053134B"/>
    <w:rsid w:val="00531805"/>
    <w:rsid w:val="0053219F"/>
    <w:rsid w:val="00534D10"/>
    <w:rsid w:val="00536D10"/>
    <w:rsid w:val="0053728E"/>
    <w:rsid w:val="00537720"/>
    <w:rsid w:val="0054087A"/>
    <w:rsid w:val="005411C6"/>
    <w:rsid w:val="00542588"/>
    <w:rsid w:val="00542ABD"/>
    <w:rsid w:val="00543858"/>
    <w:rsid w:val="00543E96"/>
    <w:rsid w:val="00544396"/>
    <w:rsid w:val="00544B4D"/>
    <w:rsid w:val="00544F90"/>
    <w:rsid w:val="005457F7"/>
    <w:rsid w:val="00547E53"/>
    <w:rsid w:val="005507E8"/>
    <w:rsid w:val="0055088F"/>
    <w:rsid w:val="00551AFE"/>
    <w:rsid w:val="00551DE4"/>
    <w:rsid w:val="00551E4F"/>
    <w:rsid w:val="00553F84"/>
    <w:rsid w:val="005546BD"/>
    <w:rsid w:val="00555E3F"/>
    <w:rsid w:val="0055661A"/>
    <w:rsid w:val="005574A3"/>
    <w:rsid w:val="00560F50"/>
    <w:rsid w:val="005611FC"/>
    <w:rsid w:val="005625C1"/>
    <w:rsid w:val="00563EE2"/>
    <w:rsid w:val="00564527"/>
    <w:rsid w:val="00564D38"/>
    <w:rsid w:val="00565009"/>
    <w:rsid w:val="00565932"/>
    <w:rsid w:val="0057191D"/>
    <w:rsid w:val="00571D1B"/>
    <w:rsid w:val="005732E7"/>
    <w:rsid w:val="0057387E"/>
    <w:rsid w:val="00573BA7"/>
    <w:rsid w:val="00574F70"/>
    <w:rsid w:val="005752B9"/>
    <w:rsid w:val="005753B9"/>
    <w:rsid w:val="0057575D"/>
    <w:rsid w:val="005761C6"/>
    <w:rsid w:val="00577365"/>
    <w:rsid w:val="0057750E"/>
    <w:rsid w:val="00577DF0"/>
    <w:rsid w:val="00580AA3"/>
    <w:rsid w:val="005813D5"/>
    <w:rsid w:val="005838CA"/>
    <w:rsid w:val="00583CEB"/>
    <w:rsid w:val="00585052"/>
    <w:rsid w:val="00585390"/>
    <w:rsid w:val="00586384"/>
    <w:rsid w:val="005863DF"/>
    <w:rsid w:val="00586454"/>
    <w:rsid w:val="00587E0A"/>
    <w:rsid w:val="0059045D"/>
    <w:rsid w:val="005904A5"/>
    <w:rsid w:val="005906A9"/>
    <w:rsid w:val="00590BD7"/>
    <w:rsid w:val="005913B2"/>
    <w:rsid w:val="005936DA"/>
    <w:rsid w:val="005939A5"/>
    <w:rsid w:val="005963DE"/>
    <w:rsid w:val="005966A6"/>
    <w:rsid w:val="00596E49"/>
    <w:rsid w:val="00597AB6"/>
    <w:rsid w:val="005A0570"/>
    <w:rsid w:val="005A148C"/>
    <w:rsid w:val="005A27B0"/>
    <w:rsid w:val="005A32FA"/>
    <w:rsid w:val="005A3353"/>
    <w:rsid w:val="005A41CF"/>
    <w:rsid w:val="005A4341"/>
    <w:rsid w:val="005A58BD"/>
    <w:rsid w:val="005A5DB9"/>
    <w:rsid w:val="005A6218"/>
    <w:rsid w:val="005A62FF"/>
    <w:rsid w:val="005A695F"/>
    <w:rsid w:val="005A7645"/>
    <w:rsid w:val="005B0F9E"/>
    <w:rsid w:val="005B1D40"/>
    <w:rsid w:val="005B1E55"/>
    <w:rsid w:val="005B227A"/>
    <w:rsid w:val="005B4778"/>
    <w:rsid w:val="005B47E9"/>
    <w:rsid w:val="005B5079"/>
    <w:rsid w:val="005B61E0"/>
    <w:rsid w:val="005B6631"/>
    <w:rsid w:val="005B6DCC"/>
    <w:rsid w:val="005B6F06"/>
    <w:rsid w:val="005B7C1C"/>
    <w:rsid w:val="005C2BBB"/>
    <w:rsid w:val="005C3483"/>
    <w:rsid w:val="005C55EA"/>
    <w:rsid w:val="005C58FA"/>
    <w:rsid w:val="005C5AE9"/>
    <w:rsid w:val="005C5D96"/>
    <w:rsid w:val="005C6263"/>
    <w:rsid w:val="005C7787"/>
    <w:rsid w:val="005D2DAE"/>
    <w:rsid w:val="005D4638"/>
    <w:rsid w:val="005D46BF"/>
    <w:rsid w:val="005D485A"/>
    <w:rsid w:val="005E1E46"/>
    <w:rsid w:val="005E21C3"/>
    <w:rsid w:val="005E3C9B"/>
    <w:rsid w:val="005E40CD"/>
    <w:rsid w:val="005E46E8"/>
    <w:rsid w:val="005E4859"/>
    <w:rsid w:val="005E4BE9"/>
    <w:rsid w:val="005E55F0"/>
    <w:rsid w:val="005E6600"/>
    <w:rsid w:val="005E76C7"/>
    <w:rsid w:val="005E7CDE"/>
    <w:rsid w:val="005F237D"/>
    <w:rsid w:val="005F282F"/>
    <w:rsid w:val="005F2B38"/>
    <w:rsid w:val="005F5CCC"/>
    <w:rsid w:val="005F5F38"/>
    <w:rsid w:val="005F7AD7"/>
    <w:rsid w:val="006008BA"/>
    <w:rsid w:val="00600F49"/>
    <w:rsid w:val="00600FEE"/>
    <w:rsid w:val="006011E9"/>
    <w:rsid w:val="00601C5E"/>
    <w:rsid w:val="00604434"/>
    <w:rsid w:val="006062A6"/>
    <w:rsid w:val="006068BD"/>
    <w:rsid w:val="00607F5E"/>
    <w:rsid w:val="0061061F"/>
    <w:rsid w:val="006119B3"/>
    <w:rsid w:val="006120F0"/>
    <w:rsid w:val="00612EE3"/>
    <w:rsid w:val="006132F3"/>
    <w:rsid w:val="00613A9C"/>
    <w:rsid w:val="00613B0F"/>
    <w:rsid w:val="006147C0"/>
    <w:rsid w:val="00614808"/>
    <w:rsid w:val="006150DB"/>
    <w:rsid w:val="00615EB1"/>
    <w:rsid w:val="00616683"/>
    <w:rsid w:val="00616DA7"/>
    <w:rsid w:val="00621FC5"/>
    <w:rsid w:val="00622844"/>
    <w:rsid w:val="00623ABB"/>
    <w:rsid w:val="006252A6"/>
    <w:rsid w:val="006256F4"/>
    <w:rsid w:val="00625BDF"/>
    <w:rsid w:val="00626CE8"/>
    <w:rsid w:val="006270B7"/>
    <w:rsid w:val="00627EAB"/>
    <w:rsid w:val="0063084F"/>
    <w:rsid w:val="00631FEC"/>
    <w:rsid w:val="00632207"/>
    <w:rsid w:val="00632627"/>
    <w:rsid w:val="00632DB1"/>
    <w:rsid w:val="006341E5"/>
    <w:rsid w:val="0063491C"/>
    <w:rsid w:val="00634B08"/>
    <w:rsid w:val="006359FC"/>
    <w:rsid w:val="00637592"/>
    <w:rsid w:val="00640224"/>
    <w:rsid w:val="006434C4"/>
    <w:rsid w:val="006438A6"/>
    <w:rsid w:val="006447A8"/>
    <w:rsid w:val="00645EDA"/>
    <w:rsid w:val="0064778E"/>
    <w:rsid w:val="006500CE"/>
    <w:rsid w:val="0065063B"/>
    <w:rsid w:val="00650B80"/>
    <w:rsid w:val="00650CAF"/>
    <w:rsid w:val="00650E25"/>
    <w:rsid w:val="00650E32"/>
    <w:rsid w:val="0065138D"/>
    <w:rsid w:val="006526B1"/>
    <w:rsid w:val="00653721"/>
    <w:rsid w:val="006547F5"/>
    <w:rsid w:val="00654954"/>
    <w:rsid w:val="00657060"/>
    <w:rsid w:val="00657C8F"/>
    <w:rsid w:val="006603D4"/>
    <w:rsid w:val="00660DA0"/>
    <w:rsid w:val="00661598"/>
    <w:rsid w:val="0066169E"/>
    <w:rsid w:val="00661AFE"/>
    <w:rsid w:val="00661FD4"/>
    <w:rsid w:val="00662EA2"/>
    <w:rsid w:val="006652AD"/>
    <w:rsid w:val="006660E1"/>
    <w:rsid w:val="006666CE"/>
    <w:rsid w:val="0066762C"/>
    <w:rsid w:val="00672516"/>
    <w:rsid w:val="00673B7A"/>
    <w:rsid w:val="006759AC"/>
    <w:rsid w:val="006763A9"/>
    <w:rsid w:val="0067693A"/>
    <w:rsid w:val="00677686"/>
    <w:rsid w:val="00680092"/>
    <w:rsid w:val="00680F19"/>
    <w:rsid w:val="006817B3"/>
    <w:rsid w:val="006823DB"/>
    <w:rsid w:val="00683569"/>
    <w:rsid w:val="0068481B"/>
    <w:rsid w:val="00686FA6"/>
    <w:rsid w:val="00687964"/>
    <w:rsid w:val="006929F6"/>
    <w:rsid w:val="00692BBF"/>
    <w:rsid w:val="0069351D"/>
    <w:rsid w:val="006936C7"/>
    <w:rsid w:val="0069723D"/>
    <w:rsid w:val="006A1183"/>
    <w:rsid w:val="006A2886"/>
    <w:rsid w:val="006A37EB"/>
    <w:rsid w:val="006A3AD5"/>
    <w:rsid w:val="006A6CAC"/>
    <w:rsid w:val="006A70E3"/>
    <w:rsid w:val="006A79A4"/>
    <w:rsid w:val="006A79E0"/>
    <w:rsid w:val="006B1A62"/>
    <w:rsid w:val="006B1B1F"/>
    <w:rsid w:val="006B3522"/>
    <w:rsid w:val="006B371D"/>
    <w:rsid w:val="006B421D"/>
    <w:rsid w:val="006B6C6C"/>
    <w:rsid w:val="006B7AF7"/>
    <w:rsid w:val="006C0526"/>
    <w:rsid w:val="006C1451"/>
    <w:rsid w:val="006C1F10"/>
    <w:rsid w:val="006C2A26"/>
    <w:rsid w:val="006C4B2D"/>
    <w:rsid w:val="006C57BE"/>
    <w:rsid w:val="006C7EDC"/>
    <w:rsid w:val="006D1466"/>
    <w:rsid w:val="006D1536"/>
    <w:rsid w:val="006D1A90"/>
    <w:rsid w:val="006D77FF"/>
    <w:rsid w:val="006E003D"/>
    <w:rsid w:val="006E0179"/>
    <w:rsid w:val="006E0790"/>
    <w:rsid w:val="006E09C2"/>
    <w:rsid w:val="006E3493"/>
    <w:rsid w:val="006E34A4"/>
    <w:rsid w:val="006E35B2"/>
    <w:rsid w:val="006E3B7F"/>
    <w:rsid w:val="006E5E28"/>
    <w:rsid w:val="006E6574"/>
    <w:rsid w:val="006E66DD"/>
    <w:rsid w:val="006E7830"/>
    <w:rsid w:val="006F2381"/>
    <w:rsid w:val="006F3621"/>
    <w:rsid w:val="006F547B"/>
    <w:rsid w:val="006F7C52"/>
    <w:rsid w:val="00700FF7"/>
    <w:rsid w:val="007010F0"/>
    <w:rsid w:val="007021F1"/>
    <w:rsid w:val="00705063"/>
    <w:rsid w:val="00705085"/>
    <w:rsid w:val="007057A4"/>
    <w:rsid w:val="00705949"/>
    <w:rsid w:val="00705D8B"/>
    <w:rsid w:val="00705F57"/>
    <w:rsid w:val="00705FF5"/>
    <w:rsid w:val="0071126E"/>
    <w:rsid w:val="00711A1D"/>
    <w:rsid w:val="007126A4"/>
    <w:rsid w:val="00712707"/>
    <w:rsid w:val="00714CF2"/>
    <w:rsid w:val="007156B9"/>
    <w:rsid w:val="0071590B"/>
    <w:rsid w:val="00715D11"/>
    <w:rsid w:val="0071644C"/>
    <w:rsid w:val="00717BAA"/>
    <w:rsid w:val="00720817"/>
    <w:rsid w:val="007218B1"/>
    <w:rsid w:val="00722850"/>
    <w:rsid w:val="00724A19"/>
    <w:rsid w:val="00724A37"/>
    <w:rsid w:val="0072528A"/>
    <w:rsid w:val="007261C8"/>
    <w:rsid w:val="007265E6"/>
    <w:rsid w:val="007278EF"/>
    <w:rsid w:val="00732D6C"/>
    <w:rsid w:val="007332AD"/>
    <w:rsid w:val="0073353F"/>
    <w:rsid w:val="00733886"/>
    <w:rsid w:val="00734630"/>
    <w:rsid w:val="00734EAF"/>
    <w:rsid w:val="00735A91"/>
    <w:rsid w:val="00735FEA"/>
    <w:rsid w:val="007365C7"/>
    <w:rsid w:val="0073662E"/>
    <w:rsid w:val="00741644"/>
    <w:rsid w:val="007416EA"/>
    <w:rsid w:val="0074230E"/>
    <w:rsid w:val="0074252B"/>
    <w:rsid w:val="00742E45"/>
    <w:rsid w:val="00744449"/>
    <w:rsid w:val="007447AF"/>
    <w:rsid w:val="007464B1"/>
    <w:rsid w:val="0074718A"/>
    <w:rsid w:val="0075066D"/>
    <w:rsid w:val="00750816"/>
    <w:rsid w:val="00751C1C"/>
    <w:rsid w:val="00753B99"/>
    <w:rsid w:val="0075420F"/>
    <w:rsid w:val="00754755"/>
    <w:rsid w:val="0075589E"/>
    <w:rsid w:val="007558D1"/>
    <w:rsid w:val="00756273"/>
    <w:rsid w:val="007623C4"/>
    <w:rsid w:val="007628C6"/>
    <w:rsid w:val="0076395A"/>
    <w:rsid w:val="007657C1"/>
    <w:rsid w:val="00765914"/>
    <w:rsid w:val="00765D41"/>
    <w:rsid w:val="00766C29"/>
    <w:rsid w:val="00770E6C"/>
    <w:rsid w:val="007720B7"/>
    <w:rsid w:val="00773715"/>
    <w:rsid w:val="00773BBB"/>
    <w:rsid w:val="0077458F"/>
    <w:rsid w:val="00774C54"/>
    <w:rsid w:val="00774D15"/>
    <w:rsid w:val="007754BF"/>
    <w:rsid w:val="00775918"/>
    <w:rsid w:val="00775E9F"/>
    <w:rsid w:val="007770CE"/>
    <w:rsid w:val="0077755F"/>
    <w:rsid w:val="0077786D"/>
    <w:rsid w:val="007811A1"/>
    <w:rsid w:val="0078250D"/>
    <w:rsid w:val="007829F2"/>
    <w:rsid w:val="00785201"/>
    <w:rsid w:val="00785792"/>
    <w:rsid w:val="00785B21"/>
    <w:rsid w:val="0078704E"/>
    <w:rsid w:val="007877FF"/>
    <w:rsid w:val="00787EF8"/>
    <w:rsid w:val="00790B1C"/>
    <w:rsid w:val="00791298"/>
    <w:rsid w:val="007918A3"/>
    <w:rsid w:val="00793028"/>
    <w:rsid w:val="00793ABC"/>
    <w:rsid w:val="00793C0A"/>
    <w:rsid w:val="007943F5"/>
    <w:rsid w:val="00797B4B"/>
    <w:rsid w:val="007A0151"/>
    <w:rsid w:val="007A03F4"/>
    <w:rsid w:val="007A1DF5"/>
    <w:rsid w:val="007A373B"/>
    <w:rsid w:val="007A3E40"/>
    <w:rsid w:val="007A406D"/>
    <w:rsid w:val="007A4D19"/>
    <w:rsid w:val="007A5186"/>
    <w:rsid w:val="007A62B0"/>
    <w:rsid w:val="007B0CB5"/>
    <w:rsid w:val="007B3AC9"/>
    <w:rsid w:val="007B64A1"/>
    <w:rsid w:val="007B71DD"/>
    <w:rsid w:val="007B75FA"/>
    <w:rsid w:val="007B79DA"/>
    <w:rsid w:val="007B7B42"/>
    <w:rsid w:val="007B7ED3"/>
    <w:rsid w:val="007C0CA2"/>
    <w:rsid w:val="007C2A76"/>
    <w:rsid w:val="007C42CA"/>
    <w:rsid w:val="007C49B6"/>
    <w:rsid w:val="007C4C34"/>
    <w:rsid w:val="007C4FBD"/>
    <w:rsid w:val="007C5A0C"/>
    <w:rsid w:val="007C64E0"/>
    <w:rsid w:val="007D07B2"/>
    <w:rsid w:val="007D1719"/>
    <w:rsid w:val="007D23B7"/>
    <w:rsid w:val="007D31FF"/>
    <w:rsid w:val="007D51B2"/>
    <w:rsid w:val="007D7D86"/>
    <w:rsid w:val="007D7FED"/>
    <w:rsid w:val="007E01C0"/>
    <w:rsid w:val="007E065A"/>
    <w:rsid w:val="007E0D50"/>
    <w:rsid w:val="007E0FEE"/>
    <w:rsid w:val="007E11C3"/>
    <w:rsid w:val="007E2E58"/>
    <w:rsid w:val="007E57D9"/>
    <w:rsid w:val="007E6AF9"/>
    <w:rsid w:val="007E6DAC"/>
    <w:rsid w:val="007F01ED"/>
    <w:rsid w:val="007F0A5D"/>
    <w:rsid w:val="007F1A57"/>
    <w:rsid w:val="007F2017"/>
    <w:rsid w:val="007F2A05"/>
    <w:rsid w:val="007F3322"/>
    <w:rsid w:val="007F35F7"/>
    <w:rsid w:val="007F45B4"/>
    <w:rsid w:val="007F4ACE"/>
    <w:rsid w:val="007F4ACF"/>
    <w:rsid w:val="007F570B"/>
    <w:rsid w:val="007F5B50"/>
    <w:rsid w:val="007F6AAE"/>
    <w:rsid w:val="007F7615"/>
    <w:rsid w:val="008003AC"/>
    <w:rsid w:val="00800783"/>
    <w:rsid w:val="00801349"/>
    <w:rsid w:val="00801819"/>
    <w:rsid w:val="008025B7"/>
    <w:rsid w:val="00803735"/>
    <w:rsid w:val="0080388A"/>
    <w:rsid w:val="008044AB"/>
    <w:rsid w:val="0080494F"/>
    <w:rsid w:val="00804EB7"/>
    <w:rsid w:val="00807196"/>
    <w:rsid w:val="0080793E"/>
    <w:rsid w:val="00810305"/>
    <w:rsid w:val="00812759"/>
    <w:rsid w:val="008152ED"/>
    <w:rsid w:val="008159CF"/>
    <w:rsid w:val="00816E05"/>
    <w:rsid w:val="008174BE"/>
    <w:rsid w:val="00817EA5"/>
    <w:rsid w:val="00817FB5"/>
    <w:rsid w:val="00821B30"/>
    <w:rsid w:val="008233EA"/>
    <w:rsid w:val="00823D69"/>
    <w:rsid w:val="0082499F"/>
    <w:rsid w:val="00824CA5"/>
    <w:rsid w:val="00826416"/>
    <w:rsid w:val="00827C8D"/>
    <w:rsid w:val="00830797"/>
    <w:rsid w:val="00830B82"/>
    <w:rsid w:val="008316FB"/>
    <w:rsid w:val="008319B7"/>
    <w:rsid w:val="00831A4A"/>
    <w:rsid w:val="00832613"/>
    <w:rsid w:val="008326E7"/>
    <w:rsid w:val="008329B4"/>
    <w:rsid w:val="0083398C"/>
    <w:rsid w:val="008339BB"/>
    <w:rsid w:val="008345E8"/>
    <w:rsid w:val="00834A14"/>
    <w:rsid w:val="00834B30"/>
    <w:rsid w:val="008351C3"/>
    <w:rsid w:val="00836CE4"/>
    <w:rsid w:val="00836E5C"/>
    <w:rsid w:val="008373E8"/>
    <w:rsid w:val="0083792A"/>
    <w:rsid w:val="00837BBA"/>
    <w:rsid w:val="008401DA"/>
    <w:rsid w:val="008401E5"/>
    <w:rsid w:val="0084053E"/>
    <w:rsid w:val="00840DDE"/>
    <w:rsid w:val="008419C6"/>
    <w:rsid w:val="00842C2A"/>
    <w:rsid w:val="00843691"/>
    <w:rsid w:val="008450C9"/>
    <w:rsid w:val="00845D08"/>
    <w:rsid w:val="00847F59"/>
    <w:rsid w:val="008500D1"/>
    <w:rsid w:val="00850ABC"/>
    <w:rsid w:val="00850D0D"/>
    <w:rsid w:val="00850F66"/>
    <w:rsid w:val="008516EA"/>
    <w:rsid w:val="00851DFA"/>
    <w:rsid w:val="008522EA"/>
    <w:rsid w:val="00852AD7"/>
    <w:rsid w:val="00852F00"/>
    <w:rsid w:val="00855B4B"/>
    <w:rsid w:val="00857C00"/>
    <w:rsid w:val="008600A1"/>
    <w:rsid w:val="008602A3"/>
    <w:rsid w:val="008605A1"/>
    <w:rsid w:val="00861E84"/>
    <w:rsid w:val="008621D3"/>
    <w:rsid w:val="00862E50"/>
    <w:rsid w:val="00863A8B"/>
    <w:rsid w:val="0086400F"/>
    <w:rsid w:val="0086419A"/>
    <w:rsid w:val="008644F7"/>
    <w:rsid w:val="00864958"/>
    <w:rsid w:val="00864D07"/>
    <w:rsid w:val="008655CB"/>
    <w:rsid w:val="00865A85"/>
    <w:rsid w:val="00865E21"/>
    <w:rsid w:val="00866E64"/>
    <w:rsid w:val="00867A5B"/>
    <w:rsid w:val="0087023B"/>
    <w:rsid w:val="00871AA3"/>
    <w:rsid w:val="008756F2"/>
    <w:rsid w:val="0087707D"/>
    <w:rsid w:val="00882476"/>
    <w:rsid w:val="00882929"/>
    <w:rsid w:val="008836FD"/>
    <w:rsid w:val="008844E8"/>
    <w:rsid w:val="00884DDB"/>
    <w:rsid w:val="0088574D"/>
    <w:rsid w:val="0088631C"/>
    <w:rsid w:val="00886E4B"/>
    <w:rsid w:val="008871E5"/>
    <w:rsid w:val="0088772C"/>
    <w:rsid w:val="00887A05"/>
    <w:rsid w:val="00887E64"/>
    <w:rsid w:val="0089057E"/>
    <w:rsid w:val="0089160D"/>
    <w:rsid w:val="008916A7"/>
    <w:rsid w:val="00891A0D"/>
    <w:rsid w:val="00892B01"/>
    <w:rsid w:val="00894336"/>
    <w:rsid w:val="0089531A"/>
    <w:rsid w:val="0089532E"/>
    <w:rsid w:val="008955DD"/>
    <w:rsid w:val="00895A03"/>
    <w:rsid w:val="00896506"/>
    <w:rsid w:val="008A0842"/>
    <w:rsid w:val="008A1059"/>
    <w:rsid w:val="008A179F"/>
    <w:rsid w:val="008A1A5C"/>
    <w:rsid w:val="008A24E0"/>
    <w:rsid w:val="008A3A9F"/>
    <w:rsid w:val="008A47E6"/>
    <w:rsid w:val="008A4E7A"/>
    <w:rsid w:val="008A4F35"/>
    <w:rsid w:val="008A75F1"/>
    <w:rsid w:val="008B01F2"/>
    <w:rsid w:val="008B01FC"/>
    <w:rsid w:val="008B0864"/>
    <w:rsid w:val="008B161F"/>
    <w:rsid w:val="008B1CFC"/>
    <w:rsid w:val="008B2FC8"/>
    <w:rsid w:val="008B3BE0"/>
    <w:rsid w:val="008B42DF"/>
    <w:rsid w:val="008B5FE6"/>
    <w:rsid w:val="008B7871"/>
    <w:rsid w:val="008B7BC6"/>
    <w:rsid w:val="008B7F61"/>
    <w:rsid w:val="008C026F"/>
    <w:rsid w:val="008C4FD6"/>
    <w:rsid w:val="008C58E2"/>
    <w:rsid w:val="008C71C4"/>
    <w:rsid w:val="008C7413"/>
    <w:rsid w:val="008D0DD5"/>
    <w:rsid w:val="008D105C"/>
    <w:rsid w:val="008D15B4"/>
    <w:rsid w:val="008D16B7"/>
    <w:rsid w:val="008D1BBB"/>
    <w:rsid w:val="008D2B37"/>
    <w:rsid w:val="008D4460"/>
    <w:rsid w:val="008D64CF"/>
    <w:rsid w:val="008D6A03"/>
    <w:rsid w:val="008D734B"/>
    <w:rsid w:val="008E3186"/>
    <w:rsid w:val="008E41A0"/>
    <w:rsid w:val="008E6AE6"/>
    <w:rsid w:val="008F007A"/>
    <w:rsid w:val="008F0116"/>
    <w:rsid w:val="008F0F1B"/>
    <w:rsid w:val="008F0FC0"/>
    <w:rsid w:val="008F143D"/>
    <w:rsid w:val="008F34A8"/>
    <w:rsid w:val="008F5423"/>
    <w:rsid w:val="008F67F5"/>
    <w:rsid w:val="008F739F"/>
    <w:rsid w:val="008F7529"/>
    <w:rsid w:val="0090013A"/>
    <w:rsid w:val="00901199"/>
    <w:rsid w:val="00903EE0"/>
    <w:rsid w:val="0090420B"/>
    <w:rsid w:val="009042A8"/>
    <w:rsid w:val="00905F1B"/>
    <w:rsid w:val="009061EB"/>
    <w:rsid w:val="009070B7"/>
    <w:rsid w:val="009134DD"/>
    <w:rsid w:val="00913D9C"/>
    <w:rsid w:val="0091409F"/>
    <w:rsid w:val="00914DC2"/>
    <w:rsid w:val="009157CB"/>
    <w:rsid w:val="00917E7A"/>
    <w:rsid w:val="009200A9"/>
    <w:rsid w:val="00922371"/>
    <w:rsid w:val="00922C4A"/>
    <w:rsid w:val="00922E69"/>
    <w:rsid w:val="00925F21"/>
    <w:rsid w:val="0092646D"/>
    <w:rsid w:val="00931D4E"/>
    <w:rsid w:val="00931DC7"/>
    <w:rsid w:val="00932865"/>
    <w:rsid w:val="00933C29"/>
    <w:rsid w:val="00933DC0"/>
    <w:rsid w:val="009344B3"/>
    <w:rsid w:val="00934DA1"/>
    <w:rsid w:val="0093525A"/>
    <w:rsid w:val="00935F12"/>
    <w:rsid w:val="00936138"/>
    <w:rsid w:val="0093637D"/>
    <w:rsid w:val="0094088D"/>
    <w:rsid w:val="00944786"/>
    <w:rsid w:val="009464D9"/>
    <w:rsid w:val="009467EE"/>
    <w:rsid w:val="0094688B"/>
    <w:rsid w:val="00953611"/>
    <w:rsid w:val="00956F36"/>
    <w:rsid w:val="00960110"/>
    <w:rsid w:val="00960BB5"/>
    <w:rsid w:val="0096388B"/>
    <w:rsid w:val="00966096"/>
    <w:rsid w:val="00966488"/>
    <w:rsid w:val="009676A8"/>
    <w:rsid w:val="0097060F"/>
    <w:rsid w:val="00970DC2"/>
    <w:rsid w:val="00970E0E"/>
    <w:rsid w:val="00971ABC"/>
    <w:rsid w:val="00972BCB"/>
    <w:rsid w:val="00972F14"/>
    <w:rsid w:val="009732F1"/>
    <w:rsid w:val="00973381"/>
    <w:rsid w:val="00974E54"/>
    <w:rsid w:val="00975CAD"/>
    <w:rsid w:val="009765F8"/>
    <w:rsid w:val="00976F89"/>
    <w:rsid w:val="00977D27"/>
    <w:rsid w:val="00980A37"/>
    <w:rsid w:val="00980CFF"/>
    <w:rsid w:val="0098138E"/>
    <w:rsid w:val="0098317E"/>
    <w:rsid w:val="0098453E"/>
    <w:rsid w:val="00985E1B"/>
    <w:rsid w:val="00986276"/>
    <w:rsid w:val="0098655A"/>
    <w:rsid w:val="00986A34"/>
    <w:rsid w:val="00993B16"/>
    <w:rsid w:val="00995205"/>
    <w:rsid w:val="00996177"/>
    <w:rsid w:val="00996936"/>
    <w:rsid w:val="00996BE8"/>
    <w:rsid w:val="00997A09"/>
    <w:rsid w:val="00997C02"/>
    <w:rsid w:val="00997F1C"/>
    <w:rsid w:val="00997FBD"/>
    <w:rsid w:val="009A1B1D"/>
    <w:rsid w:val="009A516B"/>
    <w:rsid w:val="009A58C8"/>
    <w:rsid w:val="009A5F7E"/>
    <w:rsid w:val="009A69A6"/>
    <w:rsid w:val="009A7420"/>
    <w:rsid w:val="009B3E07"/>
    <w:rsid w:val="009B51F3"/>
    <w:rsid w:val="009B55EF"/>
    <w:rsid w:val="009B630B"/>
    <w:rsid w:val="009B64E9"/>
    <w:rsid w:val="009C02EB"/>
    <w:rsid w:val="009C1008"/>
    <w:rsid w:val="009C12F1"/>
    <w:rsid w:val="009C2F3A"/>
    <w:rsid w:val="009C398D"/>
    <w:rsid w:val="009C6312"/>
    <w:rsid w:val="009C6FEB"/>
    <w:rsid w:val="009D353B"/>
    <w:rsid w:val="009D4307"/>
    <w:rsid w:val="009D4E84"/>
    <w:rsid w:val="009E05BE"/>
    <w:rsid w:val="009E1313"/>
    <w:rsid w:val="009E1E5C"/>
    <w:rsid w:val="009E1ED0"/>
    <w:rsid w:val="009E1EDA"/>
    <w:rsid w:val="009E29DF"/>
    <w:rsid w:val="009E52AB"/>
    <w:rsid w:val="009E549D"/>
    <w:rsid w:val="009E54D4"/>
    <w:rsid w:val="009E6052"/>
    <w:rsid w:val="009E6384"/>
    <w:rsid w:val="009E6424"/>
    <w:rsid w:val="009E64C2"/>
    <w:rsid w:val="009E6868"/>
    <w:rsid w:val="009E7215"/>
    <w:rsid w:val="009E7C7F"/>
    <w:rsid w:val="009E7CBB"/>
    <w:rsid w:val="009F0097"/>
    <w:rsid w:val="009F4CD2"/>
    <w:rsid w:val="009F58D9"/>
    <w:rsid w:val="009F5B0F"/>
    <w:rsid w:val="00A00605"/>
    <w:rsid w:val="00A0086C"/>
    <w:rsid w:val="00A02EE0"/>
    <w:rsid w:val="00A03107"/>
    <w:rsid w:val="00A03E65"/>
    <w:rsid w:val="00A12737"/>
    <w:rsid w:val="00A13847"/>
    <w:rsid w:val="00A145F7"/>
    <w:rsid w:val="00A149C1"/>
    <w:rsid w:val="00A14A97"/>
    <w:rsid w:val="00A14C9A"/>
    <w:rsid w:val="00A15C8A"/>
    <w:rsid w:val="00A1610F"/>
    <w:rsid w:val="00A166EF"/>
    <w:rsid w:val="00A17CE0"/>
    <w:rsid w:val="00A200EC"/>
    <w:rsid w:val="00A21390"/>
    <w:rsid w:val="00A223A3"/>
    <w:rsid w:val="00A22E26"/>
    <w:rsid w:val="00A23D48"/>
    <w:rsid w:val="00A23D5A"/>
    <w:rsid w:val="00A25797"/>
    <w:rsid w:val="00A262FF"/>
    <w:rsid w:val="00A3028E"/>
    <w:rsid w:val="00A30B1B"/>
    <w:rsid w:val="00A31287"/>
    <w:rsid w:val="00A314B9"/>
    <w:rsid w:val="00A31B98"/>
    <w:rsid w:val="00A33C4F"/>
    <w:rsid w:val="00A346E7"/>
    <w:rsid w:val="00A35118"/>
    <w:rsid w:val="00A366AC"/>
    <w:rsid w:val="00A37183"/>
    <w:rsid w:val="00A4163D"/>
    <w:rsid w:val="00A41F64"/>
    <w:rsid w:val="00A42306"/>
    <w:rsid w:val="00A42AFE"/>
    <w:rsid w:val="00A43F2C"/>
    <w:rsid w:val="00A4420E"/>
    <w:rsid w:val="00A44600"/>
    <w:rsid w:val="00A44D96"/>
    <w:rsid w:val="00A44E8D"/>
    <w:rsid w:val="00A4537F"/>
    <w:rsid w:val="00A46EA8"/>
    <w:rsid w:val="00A50019"/>
    <w:rsid w:val="00A51453"/>
    <w:rsid w:val="00A5195C"/>
    <w:rsid w:val="00A51C6E"/>
    <w:rsid w:val="00A52682"/>
    <w:rsid w:val="00A52A6D"/>
    <w:rsid w:val="00A52D94"/>
    <w:rsid w:val="00A53C4F"/>
    <w:rsid w:val="00A54E87"/>
    <w:rsid w:val="00A55504"/>
    <w:rsid w:val="00A5596F"/>
    <w:rsid w:val="00A55A5F"/>
    <w:rsid w:val="00A55ACD"/>
    <w:rsid w:val="00A56EBA"/>
    <w:rsid w:val="00A640A4"/>
    <w:rsid w:val="00A64319"/>
    <w:rsid w:val="00A644FA"/>
    <w:rsid w:val="00A65EC2"/>
    <w:rsid w:val="00A660E4"/>
    <w:rsid w:val="00A676CB"/>
    <w:rsid w:val="00A7154B"/>
    <w:rsid w:val="00A7186A"/>
    <w:rsid w:val="00A71AB4"/>
    <w:rsid w:val="00A72BEC"/>
    <w:rsid w:val="00A72E16"/>
    <w:rsid w:val="00A7310D"/>
    <w:rsid w:val="00A73C7A"/>
    <w:rsid w:val="00A75569"/>
    <w:rsid w:val="00A76042"/>
    <w:rsid w:val="00A761D4"/>
    <w:rsid w:val="00A7716E"/>
    <w:rsid w:val="00A77299"/>
    <w:rsid w:val="00A80979"/>
    <w:rsid w:val="00A80CB4"/>
    <w:rsid w:val="00A82FAF"/>
    <w:rsid w:val="00A82FF0"/>
    <w:rsid w:val="00A834BB"/>
    <w:rsid w:val="00A85D27"/>
    <w:rsid w:val="00A86254"/>
    <w:rsid w:val="00A904F5"/>
    <w:rsid w:val="00A90988"/>
    <w:rsid w:val="00A90CE7"/>
    <w:rsid w:val="00A90E8D"/>
    <w:rsid w:val="00A910F5"/>
    <w:rsid w:val="00A916F2"/>
    <w:rsid w:val="00A91B70"/>
    <w:rsid w:val="00A9340B"/>
    <w:rsid w:val="00A94867"/>
    <w:rsid w:val="00A94C31"/>
    <w:rsid w:val="00AA011D"/>
    <w:rsid w:val="00AA057D"/>
    <w:rsid w:val="00AA1023"/>
    <w:rsid w:val="00AA359F"/>
    <w:rsid w:val="00AA3F21"/>
    <w:rsid w:val="00AA65B0"/>
    <w:rsid w:val="00AA70FD"/>
    <w:rsid w:val="00AA7FA2"/>
    <w:rsid w:val="00AB087A"/>
    <w:rsid w:val="00AB0A20"/>
    <w:rsid w:val="00AB0BDC"/>
    <w:rsid w:val="00AB10CE"/>
    <w:rsid w:val="00AB3CE9"/>
    <w:rsid w:val="00AB47B2"/>
    <w:rsid w:val="00AB4D46"/>
    <w:rsid w:val="00AB731F"/>
    <w:rsid w:val="00AB736C"/>
    <w:rsid w:val="00AB7875"/>
    <w:rsid w:val="00AC06A2"/>
    <w:rsid w:val="00AC2368"/>
    <w:rsid w:val="00AC60BB"/>
    <w:rsid w:val="00AC68EE"/>
    <w:rsid w:val="00AC6AEB"/>
    <w:rsid w:val="00AC6C38"/>
    <w:rsid w:val="00AC7643"/>
    <w:rsid w:val="00AC7E9E"/>
    <w:rsid w:val="00AD3D88"/>
    <w:rsid w:val="00AD44DF"/>
    <w:rsid w:val="00AD4AEA"/>
    <w:rsid w:val="00AD58CB"/>
    <w:rsid w:val="00AD5A45"/>
    <w:rsid w:val="00AD5C31"/>
    <w:rsid w:val="00AD5EB4"/>
    <w:rsid w:val="00AD7503"/>
    <w:rsid w:val="00AE07F4"/>
    <w:rsid w:val="00AE0F96"/>
    <w:rsid w:val="00AE0FCD"/>
    <w:rsid w:val="00AE1905"/>
    <w:rsid w:val="00AE2870"/>
    <w:rsid w:val="00AE293B"/>
    <w:rsid w:val="00AE293D"/>
    <w:rsid w:val="00AE4390"/>
    <w:rsid w:val="00AE520E"/>
    <w:rsid w:val="00AE6D91"/>
    <w:rsid w:val="00AE7F05"/>
    <w:rsid w:val="00AF11AF"/>
    <w:rsid w:val="00AF440B"/>
    <w:rsid w:val="00AF46E4"/>
    <w:rsid w:val="00AF4864"/>
    <w:rsid w:val="00AF5718"/>
    <w:rsid w:val="00AF6189"/>
    <w:rsid w:val="00AF62F9"/>
    <w:rsid w:val="00AF6367"/>
    <w:rsid w:val="00AF6413"/>
    <w:rsid w:val="00AF6B89"/>
    <w:rsid w:val="00AF7CC1"/>
    <w:rsid w:val="00AF7EFD"/>
    <w:rsid w:val="00B001AE"/>
    <w:rsid w:val="00B00776"/>
    <w:rsid w:val="00B01BF3"/>
    <w:rsid w:val="00B01F7E"/>
    <w:rsid w:val="00B02269"/>
    <w:rsid w:val="00B03174"/>
    <w:rsid w:val="00B03481"/>
    <w:rsid w:val="00B0361F"/>
    <w:rsid w:val="00B036D4"/>
    <w:rsid w:val="00B04575"/>
    <w:rsid w:val="00B04AE2"/>
    <w:rsid w:val="00B05DDD"/>
    <w:rsid w:val="00B06BE5"/>
    <w:rsid w:val="00B07845"/>
    <w:rsid w:val="00B10C46"/>
    <w:rsid w:val="00B10D51"/>
    <w:rsid w:val="00B1222C"/>
    <w:rsid w:val="00B14410"/>
    <w:rsid w:val="00B14F42"/>
    <w:rsid w:val="00B15004"/>
    <w:rsid w:val="00B15795"/>
    <w:rsid w:val="00B15CC2"/>
    <w:rsid w:val="00B16C2A"/>
    <w:rsid w:val="00B207C7"/>
    <w:rsid w:val="00B207E4"/>
    <w:rsid w:val="00B2176A"/>
    <w:rsid w:val="00B22514"/>
    <w:rsid w:val="00B229E6"/>
    <w:rsid w:val="00B230C5"/>
    <w:rsid w:val="00B24674"/>
    <w:rsid w:val="00B24DE4"/>
    <w:rsid w:val="00B251A9"/>
    <w:rsid w:val="00B26285"/>
    <w:rsid w:val="00B264B8"/>
    <w:rsid w:val="00B2686C"/>
    <w:rsid w:val="00B26EFD"/>
    <w:rsid w:val="00B30581"/>
    <w:rsid w:val="00B3087D"/>
    <w:rsid w:val="00B322DA"/>
    <w:rsid w:val="00B338CF"/>
    <w:rsid w:val="00B33949"/>
    <w:rsid w:val="00B34794"/>
    <w:rsid w:val="00B35A8B"/>
    <w:rsid w:val="00B40B34"/>
    <w:rsid w:val="00B40E64"/>
    <w:rsid w:val="00B41F1F"/>
    <w:rsid w:val="00B427FA"/>
    <w:rsid w:val="00B42CE2"/>
    <w:rsid w:val="00B43CDE"/>
    <w:rsid w:val="00B45312"/>
    <w:rsid w:val="00B4648D"/>
    <w:rsid w:val="00B47808"/>
    <w:rsid w:val="00B55CD4"/>
    <w:rsid w:val="00B55D9A"/>
    <w:rsid w:val="00B56E28"/>
    <w:rsid w:val="00B60421"/>
    <w:rsid w:val="00B60CC7"/>
    <w:rsid w:val="00B61FF4"/>
    <w:rsid w:val="00B6201F"/>
    <w:rsid w:val="00B623E7"/>
    <w:rsid w:val="00B62988"/>
    <w:rsid w:val="00B63883"/>
    <w:rsid w:val="00B64FCC"/>
    <w:rsid w:val="00B65619"/>
    <w:rsid w:val="00B7130F"/>
    <w:rsid w:val="00B737E6"/>
    <w:rsid w:val="00B75BFF"/>
    <w:rsid w:val="00B75CC0"/>
    <w:rsid w:val="00B80A19"/>
    <w:rsid w:val="00B80AA6"/>
    <w:rsid w:val="00B814C6"/>
    <w:rsid w:val="00B81EB6"/>
    <w:rsid w:val="00B83D18"/>
    <w:rsid w:val="00B83F4E"/>
    <w:rsid w:val="00B840A7"/>
    <w:rsid w:val="00B84718"/>
    <w:rsid w:val="00B86412"/>
    <w:rsid w:val="00B8769D"/>
    <w:rsid w:val="00B87DB5"/>
    <w:rsid w:val="00B90F84"/>
    <w:rsid w:val="00B91E0C"/>
    <w:rsid w:val="00B920F4"/>
    <w:rsid w:val="00B9284A"/>
    <w:rsid w:val="00B93A51"/>
    <w:rsid w:val="00B940E8"/>
    <w:rsid w:val="00B945BB"/>
    <w:rsid w:val="00B945D9"/>
    <w:rsid w:val="00B95709"/>
    <w:rsid w:val="00B96BD6"/>
    <w:rsid w:val="00BA05DF"/>
    <w:rsid w:val="00BA080C"/>
    <w:rsid w:val="00BA11A5"/>
    <w:rsid w:val="00BA1EB8"/>
    <w:rsid w:val="00BA2298"/>
    <w:rsid w:val="00BA46EC"/>
    <w:rsid w:val="00BA632A"/>
    <w:rsid w:val="00BA6888"/>
    <w:rsid w:val="00BA6BAF"/>
    <w:rsid w:val="00BA70FD"/>
    <w:rsid w:val="00BA71AC"/>
    <w:rsid w:val="00BA74DD"/>
    <w:rsid w:val="00BA7C74"/>
    <w:rsid w:val="00BA7E95"/>
    <w:rsid w:val="00BB0243"/>
    <w:rsid w:val="00BB245C"/>
    <w:rsid w:val="00BB3BED"/>
    <w:rsid w:val="00BB4AF9"/>
    <w:rsid w:val="00BB5364"/>
    <w:rsid w:val="00BB5F01"/>
    <w:rsid w:val="00BB6BED"/>
    <w:rsid w:val="00BB6E8D"/>
    <w:rsid w:val="00BB7709"/>
    <w:rsid w:val="00BC2E68"/>
    <w:rsid w:val="00BC3EF9"/>
    <w:rsid w:val="00BC5E10"/>
    <w:rsid w:val="00BC5E2C"/>
    <w:rsid w:val="00BD0A58"/>
    <w:rsid w:val="00BD1060"/>
    <w:rsid w:val="00BD1D9D"/>
    <w:rsid w:val="00BD311F"/>
    <w:rsid w:val="00BD41A8"/>
    <w:rsid w:val="00BD4393"/>
    <w:rsid w:val="00BD6E84"/>
    <w:rsid w:val="00BD717F"/>
    <w:rsid w:val="00BD7F2A"/>
    <w:rsid w:val="00BE0086"/>
    <w:rsid w:val="00BE0479"/>
    <w:rsid w:val="00BE04F7"/>
    <w:rsid w:val="00BE21A0"/>
    <w:rsid w:val="00BE3537"/>
    <w:rsid w:val="00BE3B1F"/>
    <w:rsid w:val="00BE4014"/>
    <w:rsid w:val="00BE4D75"/>
    <w:rsid w:val="00BE56C6"/>
    <w:rsid w:val="00BE5876"/>
    <w:rsid w:val="00BE61D2"/>
    <w:rsid w:val="00BE62B5"/>
    <w:rsid w:val="00BE68A3"/>
    <w:rsid w:val="00BE6E90"/>
    <w:rsid w:val="00BE73BF"/>
    <w:rsid w:val="00BE7C83"/>
    <w:rsid w:val="00BF25CF"/>
    <w:rsid w:val="00BF4E58"/>
    <w:rsid w:val="00BF537E"/>
    <w:rsid w:val="00BF6D75"/>
    <w:rsid w:val="00BF7A41"/>
    <w:rsid w:val="00C0008E"/>
    <w:rsid w:val="00C01A54"/>
    <w:rsid w:val="00C02575"/>
    <w:rsid w:val="00C039C5"/>
    <w:rsid w:val="00C03DD9"/>
    <w:rsid w:val="00C04333"/>
    <w:rsid w:val="00C04535"/>
    <w:rsid w:val="00C05900"/>
    <w:rsid w:val="00C059CE"/>
    <w:rsid w:val="00C06426"/>
    <w:rsid w:val="00C0643F"/>
    <w:rsid w:val="00C06B8E"/>
    <w:rsid w:val="00C106B0"/>
    <w:rsid w:val="00C1086D"/>
    <w:rsid w:val="00C10B5F"/>
    <w:rsid w:val="00C1126E"/>
    <w:rsid w:val="00C118A7"/>
    <w:rsid w:val="00C11A4C"/>
    <w:rsid w:val="00C1206E"/>
    <w:rsid w:val="00C1267D"/>
    <w:rsid w:val="00C12A32"/>
    <w:rsid w:val="00C13688"/>
    <w:rsid w:val="00C13A17"/>
    <w:rsid w:val="00C13E39"/>
    <w:rsid w:val="00C140EA"/>
    <w:rsid w:val="00C14557"/>
    <w:rsid w:val="00C14C73"/>
    <w:rsid w:val="00C14D56"/>
    <w:rsid w:val="00C15D6E"/>
    <w:rsid w:val="00C16E3F"/>
    <w:rsid w:val="00C17118"/>
    <w:rsid w:val="00C21069"/>
    <w:rsid w:val="00C211D6"/>
    <w:rsid w:val="00C22044"/>
    <w:rsid w:val="00C25494"/>
    <w:rsid w:val="00C25889"/>
    <w:rsid w:val="00C25D56"/>
    <w:rsid w:val="00C26405"/>
    <w:rsid w:val="00C2691D"/>
    <w:rsid w:val="00C31260"/>
    <w:rsid w:val="00C3149C"/>
    <w:rsid w:val="00C31ADB"/>
    <w:rsid w:val="00C3263B"/>
    <w:rsid w:val="00C32808"/>
    <w:rsid w:val="00C33402"/>
    <w:rsid w:val="00C34156"/>
    <w:rsid w:val="00C3550E"/>
    <w:rsid w:val="00C36DA1"/>
    <w:rsid w:val="00C378B7"/>
    <w:rsid w:val="00C40662"/>
    <w:rsid w:val="00C43CC7"/>
    <w:rsid w:val="00C440E6"/>
    <w:rsid w:val="00C441E8"/>
    <w:rsid w:val="00C45003"/>
    <w:rsid w:val="00C45647"/>
    <w:rsid w:val="00C45C17"/>
    <w:rsid w:val="00C474EC"/>
    <w:rsid w:val="00C47A15"/>
    <w:rsid w:val="00C5428A"/>
    <w:rsid w:val="00C54749"/>
    <w:rsid w:val="00C54766"/>
    <w:rsid w:val="00C55810"/>
    <w:rsid w:val="00C55AAB"/>
    <w:rsid w:val="00C57285"/>
    <w:rsid w:val="00C57295"/>
    <w:rsid w:val="00C61212"/>
    <w:rsid w:val="00C6221D"/>
    <w:rsid w:val="00C65149"/>
    <w:rsid w:val="00C664C3"/>
    <w:rsid w:val="00C66783"/>
    <w:rsid w:val="00C70766"/>
    <w:rsid w:val="00C70C39"/>
    <w:rsid w:val="00C711D6"/>
    <w:rsid w:val="00C7166B"/>
    <w:rsid w:val="00C72325"/>
    <w:rsid w:val="00C74C58"/>
    <w:rsid w:val="00C76505"/>
    <w:rsid w:val="00C765F1"/>
    <w:rsid w:val="00C76A57"/>
    <w:rsid w:val="00C77854"/>
    <w:rsid w:val="00C77A6E"/>
    <w:rsid w:val="00C80676"/>
    <w:rsid w:val="00C80865"/>
    <w:rsid w:val="00C80A84"/>
    <w:rsid w:val="00C81044"/>
    <w:rsid w:val="00C821F9"/>
    <w:rsid w:val="00C82CC5"/>
    <w:rsid w:val="00C84697"/>
    <w:rsid w:val="00C84DF7"/>
    <w:rsid w:val="00C84F93"/>
    <w:rsid w:val="00C864DC"/>
    <w:rsid w:val="00C86A5B"/>
    <w:rsid w:val="00C878D5"/>
    <w:rsid w:val="00C879B4"/>
    <w:rsid w:val="00C87A67"/>
    <w:rsid w:val="00C9033B"/>
    <w:rsid w:val="00C90591"/>
    <w:rsid w:val="00C910D0"/>
    <w:rsid w:val="00C913A1"/>
    <w:rsid w:val="00C92067"/>
    <w:rsid w:val="00C92884"/>
    <w:rsid w:val="00C92D5F"/>
    <w:rsid w:val="00C92D60"/>
    <w:rsid w:val="00C92F18"/>
    <w:rsid w:val="00C94028"/>
    <w:rsid w:val="00C95309"/>
    <w:rsid w:val="00C956DD"/>
    <w:rsid w:val="00CA0034"/>
    <w:rsid w:val="00CA2A4F"/>
    <w:rsid w:val="00CA2AE8"/>
    <w:rsid w:val="00CA5EC7"/>
    <w:rsid w:val="00CA63FC"/>
    <w:rsid w:val="00CA7933"/>
    <w:rsid w:val="00CB085C"/>
    <w:rsid w:val="00CB64B8"/>
    <w:rsid w:val="00CB7460"/>
    <w:rsid w:val="00CC0C6E"/>
    <w:rsid w:val="00CC1071"/>
    <w:rsid w:val="00CC44B6"/>
    <w:rsid w:val="00CC4741"/>
    <w:rsid w:val="00CC4D97"/>
    <w:rsid w:val="00CC594B"/>
    <w:rsid w:val="00CC6A3D"/>
    <w:rsid w:val="00CC6A99"/>
    <w:rsid w:val="00CC7541"/>
    <w:rsid w:val="00CD0BCA"/>
    <w:rsid w:val="00CD2BD4"/>
    <w:rsid w:val="00CD48C5"/>
    <w:rsid w:val="00CD5A62"/>
    <w:rsid w:val="00CD6F79"/>
    <w:rsid w:val="00CD7038"/>
    <w:rsid w:val="00CD79EF"/>
    <w:rsid w:val="00CE14B0"/>
    <w:rsid w:val="00CE2087"/>
    <w:rsid w:val="00CE2384"/>
    <w:rsid w:val="00CE33D6"/>
    <w:rsid w:val="00CE37C9"/>
    <w:rsid w:val="00CE41D8"/>
    <w:rsid w:val="00CE47A5"/>
    <w:rsid w:val="00CE60D3"/>
    <w:rsid w:val="00CE6DFF"/>
    <w:rsid w:val="00CF0F7F"/>
    <w:rsid w:val="00CF2CDA"/>
    <w:rsid w:val="00CF3E1A"/>
    <w:rsid w:val="00CF6315"/>
    <w:rsid w:val="00CF69D4"/>
    <w:rsid w:val="00CF6F4A"/>
    <w:rsid w:val="00CF7017"/>
    <w:rsid w:val="00D00AA3"/>
    <w:rsid w:val="00D00B0B"/>
    <w:rsid w:val="00D01058"/>
    <w:rsid w:val="00D01CC1"/>
    <w:rsid w:val="00D02396"/>
    <w:rsid w:val="00D02979"/>
    <w:rsid w:val="00D029E2"/>
    <w:rsid w:val="00D033EB"/>
    <w:rsid w:val="00D0477E"/>
    <w:rsid w:val="00D0504E"/>
    <w:rsid w:val="00D05922"/>
    <w:rsid w:val="00D07F73"/>
    <w:rsid w:val="00D123B0"/>
    <w:rsid w:val="00D12623"/>
    <w:rsid w:val="00D14844"/>
    <w:rsid w:val="00D156AC"/>
    <w:rsid w:val="00D1604A"/>
    <w:rsid w:val="00D16123"/>
    <w:rsid w:val="00D16181"/>
    <w:rsid w:val="00D2041C"/>
    <w:rsid w:val="00D20E41"/>
    <w:rsid w:val="00D21437"/>
    <w:rsid w:val="00D24A2F"/>
    <w:rsid w:val="00D2517B"/>
    <w:rsid w:val="00D25ADE"/>
    <w:rsid w:val="00D26FBD"/>
    <w:rsid w:val="00D3184B"/>
    <w:rsid w:val="00D31B2B"/>
    <w:rsid w:val="00D31E31"/>
    <w:rsid w:val="00D35BFE"/>
    <w:rsid w:val="00D3600B"/>
    <w:rsid w:val="00D36B2B"/>
    <w:rsid w:val="00D36D23"/>
    <w:rsid w:val="00D371BA"/>
    <w:rsid w:val="00D37D9B"/>
    <w:rsid w:val="00D40121"/>
    <w:rsid w:val="00D40769"/>
    <w:rsid w:val="00D4099B"/>
    <w:rsid w:val="00D40CC0"/>
    <w:rsid w:val="00D40D05"/>
    <w:rsid w:val="00D42AA5"/>
    <w:rsid w:val="00D43297"/>
    <w:rsid w:val="00D4401A"/>
    <w:rsid w:val="00D449D6"/>
    <w:rsid w:val="00D44DB6"/>
    <w:rsid w:val="00D44E09"/>
    <w:rsid w:val="00D45E3E"/>
    <w:rsid w:val="00D468B4"/>
    <w:rsid w:val="00D469A7"/>
    <w:rsid w:val="00D50119"/>
    <w:rsid w:val="00D504D9"/>
    <w:rsid w:val="00D50578"/>
    <w:rsid w:val="00D51A5E"/>
    <w:rsid w:val="00D520B5"/>
    <w:rsid w:val="00D52A5B"/>
    <w:rsid w:val="00D52E7D"/>
    <w:rsid w:val="00D52E9D"/>
    <w:rsid w:val="00D55A66"/>
    <w:rsid w:val="00D56516"/>
    <w:rsid w:val="00D566B5"/>
    <w:rsid w:val="00D573A1"/>
    <w:rsid w:val="00D579EB"/>
    <w:rsid w:val="00D60476"/>
    <w:rsid w:val="00D605DB"/>
    <w:rsid w:val="00D60C7B"/>
    <w:rsid w:val="00D63D80"/>
    <w:rsid w:val="00D641FE"/>
    <w:rsid w:val="00D644AC"/>
    <w:rsid w:val="00D64A9B"/>
    <w:rsid w:val="00D655E1"/>
    <w:rsid w:val="00D66F00"/>
    <w:rsid w:val="00D67915"/>
    <w:rsid w:val="00D67B59"/>
    <w:rsid w:val="00D70465"/>
    <w:rsid w:val="00D70BEB"/>
    <w:rsid w:val="00D70DCE"/>
    <w:rsid w:val="00D720CD"/>
    <w:rsid w:val="00D72555"/>
    <w:rsid w:val="00D737A5"/>
    <w:rsid w:val="00D760EA"/>
    <w:rsid w:val="00D764F6"/>
    <w:rsid w:val="00D766FC"/>
    <w:rsid w:val="00D76848"/>
    <w:rsid w:val="00D77598"/>
    <w:rsid w:val="00D80225"/>
    <w:rsid w:val="00D803CF"/>
    <w:rsid w:val="00D80839"/>
    <w:rsid w:val="00D81A32"/>
    <w:rsid w:val="00D81AD0"/>
    <w:rsid w:val="00D82A43"/>
    <w:rsid w:val="00D82C00"/>
    <w:rsid w:val="00D84B16"/>
    <w:rsid w:val="00D84E2B"/>
    <w:rsid w:val="00D84F2E"/>
    <w:rsid w:val="00D8571C"/>
    <w:rsid w:val="00D86806"/>
    <w:rsid w:val="00D874CC"/>
    <w:rsid w:val="00D916F9"/>
    <w:rsid w:val="00D91754"/>
    <w:rsid w:val="00D91883"/>
    <w:rsid w:val="00D92751"/>
    <w:rsid w:val="00D928F8"/>
    <w:rsid w:val="00D92F60"/>
    <w:rsid w:val="00D93FE0"/>
    <w:rsid w:val="00D957C2"/>
    <w:rsid w:val="00D96222"/>
    <w:rsid w:val="00D97251"/>
    <w:rsid w:val="00D979F0"/>
    <w:rsid w:val="00DA2D70"/>
    <w:rsid w:val="00DA2D83"/>
    <w:rsid w:val="00DA4446"/>
    <w:rsid w:val="00DA5328"/>
    <w:rsid w:val="00DA6C74"/>
    <w:rsid w:val="00DA795A"/>
    <w:rsid w:val="00DA7B5D"/>
    <w:rsid w:val="00DB1E1A"/>
    <w:rsid w:val="00DB34BD"/>
    <w:rsid w:val="00DB366C"/>
    <w:rsid w:val="00DB3940"/>
    <w:rsid w:val="00DB3C68"/>
    <w:rsid w:val="00DB4A8E"/>
    <w:rsid w:val="00DB6CA2"/>
    <w:rsid w:val="00DC2F3A"/>
    <w:rsid w:val="00DC3A8D"/>
    <w:rsid w:val="00DC40EC"/>
    <w:rsid w:val="00DC5F05"/>
    <w:rsid w:val="00DD0E45"/>
    <w:rsid w:val="00DD3336"/>
    <w:rsid w:val="00DD3423"/>
    <w:rsid w:val="00DD5D30"/>
    <w:rsid w:val="00DD679D"/>
    <w:rsid w:val="00DD7B1A"/>
    <w:rsid w:val="00DE1B51"/>
    <w:rsid w:val="00DE2DBA"/>
    <w:rsid w:val="00DE6111"/>
    <w:rsid w:val="00DE6CBE"/>
    <w:rsid w:val="00DE75AA"/>
    <w:rsid w:val="00DF15DC"/>
    <w:rsid w:val="00DF1FF7"/>
    <w:rsid w:val="00DF23DF"/>
    <w:rsid w:val="00DF2998"/>
    <w:rsid w:val="00DF3D15"/>
    <w:rsid w:val="00DF58E7"/>
    <w:rsid w:val="00DF5F6D"/>
    <w:rsid w:val="00DF66C5"/>
    <w:rsid w:val="00DF6A08"/>
    <w:rsid w:val="00DF7140"/>
    <w:rsid w:val="00DF72FD"/>
    <w:rsid w:val="00DF7541"/>
    <w:rsid w:val="00E00130"/>
    <w:rsid w:val="00E005E9"/>
    <w:rsid w:val="00E006A7"/>
    <w:rsid w:val="00E018FE"/>
    <w:rsid w:val="00E02AAE"/>
    <w:rsid w:val="00E02FEF"/>
    <w:rsid w:val="00E04F01"/>
    <w:rsid w:val="00E06F4A"/>
    <w:rsid w:val="00E102DE"/>
    <w:rsid w:val="00E11876"/>
    <w:rsid w:val="00E11DBF"/>
    <w:rsid w:val="00E1367B"/>
    <w:rsid w:val="00E14476"/>
    <w:rsid w:val="00E15514"/>
    <w:rsid w:val="00E1562A"/>
    <w:rsid w:val="00E15802"/>
    <w:rsid w:val="00E20858"/>
    <w:rsid w:val="00E20A78"/>
    <w:rsid w:val="00E23CBB"/>
    <w:rsid w:val="00E24113"/>
    <w:rsid w:val="00E258A3"/>
    <w:rsid w:val="00E30DB6"/>
    <w:rsid w:val="00E30ECB"/>
    <w:rsid w:val="00E332CA"/>
    <w:rsid w:val="00E3395D"/>
    <w:rsid w:val="00E34A25"/>
    <w:rsid w:val="00E356DA"/>
    <w:rsid w:val="00E37B59"/>
    <w:rsid w:val="00E37D77"/>
    <w:rsid w:val="00E42A2B"/>
    <w:rsid w:val="00E43987"/>
    <w:rsid w:val="00E43DF2"/>
    <w:rsid w:val="00E43FEC"/>
    <w:rsid w:val="00E444A1"/>
    <w:rsid w:val="00E45000"/>
    <w:rsid w:val="00E45FDD"/>
    <w:rsid w:val="00E46087"/>
    <w:rsid w:val="00E471FA"/>
    <w:rsid w:val="00E47FF5"/>
    <w:rsid w:val="00E5038F"/>
    <w:rsid w:val="00E505AB"/>
    <w:rsid w:val="00E510E7"/>
    <w:rsid w:val="00E53438"/>
    <w:rsid w:val="00E53667"/>
    <w:rsid w:val="00E53E15"/>
    <w:rsid w:val="00E54C7E"/>
    <w:rsid w:val="00E5705D"/>
    <w:rsid w:val="00E60663"/>
    <w:rsid w:val="00E6084D"/>
    <w:rsid w:val="00E608EF"/>
    <w:rsid w:val="00E61910"/>
    <w:rsid w:val="00E619BA"/>
    <w:rsid w:val="00E6323B"/>
    <w:rsid w:val="00E63921"/>
    <w:rsid w:val="00E63B7C"/>
    <w:rsid w:val="00E64A04"/>
    <w:rsid w:val="00E65512"/>
    <w:rsid w:val="00E65CF2"/>
    <w:rsid w:val="00E67540"/>
    <w:rsid w:val="00E725FC"/>
    <w:rsid w:val="00E74BB1"/>
    <w:rsid w:val="00E753D0"/>
    <w:rsid w:val="00E75550"/>
    <w:rsid w:val="00E77A7E"/>
    <w:rsid w:val="00E80CD1"/>
    <w:rsid w:val="00E81CA8"/>
    <w:rsid w:val="00E81E01"/>
    <w:rsid w:val="00E81F33"/>
    <w:rsid w:val="00E823ED"/>
    <w:rsid w:val="00E82A91"/>
    <w:rsid w:val="00E82ABA"/>
    <w:rsid w:val="00E83B88"/>
    <w:rsid w:val="00E8484A"/>
    <w:rsid w:val="00E84917"/>
    <w:rsid w:val="00E84E95"/>
    <w:rsid w:val="00E905F4"/>
    <w:rsid w:val="00E908A8"/>
    <w:rsid w:val="00E91A23"/>
    <w:rsid w:val="00E91F5B"/>
    <w:rsid w:val="00E92BBF"/>
    <w:rsid w:val="00E92E05"/>
    <w:rsid w:val="00E93281"/>
    <w:rsid w:val="00E94A64"/>
    <w:rsid w:val="00E95326"/>
    <w:rsid w:val="00E95463"/>
    <w:rsid w:val="00E95CF3"/>
    <w:rsid w:val="00E96D0D"/>
    <w:rsid w:val="00E96EBB"/>
    <w:rsid w:val="00E97745"/>
    <w:rsid w:val="00EA10C7"/>
    <w:rsid w:val="00EA25D5"/>
    <w:rsid w:val="00EA2B08"/>
    <w:rsid w:val="00EA36C6"/>
    <w:rsid w:val="00EA5718"/>
    <w:rsid w:val="00EA5DC7"/>
    <w:rsid w:val="00EA63C7"/>
    <w:rsid w:val="00EA6636"/>
    <w:rsid w:val="00EA6675"/>
    <w:rsid w:val="00EA6AAD"/>
    <w:rsid w:val="00EA7F70"/>
    <w:rsid w:val="00EB1419"/>
    <w:rsid w:val="00EB18C3"/>
    <w:rsid w:val="00EB1EB3"/>
    <w:rsid w:val="00EB2ABC"/>
    <w:rsid w:val="00EB36FB"/>
    <w:rsid w:val="00EB3767"/>
    <w:rsid w:val="00EB3D94"/>
    <w:rsid w:val="00EB3E92"/>
    <w:rsid w:val="00EB61CB"/>
    <w:rsid w:val="00EB67A0"/>
    <w:rsid w:val="00EB7723"/>
    <w:rsid w:val="00EB7873"/>
    <w:rsid w:val="00EC195D"/>
    <w:rsid w:val="00EC2539"/>
    <w:rsid w:val="00EC30F9"/>
    <w:rsid w:val="00EC3FE3"/>
    <w:rsid w:val="00EC56FC"/>
    <w:rsid w:val="00EC5AF5"/>
    <w:rsid w:val="00EC6765"/>
    <w:rsid w:val="00EC6892"/>
    <w:rsid w:val="00EC6945"/>
    <w:rsid w:val="00EC6B9C"/>
    <w:rsid w:val="00EC75BC"/>
    <w:rsid w:val="00ED1D85"/>
    <w:rsid w:val="00ED2093"/>
    <w:rsid w:val="00ED43B7"/>
    <w:rsid w:val="00ED5374"/>
    <w:rsid w:val="00ED5725"/>
    <w:rsid w:val="00ED624F"/>
    <w:rsid w:val="00ED7031"/>
    <w:rsid w:val="00EE082B"/>
    <w:rsid w:val="00EE120C"/>
    <w:rsid w:val="00EE1349"/>
    <w:rsid w:val="00EE200D"/>
    <w:rsid w:val="00EE27AE"/>
    <w:rsid w:val="00EE3060"/>
    <w:rsid w:val="00EE35DE"/>
    <w:rsid w:val="00EE3D7F"/>
    <w:rsid w:val="00EE4315"/>
    <w:rsid w:val="00EE47B2"/>
    <w:rsid w:val="00EE59E2"/>
    <w:rsid w:val="00EE67E2"/>
    <w:rsid w:val="00EE75FB"/>
    <w:rsid w:val="00EF0B3A"/>
    <w:rsid w:val="00EF1733"/>
    <w:rsid w:val="00EF1AD1"/>
    <w:rsid w:val="00EF2C77"/>
    <w:rsid w:val="00EF339C"/>
    <w:rsid w:val="00EF3558"/>
    <w:rsid w:val="00EF5C45"/>
    <w:rsid w:val="00EF6267"/>
    <w:rsid w:val="00EF6925"/>
    <w:rsid w:val="00EF7197"/>
    <w:rsid w:val="00EF74BA"/>
    <w:rsid w:val="00EF760F"/>
    <w:rsid w:val="00F02D0C"/>
    <w:rsid w:val="00F03A9D"/>
    <w:rsid w:val="00F06858"/>
    <w:rsid w:val="00F06ACA"/>
    <w:rsid w:val="00F06ADF"/>
    <w:rsid w:val="00F1090A"/>
    <w:rsid w:val="00F10CF1"/>
    <w:rsid w:val="00F10F7D"/>
    <w:rsid w:val="00F116B9"/>
    <w:rsid w:val="00F11B4A"/>
    <w:rsid w:val="00F1212E"/>
    <w:rsid w:val="00F134D8"/>
    <w:rsid w:val="00F1433E"/>
    <w:rsid w:val="00F145B7"/>
    <w:rsid w:val="00F146C5"/>
    <w:rsid w:val="00F14B43"/>
    <w:rsid w:val="00F16116"/>
    <w:rsid w:val="00F1665C"/>
    <w:rsid w:val="00F20E57"/>
    <w:rsid w:val="00F21960"/>
    <w:rsid w:val="00F21E5C"/>
    <w:rsid w:val="00F235A0"/>
    <w:rsid w:val="00F249DC"/>
    <w:rsid w:val="00F25580"/>
    <w:rsid w:val="00F25E62"/>
    <w:rsid w:val="00F26ED3"/>
    <w:rsid w:val="00F30CBD"/>
    <w:rsid w:val="00F313CA"/>
    <w:rsid w:val="00F3255A"/>
    <w:rsid w:val="00F326C7"/>
    <w:rsid w:val="00F32A4C"/>
    <w:rsid w:val="00F32AED"/>
    <w:rsid w:val="00F344CA"/>
    <w:rsid w:val="00F34CBE"/>
    <w:rsid w:val="00F35234"/>
    <w:rsid w:val="00F35CF7"/>
    <w:rsid w:val="00F35D26"/>
    <w:rsid w:val="00F35F4C"/>
    <w:rsid w:val="00F3664F"/>
    <w:rsid w:val="00F36B1E"/>
    <w:rsid w:val="00F408A5"/>
    <w:rsid w:val="00F41AC8"/>
    <w:rsid w:val="00F420B6"/>
    <w:rsid w:val="00F42922"/>
    <w:rsid w:val="00F42E3D"/>
    <w:rsid w:val="00F44EEC"/>
    <w:rsid w:val="00F51A61"/>
    <w:rsid w:val="00F51D8C"/>
    <w:rsid w:val="00F52A90"/>
    <w:rsid w:val="00F5583E"/>
    <w:rsid w:val="00F559FA"/>
    <w:rsid w:val="00F55B9A"/>
    <w:rsid w:val="00F56114"/>
    <w:rsid w:val="00F568E7"/>
    <w:rsid w:val="00F6165B"/>
    <w:rsid w:val="00F61661"/>
    <w:rsid w:val="00F617B5"/>
    <w:rsid w:val="00F62B7A"/>
    <w:rsid w:val="00F6397D"/>
    <w:rsid w:val="00F64A30"/>
    <w:rsid w:val="00F64D3E"/>
    <w:rsid w:val="00F65541"/>
    <w:rsid w:val="00F67030"/>
    <w:rsid w:val="00F7137C"/>
    <w:rsid w:val="00F714E6"/>
    <w:rsid w:val="00F72001"/>
    <w:rsid w:val="00F720FE"/>
    <w:rsid w:val="00F725BD"/>
    <w:rsid w:val="00F72623"/>
    <w:rsid w:val="00F7293E"/>
    <w:rsid w:val="00F73D9C"/>
    <w:rsid w:val="00F74627"/>
    <w:rsid w:val="00F74796"/>
    <w:rsid w:val="00F7541A"/>
    <w:rsid w:val="00F7565E"/>
    <w:rsid w:val="00F75D47"/>
    <w:rsid w:val="00F76650"/>
    <w:rsid w:val="00F77FB7"/>
    <w:rsid w:val="00F81E73"/>
    <w:rsid w:val="00F82022"/>
    <w:rsid w:val="00F84D53"/>
    <w:rsid w:val="00F85B13"/>
    <w:rsid w:val="00F8648F"/>
    <w:rsid w:val="00F86518"/>
    <w:rsid w:val="00F87FFE"/>
    <w:rsid w:val="00F9045B"/>
    <w:rsid w:val="00F90EA5"/>
    <w:rsid w:val="00F9187B"/>
    <w:rsid w:val="00F918A1"/>
    <w:rsid w:val="00F92051"/>
    <w:rsid w:val="00F92385"/>
    <w:rsid w:val="00F924FB"/>
    <w:rsid w:val="00F92D2D"/>
    <w:rsid w:val="00F93778"/>
    <w:rsid w:val="00F949C0"/>
    <w:rsid w:val="00F94FF1"/>
    <w:rsid w:val="00F95033"/>
    <w:rsid w:val="00F961A0"/>
    <w:rsid w:val="00F968E0"/>
    <w:rsid w:val="00F969BD"/>
    <w:rsid w:val="00FA0B2D"/>
    <w:rsid w:val="00FA1B4F"/>
    <w:rsid w:val="00FA288F"/>
    <w:rsid w:val="00FA29C4"/>
    <w:rsid w:val="00FA3E73"/>
    <w:rsid w:val="00FA5FA5"/>
    <w:rsid w:val="00FA6301"/>
    <w:rsid w:val="00FA6546"/>
    <w:rsid w:val="00FA6EC9"/>
    <w:rsid w:val="00FA7DAA"/>
    <w:rsid w:val="00FB1317"/>
    <w:rsid w:val="00FB2AF7"/>
    <w:rsid w:val="00FB350C"/>
    <w:rsid w:val="00FB4D03"/>
    <w:rsid w:val="00FB504A"/>
    <w:rsid w:val="00FB624F"/>
    <w:rsid w:val="00FB6A06"/>
    <w:rsid w:val="00FB7ADD"/>
    <w:rsid w:val="00FC00E3"/>
    <w:rsid w:val="00FC02E9"/>
    <w:rsid w:val="00FC13C8"/>
    <w:rsid w:val="00FC259D"/>
    <w:rsid w:val="00FC311A"/>
    <w:rsid w:val="00FC39E6"/>
    <w:rsid w:val="00FC47F9"/>
    <w:rsid w:val="00FD0434"/>
    <w:rsid w:val="00FD151C"/>
    <w:rsid w:val="00FD6DA8"/>
    <w:rsid w:val="00FD7B5C"/>
    <w:rsid w:val="00FE1139"/>
    <w:rsid w:val="00FE13A9"/>
    <w:rsid w:val="00FE2351"/>
    <w:rsid w:val="00FE2F01"/>
    <w:rsid w:val="00FE337D"/>
    <w:rsid w:val="00FE3DFC"/>
    <w:rsid w:val="00FE4877"/>
    <w:rsid w:val="00FE5580"/>
    <w:rsid w:val="00FE5DA1"/>
    <w:rsid w:val="00FE61E5"/>
    <w:rsid w:val="00FE63AA"/>
    <w:rsid w:val="00FE7C35"/>
    <w:rsid w:val="00FF0ADE"/>
    <w:rsid w:val="00FF110C"/>
    <w:rsid w:val="00FF14E1"/>
    <w:rsid w:val="00FF15F1"/>
    <w:rsid w:val="00FF1894"/>
    <w:rsid w:val="00FF1F90"/>
    <w:rsid w:val="00FF2AB8"/>
    <w:rsid w:val="00FF2CF3"/>
    <w:rsid w:val="00FF39CE"/>
    <w:rsid w:val="00FF5261"/>
    <w:rsid w:val="00FF682C"/>
    <w:rsid w:val="01054C14"/>
    <w:rsid w:val="0159EBCD"/>
    <w:rsid w:val="021E3D17"/>
    <w:rsid w:val="02B9FF24"/>
    <w:rsid w:val="0364EC91"/>
    <w:rsid w:val="0434B5EF"/>
    <w:rsid w:val="046C7CF0"/>
    <w:rsid w:val="04BFA376"/>
    <w:rsid w:val="055B5263"/>
    <w:rsid w:val="05718A23"/>
    <w:rsid w:val="08A14EC1"/>
    <w:rsid w:val="08DA8FB0"/>
    <w:rsid w:val="08E1DFB8"/>
    <w:rsid w:val="09667A80"/>
    <w:rsid w:val="0970565B"/>
    <w:rsid w:val="099BAB96"/>
    <w:rsid w:val="0A3022CD"/>
    <w:rsid w:val="0B4D387F"/>
    <w:rsid w:val="0B5401F0"/>
    <w:rsid w:val="0C12EAA8"/>
    <w:rsid w:val="0C2FDCC4"/>
    <w:rsid w:val="0CA5B204"/>
    <w:rsid w:val="0DDEEC5A"/>
    <w:rsid w:val="0E18F639"/>
    <w:rsid w:val="0F2BCE4F"/>
    <w:rsid w:val="0F46C419"/>
    <w:rsid w:val="1080A206"/>
    <w:rsid w:val="1154C818"/>
    <w:rsid w:val="12BC4B9C"/>
    <w:rsid w:val="1360585B"/>
    <w:rsid w:val="138D25FD"/>
    <w:rsid w:val="1398537C"/>
    <w:rsid w:val="139AEE13"/>
    <w:rsid w:val="13C4FE8B"/>
    <w:rsid w:val="13DF11FC"/>
    <w:rsid w:val="13E5B340"/>
    <w:rsid w:val="13F1E843"/>
    <w:rsid w:val="14AB56CF"/>
    <w:rsid w:val="15175DF0"/>
    <w:rsid w:val="156640CB"/>
    <w:rsid w:val="164A1D9F"/>
    <w:rsid w:val="16E14906"/>
    <w:rsid w:val="1744FB10"/>
    <w:rsid w:val="184C8E75"/>
    <w:rsid w:val="18AD76AB"/>
    <w:rsid w:val="192C4512"/>
    <w:rsid w:val="1A0889A7"/>
    <w:rsid w:val="1A3849A5"/>
    <w:rsid w:val="1AD3DBB0"/>
    <w:rsid w:val="1BC292C6"/>
    <w:rsid w:val="1C075F2E"/>
    <w:rsid w:val="1D9942AB"/>
    <w:rsid w:val="1DA33B7D"/>
    <w:rsid w:val="1E0D4BBC"/>
    <w:rsid w:val="1E57B4FB"/>
    <w:rsid w:val="1EE16FAF"/>
    <w:rsid w:val="1EE721C6"/>
    <w:rsid w:val="1F268058"/>
    <w:rsid w:val="1F2BB64B"/>
    <w:rsid w:val="1F60D56B"/>
    <w:rsid w:val="1F9D2744"/>
    <w:rsid w:val="1FAE44AE"/>
    <w:rsid w:val="1FCE9042"/>
    <w:rsid w:val="20866ED0"/>
    <w:rsid w:val="2111D2DE"/>
    <w:rsid w:val="2140944E"/>
    <w:rsid w:val="217D8DEF"/>
    <w:rsid w:val="2302EDCD"/>
    <w:rsid w:val="2458F0F4"/>
    <w:rsid w:val="24B1ED9D"/>
    <w:rsid w:val="24D57CB0"/>
    <w:rsid w:val="2517498F"/>
    <w:rsid w:val="26BE12F6"/>
    <w:rsid w:val="283E3B7B"/>
    <w:rsid w:val="28E8D23D"/>
    <w:rsid w:val="2975D0FA"/>
    <w:rsid w:val="29A5EF36"/>
    <w:rsid w:val="2A76B06C"/>
    <w:rsid w:val="2AB2EB43"/>
    <w:rsid w:val="2BD4BB98"/>
    <w:rsid w:val="2C423217"/>
    <w:rsid w:val="2D9D8F07"/>
    <w:rsid w:val="2DC12D20"/>
    <w:rsid w:val="2DDC6672"/>
    <w:rsid w:val="2E5D7382"/>
    <w:rsid w:val="2E8FDDAC"/>
    <w:rsid w:val="2FB42700"/>
    <w:rsid w:val="30C01F93"/>
    <w:rsid w:val="30D6ACED"/>
    <w:rsid w:val="316DD4CF"/>
    <w:rsid w:val="31F13157"/>
    <w:rsid w:val="33657F43"/>
    <w:rsid w:val="33A77E59"/>
    <w:rsid w:val="3445861F"/>
    <w:rsid w:val="34CC733C"/>
    <w:rsid w:val="35B33DCE"/>
    <w:rsid w:val="3600316B"/>
    <w:rsid w:val="36DF84CF"/>
    <w:rsid w:val="381E49F0"/>
    <w:rsid w:val="38AFF83A"/>
    <w:rsid w:val="3918F29F"/>
    <w:rsid w:val="3960FED3"/>
    <w:rsid w:val="3994F40C"/>
    <w:rsid w:val="3998B52E"/>
    <w:rsid w:val="3B15AC78"/>
    <w:rsid w:val="3BBC86DA"/>
    <w:rsid w:val="3C49285C"/>
    <w:rsid w:val="3D864D45"/>
    <w:rsid w:val="3DB577B6"/>
    <w:rsid w:val="3DDA86B2"/>
    <w:rsid w:val="3DFA8AEE"/>
    <w:rsid w:val="3F2BB611"/>
    <w:rsid w:val="3F2D984C"/>
    <w:rsid w:val="3FC16133"/>
    <w:rsid w:val="409A4B1E"/>
    <w:rsid w:val="40A126C4"/>
    <w:rsid w:val="40BA8FFA"/>
    <w:rsid w:val="40DE3AD5"/>
    <w:rsid w:val="40E47429"/>
    <w:rsid w:val="40EAAE0C"/>
    <w:rsid w:val="41C70BCE"/>
    <w:rsid w:val="423F5976"/>
    <w:rsid w:val="42EE9CD1"/>
    <w:rsid w:val="42F3C662"/>
    <w:rsid w:val="42F7DB9A"/>
    <w:rsid w:val="4301AECE"/>
    <w:rsid w:val="43A640A0"/>
    <w:rsid w:val="447859EB"/>
    <w:rsid w:val="450CF4FC"/>
    <w:rsid w:val="453A6A1C"/>
    <w:rsid w:val="4542B547"/>
    <w:rsid w:val="462E4417"/>
    <w:rsid w:val="46737480"/>
    <w:rsid w:val="46A7E850"/>
    <w:rsid w:val="46C8DC0F"/>
    <w:rsid w:val="47061F6A"/>
    <w:rsid w:val="47361D65"/>
    <w:rsid w:val="47455472"/>
    <w:rsid w:val="47B2FB3A"/>
    <w:rsid w:val="47F277E0"/>
    <w:rsid w:val="480627C0"/>
    <w:rsid w:val="48678D7C"/>
    <w:rsid w:val="48690175"/>
    <w:rsid w:val="48F49ADF"/>
    <w:rsid w:val="4946F46B"/>
    <w:rsid w:val="49E6783F"/>
    <w:rsid w:val="4A03BF37"/>
    <w:rsid w:val="4A9FF9DE"/>
    <w:rsid w:val="4AF678E7"/>
    <w:rsid w:val="4B6DBF66"/>
    <w:rsid w:val="4B9E40A8"/>
    <w:rsid w:val="4BB9C808"/>
    <w:rsid w:val="4BD0CE96"/>
    <w:rsid w:val="4BEE841B"/>
    <w:rsid w:val="4CC1975F"/>
    <w:rsid w:val="4CE35508"/>
    <w:rsid w:val="4DD04FED"/>
    <w:rsid w:val="4EC4D9E7"/>
    <w:rsid w:val="4FF6656E"/>
    <w:rsid w:val="5066F29B"/>
    <w:rsid w:val="5078719F"/>
    <w:rsid w:val="50E736F6"/>
    <w:rsid w:val="50EFC7D1"/>
    <w:rsid w:val="5121E227"/>
    <w:rsid w:val="516E8A24"/>
    <w:rsid w:val="51D1DC86"/>
    <w:rsid w:val="521CFAD8"/>
    <w:rsid w:val="524AFC7F"/>
    <w:rsid w:val="5299BC2E"/>
    <w:rsid w:val="53DF3483"/>
    <w:rsid w:val="53E8B74B"/>
    <w:rsid w:val="54E6115E"/>
    <w:rsid w:val="55238A14"/>
    <w:rsid w:val="56386793"/>
    <w:rsid w:val="5688D4CA"/>
    <w:rsid w:val="56EB5B52"/>
    <w:rsid w:val="5730A06E"/>
    <w:rsid w:val="58E4A768"/>
    <w:rsid w:val="5961CADF"/>
    <w:rsid w:val="5987CBD4"/>
    <w:rsid w:val="59C20C0E"/>
    <w:rsid w:val="5A7B7C5D"/>
    <w:rsid w:val="5AA1AFC7"/>
    <w:rsid w:val="5ABCC6BE"/>
    <w:rsid w:val="5C075FEA"/>
    <w:rsid w:val="5CA9B2F2"/>
    <w:rsid w:val="5CC72D9B"/>
    <w:rsid w:val="5CEC5AD5"/>
    <w:rsid w:val="5D0CE604"/>
    <w:rsid w:val="5D524A94"/>
    <w:rsid w:val="5E8FF0C6"/>
    <w:rsid w:val="5E9CF68B"/>
    <w:rsid w:val="5F970390"/>
    <w:rsid w:val="60764E0C"/>
    <w:rsid w:val="60787478"/>
    <w:rsid w:val="60C11472"/>
    <w:rsid w:val="60D10E08"/>
    <w:rsid w:val="6109B9A4"/>
    <w:rsid w:val="61747617"/>
    <w:rsid w:val="62A4AB99"/>
    <w:rsid w:val="631D4BF5"/>
    <w:rsid w:val="636E2C06"/>
    <w:rsid w:val="63894237"/>
    <w:rsid w:val="63EAE6CD"/>
    <w:rsid w:val="6429C6B3"/>
    <w:rsid w:val="65A001CA"/>
    <w:rsid w:val="65FCE7BB"/>
    <w:rsid w:val="66243B2E"/>
    <w:rsid w:val="662B6623"/>
    <w:rsid w:val="66A541ED"/>
    <w:rsid w:val="66EBC7C6"/>
    <w:rsid w:val="6711247A"/>
    <w:rsid w:val="6814624F"/>
    <w:rsid w:val="6827F6BC"/>
    <w:rsid w:val="687ABDD7"/>
    <w:rsid w:val="688D25D1"/>
    <w:rsid w:val="68C22793"/>
    <w:rsid w:val="68C66BB8"/>
    <w:rsid w:val="6947157E"/>
    <w:rsid w:val="69485183"/>
    <w:rsid w:val="6971888A"/>
    <w:rsid w:val="6990976A"/>
    <w:rsid w:val="6996ADD2"/>
    <w:rsid w:val="6996C828"/>
    <w:rsid w:val="69EFA6D3"/>
    <w:rsid w:val="6B12E146"/>
    <w:rsid w:val="6D042623"/>
    <w:rsid w:val="6D4B3FD5"/>
    <w:rsid w:val="6DD290D3"/>
    <w:rsid w:val="6E3EBCD3"/>
    <w:rsid w:val="6E4120A5"/>
    <w:rsid w:val="6E6B15A4"/>
    <w:rsid w:val="6F2EC98E"/>
    <w:rsid w:val="6F5C5122"/>
    <w:rsid w:val="6FCBCB0B"/>
    <w:rsid w:val="6FFB6AF8"/>
    <w:rsid w:val="70256A81"/>
    <w:rsid w:val="70C799BA"/>
    <w:rsid w:val="7142C13F"/>
    <w:rsid w:val="7241AA7B"/>
    <w:rsid w:val="73CA169D"/>
    <w:rsid w:val="7450AB57"/>
    <w:rsid w:val="7557B9D2"/>
    <w:rsid w:val="7583250C"/>
    <w:rsid w:val="764574FA"/>
    <w:rsid w:val="76DCA5DF"/>
    <w:rsid w:val="7805BF12"/>
    <w:rsid w:val="7809A6B1"/>
    <w:rsid w:val="78677250"/>
    <w:rsid w:val="78E23715"/>
    <w:rsid w:val="79F9BB03"/>
    <w:rsid w:val="7C1EC476"/>
    <w:rsid w:val="7C3ACD2B"/>
    <w:rsid w:val="7DAE438B"/>
    <w:rsid w:val="7F18EBA0"/>
    <w:rsid w:val="7F56FAC3"/>
    <w:rsid w:val="7F6C5618"/>
    <w:rsid w:val="7FE0D1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B105BC"/>
  <w15:chartTrackingRefBased/>
  <w15:docId w15:val="{BA05B131-B010-49B3-9352-1F75A0555D2D}"/>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4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1AFE"/>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9"/>
    <w:qFormat/>
    <w:rsid w:val="0072528A"/>
    <w:pPr>
      <w:numPr>
        <w:numId w:val="8"/>
      </w:numPr>
      <w:ind w:right="2160"/>
    </w:pPr>
    <w:rPr>
      <w:rFonts w:eastAsiaTheme="majorEastAsia" w:cstheme="majorBidi"/>
      <w:szCs w:val="32"/>
    </w:rPr>
  </w:style>
  <w:style w:type="paragraph" w:styleId="Heading2">
    <w:name w:val="heading 2"/>
    <w:basedOn w:val="Dummy"/>
    <w:next w:val="Standard"/>
    <w:link w:val="Heading2Char"/>
    <w:uiPriority w:val="9"/>
    <w:qFormat/>
    <w:rsid w:val="0072528A"/>
    <w:pPr>
      <w:numPr>
        <w:ilvl w:val="1"/>
        <w:numId w:val="8"/>
      </w:numPr>
      <w:ind w:right="2160"/>
      <w:outlineLvl w:val="1"/>
    </w:pPr>
  </w:style>
  <w:style w:type="paragraph" w:styleId="Heading3">
    <w:name w:val="heading 3"/>
    <w:basedOn w:val="Dummy"/>
    <w:next w:val="Standard"/>
    <w:link w:val="Heading3Char"/>
    <w:uiPriority w:val="4"/>
    <w:qFormat/>
    <w:rsid w:val="000E270A"/>
    <w:pPr>
      <w:numPr>
        <w:ilvl w:val="2"/>
        <w:numId w:val="14"/>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14"/>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14"/>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14"/>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eadings">
    <w:name w:val="Headings"/>
    <w:uiPriority w:val="99"/>
    <w:rsid w:val="000E270A"/>
    <w:pPr>
      <w:numPr>
        <w:numId w:val="5"/>
      </w:numPr>
    </w:pPr>
  </w:style>
  <w:style w:type="paragraph" w:customStyle="1" w:styleId="Standard">
    <w:name w:val="Standard"/>
    <w:basedOn w:val="Normal"/>
    <w:qFormat/>
    <w:rsid w:val="007A406D"/>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BodyTextChar">
    <w:name w:val="Body Text Char"/>
    <w:basedOn w:val="DefaultParagraphFont"/>
    <w:link w:val="BodyText"/>
    <w:uiPriority w:val="1"/>
    <w:rsid w:val="00C21069"/>
    <w:rPr>
      <w:rFonts w:ascii="Book Antiqua" w:eastAsia="Book Antiqua" w:hAnsi="Book Antiqua" w:cs="Book Antiqua"/>
      <w:sz w:val="26"/>
      <w:szCs w:val="26"/>
    </w:r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customStyle="1" w:styleId="SigBlockBA-Cmr">
    <w:name w:val="SigBlockBA-Cmr"/>
    <w:basedOn w:val="Normal"/>
    <w:qFormat/>
    <w:rsid w:val="003E5AEF"/>
    <w:pPr>
      <w:keepNext/>
      <w:autoSpaceDE w:val="0"/>
      <w:autoSpaceDN w:val="0"/>
      <w:adjustRightInd w:val="0"/>
      <w:spacing w:line="240" w:lineRule="auto"/>
      <w:ind w:left="4320" w:firstLine="0"/>
      <w:jc w:val="both"/>
    </w:pPr>
    <w:rPr>
      <w:rFonts w:eastAsia="Times New Roman" w:cs="Times New Roman"/>
      <w:szCs w:val="20"/>
    </w:rPr>
  </w:style>
  <w:style w:type="character" w:styleId="Hyperlink">
    <w:name w:val="Hyperlink"/>
    <w:basedOn w:val="DefaultParagraphFont"/>
    <w:uiPriority w:val="99"/>
    <w:rsid w:val="00D82A43"/>
    <w:rPr>
      <w:color w:val="0563C1" w:themeColor="hyperlink"/>
      <w:u w:val="single"/>
    </w:rPr>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2528A"/>
    <w:rPr>
      <w:rFonts w:ascii="Arial" w:eastAsiaTheme="majorEastAsia" w:hAnsi="Arial" w:cstheme="majorBidi"/>
      <w:b/>
      <w:sz w:val="26"/>
      <w:szCs w:val="32"/>
    </w:rPr>
  </w:style>
  <w:style w:type="paragraph" w:styleId="Title">
    <w:name w:val="Title"/>
    <w:basedOn w:val="Dummy"/>
    <w:next w:val="Normal"/>
    <w:link w:val="TitleChar"/>
    <w:uiPriority w:val="10"/>
    <w:rsid w:val="00121089"/>
    <w:pPr>
      <w:spacing w:after="0"/>
      <w:contextualSpacing/>
      <w:jc w:val="center"/>
    </w:pPr>
    <w:rPr>
      <w:rFonts w:eastAsiaTheme="majorEastAsia" w:cstheme="majorBidi"/>
      <w:caps/>
      <w:szCs w:val="56"/>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paragraph" w:customStyle="1" w:styleId="CoL">
    <w:name w:val="CoL"/>
    <w:basedOn w:val="Standard"/>
    <w:uiPriority w:val="7"/>
    <w:qFormat/>
    <w:rsid w:val="001E2A62"/>
    <w:pPr>
      <w:numPr>
        <w:numId w:val="3"/>
      </w:numPr>
      <w:ind w:firstLine="547"/>
    </w:p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NoSpacing">
    <w:name w:val="No Spacing"/>
    <w:basedOn w:val="Standard"/>
    <w:uiPriority w:val="1"/>
    <w:rsid w:val="00287BC5"/>
    <w:pPr>
      <w:spacing w:after="120" w:line="240" w:lineRule="auto"/>
      <w:ind w:firstLine="0"/>
      <w:contextualSpacing/>
    </w:pPr>
  </w:style>
  <w:style w:type="character" w:customStyle="1" w:styleId="TitleChar">
    <w:name w:val="Title Char"/>
    <w:basedOn w:val="DefaultParagraphFont"/>
    <w:link w:val="Title"/>
    <w:uiPriority w:val="10"/>
    <w:rsid w:val="0036017B"/>
    <w:rPr>
      <w:rFonts w:ascii="Arial" w:eastAsiaTheme="majorEastAsia" w:hAnsi="Arial" w:cstheme="majorBidi"/>
      <w:b/>
      <w:caps/>
      <w:sz w:val="26"/>
      <w:szCs w:val="56"/>
    </w:rPr>
  </w:style>
  <w:style w:type="paragraph" w:customStyle="1" w:styleId="xl38368">
    <w:name w:val="xl38368"/>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rFonts w:eastAsia="Times New Roman" w:cs="Times New Roman"/>
      <w:sz w:val="14"/>
      <w:szCs w:val="14"/>
    </w:rPr>
  </w:style>
  <w:style w:type="character" w:customStyle="1" w:styleId="Heading2Char">
    <w:name w:val="Heading 2 Char"/>
    <w:basedOn w:val="DefaultParagraphFont"/>
    <w:link w:val="Heading2"/>
    <w:uiPriority w:val="4"/>
    <w:rsid w:val="0072528A"/>
    <w:rPr>
      <w:rFonts w:ascii="Arial" w:hAnsi="Arial" w:cs="Arial"/>
      <w:b/>
      <w:sz w:val="26"/>
      <w:szCs w:val="26"/>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numbering" w:customStyle="1" w:styleId="FoFCoLOP">
    <w:name w:val="FoF/CoL/OP"/>
    <w:uiPriority w:val="99"/>
    <w:rsid w:val="008E6AE6"/>
    <w:pPr>
      <w:numPr>
        <w:numId w:val="1"/>
      </w:numPr>
    </w:pPr>
  </w:style>
  <w:style w:type="paragraph" w:customStyle="1" w:styleId="Header1">
    <w:name w:val="Header_1"/>
    <w:uiPriority w:val="99"/>
    <w:semiHidden/>
    <w:pPr>
      <w:tabs>
        <w:tab w:val="center" w:pos="4680"/>
        <w:tab w:val="right" w:pos="9360"/>
      </w:tabs>
      <w:spacing w:after="0" w:line="240" w:lineRule="auto"/>
      <w:ind w:firstLine="720"/>
    </w:pPr>
    <w:rPr>
      <w:rFonts w:ascii="Book Antiqua" w:hAnsi="Book Antiqua"/>
      <w:sz w:val="26"/>
    </w:rPr>
  </w:style>
  <w:style w:type="character" w:styleId="FootnoteReference">
    <w:name w:val="footnote reference"/>
    <w:aliases w:val="o,fr,o1,o2,o3,o4,o5,o6,o11,o21,o7,Style 3,Style 17,Style 13,Appel note de bas de p,Style 12,(NECG) Footnote Reference,Style 124,o + Times New Roman,Style 58,Style 20,fr1,fr2,fr3,FR,Footnote Reference/,Style 6,Footnote Reference1,char"/>
    <w:basedOn w:val="DefaultParagraphFont"/>
    <w:uiPriority w:val="99"/>
    <w:unhideWhenUsed/>
    <w:qFormat/>
    <w:rsid w:val="00DF58E7"/>
    <w:rPr>
      <w:vertAlign w:val="superscript"/>
    </w:rPr>
  </w:style>
  <w:style w:type="paragraph" w:styleId="TOC9">
    <w:name w:val="toc 9"/>
    <w:basedOn w:val="Normal"/>
    <w:next w:val="Normal"/>
    <w:autoRedefine/>
    <w:uiPriority w:val="39"/>
    <w:unhideWhenUsed/>
    <w:rsid w:val="00D82A43"/>
    <w:pPr>
      <w:spacing w:after="100"/>
      <w:ind w:left="2080"/>
    </w:pPr>
  </w:style>
  <w:style w:type="paragraph" w:customStyle="1" w:styleId="FoF">
    <w:name w:val="FoF"/>
    <w:basedOn w:val="Standard"/>
    <w:uiPriority w:val="6"/>
    <w:qFormat/>
    <w:rsid w:val="001E2A62"/>
    <w:pPr>
      <w:numPr>
        <w:numId w:val="2"/>
      </w:numPr>
      <w:ind w:firstLine="547"/>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TOC5">
    <w:name w:val="toc 5"/>
    <w:basedOn w:val="Normal"/>
    <w:next w:val="Normal"/>
    <w:autoRedefine/>
    <w:uiPriority w:val="39"/>
    <w:unhideWhenUsed/>
    <w:rsid w:val="008C7413"/>
    <w:pPr>
      <w:spacing w:line="240" w:lineRule="auto"/>
      <w:ind w:left="2160" w:hanging="1296"/>
    </w:pPr>
  </w:style>
  <w:style w:type="paragraph" w:styleId="Footer">
    <w:name w:val="footer"/>
    <w:basedOn w:val="Normal"/>
    <w:link w:val="FooterChar"/>
    <w:uiPriority w:val="99"/>
    <w:rsid w:val="00EE3060"/>
    <w:pPr>
      <w:tabs>
        <w:tab w:val="center" w:pos="4680"/>
        <w:tab w:val="right" w:pos="9360"/>
      </w:tabs>
      <w:spacing w:line="240" w:lineRule="auto"/>
    </w:pPr>
  </w:style>
  <w:style w:type="character" w:customStyle="1" w:styleId="FooterChar">
    <w:name w:val="Footer Char"/>
    <w:basedOn w:val="DefaultParagraphFont"/>
    <w:link w:val="Footer"/>
    <w:uiPriority w:val="99"/>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customStyle="1" w:styleId="xl38365">
    <w:name w:val="xl38365"/>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textAlignment w:val="center"/>
    </w:pPr>
    <w:rPr>
      <w:rFonts w:eastAsia="Times New Roman" w:cs="Times New Roman"/>
      <w:b/>
      <w:bCs/>
      <w:sz w:val="14"/>
      <w:szCs w:val="14"/>
    </w:rPr>
  </w:style>
  <w:style w:type="paragraph" w:customStyle="1" w:styleId="OP">
    <w:name w:val="OP"/>
    <w:basedOn w:val="Standard"/>
    <w:uiPriority w:val="8"/>
    <w:qFormat/>
    <w:rsid w:val="001E2A62"/>
    <w:pPr>
      <w:numPr>
        <w:numId w:val="4"/>
      </w:numPr>
    </w:pPr>
  </w:style>
  <w:style w:type="paragraph" w:styleId="FootnoteText">
    <w:name w:val="footnote text"/>
    <w:aliases w:val="Footnote Text Char1,Footnote Text Char Char,Footnote Text Char2 Char,Footnote Text Char Char Char,Footnote Text Char2 Char Char Char,Footnote Text Char Char Char Char Char,Footnote Text Char2 Char Char Char Char1 Char,fn,fn C,Char Char,f"/>
    <w:basedOn w:val="Normal"/>
    <w:link w:val="FootnoteTextChar"/>
    <w:uiPriority w:val="40"/>
    <w:qFormat/>
    <w:rsid w:val="00B01F7E"/>
    <w:pPr>
      <w:spacing w:after="120" w:line="240" w:lineRule="auto"/>
      <w:ind w:firstLine="0"/>
    </w:pPr>
    <w:rPr>
      <w:sz w:val="22"/>
      <w:szCs w:val="20"/>
    </w:rPr>
  </w:style>
  <w:style w:type="character" w:customStyle="1" w:styleId="FootnoteTextChar">
    <w:name w:val="Footnote Text Char"/>
    <w:aliases w:val="Footnote Text Char1 Char,Footnote Text Char Char Char1,Footnote Text Char2 Char Char,Footnote Text Char Char Char Char,Footnote Text Char2 Char Char Char Char,Footnote Text Char Char Char Char Char Char,fn Char,fn C Char,f Char"/>
    <w:basedOn w:val="DefaultParagraphFont"/>
    <w:link w:val="FootnoteText"/>
    <w:uiPriority w:val="40"/>
    <w:rsid w:val="007657C1"/>
    <w:rPr>
      <w:rFonts w:ascii="Book Antiqua" w:hAnsi="Book Antiqua"/>
      <w:szCs w:val="20"/>
    </w:r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paragraph" w:styleId="CommentText">
    <w:name w:val="annotation text"/>
    <w:basedOn w:val="Normal"/>
    <w:link w:val="CommentTextChar"/>
    <w:uiPriority w:val="99"/>
    <w:unhideWhenUsed/>
    <w:rsid w:val="004B5B11"/>
    <w:pPr>
      <w:spacing w:line="240" w:lineRule="auto"/>
    </w:pPr>
    <w:rPr>
      <w:sz w:val="20"/>
      <w:szCs w:val="20"/>
    </w:r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ListAlpha">
    <w:name w:val="List Alpha"/>
    <w:basedOn w:val="Standard"/>
    <w:uiPriority w:val="4"/>
    <w:qFormat/>
    <w:rsid w:val="000E270A"/>
    <w:pPr>
      <w:numPr>
        <w:ilvl w:val="7"/>
        <w:numId w:val="14"/>
      </w:numPr>
      <w:spacing w:after="120" w:line="240" w:lineRule="auto"/>
    </w:pPr>
  </w:style>
  <w:style w:type="paragraph" w:customStyle="1" w:styleId="ALJBlockQuote">
    <w:name w:val="ALJ Block Quote"/>
    <w:basedOn w:val="Normal"/>
    <w:next w:val="Normal"/>
    <w:link w:val="ALJBlockQuoteChar"/>
    <w:rsid w:val="00CA7933"/>
    <w:pPr>
      <w:spacing w:before="120" w:after="120" w:line="240" w:lineRule="auto"/>
      <w:ind w:left="1440" w:right="1440" w:firstLine="0"/>
    </w:pPr>
    <w:rPr>
      <w:rFonts w:cs="Times New Roman"/>
      <w:szCs w:val="20"/>
    </w:rPr>
  </w:style>
  <w:style w:type="paragraph" w:customStyle="1" w:styleId="BlockQuoteH025">
    <w:name w:val="BlockQuoteH025"/>
    <w:basedOn w:val="BlockQuoteH033"/>
    <w:qFormat/>
    <w:rsid w:val="003E5AEF"/>
    <w:pPr>
      <w:ind w:left="1080" w:hanging="360"/>
    </w:pPr>
  </w:style>
  <w:style w:type="paragraph" w:styleId="ListBullet">
    <w:name w:val="List Bullet"/>
    <w:basedOn w:val="Standard"/>
    <w:uiPriority w:val="4"/>
    <w:qFormat/>
    <w:rsid w:val="001F2819"/>
    <w:pPr>
      <w:numPr>
        <w:numId w:val="6"/>
      </w:numPr>
      <w:tabs>
        <w:tab w:val="clear" w:pos="360"/>
      </w:tabs>
      <w:spacing w:after="120" w:line="240" w:lineRule="auto"/>
      <w:ind w:left="1080"/>
    </w:pPr>
  </w:style>
  <w:style w:type="paragraph" w:styleId="TOC4">
    <w:name w:val="toc 4"/>
    <w:basedOn w:val="Normal"/>
    <w:next w:val="Normal"/>
    <w:autoRedefine/>
    <w:uiPriority w:val="39"/>
    <w:unhideWhenUsed/>
    <w:rsid w:val="008C7413"/>
    <w:pPr>
      <w:spacing w:line="240" w:lineRule="auto"/>
      <w:ind w:left="1728" w:hanging="1080"/>
    </w:pPr>
  </w:style>
  <w:style w:type="paragraph" w:styleId="Revision">
    <w:name w:val="Revision"/>
    <w:hidden/>
    <w:uiPriority w:val="99"/>
    <w:semiHidden/>
    <w:rsid w:val="00FE61E5"/>
    <w:pPr>
      <w:spacing w:after="0" w:line="240" w:lineRule="auto"/>
    </w:pPr>
    <w:rPr>
      <w:rFonts w:ascii="Book Antiqua" w:hAnsi="Book Antiqua"/>
      <w:sz w:val="26"/>
    </w:rPr>
  </w:style>
  <w:style w:type="paragraph" w:customStyle="1" w:styleId="TableText">
    <w:name w:val="Table Text"/>
    <w:basedOn w:val="NoSpacing"/>
    <w:uiPriority w:val="5"/>
    <w:rsid w:val="00E53438"/>
    <w:pPr>
      <w:spacing w:after="0"/>
    </w:pPr>
    <w:rPr>
      <w:sz w:val="22"/>
    </w:rPr>
  </w:style>
  <w:style w:type="paragraph" w:styleId="ListParagraph">
    <w:name w:val="List Paragraph"/>
    <w:basedOn w:val="Normal"/>
    <w:uiPriority w:val="34"/>
    <w:qFormat/>
    <w:rsid w:val="00C21069"/>
    <w:pPr>
      <w:ind w:left="720"/>
      <w:contextualSpacing/>
    </w:pPr>
  </w:style>
  <w:style w:type="character" w:customStyle="1" w:styleId="ALJBlockQuoteChar">
    <w:name w:val="ALJ Block Quote Char"/>
    <w:basedOn w:val="DefaultParagraphFont"/>
    <w:link w:val="ALJBlockQuote"/>
    <w:rsid w:val="00CA7933"/>
    <w:rPr>
      <w:rFonts w:ascii="Book Antiqua" w:hAnsi="Book Antiqua" w:cs="Times New Roman"/>
      <w:sz w:val="26"/>
      <w:szCs w:val="20"/>
    </w:rPr>
  </w:style>
  <w:style w:type="paragraph" w:customStyle="1" w:styleId="ListNum">
    <w:name w:val="List Num"/>
    <w:basedOn w:val="Standard"/>
    <w:uiPriority w:val="4"/>
    <w:rsid w:val="000E270A"/>
    <w:pPr>
      <w:numPr>
        <w:ilvl w:val="6"/>
        <w:numId w:val="14"/>
      </w:numPr>
      <w:spacing w:after="120" w:line="240" w:lineRule="auto"/>
    </w:pPr>
  </w:style>
  <w:style w:type="paragraph" w:styleId="BodyText">
    <w:name w:val="Body Text"/>
    <w:basedOn w:val="Normal"/>
    <w:link w:val="BodyTextChar"/>
    <w:uiPriority w:val="1"/>
    <w:qFormat/>
    <w:rsid w:val="00C21069"/>
    <w:pPr>
      <w:widowControl w:val="0"/>
      <w:autoSpaceDE w:val="0"/>
      <w:autoSpaceDN w:val="0"/>
      <w:spacing w:line="240" w:lineRule="auto"/>
      <w:ind w:firstLine="0"/>
    </w:pPr>
    <w:rPr>
      <w:rFonts w:eastAsia="Book Antiqua" w:cs="Book Antiqua"/>
      <w:szCs w:val="26"/>
    </w:rPr>
  </w:style>
  <w:style w:type="character" w:styleId="UnresolvedMention">
    <w:name w:val="Unresolved Mention"/>
    <w:basedOn w:val="DefaultParagraphFont"/>
    <w:uiPriority w:val="99"/>
    <w:semiHidden/>
    <w:unhideWhenUsed/>
    <w:rsid w:val="00B229E6"/>
    <w:rPr>
      <w:color w:val="605E5C"/>
      <w:shd w:val="clear" w:color="auto" w:fill="E1DFDD"/>
    </w:rPr>
  </w:style>
  <w:style w:type="paragraph" w:customStyle="1" w:styleId="xl38359">
    <w:name w:val="xl38359"/>
    <w:basedOn w:val="Normal"/>
    <w:rsid w:val="003E5AEF"/>
    <w:pPr>
      <w:spacing w:before="100" w:beforeAutospacing="1" w:after="100" w:afterAutospacing="1" w:line="240" w:lineRule="auto"/>
      <w:ind w:firstLine="0"/>
    </w:pPr>
    <w:rPr>
      <w:rFonts w:eastAsia="Times New Roman" w:cs="Times New Roman"/>
      <w:sz w:val="14"/>
      <w:szCs w:val="14"/>
    </w:rPr>
  </w:style>
  <w:style w:type="character" w:styleId="CommentReference">
    <w:name w:val="annotation reference"/>
    <w:basedOn w:val="DefaultParagraphFont"/>
    <w:uiPriority w:val="99"/>
    <w:semiHidden/>
    <w:unhideWhenUsed/>
    <w:rsid w:val="004B5B11"/>
    <w:rPr>
      <w:sz w:val="16"/>
      <w:szCs w:val="16"/>
    </w:rPr>
  </w:style>
  <w:style w:type="character" w:customStyle="1" w:styleId="CommentTextChar">
    <w:name w:val="Comment Text Char"/>
    <w:basedOn w:val="DefaultParagraphFont"/>
    <w:link w:val="CommentText"/>
    <w:uiPriority w:val="99"/>
    <w:rsid w:val="004B5B11"/>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4B5B11"/>
    <w:rPr>
      <w:b/>
      <w:bCs/>
    </w:rPr>
  </w:style>
  <w:style w:type="character" w:customStyle="1" w:styleId="CommentSubjectChar">
    <w:name w:val="Comment Subject Char"/>
    <w:basedOn w:val="CommentTextChar"/>
    <w:link w:val="CommentSubject"/>
    <w:uiPriority w:val="99"/>
    <w:semiHidden/>
    <w:rsid w:val="004B5B11"/>
    <w:rPr>
      <w:rFonts w:ascii="Book Antiqua" w:hAnsi="Book Antiqua"/>
      <w:b/>
      <w:bCs/>
      <w:sz w:val="20"/>
      <w:szCs w:val="20"/>
    </w:rPr>
  </w:style>
  <w:style w:type="character" w:customStyle="1" w:styleId="cf01">
    <w:name w:val="cf01"/>
    <w:basedOn w:val="DefaultParagraphFont"/>
    <w:rsid w:val="00272688"/>
    <w:rPr>
      <w:rFonts w:ascii="Segoe UI" w:hAnsi="Segoe UI" w:cs="Segoe UI" w:hint="default"/>
      <w:sz w:val="18"/>
      <w:szCs w:val="18"/>
    </w:rPr>
  </w:style>
  <w:style w:type="character" w:styleId="FollowedHyperlink">
    <w:name w:val="FollowedHyperlink"/>
    <w:basedOn w:val="DefaultParagraphFont"/>
    <w:uiPriority w:val="99"/>
    <w:semiHidden/>
    <w:unhideWhenUsed/>
    <w:rsid w:val="006C2A26"/>
    <w:rPr>
      <w:color w:val="954F72" w:themeColor="followedHyperlink"/>
      <w:u w:val="single"/>
    </w:rPr>
  </w:style>
  <w:style w:type="character" w:styleId="Mention">
    <w:name w:val="Mention"/>
    <w:basedOn w:val="DefaultParagraphFont"/>
    <w:uiPriority w:val="99"/>
    <w:unhideWhenUsed/>
    <w:rsid w:val="007E065A"/>
    <w:rPr>
      <w:color w:val="2B579A"/>
      <w:shd w:val="clear" w:color="auto" w:fill="E1DFDD"/>
    </w:rPr>
  </w:style>
  <w:style w:type="character" w:customStyle="1" w:styleId="normaltextrun">
    <w:name w:val="normaltextrun"/>
    <w:basedOn w:val="DefaultParagraphFont"/>
    <w:rsid w:val="007E065A"/>
  </w:style>
  <w:style w:type="paragraph" w:customStyle="1" w:styleId="Default">
    <w:name w:val="Default"/>
    <w:rsid w:val="007E065A"/>
    <w:pPr>
      <w:autoSpaceDE w:val="0"/>
      <w:autoSpaceDN w:val="0"/>
      <w:adjustRightInd w:val="0"/>
      <w:spacing w:after="0" w:line="240" w:lineRule="auto"/>
    </w:pPr>
    <w:rPr>
      <w:rFonts w:ascii="Book Antiqua" w:eastAsiaTheme="minorEastAsia" w:hAnsi="Book Antiqua" w:cs="Book Antiqua"/>
      <w:color w:val="000000"/>
      <w:sz w:val="24"/>
      <w:szCs w:val="24"/>
    </w:rPr>
  </w:style>
  <w:style w:type="numbering" w:customStyle="1" w:styleId="CurrentList1">
    <w:name w:val="Current List1"/>
    <w:uiPriority w:val="99"/>
    <w:rsid w:val="007E065A"/>
    <w:pPr>
      <w:numPr>
        <w:numId w:val="10"/>
      </w:numPr>
    </w:pPr>
  </w:style>
  <w:style w:type="paragraph" w:customStyle="1" w:styleId="xmsolistparagraph">
    <w:name w:val="xmsolistparagraph"/>
    <w:basedOn w:val="Normal"/>
    <w:rsid w:val="007E065A"/>
    <w:pPr>
      <w:spacing w:before="100" w:beforeAutospacing="1" w:after="100" w:afterAutospacing="1" w:line="240" w:lineRule="auto"/>
      <w:ind w:firstLine="0"/>
    </w:pPr>
    <w:rPr>
      <w:rFonts w:ascii="Calibri" w:hAnsi="Calibri" w:cs="Calibri"/>
      <w:sz w:val="22"/>
    </w:rPr>
  </w:style>
  <w:style w:type="paragraph" w:styleId="TOC7">
    <w:name w:val="toc 7"/>
    <w:basedOn w:val="Normal"/>
    <w:next w:val="Normal"/>
    <w:autoRedefine/>
    <w:uiPriority w:val="39"/>
    <w:unhideWhenUsed/>
    <w:rsid w:val="007E065A"/>
    <w:pPr>
      <w:spacing w:after="100" w:line="259" w:lineRule="auto"/>
      <w:ind w:left="1320" w:firstLine="0"/>
    </w:pPr>
    <w:rPr>
      <w:rFonts w:asciiTheme="minorHAnsi" w:eastAsiaTheme="minorEastAsia" w:hAnsiTheme="minorHAnsi"/>
      <w:kern w:val="2"/>
      <w:sz w:val="22"/>
      <w14:ligatures w14:val="standardContextual"/>
    </w:rPr>
  </w:style>
  <w:style w:type="paragraph" w:styleId="TOC8">
    <w:name w:val="toc 8"/>
    <w:basedOn w:val="Normal"/>
    <w:next w:val="Normal"/>
    <w:autoRedefine/>
    <w:uiPriority w:val="39"/>
    <w:unhideWhenUsed/>
    <w:rsid w:val="007E065A"/>
    <w:pPr>
      <w:spacing w:after="100" w:line="259" w:lineRule="auto"/>
      <w:ind w:left="1540" w:firstLine="0"/>
    </w:pPr>
    <w:rPr>
      <w:rFonts w:asciiTheme="minorHAnsi" w:eastAsiaTheme="minorEastAsia" w:hAnsiTheme="minorHAnsi"/>
      <w:kern w:val="2"/>
      <w:sz w:val="22"/>
      <w14:ligatures w14:val="standardContextual"/>
    </w:rPr>
  </w:style>
  <w:style w:type="numbering" w:customStyle="1" w:styleId="FoFCoLOP1">
    <w:name w:val="FoF/CoL/OP1"/>
    <w:uiPriority w:val="99"/>
    <w:rsid w:val="003E5AEF"/>
  </w:style>
  <w:style w:type="paragraph" w:customStyle="1" w:styleId="TableTitleBodyH095">
    <w:name w:val="TableTitleBodyH095"/>
    <w:basedOn w:val="Normal"/>
    <w:qFormat/>
    <w:rsid w:val="003E5AEF"/>
    <w:pPr>
      <w:keepNext/>
      <w:spacing w:after="120" w:line="240" w:lineRule="auto"/>
      <w:ind w:left="1368" w:hanging="1368"/>
      <w:jc w:val="center"/>
    </w:pPr>
    <w:rPr>
      <w:bCs/>
    </w:rPr>
  </w:style>
  <w:style w:type="numbering" w:customStyle="1" w:styleId="Headings1">
    <w:name w:val="Headings1"/>
    <w:uiPriority w:val="99"/>
    <w:rsid w:val="003E5AEF"/>
  </w:style>
  <w:style w:type="numbering" w:customStyle="1" w:styleId="FoFCoLOP11">
    <w:name w:val="FoF/CoL/OP11"/>
    <w:uiPriority w:val="99"/>
    <w:rsid w:val="003E5AEF"/>
  </w:style>
  <w:style w:type="numbering" w:customStyle="1" w:styleId="Headings11">
    <w:name w:val="Headings11"/>
    <w:uiPriority w:val="99"/>
    <w:rsid w:val="003E5AEF"/>
  </w:style>
  <w:style w:type="character" w:customStyle="1" w:styleId="standardChar">
    <w:name w:val="standard Char"/>
    <w:link w:val="standard0"/>
    <w:locked/>
    <w:rsid w:val="003E5AEF"/>
    <w:rPr>
      <w:rFonts w:ascii="Book Antiqua" w:hAnsi="Book Antiqua"/>
      <w:sz w:val="26"/>
    </w:rPr>
  </w:style>
  <w:style w:type="paragraph" w:customStyle="1" w:styleId="standard0">
    <w:name w:val="standard"/>
    <w:basedOn w:val="Normal"/>
    <w:link w:val="standardChar"/>
    <w:rsid w:val="003E5AEF"/>
  </w:style>
  <w:style w:type="table" w:customStyle="1" w:styleId="TableGrid1">
    <w:name w:val="Table Grid1"/>
    <w:basedOn w:val="TableNormal"/>
    <w:next w:val="TableGrid"/>
    <w:rsid w:val="003E5AEF"/>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1">
    <w:name w:val="num1"/>
    <w:basedOn w:val="Normal"/>
    <w:rsid w:val="003E5AEF"/>
    <w:pPr>
      <w:tabs>
        <w:tab w:val="left" w:pos="-720"/>
      </w:tabs>
      <w:suppressAutoHyphens/>
      <w:ind w:firstLine="360"/>
    </w:pPr>
    <w:rPr>
      <w:rFonts w:eastAsia="Times New Roman" w:cs="Times New Roman"/>
      <w:szCs w:val="20"/>
    </w:rPr>
  </w:style>
  <w:style w:type="table" w:customStyle="1" w:styleId="PlainTable11">
    <w:name w:val="Plain Table 11"/>
    <w:basedOn w:val="TableNormal"/>
    <w:next w:val="PlainTable1"/>
    <w:uiPriority w:val="41"/>
    <w:rsid w:val="003E5AE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num2">
    <w:name w:val="num2"/>
    <w:basedOn w:val="Normal"/>
    <w:rsid w:val="003E5AEF"/>
    <w:pPr>
      <w:tabs>
        <w:tab w:val="left" w:pos="-720"/>
      </w:tabs>
      <w:suppressAutoHyphens/>
      <w:ind w:firstLine="270"/>
    </w:pPr>
    <w:rPr>
      <w:rFonts w:eastAsia="Times New Roman" w:cs="Times New Roman"/>
      <w:szCs w:val="20"/>
    </w:rPr>
  </w:style>
  <w:style w:type="table" w:styleId="PlainTable1">
    <w:name w:val="Plain Table 1"/>
    <w:basedOn w:val="TableNormal"/>
    <w:uiPriority w:val="41"/>
    <w:rsid w:val="003E5AE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2">
    <w:name w:val="Table Grid2"/>
    <w:basedOn w:val="TableNormal"/>
    <w:next w:val="TableGrid"/>
    <w:rsid w:val="003E5A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3E5A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3E5AEF"/>
    <w:pPr>
      <w:widowControl w:val="0"/>
      <w:autoSpaceDE w:val="0"/>
      <w:autoSpaceDN w:val="0"/>
      <w:spacing w:line="240" w:lineRule="auto"/>
      <w:ind w:left="50" w:firstLine="0"/>
    </w:pPr>
    <w:rPr>
      <w:rFonts w:eastAsia="Book Antiqua" w:cs="Book Antiqua"/>
      <w:sz w:val="22"/>
    </w:rPr>
  </w:style>
  <w:style w:type="paragraph" w:customStyle="1" w:styleId="BlockQuoteH033">
    <w:name w:val="BlockQuoteH033"/>
    <w:basedOn w:val="Normal"/>
    <w:qFormat/>
    <w:rsid w:val="003E5AEF"/>
    <w:pPr>
      <w:spacing w:after="120" w:line="240" w:lineRule="auto"/>
      <w:ind w:left="1195" w:right="1440" w:hanging="475"/>
    </w:pPr>
  </w:style>
  <w:style w:type="paragraph" w:customStyle="1" w:styleId="BlockQuoteH025subH025">
    <w:name w:val="BlockQuoteH025subH025"/>
    <w:basedOn w:val="Normal"/>
    <w:qFormat/>
    <w:rsid w:val="003E5AEF"/>
    <w:pPr>
      <w:spacing w:after="120" w:line="240" w:lineRule="auto"/>
      <w:ind w:left="1404" w:right="1440" w:hanging="360"/>
    </w:pPr>
  </w:style>
  <w:style w:type="paragraph" w:customStyle="1" w:styleId="BlockQuote0">
    <w:name w:val="BlockQuote"/>
    <w:basedOn w:val="Standard"/>
    <w:rsid w:val="003E5AEF"/>
    <w:pPr>
      <w:spacing w:after="120" w:line="240" w:lineRule="auto"/>
      <w:ind w:left="720" w:right="1440" w:firstLine="0"/>
    </w:pPr>
  </w:style>
  <w:style w:type="paragraph" w:customStyle="1" w:styleId="FoFsubheader">
    <w:name w:val="FoFsubheader"/>
    <w:basedOn w:val="standard0"/>
    <w:rsid w:val="003E5AEF"/>
    <w:pPr>
      <w:keepNext/>
      <w:ind w:firstLine="0"/>
    </w:pPr>
    <w:rPr>
      <w:u w:val="single"/>
    </w:rPr>
  </w:style>
  <w:style w:type="paragraph" w:customStyle="1" w:styleId="TableTitleTOC">
    <w:name w:val="TableTitleTOC"/>
    <w:basedOn w:val="Normal"/>
    <w:qFormat/>
    <w:rsid w:val="003E5AEF"/>
    <w:pPr>
      <w:spacing w:after="120" w:line="240" w:lineRule="auto"/>
      <w:ind w:left="1368" w:hanging="1368"/>
    </w:pPr>
    <w:rPr>
      <w:rFonts w:cs="Times New Roman"/>
      <w:bCs/>
      <w:szCs w:val="20"/>
    </w:rPr>
  </w:style>
  <w:style w:type="paragraph" w:customStyle="1" w:styleId="SigBlockBA-Title">
    <w:name w:val="SigBlockBA-Title"/>
    <w:basedOn w:val="Normal"/>
    <w:qFormat/>
    <w:rsid w:val="003E5AEF"/>
    <w:pPr>
      <w:keepNext/>
      <w:autoSpaceDE w:val="0"/>
      <w:autoSpaceDN w:val="0"/>
      <w:adjustRightInd w:val="0"/>
      <w:spacing w:line="240" w:lineRule="auto"/>
      <w:ind w:left="5400" w:firstLine="0"/>
      <w:jc w:val="both"/>
    </w:pPr>
    <w:rPr>
      <w:rFonts w:eastAsia="Times New Roman" w:cs="Times New Roman"/>
      <w:szCs w:val="20"/>
    </w:rPr>
  </w:style>
  <w:style w:type="paragraph" w:styleId="Caption">
    <w:name w:val="caption"/>
    <w:basedOn w:val="Normal"/>
    <w:next w:val="Normal"/>
    <w:uiPriority w:val="35"/>
    <w:unhideWhenUsed/>
    <w:qFormat/>
    <w:rsid w:val="003E5AEF"/>
    <w:pPr>
      <w:keepNext/>
      <w:spacing w:after="200" w:line="240" w:lineRule="auto"/>
      <w:ind w:firstLine="0"/>
    </w:pPr>
    <w:rPr>
      <w:b/>
      <w:bCs/>
      <w:szCs w:val="26"/>
    </w:rPr>
  </w:style>
  <w:style w:type="numbering" w:customStyle="1" w:styleId="FoFCoLOP2">
    <w:name w:val="FoF/CoL/OP2"/>
    <w:uiPriority w:val="99"/>
    <w:rsid w:val="003E5AEF"/>
  </w:style>
  <w:style w:type="paragraph" w:customStyle="1" w:styleId="msonormal0">
    <w:name w:val="msonormal"/>
    <w:basedOn w:val="Normal"/>
    <w:rsid w:val="003E5AEF"/>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customStyle="1" w:styleId="xl38360">
    <w:name w:val="xl38360"/>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rFonts w:eastAsia="Times New Roman" w:cs="Times New Roman"/>
      <w:sz w:val="14"/>
      <w:szCs w:val="14"/>
    </w:rPr>
  </w:style>
  <w:style w:type="paragraph" w:customStyle="1" w:styleId="xl38361">
    <w:name w:val="xl38361"/>
    <w:basedOn w:val="Normal"/>
    <w:rsid w:val="003E5AEF"/>
    <w:pPr>
      <w:spacing w:before="100" w:beforeAutospacing="1" w:after="100" w:afterAutospacing="1" w:line="240" w:lineRule="auto"/>
      <w:ind w:firstLine="0"/>
    </w:pPr>
    <w:rPr>
      <w:rFonts w:eastAsia="Times New Roman" w:cs="Times New Roman"/>
      <w:sz w:val="14"/>
      <w:szCs w:val="14"/>
    </w:rPr>
  </w:style>
  <w:style w:type="paragraph" w:customStyle="1" w:styleId="xl38362">
    <w:name w:val="xl38362"/>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textAlignment w:val="center"/>
    </w:pPr>
    <w:rPr>
      <w:rFonts w:eastAsia="Times New Roman" w:cs="Times New Roman"/>
      <w:b/>
      <w:bCs/>
      <w:sz w:val="14"/>
      <w:szCs w:val="14"/>
    </w:rPr>
  </w:style>
  <w:style w:type="paragraph" w:customStyle="1" w:styleId="xl38363">
    <w:name w:val="xl38363"/>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rFonts w:eastAsia="Times New Roman" w:cs="Times New Roman"/>
      <w:sz w:val="14"/>
      <w:szCs w:val="14"/>
    </w:rPr>
  </w:style>
  <w:style w:type="paragraph" w:customStyle="1" w:styleId="xl38364">
    <w:name w:val="xl38364"/>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textAlignment w:val="center"/>
    </w:pPr>
    <w:rPr>
      <w:rFonts w:eastAsia="Times New Roman" w:cs="Times New Roman"/>
      <w:sz w:val="14"/>
      <w:szCs w:val="14"/>
    </w:rPr>
  </w:style>
  <w:style w:type="paragraph" w:customStyle="1" w:styleId="xl38366">
    <w:name w:val="xl38366"/>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textAlignment w:val="center"/>
    </w:pPr>
    <w:rPr>
      <w:rFonts w:eastAsia="Times New Roman" w:cs="Times New Roman"/>
      <w:sz w:val="14"/>
      <w:szCs w:val="14"/>
    </w:rPr>
  </w:style>
  <w:style w:type="paragraph" w:customStyle="1" w:styleId="xl38367">
    <w:name w:val="xl38367"/>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rFonts w:eastAsia="Times New Roman" w:cs="Times New Roman"/>
      <w:sz w:val="14"/>
      <w:szCs w:val="14"/>
    </w:rPr>
  </w:style>
  <w:style w:type="paragraph" w:customStyle="1" w:styleId="xl38369">
    <w:name w:val="xl38369"/>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rFonts w:eastAsia="Times New Roman" w:cs="Times New Roman"/>
      <w:sz w:val="14"/>
      <w:szCs w:val="14"/>
    </w:rPr>
  </w:style>
  <w:style w:type="paragraph" w:customStyle="1" w:styleId="xl38370">
    <w:name w:val="xl38370"/>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rFonts w:eastAsia="Times New Roman" w:cs="Times New Roman"/>
      <w:sz w:val="14"/>
      <w:szCs w:val="14"/>
    </w:rPr>
  </w:style>
  <w:style w:type="numbering" w:customStyle="1" w:styleId="FoFCoLOP3">
    <w:name w:val="FoF/CoL/OP3"/>
    <w:uiPriority w:val="99"/>
    <w:rsid w:val="003E5AEF"/>
  </w:style>
  <w:style w:type="numbering" w:customStyle="1" w:styleId="Headings2">
    <w:name w:val="Headings2"/>
    <w:uiPriority w:val="99"/>
    <w:rsid w:val="003E5AEF"/>
  </w:style>
  <w:style w:type="numbering" w:customStyle="1" w:styleId="FoFCoLOP4">
    <w:name w:val="FoF/CoL/OP4"/>
    <w:uiPriority w:val="99"/>
    <w:rsid w:val="003E5AEF"/>
  </w:style>
  <w:style w:type="numbering" w:customStyle="1" w:styleId="Headings3">
    <w:name w:val="Headings3"/>
    <w:uiPriority w:val="99"/>
    <w:rsid w:val="003E5AEF"/>
  </w:style>
  <w:style w:type="paragraph" w:customStyle="1" w:styleId="Footer1">
    <w:name w:val="Footer_1"/>
    <w:uiPriority w:val="99"/>
    <w:pPr>
      <w:tabs>
        <w:tab w:val="center" w:pos="4680"/>
        <w:tab w:val="right" w:pos="9360"/>
      </w:tabs>
      <w:spacing w:after="0" w:line="240" w:lineRule="auto"/>
      <w:ind w:firstLine="720"/>
    </w:pPr>
    <w:rPr>
      <w:rFonts w:ascii="Book Antiqua" w:hAnsi="Book Antiqua"/>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7D49496411704C98823D97BD8A3AEF" ma:contentTypeVersion="16" ma:contentTypeDescription="Create a new document." ma:contentTypeScope="" ma:versionID="129bdc740f4af5bc5bce3e64490311db">
  <xsd:schema xmlns:xsd="http://www.w3.org/2001/XMLSchema" xmlns:xs="http://www.w3.org/2001/XMLSchema" xmlns:p="http://schemas.microsoft.com/office/2006/metadata/properties" xmlns:ns2="a24cfdaa-3f84-4543-8006-7aafcb05bc28" xmlns:ns3="3c51fd4b-b0a8-4cee-8b97-77eacc5af0f7" targetNamespace="http://schemas.microsoft.com/office/2006/metadata/properties" ma:root="true" ma:fieldsID="a77d2ffb77d2c2317744030685f74046" ns2:_="" ns3:_="">
    <xsd:import namespace="a24cfdaa-3f84-4543-8006-7aafcb05bc28"/>
    <xsd:import namespace="3c51fd4b-b0a8-4cee-8b97-77eacc5af0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4cfdaa-3f84-4543-8006-7aafcb05bc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51fd4b-b0a8-4cee-8b97-77eacc5af0f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313bba-19fc-4463-aea9-079b48bf6d0f}" ma:internalName="TaxCatchAll" ma:showField="CatchAllData" ma:web="3c51fd4b-b0a8-4cee-8b97-77eacc5af0f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24cfdaa-3f84-4543-8006-7aafcb05bc28">
      <Terms xmlns="http://schemas.microsoft.com/office/infopath/2007/PartnerControls"/>
    </lcf76f155ced4ddcb4097134ff3c332f>
    <TaxCatchAll xmlns="3c51fd4b-b0a8-4cee-8b97-77eacc5af0f7"/>
  </documentManagement>
</p:properties>
</file>

<file path=customXml/itemProps1.xml><?xml version="1.0" encoding="utf-8"?>
<ds:datastoreItem xmlns:ds="http://schemas.openxmlformats.org/officeDocument/2006/customXml" ds:itemID="{8267A41B-F0AB-45BE-B363-9EC0873194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4cfdaa-3f84-4543-8006-7aafcb05bc28"/>
    <ds:schemaRef ds:uri="3c51fd4b-b0a8-4cee-8b97-77eacc5af0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164036-E1E7-4B9A-96BB-6033784D77F0}">
  <ds:schemaRefs>
    <ds:schemaRef ds:uri="http://schemas.microsoft.com/sharepoint/v3/contenttype/forms"/>
  </ds:schemaRefs>
</ds:datastoreItem>
</file>

<file path=customXml/itemProps3.xml><?xml version="1.0" encoding="utf-8"?>
<ds:datastoreItem xmlns:ds="http://schemas.openxmlformats.org/officeDocument/2006/customXml" ds:itemID="{592782EB-4AF1-47AD-8787-2E2FD0D44402}">
  <ds:schemaRefs>
    <ds:schemaRef ds:uri="http://schemas.openxmlformats.org/officeDocument/2006/bibliography"/>
  </ds:schemaRefs>
</ds:datastoreItem>
</file>

<file path=customXml/itemProps4.xml><?xml version="1.0" encoding="utf-8"?>
<ds:datastoreItem xmlns:ds="http://schemas.openxmlformats.org/officeDocument/2006/customXml" ds:itemID="{AF2EAECA-D5C0-47BB-BDEA-E0F7FD40901F}">
  <ds:schemaRefs>
    <ds:schemaRef ds:uri="http://schemas.microsoft.com/office/2006/metadata/properties"/>
    <ds:schemaRef ds:uri="http://schemas.microsoft.com/office/infopath/2007/PartnerControls"/>
    <ds:schemaRef ds:uri="a24cfdaa-3f84-4543-8006-7aafcb05bc28"/>
    <ds:schemaRef ds:uri="3c51fd4b-b0a8-4cee-8b97-77eacc5af0f7"/>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32</ap:Pages>
  <ap:Words>6395</ap:Words>
  <ap:Characters>36452</ap:Characters>
  <ap:Application>Microsoft Office Word</ap:Application>
  <ap:DocSecurity>0</ap:DocSecurity>
  <ap:Lines>303</ap:Lines>
  <ap:Paragraphs>85</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42762</ap:CharactersWithSpaces>
  <ap:SharedDoc>false</ap:SharedDoc>
  <ap:HLinks>
    <vt:vector baseType="variant" size="468">
      <vt:variant>
        <vt:i4>7536718</vt:i4>
      </vt:variant>
      <vt:variant>
        <vt:i4>465</vt:i4>
      </vt:variant>
      <vt:variant>
        <vt:i4>0</vt:i4>
      </vt:variant>
      <vt:variant>
        <vt:i4>5</vt:i4>
      </vt:variant>
      <vt:variant>
        <vt:lpwstr>C:\Users\EF1\AppData\Local\Microsoft\Windows\INetCache\Content.MSO\7E937D41.xlsx</vt:lpwstr>
      </vt:variant>
      <vt:variant>
        <vt:lpwstr>RANGE!#REF!</vt:lpwstr>
      </vt:variant>
      <vt:variant>
        <vt:i4>7536718</vt:i4>
      </vt:variant>
      <vt:variant>
        <vt:i4>462</vt:i4>
      </vt:variant>
      <vt:variant>
        <vt:i4>0</vt:i4>
      </vt:variant>
      <vt:variant>
        <vt:i4>5</vt:i4>
      </vt:variant>
      <vt:variant>
        <vt:lpwstr>C:\Users\EF1\AppData\Local\Microsoft\Windows\INetCache\Content.MSO\7E937D41.xlsx</vt:lpwstr>
      </vt:variant>
      <vt:variant>
        <vt:lpwstr>RANGE!#REF!</vt:lpwstr>
      </vt:variant>
      <vt:variant>
        <vt:i4>2031669</vt:i4>
      </vt:variant>
      <vt:variant>
        <vt:i4>452</vt:i4>
      </vt:variant>
      <vt:variant>
        <vt:i4>0</vt:i4>
      </vt:variant>
      <vt:variant>
        <vt:i4>5</vt:i4>
      </vt:variant>
      <vt:variant>
        <vt:lpwstr/>
      </vt:variant>
      <vt:variant>
        <vt:lpwstr>_Toc213233780</vt:lpwstr>
      </vt:variant>
      <vt:variant>
        <vt:i4>1048629</vt:i4>
      </vt:variant>
      <vt:variant>
        <vt:i4>446</vt:i4>
      </vt:variant>
      <vt:variant>
        <vt:i4>0</vt:i4>
      </vt:variant>
      <vt:variant>
        <vt:i4>5</vt:i4>
      </vt:variant>
      <vt:variant>
        <vt:lpwstr/>
      </vt:variant>
      <vt:variant>
        <vt:lpwstr>_Toc213233779</vt:lpwstr>
      </vt:variant>
      <vt:variant>
        <vt:i4>1048629</vt:i4>
      </vt:variant>
      <vt:variant>
        <vt:i4>440</vt:i4>
      </vt:variant>
      <vt:variant>
        <vt:i4>0</vt:i4>
      </vt:variant>
      <vt:variant>
        <vt:i4>5</vt:i4>
      </vt:variant>
      <vt:variant>
        <vt:lpwstr/>
      </vt:variant>
      <vt:variant>
        <vt:lpwstr>_Toc213233778</vt:lpwstr>
      </vt:variant>
      <vt:variant>
        <vt:i4>1048629</vt:i4>
      </vt:variant>
      <vt:variant>
        <vt:i4>434</vt:i4>
      </vt:variant>
      <vt:variant>
        <vt:i4>0</vt:i4>
      </vt:variant>
      <vt:variant>
        <vt:i4>5</vt:i4>
      </vt:variant>
      <vt:variant>
        <vt:lpwstr/>
      </vt:variant>
      <vt:variant>
        <vt:lpwstr>_Toc213233777</vt:lpwstr>
      </vt:variant>
      <vt:variant>
        <vt:i4>1048629</vt:i4>
      </vt:variant>
      <vt:variant>
        <vt:i4>428</vt:i4>
      </vt:variant>
      <vt:variant>
        <vt:i4>0</vt:i4>
      </vt:variant>
      <vt:variant>
        <vt:i4>5</vt:i4>
      </vt:variant>
      <vt:variant>
        <vt:lpwstr/>
      </vt:variant>
      <vt:variant>
        <vt:lpwstr>_Toc213233776</vt:lpwstr>
      </vt:variant>
      <vt:variant>
        <vt:i4>1048629</vt:i4>
      </vt:variant>
      <vt:variant>
        <vt:i4>422</vt:i4>
      </vt:variant>
      <vt:variant>
        <vt:i4>0</vt:i4>
      </vt:variant>
      <vt:variant>
        <vt:i4>5</vt:i4>
      </vt:variant>
      <vt:variant>
        <vt:lpwstr/>
      </vt:variant>
      <vt:variant>
        <vt:lpwstr>_Toc213233775</vt:lpwstr>
      </vt:variant>
      <vt:variant>
        <vt:i4>1048629</vt:i4>
      </vt:variant>
      <vt:variant>
        <vt:i4>416</vt:i4>
      </vt:variant>
      <vt:variant>
        <vt:i4>0</vt:i4>
      </vt:variant>
      <vt:variant>
        <vt:i4>5</vt:i4>
      </vt:variant>
      <vt:variant>
        <vt:lpwstr/>
      </vt:variant>
      <vt:variant>
        <vt:lpwstr>_Toc213233774</vt:lpwstr>
      </vt:variant>
      <vt:variant>
        <vt:i4>1048629</vt:i4>
      </vt:variant>
      <vt:variant>
        <vt:i4>410</vt:i4>
      </vt:variant>
      <vt:variant>
        <vt:i4>0</vt:i4>
      </vt:variant>
      <vt:variant>
        <vt:i4>5</vt:i4>
      </vt:variant>
      <vt:variant>
        <vt:lpwstr/>
      </vt:variant>
      <vt:variant>
        <vt:lpwstr>_Toc213233773</vt:lpwstr>
      </vt:variant>
      <vt:variant>
        <vt:i4>1048629</vt:i4>
      </vt:variant>
      <vt:variant>
        <vt:i4>404</vt:i4>
      </vt:variant>
      <vt:variant>
        <vt:i4>0</vt:i4>
      </vt:variant>
      <vt:variant>
        <vt:i4>5</vt:i4>
      </vt:variant>
      <vt:variant>
        <vt:lpwstr/>
      </vt:variant>
      <vt:variant>
        <vt:lpwstr>_Toc213233772</vt:lpwstr>
      </vt:variant>
      <vt:variant>
        <vt:i4>1048629</vt:i4>
      </vt:variant>
      <vt:variant>
        <vt:i4>398</vt:i4>
      </vt:variant>
      <vt:variant>
        <vt:i4>0</vt:i4>
      </vt:variant>
      <vt:variant>
        <vt:i4>5</vt:i4>
      </vt:variant>
      <vt:variant>
        <vt:lpwstr/>
      </vt:variant>
      <vt:variant>
        <vt:lpwstr>_Toc213233771</vt:lpwstr>
      </vt:variant>
      <vt:variant>
        <vt:i4>1048629</vt:i4>
      </vt:variant>
      <vt:variant>
        <vt:i4>392</vt:i4>
      </vt:variant>
      <vt:variant>
        <vt:i4>0</vt:i4>
      </vt:variant>
      <vt:variant>
        <vt:i4>5</vt:i4>
      </vt:variant>
      <vt:variant>
        <vt:lpwstr/>
      </vt:variant>
      <vt:variant>
        <vt:lpwstr>_Toc213233770</vt:lpwstr>
      </vt:variant>
      <vt:variant>
        <vt:i4>1114165</vt:i4>
      </vt:variant>
      <vt:variant>
        <vt:i4>386</vt:i4>
      </vt:variant>
      <vt:variant>
        <vt:i4>0</vt:i4>
      </vt:variant>
      <vt:variant>
        <vt:i4>5</vt:i4>
      </vt:variant>
      <vt:variant>
        <vt:lpwstr/>
      </vt:variant>
      <vt:variant>
        <vt:lpwstr>_Toc213233769</vt:lpwstr>
      </vt:variant>
      <vt:variant>
        <vt:i4>1114165</vt:i4>
      </vt:variant>
      <vt:variant>
        <vt:i4>380</vt:i4>
      </vt:variant>
      <vt:variant>
        <vt:i4>0</vt:i4>
      </vt:variant>
      <vt:variant>
        <vt:i4>5</vt:i4>
      </vt:variant>
      <vt:variant>
        <vt:lpwstr/>
      </vt:variant>
      <vt:variant>
        <vt:lpwstr>_Toc213233768</vt:lpwstr>
      </vt:variant>
      <vt:variant>
        <vt:i4>1114165</vt:i4>
      </vt:variant>
      <vt:variant>
        <vt:i4>374</vt:i4>
      </vt:variant>
      <vt:variant>
        <vt:i4>0</vt:i4>
      </vt:variant>
      <vt:variant>
        <vt:i4>5</vt:i4>
      </vt:variant>
      <vt:variant>
        <vt:lpwstr/>
      </vt:variant>
      <vt:variant>
        <vt:lpwstr>_Toc213233767</vt:lpwstr>
      </vt:variant>
      <vt:variant>
        <vt:i4>1114165</vt:i4>
      </vt:variant>
      <vt:variant>
        <vt:i4>368</vt:i4>
      </vt:variant>
      <vt:variant>
        <vt:i4>0</vt:i4>
      </vt:variant>
      <vt:variant>
        <vt:i4>5</vt:i4>
      </vt:variant>
      <vt:variant>
        <vt:lpwstr/>
      </vt:variant>
      <vt:variant>
        <vt:lpwstr>_Toc213233766</vt:lpwstr>
      </vt:variant>
      <vt:variant>
        <vt:i4>1114165</vt:i4>
      </vt:variant>
      <vt:variant>
        <vt:i4>362</vt:i4>
      </vt:variant>
      <vt:variant>
        <vt:i4>0</vt:i4>
      </vt:variant>
      <vt:variant>
        <vt:i4>5</vt:i4>
      </vt:variant>
      <vt:variant>
        <vt:lpwstr/>
      </vt:variant>
      <vt:variant>
        <vt:lpwstr>_Toc213233765</vt:lpwstr>
      </vt:variant>
      <vt:variant>
        <vt:i4>1114165</vt:i4>
      </vt:variant>
      <vt:variant>
        <vt:i4>356</vt:i4>
      </vt:variant>
      <vt:variant>
        <vt:i4>0</vt:i4>
      </vt:variant>
      <vt:variant>
        <vt:i4>5</vt:i4>
      </vt:variant>
      <vt:variant>
        <vt:lpwstr/>
      </vt:variant>
      <vt:variant>
        <vt:lpwstr>_Toc213233764</vt:lpwstr>
      </vt:variant>
      <vt:variant>
        <vt:i4>1114165</vt:i4>
      </vt:variant>
      <vt:variant>
        <vt:i4>350</vt:i4>
      </vt:variant>
      <vt:variant>
        <vt:i4>0</vt:i4>
      </vt:variant>
      <vt:variant>
        <vt:i4>5</vt:i4>
      </vt:variant>
      <vt:variant>
        <vt:lpwstr/>
      </vt:variant>
      <vt:variant>
        <vt:lpwstr>_Toc213233763</vt:lpwstr>
      </vt:variant>
      <vt:variant>
        <vt:i4>1114165</vt:i4>
      </vt:variant>
      <vt:variant>
        <vt:i4>344</vt:i4>
      </vt:variant>
      <vt:variant>
        <vt:i4>0</vt:i4>
      </vt:variant>
      <vt:variant>
        <vt:i4>5</vt:i4>
      </vt:variant>
      <vt:variant>
        <vt:lpwstr/>
      </vt:variant>
      <vt:variant>
        <vt:lpwstr>_Toc213233762</vt:lpwstr>
      </vt:variant>
      <vt:variant>
        <vt:i4>1114165</vt:i4>
      </vt:variant>
      <vt:variant>
        <vt:i4>338</vt:i4>
      </vt:variant>
      <vt:variant>
        <vt:i4>0</vt:i4>
      </vt:variant>
      <vt:variant>
        <vt:i4>5</vt:i4>
      </vt:variant>
      <vt:variant>
        <vt:lpwstr/>
      </vt:variant>
      <vt:variant>
        <vt:lpwstr>_Toc213233761</vt:lpwstr>
      </vt:variant>
      <vt:variant>
        <vt:i4>1114165</vt:i4>
      </vt:variant>
      <vt:variant>
        <vt:i4>332</vt:i4>
      </vt:variant>
      <vt:variant>
        <vt:i4>0</vt:i4>
      </vt:variant>
      <vt:variant>
        <vt:i4>5</vt:i4>
      </vt:variant>
      <vt:variant>
        <vt:lpwstr/>
      </vt:variant>
      <vt:variant>
        <vt:lpwstr>_Toc213233760</vt:lpwstr>
      </vt:variant>
      <vt:variant>
        <vt:i4>1179701</vt:i4>
      </vt:variant>
      <vt:variant>
        <vt:i4>326</vt:i4>
      </vt:variant>
      <vt:variant>
        <vt:i4>0</vt:i4>
      </vt:variant>
      <vt:variant>
        <vt:i4>5</vt:i4>
      </vt:variant>
      <vt:variant>
        <vt:lpwstr/>
      </vt:variant>
      <vt:variant>
        <vt:lpwstr>_Toc213233759</vt:lpwstr>
      </vt:variant>
      <vt:variant>
        <vt:i4>1179701</vt:i4>
      </vt:variant>
      <vt:variant>
        <vt:i4>320</vt:i4>
      </vt:variant>
      <vt:variant>
        <vt:i4>0</vt:i4>
      </vt:variant>
      <vt:variant>
        <vt:i4>5</vt:i4>
      </vt:variant>
      <vt:variant>
        <vt:lpwstr/>
      </vt:variant>
      <vt:variant>
        <vt:lpwstr>_Toc213233758</vt:lpwstr>
      </vt:variant>
      <vt:variant>
        <vt:i4>1179701</vt:i4>
      </vt:variant>
      <vt:variant>
        <vt:i4>314</vt:i4>
      </vt:variant>
      <vt:variant>
        <vt:i4>0</vt:i4>
      </vt:variant>
      <vt:variant>
        <vt:i4>5</vt:i4>
      </vt:variant>
      <vt:variant>
        <vt:lpwstr/>
      </vt:variant>
      <vt:variant>
        <vt:lpwstr>_Toc213233757</vt:lpwstr>
      </vt:variant>
      <vt:variant>
        <vt:i4>1179701</vt:i4>
      </vt:variant>
      <vt:variant>
        <vt:i4>308</vt:i4>
      </vt:variant>
      <vt:variant>
        <vt:i4>0</vt:i4>
      </vt:variant>
      <vt:variant>
        <vt:i4>5</vt:i4>
      </vt:variant>
      <vt:variant>
        <vt:lpwstr/>
      </vt:variant>
      <vt:variant>
        <vt:lpwstr>_Toc213233756</vt:lpwstr>
      </vt:variant>
      <vt:variant>
        <vt:i4>1179701</vt:i4>
      </vt:variant>
      <vt:variant>
        <vt:i4>302</vt:i4>
      </vt:variant>
      <vt:variant>
        <vt:i4>0</vt:i4>
      </vt:variant>
      <vt:variant>
        <vt:i4>5</vt:i4>
      </vt:variant>
      <vt:variant>
        <vt:lpwstr/>
      </vt:variant>
      <vt:variant>
        <vt:lpwstr>_Toc213233755</vt:lpwstr>
      </vt:variant>
      <vt:variant>
        <vt:i4>1179701</vt:i4>
      </vt:variant>
      <vt:variant>
        <vt:i4>296</vt:i4>
      </vt:variant>
      <vt:variant>
        <vt:i4>0</vt:i4>
      </vt:variant>
      <vt:variant>
        <vt:i4>5</vt:i4>
      </vt:variant>
      <vt:variant>
        <vt:lpwstr/>
      </vt:variant>
      <vt:variant>
        <vt:lpwstr>_Toc213233754</vt:lpwstr>
      </vt:variant>
      <vt:variant>
        <vt:i4>1179701</vt:i4>
      </vt:variant>
      <vt:variant>
        <vt:i4>290</vt:i4>
      </vt:variant>
      <vt:variant>
        <vt:i4>0</vt:i4>
      </vt:variant>
      <vt:variant>
        <vt:i4>5</vt:i4>
      </vt:variant>
      <vt:variant>
        <vt:lpwstr/>
      </vt:variant>
      <vt:variant>
        <vt:lpwstr>_Toc213233753</vt:lpwstr>
      </vt:variant>
      <vt:variant>
        <vt:i4>1179701</vt:i4>
      </vt:variant>
      <vt:variant>
        <vt:i4>284</vt:i4>
      </vt:variant>
      <vt:variant>
        <vt:i4>0</vt:i4>
      </vt:variant>
      <vt:variant>
        <vt:i4>5</vt:i4>
      </vt:variant>
      <vt:variant>
        <vt:lpwstr/>
      </vt:variant>
      <vt:variant>
        <vt:lpwstr>_Toc213233752</vt:lpwstr>
      </vt:variant>
      <vt:variant>
        <vt:i4>1179701</vt:i4>
      </vt:variant>
      <vt:variant>
        <vt:i4>278</vt:i4>
      </vt:variant>
      <vt:variant>
        <vt:i4>0</vt:i4>
      </vt:variant>
      <vt:variant>
        <vt:i4>5</vt:i4>
      </vt:variant>
      <vt:variant>
        <vt:lpwstr/>
      </vt:variant>
      <vt:variant>
        <vt:lpwstr>_Toc213233751</vt:lpwstr>
      </vt:variant>
      <vt:variant>
        <vt:i4>1179701</vt:i4>
      </vt:variant>
      <vt:variant>
        <vt:i4>272</vt:i4>
      </vt:variant>
      <vt:variant>
        <vt:i4>0</vt:i4>
      </vt:variant>
      <vt:variant>
        <vt:i4>5</vt:i4>
      </vt:variant>
      <vt:variant>
        <vt:lpwstr/>
      </vt:variant>
      <vt:variant>
        <vt:lpwstr>_Toc213233750</vt:lpwstr>
      </vt:variant>
      <vt:variant>
        <vt:i4>1245237</vt:i4>
      </vt:variant>
      <vt:variant>
        <vt:i4>266</vt:i4>
      </vt:variant>
      <vt:variant>
        <vt:i4>0</vt:i4>
      </vt:variant>
      <vt:variant>
        <vt:i4>5</vt:i4>
      </vt:variant>
      <vt:variant>
        <vt:lpwstr/>
      </vt:variant>
      <vt:variant>
        <vt:lpwstr>_Toc213233749</vt:lpwstr>
      </vt:variant>
      <vt:variant>
        <vt:i4>1245237</vt:i4>
      </vt:variant>
      <vt:variant>
        <vt:i4>260</vt:i4>
      </vt:variant>
      <vt:variant>
        <vt:i4>0</vt:i4>
      </vt:variant>
      <vt:variant>
        <vt:i4>5</vt:i4>
      </vt:variant>
      <vt:variant>
        <vt:lpwstr/>
      </vt:variant>
      <vt:variant>
        <vt:lpwstr>_Toc213233748</vt:lpwstr>
      </vt:variant>
      <vt:variant>
        <vt:i4>1245237</vt:i4>
      </vt:variant>
      <vt:variant>
        <vt:i4>254</vt:i4>
      </vt:variant>
      <vt:variant>
        <vt:i4>0</vt:i4>
      </vt:variant>
      <vt:variant>
        <vt:i4>5</vt:i4>
      </vt:variant>
      <vt:variant>
        <vt:lpwstr/>
      </vt:variant>
      <vt:variant>
        <vt:lpwstr>_Toc213233747</vt:lpwstr>
      </vt:variant>
      <vt:variant>
        <vt:i4>1245237</vt:i4>
      </vt:variant>
      <vt:variant>
        <vt:i4>248</vt:i4>
      </vt:variant>
      <vt:variant>
        <vt:i4>0</vt:i4>
      </vt:variant>
      <vt:variant>
        <vt:i4>5</vt:i4>
      </vt:variant>
      <vt:variant>
        <vt:lpwstr/>
      </vt:variant>
      <vt:variant>
        <vt:lpwstr>_Toc213233746</vt:lpwstr>
      </vt:variant>
      <vt:variant>
        <vt:i4>1245237</vt:i4>
      </vt:variant>
      <vt:variant>
        <vt:i4>242</vt:i4>
      </vt:variant>
      <vt:variant>
        <vt:i4>0</vt:i4>
      </vt:variant>
      <vt:variant>
        <vt:i4>5</vt:i4>
      </vt:variant>
      <vt:variant>
        <vt:lpwstr/>
      </vt:variant>
      <vt:variant>
        <vt:lpwstr>_Toc213233745</vt:lpwstr>
      </vt:variant>
      <vt:variant>
        <vt:i4>1245237</vt:i4>
      </vt:variant>
      <vt:variant>
        <vt:i4>236</vt:i4>
      </vt:variant>
      <vt:variant>
        <vt:i4>0</vt:i4>
      </vt:variant>
      <vt:variant>
        <vt:i4>5</vt:i4>
      </vt:variant>
      <vt:variant>
        <vt:lpwstr/>
      </vt:variant>
      <vt:variant>
        <vt:lpwstr>_Toc213233744</vt:lpwstr>
      </vt:variant>
      <vt:variant>
        <vt:i4>1245237</vt:i4>
      </vt:variant>
      <vt:variant>
        <vt:i4>230</vt:i4>
      </vt:variant>
      <vt:variant>
        <vt:i4>0</vt:i4>
      </vt:variant>
      <vt:variant>
        <vt:i4>5</vt:i4>
      </vt:variant>
      <vt:variant>
        <vt:lpwstr/>
      </vt:variant>
      <vt:variant>
        <vt:lpwstr>_Toc213233743</vt:lpwstr>
      </vt:variant>
      <vt:variant>
        <vt:i4>1245237</vt:i4>
      </vt:variant>
      <vt:variant>
        <vt:i4>224</vt:i4>
      </vt:variant>
      <vt:variant>
        <vt:i4>0</vt:i4>
      </vt:variant>
      <vt:variant>
        <vt:i4>5</vt:i4>
      </vt:variant>
      <vt:variant>
        <vt:lpwstr/>
      </vt:variant>
      <vt:variant>
        <vt:lpwstr>_Toc213233742</vt:lpwstr>
      </vt:variant>
      <vt:variant>
        <vt:i4>1245237</vt:i4>
      </vt:variant>
      <vt:variant>
        <vt:i4>218</vt:i4>
      </vt:variant>
      <vt:variant>
        <vt:i4>0</vt:i4>
      </vt:variant>
      <vt:variant>
        <vt:i4>5</vt:i4>
      </vt:variant>
      <vt:variant>
        <vt:lpwstr/>
      </vt:variant>
      <vt:variant>
        <vt:lpwstr>_Toc213233741</vt:lpwstr>
      </vt:variant>
      <vt:variant>
        <vt:i4>1245237</vt:i4>
      </vt:variant>
      <vt:variant>
        <vt:i4>212</vt:i4>
      </vt:variant>
      <vt:variant>
        <vt:i4>0</vt:i4>
      </vt:variant>
      <vt:variant>
        <vt:i4>5</vt:i4>
      </vt:variant>
      <vt:variant>
        <vt:lpwstr/>
      </vt:variant>
      <vt:variant>
        <vt:lpwstr>_Toc213233740</vt:lpwstr>
      </vt:variant>
      <vt:variant>
        <vt:i4>1310773</vt:i4>
      </vt:variant>
      <vt:variant>
        <vt:i4>206</vt:i4>
      </vt:variant>
      <vt:variant>
        <vt:i4>0</vt:i4>
      </vt:variant>
      <vt:variant>
        <vt:i4>5</vt:i4>
      </vt:variant>
      <vt:variant>
        <vt:lpwstr/>
      </vt:variant>
      <vt:variant>
        <vt:lpwstr>_Toc213233739</vt:lpwstr>
      </vt:variant>
      <vt:variant>
        <vt:i4>1310773</vt:i4>
      </vt:variant>
      <vt:variant>
        <vt:i4>200</vt:i4>
      </vt:variant>
      <vt:variant>
        <vt:i4>0</vt:i4>
      </vt:variant>
      <vt:variant>
        <vt:i4>5</vt:i4>
      </vt:variant>
      <vt:variant>
        <vt:lpwstr/>
      </vt:variant>
      <vt:variant>
        <vt:lpwstr>_Toc213233738</vt:lpwstr>
      </vt:variant>
      <vt:variant>
        <vt:i4>1310773</vt:i4>
      </vt:variant>
      <vt:variant>
        <vt:i4>194</vt:i4>
      </vt:variant>
      <vt:variant>
        <vt:i4>0</vt:i4>
      </vt:variant>
      <vt:variant>
        <vt:i4>5</vt:i4>
      </vt:variant>
      <vt:variant>
        <vt:lpwstr/>
      </vt:variant>
      <vt:variant>
        <vt:lpwstr>_Toc213233737</vt:lpwstr>
      </vt:variant>
      <vt:variant>
        <vt:i4>1310773</vt:i4>
      </vt:variant>
      <vt:variant>
        <vt:i4>188</vt:i4>
      </vt:variant>
      <vt:variant>
        <vt:i4>0</vt:i4>
      </vt:variant>
      <vt:variant>
        <vt:i4>5</vt:i4>
      </vt:variant>
      <vt:variant>
        <vt:lpwstr/>
      </vt:variant>
      <vt:variant>
        <vt:lpwstr>_Toc213233736</vt:lpwstr>
      </vt:variant>
      <vt:variant>
        <vt:i4>1310773</vt:i4>
      </vt:variant>
      <vt:variant>
        <vt:i4>182</vt:i4>
      </vt:variant>
      <vt:variant>
        <vt:i4>0</vt:i4>
      </vt:variant>
      <vt:variant>
        <vt:i4>5</vt:i4>
      </vt:variant>
      <vt:variant>
        <vt:lpwstr/>
      </vt:variant>
      <vt:variant>
        <vt:lpwstr>_Toc213233735</vt:lpwstr>
      </vt:variant>
      <vt:variant>
        <vt:i4>1310773</vt:i4>
      </vt:variant>
      <vt:variant>
        <vt:i4>176</vt:i4>
      </vt:variant>
      <vt:variant>
        <vt:i4>0</vt:i4>
      </vt:variant>
      <vt:variant>
        <vt:i4>5</vt:i4>
      </vt:variant>
      <vt:variant>
        <vt:lpwstr/>
      </vt:variant>
      <vt:variant>
        <vt:lpwstr>_Toc213233734</vt:lpwstr>
      </vt:variant>
      <vt:variant>
        <vt:i4>1310773</vt:i4>
      </vt:variant>
      <vt:variant>
        <vt:i4>170</vt:i4>
      </vt:variant>
      <vt:variant>
        <vt:i4>0</vt:i4>
      </vt:variant>
      <vt:variant>
        <vt:i4>5</vt:i4>
      </vt:variant>
      <vt:variant>
        <vt:lpwstr/>
      </vt:variant>
      <vt:variant>
        <vt:lpwstr>_Toc213233733</vt:lpwstr>
      </vt:variant>
      <vt:variant>
        <vt:i4>1310773</vt:i4>
      </vt:variant>
      <vt:variant>
        <vt:i4>164</vt:i4>
      </vt:variant>
      <vt:variant>
        <vt:i4>0</vt:i4>
      </vt:variant>
      <vt:variant>
        <vt:i4>5</vt:i4>
      </vt:variant>
      <vt:variant>
        <vt:lpwstr/>
      </vt:variant>
      <vt:variant>
        <vt:lpwstr>_Toc213233732</vt:lpwstr>
      </vt:variant>
      <vt:variant>
        <vt:i4>1310773</vt:i4>
      </vt:variant>
      <vt:variant>
        <vt:i4>158</vt:i4>
      </vt:variant>
      <vt:variant>
        <vt:i4>0</vt:i4>
      </vt:variant>
      <vt:variant>
        <vt:i4>5</vt:i4>
      </vt:variant>
      <vt:variant>
        <vt:lpwstr/>
      </vt:variant>
      <vt:variant>
        <vt:lpwstr>_Toc213233731</vt:lpwstr>
      </vt:variant>
      <vt:variant>
        <vt:i4>1310773</vt:i4>
      </vt:variant>
      <vt:variant>
        <vt:i4>152</vt:i4>
      </vt:variant>
      <vt:variant>
        <vt:i4>0</vt:i4>
      </vt:variant>
      <vt:variant>
        <vt:i4>5</vt:i4>
      </vt:variant>
      <vt:variant>
        <vt:lpwstr/>
      </vt:variant>
      <vt:variant>
        <vt:lpwstr>_Toc213233730</vt:lpwstr>
      </vt:variant>
      <vt:variant>
        <vt:i4>1376309</vt:i4>
      </vt:variant>
      <vt:variant>
        <vt:i4>146</vt:i4>
      </vt:variant>
      <vt:variant>
        <vt:i4>0</vt:i4>
      </vt:variant>
      <vt:variant>
        <vt:i4>5</vt:i4>
      </vt:variant>
      <vt:variant>
        <vt:lpwstr/>
      </vt:variant>
      <vt:variant>
        <vt:lpwstr>_Toc213233729</vt:lpwstr>
      </vt:variant>
      <vt:variant>
        <vt:i4>1376309</vt:i4>
      </vt:variant>
      <vt:variant>
        <vt:i4>140</vt:i4>
      </vt:variant>
      <vt:variant>
        <vt:i4>0</vt:i4>
      </vt:variant>
      <vt:variant>
        <vt:i4>5</vt:i4>
      </vt:variant>
      <vt:variant>
        <vt:lpwstr/>
      </vt:variant>
      <vt:variant>
        <vt:lpwstr>_Toc213233728</vt:lpwstr>
      </vt:variant>
      <vt:variant>
        <vt:i4>1376309</vt:i4>
      </vt:variant>
      <vt:variant>
        <vt:i4>134</vt:i4>
      </vt:variant>
      <vt:variant>
        <vt:i4>0</vt:i4>
      </vt:variant>
      <vt:variant>
        <vt:i4>5</vt:i4>
      </vt:variant>
      <vt:variant>
        <vt:lpwstr/>
      </vt:variant>
      <vt:variant>
        <vt:lpwstr>_Toc213233727</vt:lpwstr>
      </vt:variant>
      <vt:variant>
        <vt:i4>1376309</vt:i4>
      </vt:variant>
      <vt:variant>
        <vt:i4>128</vt:i4>
      </vt:variant>
      <vt:variant>
        <vt:i4>0</vt:i4>
      </vt:variant>
      <vt:variant>
        <vt:i4>5</vt:i4>
      </vt:variant>
      <vt:variant>
        <vt:lpwstr/>
      </vt:variant>
      <vt:variant>
        <vt:lpwstr>_Toc213233726</vt:lpwstr>
      </vt:variant>
      <vt:variant>
        <vt:i4>1376309</vt:i4>
      </vt:variant>
      <vt:variant>
        <vt:i4>122</vt:i4>
      </vt:variant>
      <vt:variant>
        <vt:i4>0</vt:i4>
      </vt:variant>
      <vt:variant>
        <vt:i4>5</vt:i4>
      </vt:variant>
      <vt:variant>
        <vt:lpwstr/>
      </vt:variant>
      <vt:variant>
        <vt:lpwstr>_Toc213233725</vt:lpwstr>
      </vt:variant>
      <vt:variant>
        <vt:i4>1376309</vt:i4>
      </vt:variant>
      <vt:variant>
        <vt:i4>116</vt:i4>
      </vt:variant>
      <vt:variant>
        <vt:i4>0</vt:i4>
      </vt:variant>
      <vt:variant>
        <vt:i4>5</vt:i4>
      </vt:variant>
      <vt:variant>
        <vt:lpwstr/>
      </vt:variant>
      <vt:variant>
        <vt:lpwstr>_Toc213233724</vt:lpwstr>
      </vt:variant>
      <vt:variant>
        <vt:i4>1376309</vt:i4>
      </vt:variant>
      <vt:variant>
        <vt:i4>110</vt:i4>
      </vt:variant>
      <vt:variant>
        <vt:i4>0</vt:i4>
      </vt:variant>
      <vt:variant>
        <vt:i4>5</vt:i4>
      </vt:variant>
      <vt:variant>
        <vt:lpwstr/>
      </vt:variant>
      <vt:variant>
        <vt:lpwstr>_Toc213233723</vt:lpwstr>
      </vt:variant>
      <vt:variant>
        <vt:i4>1376309</vt:i4>
      </vt:variant>
      <vt:variant>
        <vt:i4>104</vt:i4>
      </vt:variant>
      <vt:variant>
        <vt:i4>0</vt:i4>
      </vt:variant>
      <vt:variant>
        <vt:i4>5</vt:i4>
      </vt:variant>
      <vt:variant>
        <vt:lpwstr/>
      </vt:variant>
      <vt:variant>
        <vt:lpwstr>_Toc213233722</vt:lpwstr>
      </vt:variant>
      <vt:variant>
        <vt:i4>1376309</vt:i4>
      </vt:variant>
      <vt:variant>
        <vt:i4>98</vt:i4>
      </vt:variant>
      <vt:variant>
        <vt:i4>0</vt:i4>
      </vt:variant>
      <vt:variant>
        <vt:i4>5</vt:i4>
      </vt:variant>
      <vt:variant>
        <vt:lpwstr/>
      </vt:variant>
      <vt:variant>
        <vt:lpwstr>_Toc213233721</vt:lpwstr>
      </vt:variant>
      <vt:variant>
        <vt:i4>1376309</vt:i4>
      </vt:variant>
      <vt:variant>
        <vt:i4>92</vt:i4>
      </vt:variant>
      <vt:variant>
        <vt:i4>0</vt:i4>
      </vt:variant>
      <vt:variant>
        <vt:i4>5</vt:i4>
      </vt:variant>
      <vt:variant>
        <vt:lpwstr/>
      </vt:variant>
      <vt:variant>
        <vt:lpwstr>_Toc213233720</vt:lpwstr>
      </vt:variant>
      <vt:variant>
        <vt:i4>1441845</vt:i4>
      </vt:variant>
      <vt:variant>
        <vt:i4>86</vt:i4>
      </vt:variant>
      <vt:variant>
        <vt:i4>0</vt:i4>
      </vt:variant>
      <vt:variant>
        <vt:i4>5</vt:i4>
      </vt:variant>
      <vt:variant>
        <vt:lpwstr/>
      </vt:variant>
      <vt:variant>
        <vt:lpwstr>_Toc213233719</vt:lpwstr>
      </vt:variant>
      <vt:variant>
        <vt:i4>1441845</vt:i4>
      </vt:variant>
      <vt:variant>
        <vt:i4>80</vt:i4>
      </vt:variant>
      <vt:variant>
        <vt:i4>0</vt:i4>
      </vt:variant>
      <vt:variant>
        <vt:i4>5</vt:i4>
      </vt:variant>
      <vt:variant>
        <vt:lpwstr/>
      </vt:variant>
      <vt:variant>
        <vt:lpwstr>_Toc213233718</vt:lpwstr>
      </vt:variant>
      <vt:variant>
        <vt:i4>1441845</vt:i4>
      </vt:variant>
      <vt:variant>
        <vt:i4>74</vt:i4>
      </vt:variant>
      <vt:variant>
        <vt:i4>0</vt:i4>
      </vt:variant>
      <vt:variant>
        <vt:i4>5</vt:i4>
      </vt:variant>
      <vt:variant>
        <vt:lpwstr/>
      </vt:variant>
      <vt:variant>
        <vt:lpwstr>_Toc213233717</vt:lpwstr>
      </vt:variant>
      <vt:variant>
        <vt:i4>1441845</vt:i4>
      </vt:variant>
      <vt:variant>
        <vt:i4>68</vt:i4>
      </vt:variant>
      <vt:variant>
        <vt:i4>0</vt:i4>
      </vt:variant>
      <vt:variant>
        <vt:i4>5</vt:i4>
      </vt:variant>
      <vt:variant>
        <vt:lpwstr/>
      </vt:variant>
      <vt:variant>
        <vt:lpwstr>_Toc213233716</vt:lpwstr>
      </vt:variant>
      <vt:variant>
        <vt:i4>1441845</vt:i4>
      </vt:variant>
      <vt:variant>
        <vt:i4>62</vt:i4>
      </vt:variant>
      <vt:variant>
        <vt:i4>0</vt:i4>
      </vt:variant>
      <vt:variant>
        <vt:i4>5</vt:i4>
      </vt:variant>
      <vt:variant>
        <vt:lpwstr/>
      </vt:variant>
      <vt:variant>
        <vt:lpwstr>_Toc213233715</vt:lpwstr>
      </vt:variant>
      <vt:variant>
        <vt:i4>1441845</vt:i4>
      </vt:variant>
      <vt:variant>
        <vt:i4>56</vt:i4>
      </vt:variant>
      <vt:variant>
        <vt:i4>0</vt:i4>
      </vt:variant>
      <vt:variant>
        <vt:i4>5</vt:i4>
      </vt:variant>
      <vt:variant>
        <vt:lpwstr/>
      </vt:variant>
      <vt:variant>
        <vt:lpwstr>_Toc213233714</vt:lpwstr>
      </vt:variant>
      <vt:variant>
        <vt:i4>1441845</vt:i4>
      </vt:variant>
      <vt:variant>
        <vt:i4>50</vt:i4>
      </vt:variant>
      <vt:variant>
        <vt:i4>0</vt:i4>
      </vt:variant>
      <vt:variant>
        <vt:i4>5</vt:i4>
      </vt:variant>
      <vt:variant>
        <vt:lpwstr/>
      </vt:variant>
      <vt:variant>
        <vt:lpwstr>_Toc213233713</vt:lpwstr>
      </vt:variant>
      <vt:variant>
        <vt:i4>1441845</vt:i4>
      </vt:variant>
      <vt:variant>
        <vt:i4>44</vt:i4>
      </vt:variant>
      <vt:variant>
        <vt:i4>0</vt:i4>
      </vt:variant>
      <vt:variant>
        <vt:i4>5</vt:i4>
      </vt:variant>
      <vt:variant>
        <vt:lpwstr/>
      </vt:variant>
      <vt:variant>
        <vt:lpwstr>_Toc213233712</vt:lpwstr>
      </vt:variant>
      <vt:variant>
        <vt:i4>1441845</vt:i4>
      </vt:variant>
      <vt:variant>
        <vt:i4>38</vt:i4>
      </vt:variant>
      <vt:variant>
        <vt:i4>0</vt:i4>
      </vt:variant>
      <vt:variant>
        <vt:i4>5</vt:i4>
      </vt:variant>
      <vt:variant>
        <vt:lpwstr/>
      </vt:variant>
      <vt:variant>
        <vt:lpwstr>_Toc213233711</vt:lpwstr>
      </vt:variant>
      <vt:variant>
        <vt:i4>1441845</vt:i4>
      </vt:variant>
      <vt:variant>
        <vt:i4>32</vt:i4>
      </vt:variant>
      <vt:variant>
        <vt:i4>0</vt:i4>
      </vt:variant>
      <vt:variant>
        <vt:i4>5</vt:i4>
      </vt:variant>
      <vt:variant>
        <vt:lpwstr/>
      </vt:variant>
      <vt:variant>
        <vt:lpwstr>_Toc213233710</vt:lpwstr>
      </vt:variant>
      <vt:variant>
        <vt:i4>1507381</vt:i4>
      </vt:variant>
      <vt:variant>
        <vt:i4>26</vt:i4>
      </vt:variant>
      <vt:variant>
        <vt:i4>0</vt:i4>
      </vt:variant>
      <vt:variant>
        <vt:i4>5</vt:i4>
      </vt:variant>
      <vt:variant>
        <vt:lpwstr/>
      </vt:variant>
      <vt:variant>
        <vt:lpwstr>_Toc213233709</vt:lpwstr>
      </vt:variant>
      <vt:variant>
        <vt:i4>1507381</vt:i4>
      </vt:variant>
      <vt:variant>
        <vt:i4>20</vt:i4>
      </vt:variant>
      <vt:variant>
        <vt:i4>0</vt:i4>
      </vt:variant>
      <vt:variant>
        <vt:i4>5</vt:i4>
      </vt:variant>
      <vt:variant>
        <vt:lpwstr/>
      </vt:variant>
      <vt:variant>
        <vt:lpwstr>_Toc213233708</vt:lpwstr>
      </vt:variant>
      <vt:variant>
        <vt:i4>1507381</vt:i4>
      </vt:variant>
      <vt:variant>
        <vt:i4>14</vt:i4>
      </vt:variant>
      <vt:variant>
        <vt:i4>0</vt:i4>
      </vt:variant>
      <vt:variant>
        <vt:i4>5</vt:i4>
      </vt:variant>
      <vt:variant>
        <vt:lpwstr/>
      </vt:variant>
      <vt:variant>
        <vt:lpwstr>_Toc213233707</vt:lpwstr>
      </vt:variant>
      <vt:variant>
        <vt:i4>1507381</vt:i4>
      </vt:variant>
      <vt:variant>
        <vt:i4>8</vt:i4>
      </vt:variant>
      <vt:variant>
        <vt:i4>0</vt:i4>
      </vt:variant>
      <vt:variant>
        <vt:i4>5</vt:i4>
      </vt:variant>
      <vt:variant>
        <vt:lpwstr/>
      </vt:variant>
      <vt:variant>
        <vt:lpwstr>_Toc213233706</vt:lpwstr>
      </vt:variant>
      <vt:variant>
        <vt:i4>1507381</vt:i4>
      </vt:variant>
      <vt:variant>
        <vt:i4>2</vt:i4>
      </vt:variant>
      <vt:variant>
        <vt:i4>0</vt:i4>
      </vt:variant>
      <vt:variant>
        <vt:i4>5</vt:i4>
      </vt:variant>
      <vt:variant>
        <vt:lpwstr/>
      </vt:variant>
      <vt:variant>
        <vt:lpwstr>_Toc213233704</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2025-11-21T17:57:00Z</cp:lastPrinted>
  <dcterms:created xsi:type="dcterms:W3CDTF">2026-10-27T14:49:48Z</dcterms:created>
  <dcterms:modified xsi:type="dcterms:W3CDTF">2026-10-27T14:49:48Z</dcterms:modified>
</cp:coreProperties>
</file>